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UNITED STATES</w:t>
      </w:r>
    </w:p>
    <w:p>
      <w:pPr>
        <w:spacing w:after="0" w:line="32"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SCHEDULE 14A</w:t>
      </w:r>
    </w:p>
    <w:p>
      <w:pPr>
        <w:spacing w:after="0" w:line="131"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Proxy Statement Pursuant to Section 14(a) of the</w:t>
      </w:r>
    </w:p>
    <w:p>
      <w:pPr>
        <w:spacing w:after="0" w:line="36" w:lineRule="exact"/>
        <w:rPr>
          <w:sz w:val="24"/>
          <w:szCs w:val="24"/>
          <w:color w:val="auto"/>
        </w:rPr>
      </w:pPr>
    </w:p>
    <w:p>
      <w:pPr>
        <w:jc w:val="center"/>
        <w:ind w:right="2439"/>
        <w:spacing w:after="0"/>
        <w:rPr>
          <w:sz w:val="20"/>
          <w:szCs w:val="20"/>
          <w:color w:val="auto"/>
        </w:rPr>
      </w:pPr>
      <w:r>
        <w:rPr>
          <w:rFonts w:ascii="Arial" w:cs="Arial" w:eastAsia="Arial" w:hAnsi="Arial"/>
          <w:sz w:val="18"/>
          <w:szCs w:val="18"/>
          <w:color w:val="auto"/>
        </w:rPr>
        <w:t>Securities Exchange Act of 1934 (Amendment No. )</w:t>
      </w:r>
    </w:p>
    <w:p>
      <w:pPr>
        <w:spacing w:after="0" w:line="185" w:lineRule="exact"/>
        <w:rPr>
          <w:sz w:val="24"/>
          <w:szCs w:val="24"/>
          <w:color w:val="auto"/>
        </w:rPr>
      </w:pPr>
    </w:p>
    <w:p>
      <w:pPr>
        <w:ind w:left="2140" w:hanging="416"/>
        <w:spacing w:after="0"/>
        <w:tabs>
          <w:tab w:leader="none" w:pos="2140" w:val="left"/>
        </w:tabs>
        <w:numPr>
          <w:ilvl w:val="0"/>
          <w:numId w:val="2"/>
        </w:numPr>
        <w:rPr>
          <w:rFonts w:ascii="MS PGothic" w:cs="MS PGothic" w:eastAsia="MS PGothic" w:hAnsi="MS PGothic"/>
          <w:sz w:val="21"/>
          <w:szCs w:val="21"/>
          <w:color w:val="auto"/>
        </w:rPr>
      </w:pP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ectPr>
          <w:pgSz w:w="11900" w:h="16838" w:orient="portrait"/>
          <w:cols w:equalWidth="0" w:num="2">
            <w:col w:w="2820" w:space="720"/>
            <w:col w:w="6599"/>
          </w:cols>
          <w:pgMar w:left="320" w:top="265" w:right="1440"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00"/>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520" w:hanging="417"/>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50" w:lineRule="exact"/>
        <w:rPr>
          <w:rFonts w:ascii="MS PGothic" w:cs="MS PGothic" w:eastAsia="MS PGothic" w:hAnsi="MS PGothic"/>
          <w:sz w:val="22"/>
          <w:szCs w:val="22"/>
          <w:color w:val="auto"/>
        </w:rPr>
      </w:pPr>
    </w:p>
    <w:p>
      <w:pPr>
        <w:ind w:left="520" w:hanging="417"/>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31" w:lineRule="exact"/>
        <w:rPr>
          <w:sz w:val="24"/>
          <w:szCs w:val="24"/>
          <w:color w:val="auto"/>
        </w:rPr>
      </w:pPr>
    </w:p>
    <w:p>
      <w:pPr>
        <w:ind w:left="520" w:hanging="417"/>
        <w:spacing w:after="0"/>
        <w:tabs>
          <w:tab w:leader="none" w:pos="52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51" w:lineRule="exact"/>
        <w:rPr>
          <w:sz w:val="24"/>
          <w:szCs w:val="24"/>
          <w:color w:val="auto"/>
        </w:rPr>
      </w:pPr>
    </w:p>
    <w:p>
      <w:pPr>
        <w:ind w:left="520" w:hanging="417"/>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0" w:lineRule="exact"/>
        <w:rPr>
          <w:rFonts w:ascii="MS PGothic" w:cs="MS PGothic" w:eastAsia="MS PGothic" w:hAnsi="MS PGothic"/>
          <w:sz w:val="22"/>
          <w:szCs w:val="22"/>
          <w:color w:val="auto"/>
        </w:rPr>
      </w:pPr>
    </w:p>
    <w:p>
      <w:pPr>
        <w:ind w:left="520" w:hanging="417"/>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5"/>
          <w:szCs w:val="25"/>
          <w:color w:val="auto"/>
        </w:rPr>
        <w:t>JPM</w:t>
      </w:r>
      <w:r>
        <w:rPr>
          <w:rFonts w:ascii="Times New Roman" w:cs="Times New Roman" w:eastAsia="Times New Roman" w:hAnsi="Times New Roman"/>
          <w:sz w:val="21"/>
          <w:szCs w:val="21"/>
          <w:color w:val="auto"/>
        </w:rPr>
        <w:t>ORGAN</w:t>
      </w:r>
      <w:r>
        <w:rPr>
          <w:rFonts w:ascii="Times New Roman" w:cs="Times New Roman" w:eastAsia="Times New Roman" w:hAnsi="Times New Roman"/>
          <w:sz w:val="25"/>
          <w:szCs w:val="25"/>
          <w:color w:val="auto"/>
        </w:rPr>
        <w:t xml:space="preserve"> C</w:t>
      </w:r>
      <w:r>
        <w:rPr>
          <w:rFonts w:ascii="Times New Roman" w:cs="Times New Roman" w:eastAsia="Times New Roman" w:hAnsi="Times New Roman"/>
          <w:sz w:val="21"/>
          <w:szCs w:val="21"/>
          <w:color w:val="auto"/>
        </w:rPr>
        <w:t>HASE &amp;</w:t>
      </w:r>
      <w:r>
        <w:rPr>
          <w:rFonts w:ascii="Times New Roman" w:cs="Times New Roman" w:eastAsia="Times New Roman" w:hAnsi="Times New Roman"/>
          <w:sz w:val="25"/>
          <w:szCs w:val="25"/>
          <w:color w:val="auto"/>
        </w:rPr>
        <w:t xml:space="preserve"> C</w:t>
      </w:r>
      <w:r>
        <w:rPr>
          <w:rFonts w:ascii="Times New Roman" w:cs="Times New Roman" w:eastAsia="Times New Roman" w:hAnsi="Times New Roman"/>
          <w:sz w:val="21"/>
          <w:szCs w:val="21"/>
          <w:color w:val="auto"/>
        </w:rPr>
        <w:t>O.</w:t>
      </w:r>
    </w:p>
    <w:p>
      <w:pPr>
        <w:spacing w:after="0" w:line="141" w:lineRule="exact"/>
        <w:rPr>
          <w:sz w:val="24"/>
          <w:szCs w:val="24"/>
          <w:color w:val="auto"/>
        </w:rPr>
      </w:pPr>
    </w:p>
    <w:p>
      <w:pPr>
        <w:jc w:val="center"/>
        <w:ind w:right="-1100"/>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359"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51" w:lineRule="exact"/>
        <w:rPr>
          <w:sz w:val="24"/>
          <w:szCs w:val="24"/>
          <w:color w:val="auto"/>
        </w:rPr>
      </w:pPr>
    </w:p>
    <w:p>
      <w:pPr>
        <w:ind w:left="520" w:hanging="417"/>
        <w:spacing w:after="0"/>
        <w:tabs>
          <w:tab w:leader="none" w:pos="520" w:val="left"/>
        </w:tabs>
        <w:numPr>
          <w:ilvl w:val="0"/>
          <w:numId w:val="6"/>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151" w:lineRule="exact"/>
        <w:rPr>
          <w:sz w:val="24"/>
          <w:szCs w:val="24"/>
          <w:color w:val="auto"/>
        </w:rPr>
      </w:pPr>
    </w:p>
    <w:p>
      <w:pPr>
        <w:ind w:left="520" w:hanging="417"/>
        <w:spacing w:after="0"/>
        <w:tabs>
          <w:tab w:leader="none" w:pos="520" w:val="left"/>
        </w:tabs>
        <w:numPr>
          <w:ilvl w:val="0"/>
          <w:numId w:val="7"/>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520" w:hanging="417"/>
        <w:spacing w:after="0"/>
        <w:tabs>
          <w:tab w:leader="none" w:pos="520" w:val="left"/>
        </w:tabs>
        <w:numPr>
          <w:ilvl w:val="0"/>
          <w:numId w:val="7"/>
        </w:numPr>
        <w:rPr>
          <w:rFonts w:ascii="MS PGothic" w:cs="MS PGothic" w:eastAsia="MS PGothic" w:hAnsi="MS PGothic"/>
          <w:sz w:val="21"/>
          <w:szCs w:val="2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65"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9004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0" w:num="1">
            <w:col w:w="10139"/>
          </w:cols>
          <w:pgMar w:left="320" w:top="157"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JPMorgan Chase &amp; Co.</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383 Madison Avenue</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York, New York 10179-0001</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April 8, 2024</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Dear fellow shareholders:</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 are pleased to invite you to attend the annual meeting of</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shareholders to be held in a virtual meeting format, via the Internet,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on May 21, 2024 at 10:00 a.m. Eastern Time. Shareholders are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provided an opportunity to ask questions about topics of importance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 the Firm’s business and affairs, to consider matters described 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the proxy statement and to receive an update on the Firm’s activities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and performance.</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 hope that you will attend the meeting. We encourage you to</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designate the persons named as proxies on the proxy card to vote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shares even if you are planning to attend. This will ensure that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common stock is represented at the meeting.</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This proxy statement explains more about the matters to be voted on</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 the annual meeting, about proxy voting, and other information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about how to participate. Please read it carefully. We look forward to</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participation.</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86360</wp:posOffset>
            </wp:positionV>
            <wp:extent cx="1714500" cy="796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James Dimon</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1433830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520700</wp:posOffset>
            </wp:positionV>
            <wp:extent cx="257175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180340"/>
                    </a:xfrm>
                    <a:prstGeom prst="rect">
                      <a:avLst/>
                    </a:prstGeom>
                    <a:noFill/>
                  </pic:spPr>
                </pic:pic>
              </a:graphicData>
            </a:graphic>
          </wp:anchor>
        </w:drawing>
      </w:r>
    </w:p>
    <w:p>
      <w:pPr>
        <w:sectPr>
          <w:pgSz w:w="11900" w:h="16838" w:orient="portrait"/>
          <w:cols w:equalWidth="0" w:num="1">
            <w:col w:w="11120"/>
          </w:cols>
          <w:pgMar w:left="320" w:top="157" w:right="4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86" w:lineRule="auto"/>
        <w:rPr>
          <w:sz w:val="20"/>
          <w:szCs w:val="20"/>
          <w:color w:val="auto"/>
        </w:rPr>
      </w:pPr>
      <w:r>
        <w:rPr>
          <w:rFonts w:ascii="Arial" w:cs="Arial" w:eastAsia="Arial" w:hAnsi="Arial"/>
          <w:sz w:val="43"/>
          <w:szCs w:val="43"/>
          <w:color w:val="074A75"/>
        </w:rPr>
        <w:t>A Letter from Jamie Dimon, Our Chairman and CEO, and Stephen B. Burke, Our Lead Independent Director</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2024 Annual Meeting, we want to share with you some of the highlights of the work of the Board. The Board oversaw the Firm’s continued strong financial performance in 2023, building upon its momentum from prior years. We experienced growth across all of our market-leading lines of business and maintained a fortress balance sheet. We achieved managed revenue of $162.4 billion, which was a record for the 6th consecutive year, as well as record net income of $49.6 billion and ROTCE of 21%. The Firm increased its quarterly common dividend from $1.00 to $1.05 per share. In addition, we successfully navigated and supported our clients and customers through the regional bank turmoil, and completed our acquisition of the assets of First Republic Bank.</w:t>
      </w:r>
    </w:p>
    <w:p>
      <w:pPr>
        <w:spacing w:after="0" w:line="7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Board is focused on the many factors that contribute to the Firm’s long-term strong performance, including continued investment in products, technology and people. We remain vigilant and prepared to work with our customers, clients and communities around the world across a broad range of economic environments. At all times, we are guided by our fundamental business principles and our commitment to building long-term value for our shareholders. This was especially important to our work in the past year, as geopolitics and conflicts developments around the world produced much uncertainty. The ongoing wars in Ukraine and the Middle East, growing tensions with China and a politically divided America have the potential to lead to a restructuring of the global order, in addition to having profound human consequences.</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this environment, the Board’s efforts are focused on making informed decisions and taking appropriate actions to help ensure that our Firm is resilient and we can be there for our clients – in both good times and bad times. Among other matters, in the past year the Board focused on the following: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Executive succession planning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One of the Board’s top priorities is to plan for an orderly CEO transition in the medium term. As discussed in more detail in this proxy statement, the Board is spending significant time on developing Operating Committee members who are well-known to shareholders as strong potential CEO candidates. Earlier this year, the Firm announced leadership and organizational changes to continue to position the Firm for the future. Jennifer Piepszak and Troy Rohrbaugh were named Co-CEOs of the expanded Commercial &amp; Investment Bank, and Marianne Lake became sole CEO of Consumer &amp; Community Banking. Mary Erdoes remains CEO of Asset &amp;</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April 8, 2024</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Wealth Management, and Daniel Pinto continues as President and Chief Operating Officer. The Board believes that these senior management changes and new alignment will help the Firm better serve its clients as well as further develop the Firm's most senior leaders. Should the need arise in the near-term, we view Mr. Pinto as a key executive who is immediately ready to fulfill the responsibilities of the CEO. We also continue to develop a deep bench of potential leaders who can execute the Firm’s strategy and enhance our strong culture.</w:t>
      </w:r>
    </w:p>
    <w:p>
      <w:pPr>
        <w:spacing w:after="0" w:line="73" w:lineRule="exact"/>
        <w:rPr>
          <w:sz w:val="20"/>
          <w:szCs w:val="20"/>
          <w:color w:val="auto"/>
        </w:rPr>
      </w:pPr>
    </w:p>
    <w:p>
      <w:pPr>
        <w:ind w:left="200" w:hanging="196"/>
        <w:spacing w:after="0"/>
        <w:tabs>
          <w:tab w:leader="none" w:pos="200" w:val="left"/>
        </w:tabs>
        <w:numPr>
          <w:ilvl w:val="0"/>
          <w:numId w:val="8"/>
        </w:numPr>
        <w:rPr>
          <w:rFonts w:ascii="Arial" w:cs="Arial" w:eastAsia="Arial" w:hAnsi="Arial"/>
          <w:sz w:val="18"/>
          <w:szCs w:val="18"/>
          <w:color w:val="074A75"/>
        </w:rPr>
      </w:pPr>
      <w:r>
        <w:rPr>
          <w:rFonts w:ascii="Arial" w:cs="Arial" w:eastAsia="Arial" w:hAnsi="Arial"/>
          <w:sz w:val="18"/>
          <w:szCs w:val="18"/>
          <w:color w:val="auto"/>
        </w:rPr>
        <w:t>Board refreshment</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committed to maintaining a vital Board for today and the future. In January of this year, we were fortunate to add Mark Weinberger to our Board and are pleased to nominate him for election by shareholders at the annual meeting. As retired Chairman and Chief Executive Officer of Ernst &amp; Young LLP, he brings to the Board an impressive combination of skills, experience and personal qualities that will serve our shareholders, the Firm and the Board well. We would also like to take this opportunity to thank Tim Flynn and Mike Neal, who are retiring from the Board this year. We benefited greatly from their respective insights and contributions as directors and trusted advisors.</w:t>
      </w:r>
    </w:p>
    <w:p>
      <w:pPr>
        <w:spacing w:after="0" w:line="74" w:lineRule="exact"/>
        <w:rPr>
          <w:sz w:val="20"/>
          <w:szCs w:val="20"/>
          <w:color w:val="auto"/>
        </w:rPr>
      </w:pPr>
    </w:p>
    <w:p>
      <w:pPr>
        <w:ind w:left="200" w:hanging="196"/>
        <w:spacing w:after="0"/>
        <w:tabs>
          <w:tab w:leader="none" w:pos="200" w:val="left"/>
        </w:tabs>
        <w:numPr>
          <w:ilvl w:val="0"/>
          <w:numId w:val="9"/>
        </w:numPr>
        <w:rPr>
          <w:rFonts w:ascii="Arial" w:cs="Arial" w:eastAsia="Arial" w:hAnsi="Arial"/>
          <w:sz w:val="18"/>
          <w:szCs w:val="18"/>
          <w:color w:val="074A75"/>
        </w:rPr>
      </w:pPr>
      <w:r>
        <w:rPr>
          <w:rFonts w:ascii="Arial" w:cs="Arial" w:eastAsia="Arial" w:hAnsi="Arial"/>
          <w:sz w:val="18"/>
          <w:szCs w:val="18"/>
          <w:color w:val="auto"/>
        </w:rPr>
        <w:t>Oversight of key issues</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pleased to report that your Board has been diligently focused on overseeing key issues that are critical to the success and sustainability of our institution. One such area is Artificial Intelligence (AI), which is revolutionizing the world around us. While the full impact of AI on our business remains to be seen, we recognize its potential to transform every aspect of our operations. To capitalize on this and other groundbreaking technological advances, we are making strategic investments in resources and expertise, positioning the Firm for success in a rapidly changing competitive landscape. Concurrently, we are taking steps to prevent unintended misuse of AI and to mitigate potential cybersecurity risks.</w:t>
      </w:r>
    </w:p>
    <w:p>
      <w:pPr>
        <w:spacing w:after="0" w:line="8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addition, the Board is actively overseeing the Firm's efforts in addressing climate change and promoting diversity, equity, and inclusion (DEI). As a global financial institution, we play a crucial role in supporting our clients' decarbonization strategies and helping to address the broader challenges of transitioning to a low-carbon economy. We are committed to making informed decisions based on the best interests of our Firm and clients, rather than adhering to simplistic statements or arbitrary rules. Furthermore, we firmly believe in the value of DEI, both as a moral imperative and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528320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60" w:space="380"/>
            <w:col w:w="5500"/>
          </w:cols>
          <w:pgMar w:left="320" w:top="15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strategic driver of success. By fostering a diverse and inclusive workforce, we enable innovation, smarter decision-making, and better financial results for our business and the economy as a whole. We continue to work closely with management to promote equal treatment, opportunity and access throughout our organization.</w:t>
      </w:r>
    </w:p>
    <w:p>
      <w:pPr>
        <w:spacing w:after="0" w:line="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company’s success is built upon the efforts of thousands of employees, our superb senior management team and our outstanding Board members. And it is with a heavy heart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remember one such Board member, our colleague and friend, Jim Crown, who served as a member of our Board of Directors from 2004 until his unexpected passing last year. His wisdom and spirit are profoundly missed.</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look forward to continuing to deliver value to our customers, shareholders and stakeholders while remaining firm in our business principles. On behalf of the entire Board, we are grateful for your support of the Board and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312420</wp:posOffset>
            </wp:positionV>
            <wp:extent cx="1680210"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21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James Dimon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2091690"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169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Stephen B. Burke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842010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560"/>
            <w:col w:w="5380"/>
          </w:cols>
          <w:pgMar w:left="320" w:top="157" w:right="4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43"/>
          <w:szCs w:val="43"/>
          <w:color w:val="074A75"/>
        </w:rPr>
        <w:t>Notice of 2024 Annual Meeting of Shareholders and Proxy Statement</w:t>
      </w:r>
    </w:p>
    <w:p>
      <w:pPr>
        <w:sectPr>
          <w:pgSz w:w="11900" w:h="16838" w:orient="portrait"/>
          <w:cols w:equalWidth="0" w:num="1">
            <w:col w:w="11140"/>
          </w:cols>
          <w:pgMar w:left="320" w:top="157" w:right="439" w:bottom="1440" w:gutter="0" w:footer="0" w:header="0"/>
        </w:sect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DATE</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TIME</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RECORD DATE</w:t>
      </w:r>
    </w:p>
    <w:p>
      <w:pPr>
        <w:spacing w:after="0" w:line="169" w:lineRule="exact"/>
        <w:rPr>
          <w:sz w:val="20"/>
          <w:szCs w:val="20"/>
          <w:color w:val="auto"/>
        </w:rPr>
      </w:pPr>
    </w:p>
    <w:p>
      <w:pPr>
        <w:jc w:val="right"/>
        <w:ind w:left="240"/>
        <w:spacing w:after="0" w:line="367" w:lineRule="auto"/>
        <w:rPr>
          <w:sz w:val="20"/>
          <w:szCs w:val="20"/>
          <w:color w:val="auto"/>
        </w:rPr>
      </w:pPr>
      <w:r>
        <w:rPr>
          <w:rFonts w:ascii="Arial" w:cs="Arial" w:eastAsia="Arial" w:hAnsi="Arial"/>
          <w:sz w:val="17"/>
          <w:szCs w:val="17"/>
          <w:color w:val="auto"/>
        </w:rPr>
        <w:t>MATTERS TO BE VOTED 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Tuesday, May 21, 2024</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10:00 a.m. Eastern Time</w:t>
      </w:r>
    </w:p>
    <w:p>
      <w:pPr>
        <w:spacing w:after="0" w:line="18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2024 Annual Meeting will be held in a virtual meeting format, via the Internet. If you plan to participate in the virtual meeting, please see “Information about the annual shareholder meeting.” Shareholders will be able to attend, vote and submit questions (both before, and for a portion of, the meeting) via the Internet and will be able to examine the shareholder list before the meeting. Shareholders may participate online by logging in at www.virtualshareholdermeeting.com/JPM2024.</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We encourage you to submit your proxy prior to the annual meeting.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March 22, 2024</w:t>
      </w:r>
    </w:p>
    <w:p>
      <w:pPr>
        <w:spacing w:after="0" w:line="183" w:lineRule="exact"/>
        <w:rPr>
          <w:sz w:val="20"/>
          <w:szCs w:val="20"/>
          <w:color w:val="auto"/>
        </w:rPr>
      </w:pPr>
    </w:p>
    <w:p>
      <w:pPr>
        <w:ind w:left="200" w:hanging="198"/>
        <w:spacing w:after="0"/>
        <w:tabs>
          <w:tab w:leader="none" w:pos="200" w:val="left"/>
        </w:tabs>
        <w:numPr>
          <w:ilvl w:val="0"/>
          <w:numId w:val="10"/>
        </w:numPr>
        <w:rPr>
          <w:rFonts w:ascii="Arial" w:cs="Arial" w:eastAsia="Arial" w:hAnsi="Arial"/>
          <w:sz w:val="18"/>
          <w:szCs w:val="18"/>
          <w:color w:val="074A75"/>
        </w:rPr>
      </w:pPr>
      <w:r>
        <w:rPr>
          <w:rFonts w:ascii="Arial" w:cs="Arial" w:eastAsia="Arial" w:hAnsi="Arial"/>
          <w:sz w:val="17"/>
          <w:szCs w:val="17"/>
          <w:color w:val="auto"/>
        </w:rPr>
        <w:t>Election of directors</w:t>
      </w:r>
    </w:p>
    <w:p>
      <w:pPr>
        <w:spacing w:after="0" w:line="117" w:lineRule="exact"/>
        <w:rPr>
          <w:rFonts w:ascii="Arial" w:cs="Arial" w:eastAsia="Arial" w:hAnsi="Arial"/>
          <w:sz w:val="18"/>
          <w:szCs w:val="18"/>
          <w:color w:val="074A75"/>
        </w:rPr>
      </w:pPr>
    </w:p>
    <w:p>
      <w:pPr>
        <w:ind w:left="200" w:hanging="198"/>
        <w:spacing w:after="0"/>
        <w:tabs>
          <w:tab w:leader="none" w:pos="200" w:val="left"/>
        </w:tabs>
        <w:numPr>
          <w:ilvl w:val="0"/>
          <w:numId w:val="10"/>
        </w:numPr>
        <w:rPr>
          <w:rFonts w:ascii="Arial" w:cs="Arial" w:eastAsia="Arial" w:hAnsi="Arial"/>
          <w:sz w:val="17"/>
          <w:szCs w:val="17"/>
          <w:color w:val="104C98"/>
        </w:rPr>
      </w:pPr>
      <w:r>
        <w:rPr>
          <w:rFonts w:ascii="Arial" w:cs="Arial" w:eastAsia="Arial" w:hAnsi="Arial"/>
          <w:sz w:val="17"/>
          <w:szCs w:val="17"/>
          <w:color w:val="auto"/>
        </w:rPr>
        <w:t>Advisory resolution to approve executive compensation</w:t>
      </w:r>
    </w:p>
    <w:p>
      <w:pPr>
        <w:spacing w:after="0" w:line="88" w:lineRule="exact"/>
        <w:rPr>
          <w:rFonts w:ascii="Arial" w:cs="Arial" w:eastAsia="Arial" w:hAnsi="Arial"/>
          <w:sz w:val="17"/>
          <w:szCs w:val="17"/>
          <w:color w:val="104C98"/>
        </w:rPr>
      </w:pPr>
    </w:p>
    <w:p>
      <w:pPr>
        <w:ind w:left="200" w:hanging="198"/>
        <w:spacing w:after="0"/>
        <w:tabs>
          <w:tab w:leader="none" w:pos="200" w:val="left"/>
        </w:tabs>
        <w:numPr>
          <w:ilvl w:val="0"/>
          <w:numId w:val="10"/>
        </w:numPr>
        <w:rPr>
          <w:rFonts w:ascii="Arial" w:cs="Arial" w:eastAsia="Arial" w:hAnsi="Arial"/>
          <w:sz w:val="17"/>
          <w:szCs w:val="17"/>
          <w:color w:val="104C98"/>
        </w:rPr>
      </w:pPr>
      <w:r>
        <w:rPr>
          <w:rFonts w:ascii="Arial" w:cs="Arial" w:eastAsia="Arial" w:hAnsi="Arial"/>
          <w:sz w:val="17"/>
          <w:szCs w:val="17"/>
          <w:color w:val="auto"/>
        </w:rPr>
        <w:t>Approval of amended and restated long-term incentive plan effective May 21, 2024</w:t>
      </w:r>
    </w:p>
    <w:p>
      <w:pPr>
        <w:spacing w:after="0" w:line="74" w:lineRule="exact"/>
        <w:rPr>
          <w:rFonts w:ascii="Arial" w:cs="Arial" w:eastAsia="Arial" w:hAnsi="Arial"/>
          <w:sz w:val="17"/>
          <w:szCs w:val="17"/>
          <w:color w:val="104C98"/>
        </w:rPr>
      </w:pPr>
    </w:p>
    <w:p>
      <w:pPr>
        <w:ind w:left="200" w:hanging="198"/>
        <w:spacing w:after="0"/>
        <w:tabs>
          <w:tab w:leader="none" w:pos="200" w:val="left"/>
        </w:tabs>
        <w:numPr>
          <w:ilvl w:val="0"/>
          <w:numId w:val="10"/>
        </w:numPr>
        <w:rPr>
          <w:rFonts w:ascii="Arial" w:cs="Arial" w:eastAsia="Arial" w:hAnsi="Arial"/>
          <w:sz w:val="17"/>
          <w:szCs w:val="17"/>
          <w:color w:val="074A75"/>
        </w:rPr>
      </w:pPr>
      <w:r>
        <w:rPr>
          <w:rFonts w:ascii="Arial" w:cs="Arial" w:eastAsia="Arial" w:hAnsi="Arial"/>
          <w:sz w:val="17"/>
          <w:szCs w:val="17"/>
          <w:color w:val="auto"/>
        </w:rPr>
        <w:t>Ratification of PricewaterhouseCoopers LLP as our independent registered public accounting firm for 2024</w:t>
      </w:r>
    </w:p>
    <w:p>
      <w:pPr>
        <w:spacing w:after="0" w:line="88" w:lineRule="exact"/>
        <w:rPr>
          <w:rFonts w:ascii="Arial" w:cs="Arial" w:eastAsia="Arial" w:hAnsi="Arial"/>
          <w:sz w:val="17"/>
          <w:szCs w:val="17"/>
          <w:color w:val="074A75"/>
        </w:rPr>
      </w:pPr>
    </w:p>
    <w:p>
      <w:pPr>
        <w:ind w:left="200" w:hanging="198"/>
        <w:spacing w:after="0"/>
        <w:tabs>
          <w:tab w:leader="none" w:pos="200" w:val="left"/>
        </w:tabs>
        <w:numPr>
          <w:ilvl w:val="0"/>
          <w:numId w:val="10"/>
        </w:numPr>
        <w:rPr>
          <w:rFonts w:ascii="Arial" w:cs="Arial" w:eastAsia="Arial" w:hAnsi="Arial"/>
          <w:sz w:val="17"/>
          <w:szCs w:val="17"/>
          <w:color w:val="074A75"/>
        </w:rPr>
      </w:pPr>
      <w:r>
        <w:rPr>
          <w:rFonts w:ascii="Arial" w:cs="Arial" w:eastAsia="Arial" w:hAnsi="Arial"/>
          <w:sz w:val="17"/>
          <w:szCs w:val="17"/>
          <w:color w:val="auto"/>
        </w:rPr>
        <w:t>Shareholder proposals, if they are properly introduced at the meeting</w:t>
      </w:r>
    </w:p>
    <w:p>
      <w:pPr>
        <w:spacing w:after="0" w:line="74" w:lineRule="exact"/>
        <w:rPr>
          <w:rFonts w:ascii="Arial" w:cs="Arial" w:eastAsia="Arial" w:hAnsi="Arial"/>
          <w:sz w:val="17"/>
          <w:szCs w:val="17"/>
          <w:color w:val="074A75"/>
        </w:rPr>
      </w:pPr>
    </w:p>
    <w:p>
      <w:pPr>
        <w:ind w:left="200" w:hanging="198"/>
        <w:spacing w:after="0"/>
        <w:tabs>
          <w:tab w:leader="none" w:pos="200" w:val="left"/>
        </w:tabs>
        <w:numPr>
          <w:ilvl w:val="0"/>
          <w:numId w:val="10"/>
        </w:numPr>
        <w:rPr>
          <w:rFonts w:ascii="Arial" w:cs="Arial" w:eastAsia="Arial" w:hAnsi="Arial"/>
          <w:sz w:val="17"/>
          <w:szCs w:val="17"/>
          <w:color w:val="074A75"/>
        </w:rPr>
      </w:pPr>
      <w:r>
        <w:rPr>
          <w:rFonts w:ascii="Arial" w:cs="Arial" w:eastAsia="Arial" w:hAnsi="Arial"/>
          <w:sz w:val="17"/>
          <w:szCs w:val="17"/>
          <w:color w:val="auto"/>
        </w:rPr>
        <w:t>Any other matters that may properly be brought before the meeting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John H. Tribolati</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52705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160"/>
            <w:col w:w="9380"/>
          </w:cols>
          <w:pgMar w:left="320" w:top="157" w:right="439" w:bottom="1440" w:gutter="0" w:footer="0" w:header="0"/>
          <w:type w:val="continuous"/>
        </w:sectPr>
      </w:pP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074A75"/>
        </w:rPr>
        <w:t>YOUR VOTE IS IMPORTANT TO US. PLEASE VOTE PROMPTLY.</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JPMorgan Chase &amp; Co. uses the Securities and Exchange Commission (“SEC”) rule permitting companies to furnish proxy materials to their shareholders via the Internet. In accordance with this rule, on or about April 8, 2024, we sent to shareholders of record at the close of business on March 22, 2024, a Notice of Internet Availability of Proxy Materials (“Notice”), which includes instructions on how to access our 2024 Proxy Statement and 2023 Annual Report online, and how to vote online for the 2024 Annual Shareholder Meeting.</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If you received a Notice and would like to receive a printed copy of our proxy materials, please follow the instructions for requesting such materials included in the Notice.</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 be admitted to the annual meeting at www.virtualshareholdermeeting.com/JPM2024, you must enter the control number found on your proxy card, voting instruction form or Notice you previously received. See “Information about the annual shareholder meeting” on page 107. At the virtual meeting site, you may follow the instructions to vote and ask questions before or during the meeting.</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If you hold your shares through a broker, your shares will not be voted unless (i) you provide voting instructions or (ii) the matter is one for which brokers have discretionary authority to vote. Of the matters to be voted on at the annual meeting, the only one for which brokers have discretionary authority to vote is Proposal 4, the ratification of the independent registered public accounting firm. See “What is the voting requirement to approve each of the proposals?” on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57"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ectPr>
          <w:pgSz w:w="11900" w:h="16838" w:orient="portrait"/>
          <w:cols w:equalWidth="0" w:num="1">
            <w:col w:w="11200"/>
          </w:cols>
          <w:pgMar w:left="320" w:top="15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42"/>
          <w:szCs w:val="42"/>
          <w:color w:val="074A75"/>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074A75"/>
        </w:rPr>
        <w:t>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-184150</wp:posOffset>
            </wp:positionV>
            <wp:extent cx="37719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719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40"/>
          </w:cols>
          <w:pgMar w:left="320" w:top="157" w:right="379" w:bottom="1440" w:gutter="0" w:footer="0" w:header="0"/>
          <w:type w:val="continuous"/>
        </w:sect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40" w:type="dxa"/>
            <w:vAlign w:val="bottom"/>
          </w:tcPr>
          <w:p>
            <w:pPr>
              <w:spacing w:after="0"/>
              <w:rPr>
                <w:sz w:val="20"/>
                <w:szCs w:val="20"/>
                <w:color w:val="auto"/>
              </w:rPr>
            </w:pPr>
            <w:r>
              <w:rPr>
                <w:rFonts w:ascii="Arial" w:cs="Arial" w:eastAsia="Arial" w:hAnsi="Arial"/>
                <w:sz w:val="16"/>
                <w:szCs w:val="16"/>
                <w:b w:val="1"/>
                <w:bCs w:val="1"/>
                <w:color w:val="074A75"/>
              </w:rPr>
              <w:t>2024 Proxy Summary</w:t>
            </w:r>
          </w:p>
        </w:tc>
        <w:tc>
          <w:tcPr>
            <w:tcW w:w="190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69"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074A7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41185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11855" cy="17145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Proposal 1: Election of directors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400" w:type="dxa"/>
            <w:vAlign w:val="bottom"/>
          </w:tcPr>
          <w:p>
            <w:pPr>
              <w:spacing w:after="0"/>
              <w:rPr>
                <w:sz w:val="20"/>
                <w:szCs w:val="20"/>
                <w:color w:val="auto"/>
              </w:rPr>
            </w:pPr>
            <w:r>
              <w:rPr>
                <w:rFonts w:ascii="Arial" w:cs="Arial" w:eastAsia="Arial" w:hAnsi="Arial"/>
                <w:sz w:val="16"/>
                <w:szCs w:val="16"/>
                <w:color w:val="auto"/>
              </w:rPr>
              <w:t>Key factors for shareholder consideration</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Director nominees</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Board governance</w:t>
            </w: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Board oversight</w:t>
            </w: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Board engagement</w:t>
            </w: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Director compensation</w:t>
            </w: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3"/>
        </w:trPr>
        <w:tc>
          <w:tcPr>
            <w:tcW w:w="4400" w:type="dxa"/>
            <w:vAlign w:val="bottom"/>
          </w:tcPr>
          <w:p>
            <w:pPr>
              <w:spacing w:after="0"/>
              <w:rPr>
                <w:sz w:val="20"/>
                <w:szCs w:val="20"/>
                <w:color w:val="auto"/>
              </w:rPr>
            </w:pPr>
            <w:r>
              <w:rPr>
                <w:rFonts w:ascii="Arial" w:cs="Arial" w:eastAsia="Arial" w:hAnsi="Arial"/>
                <w:sz w:val="16"/>
                <w:szCs w:val="16"/>
                <w:color w:val="auto"/>
              </w:rPr>
              <w:t>Other corporate governance policies and practices</w:t>
            </w: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r>
    </w:tbl>
    <w:p>
      <w:pPr>
        <w:spacing w:after="0" w:line="77"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074A7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411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Proposal 2: Advisory resolution to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-98425</wp:posOffset>
            </wp:positionV>
            <wp:extent cx="16319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60" w:type="dxa"/>
            <w:vAlign w:val="bottom"/>
            <w:gridSpan w:val="2"/>
          </w:tcPr>
          <w:p>
            <w:pPr>
              <w:ind w:left="260"/>
              <w:spacing w:after="0"/>
              <w:rPr>
                <w:sz w:val="20"/>
                <w:szCs w:val="20"/>
                <w:color w:val="auto"/>
              </w:rPr>
            </w:pPr>
            <w:r>
              <w:rPr>
                <w:rFonts w:ascii="Arial" w:cs="Arial" w:eastAsia="Arial" w:hAnsi="Arial"/>
                <w:sz w:val="16"/>
                <w:szCs w:val="16"/>
                <w:b w:val="1"/>
                <w:bCs w:val="1"/>
                <w:color w:val="074A75"/>
              </w:rPr>
              <w:t>executive compensation</w:t>
            </w:r>
          </w:p>
        </w:tc>
        <w:tc>
          <w:tcPr>
            <w:tcW w:w="480" w:type="dxa"/>
            <w:vAlign w:val="bottom"/>
          </w:tcPr>
          <w:p>
            <w:pPr>
              <w:spacing w:after="0"/>
              <w:rPr>
                <w:sz w:val="19"/>
                <w:szCs w:val="19"/>
                <w:color w:val="auto"/>
              </w:rPr>
            </w:pPr>
          </w:p>
        </w:tc>
      </w:tr>
      <w:tr>
        <w:trPr>
          <w:trHeight w:val="233"/>
        </w:trPr>
        <w:tc>
          <w:tcPr>
            <w:tcW w:w="4860" w:type="dxa"/>
            <w:vAlign w:val="bottom"/>
            <w:gridSpan w:val="2"/>
          </w:tcPr>
          <w:p>
            <w:pPr>
              <w:spacing w:after="0"/>
              <w:rPr>
                <w:sz w:val="20"/>
                <w:szCs w:val="20"/>
                <w:color w:val="auto"/>
              </w:rPr>
            </w:pPr>
            <w:r>
              <w:rPr>
                <w:rFonts w:ascii="Arial" w:cs="Arial" w:eastAsia="Arial" w:hAnsi="Arial"/>
                <w:sz w:val="16"/>
                <w:szCs w:val="16"/>
                <w:color w:val="auto"/>
              </w:rPr>
              <w:t>Compensation Discussion and Analysis</w:t>
            </w: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3"/>
        </w:trPr>
        <w:tc>
          <w:tcPr>
            <w:tcW w:w="4860" w:type="dxa"/>
            <w:vAlign w:val="bottom"/>
            <w:gridSpan w:val="2"/>
          </w:tcPr>
          <w:p>
            <w:pPr>
              <w:ind w:left="240"/>
              <w:spacing w:after="0"/>
              <w:rPr>
                <w:sz w:val="20"/>
                <w:szCs w:val="20"/>
                <w:color w:val="auto"/>
              </w:rPr>
            </w:pPr>
            <w:r>
              <w:rPr>
                <w:rFonts w:ascii="Arial" w:cs="Arial" w:eastAsia="Arial" w:hAnsi="Arial"/>
                <w:sz w:val="16"/>
                <w:szCs w:val="16"/>
                <w:color w:val="auto"/>
              </w:rPr>
              <w:t>Introduction &amp; Overview</w:t>
            </w: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1.</w:t>
            </w:r>
          </w:p>
        </w:tc>
        <w:tc>
          <w:tcPr>
            <w:tcW w:w="4360" w:type="dxa"/>
            <w:vAlign w:val="bottom"/>
          </w:tcPr>
          <w:p>
            <w:pPr>
              <w:ind w:left="140"/>
              <w:spacing w:after="0"/>
              <w:rPr>
                <w:sz w:val="20"/>
                <w:szCs w:val="20"/>
                <w:color w:val="auto"/>
              </w:rPr>
            </w:pPr>
            <w:r>
              <w:rPr>
                <w:rFonts w:ascii="Arial" w:cs="Arial" w:eastAsia="Arial" w:hAnsi="Arial"/>
                <w:sz w:val="16"/>
                <w:szCs w:val="16"/>
                <w:color w:val="auto"/>
              </w:rPr>
              <w:t>How we think about pay decisions</w:t>
            </w:r>
          </w:p>
        </w:tc>
        <w:tc>
          <w:tcPr>
            <w:tcW w:w="4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2.</w:t>
            </w:r>
          </w:p>
        </w:tc>
        <w:tc>
          <w:tcPr>
            <w:tcW w:w="4360" w:type="dxa"/>
            <w:vAlign w:val="bottom"/>
          </w:tcPr>
          <w:p>
            <w:pPr>
              <w:ind w:left="140"/>
              <w:spacing w:after="0"/>
              <w:rPr>
                <w:sz w:val="20"/>
                <w:szCs w:val="20"/>
                <w:color w:val="auto"/>
              </w:rPr>
            </w:pPr>
            <w:r>
              <w:rPr>
                <w:rFonts w:ascii="Arial" w:cs="Arial" w:eastAsia="Arial" w:hAnsi="Arial"/>
                <w:sz w:val="16"/>
                <w:szCs w:val="16"/>
                <w:color w:val="auto"/>
              </w:rPr>
              <w:t>How we performed against our business strategy</w:t>
            </w:r>
          </w:p>
        </w:tc>
        <w:tc>
          <w:tcPr>
            <w:tcW w:w="4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3.</w:t>
            </w:r>
          </w:p>
        </w:tc>
        <w:tc>
          <w:tcPr>
            <w:tcW w:w="4360" w:type="dxa"/>
            <w:vAlign w:val="bottom"/>
          </w:tcPr>
          <w:p>
            <w:pPr>
              <w:ind w:left="140"/>
              <w:spacing w:after="0"/>
              <w:rPr>
                <w:sz w:val="20"/>
                <w:szCs w:val="20"/>
                <w:color w:val="auto"/>
              </w:rPr>
            </w:pPr>
            <w:r>
              <w:rPr>
                <w:rFonts w:ascii="Arial" w:cs="Arial" w:eastAsia="Arial" w:hAnsi="Arial"/>
                <w:sz w:val="16"/>
                <w:szCs w:val="16"/>
                <w:color w:val="auto"/>
              </w:rPr>
              <w:t>How performance determined pay in 2023</w:t>
            </w:r>
          </w:p>
        </w:tc>
        <w:tc>
          <w:tcPr>
            <w:tcW w:w="4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Compensation &amp; Management Development Committee report</w:t>
            </w:r>
          </w:p>
        </w:tc>
        <w:tc>
          <w:tcPr>
            <w:tcW w:w="4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Executive compensation tables</w:t>
            </w:r>
          </w:p>
        </w:tc>
        <w:tc>
          <w:tcPr>
            <w:tcW w:w="4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I.</w:t>
            </w:r>
          </w:p>
        </w:tc>
        <w:tc>
          <w:tcPr>
            <w:tcW w:w="4360" w:type="dxa"/>
            <w:vAlign w:val="bottom"/>
          </w:tcPr>
          <w:p>
            <w:pPr>
              <w:ind w:left="200"/>
              <w:spacing w:after="0"/>
              <w:rPr>
                <w:sz w:val="20"/>
                <w:szCs w:val="20"/>
                <w:color w:val="auto"/>
              </w:rPr>
            </w:pPr>
            <w:r>
              <w:rPr>
                <w:rFonts w:ascii="Arial" w:cs="Arial" w:eastAsia="Arial" w:hAnsi="Arial"/>
                <w:sz w:val="16"/>
                <w:szCs w:val="16"/>
                <w:color w:val="auto"/>
              </w:rPr>
              <w:t>Summary compensation table (SCT)</w:t>
            </w:r>
          </w:p>
        </w:tc>
        <w:tc>
          <w:tcPr>
            <w:tcW w:w="4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II.   2023 Grants of plan-based awards</w:t>
            </w:r>
          </w:p>
        </w:tc>
        <w:tc>
          <w:tcPr>
            <w:tcW w:w="4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III.  Outstanding equity awards at fiscal year-end 2023</w:t>
            </w:r>
          </w:p>
        </w:tc>
        <w:tc>
          <w:tcPr>
            <w:tcW w:w="4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IV.</w:t>
            </w:r>
          </w:p>
        </w:tc>
        <w:tc>
          <w:tcPr>
            <w:tcW w:w="4360" w:type="dxa"/>
            <w:vAlign w:val="bottom"/>
          </w:tcPr>
          <w:p>
            <w:pPr>
              <w:ind w:left="120"/>
              <w:spacing w:after="0"/>
              <w:rPr>
                <w:sz w:val="20"/>
                <w:szCs w:val="20"/>
                <w:color w:val="auto"/>
              </w:rPr>
            </w:pPr>
            <w:r>
              <w:rPr>
                <w:rFonts w:ascii="Arial" w:cs="Arial" w:eastAsia="Arial" w:hAnsi="Arial"/>
                <w:sz w:val="16"/>
                <w:szCs w:val="16"/>
                <w:color w:val="auto"/>
              </w:rPr>
              <w:t>2023 Option exercises and stock vested table</w:t>
            </w:r>
          </w:p>
        </w:tc>
        <w:tc>
          <w:tcPr>
            <w:tcW w:w="4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V.</w:t>
            </w:r>
          </w:p>
        </w:tc>
        <w:tc>
          <w:tcPr>
            <w:tcW w:w="4360" w:type="dxa"/>
            <w:vAlign w:val="bottom"/>
          </w:tcPr>
          <w:p>
            <w:pPr>
              <w:ind w:left="140"/>
              <w:spacing w:after="0"/>
              <w:rPr>
                <w:sz w:val="20"/>
                <w:szCs w:val="20"/>
                <w:color w:val="auto"/>
              </w:rPr>
            </w:pPr>
            <w:r>
              <w:rPr>
                <w:rFonts w:ascii="Arial" w:cs="Arial" w:eastAsia="Arial" w:hAnsi="Arial"/>
                <w:sz w:val="16"/>
                <w:szCs w:val="16"/>
                <w:color w:val="auto"/>
              </w:rPr>
              <w:t>2023 Pension benefits</w:t>
            </w:r>
          </w:p>
        </w:tc>
        <w:tc>
          <w:tcPr>
            <w:tcW w:w="4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VI.</w:t>
            </w:r>
          </w:p>
        </w:tc>
        <w:tc>
          <w:tcPr>
            <w:tcW w:w="4360" w:type="dxa"/>
            <w:vAlign w:val="bottom"/>
          </w:tcPr>
          <w:p>
            <w:pPr>
              <w:ind w:left="120"/>
              <w:spacing w:after="0"/>
              <w:rPr>
                <w:sz w:val="20"/>
                <w:szCs w:val="20"/>
                <w:color w:val="auto"/>
              </w:rPr>
            </w:pPr>
            <w:r>
              <w:rPr>
                <w:rFonts w:ascii="Arial" w:cs="Arial" w:eastAsia="Arial" w:hAnsi="Arial"/>
                <w:sz w:val="16"/>
                <w:szCs w:val="16"/>
                <w:color w:val="auto"/>
              </w:rPr>
              <w:t>2023 Non-qualified deferred compensation</w:t>
            </w:r>
          </w:p>
        </w:tc>
        <w:tc>
          <w:tcPr>
            <w:tcW w:w="4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7"/>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VII. 2023 Potential payments upon termination or change in</w:t>
            </w:r>
          </w:p>
        </w:tc>
        <w:tc>
          <w:tcPr>
            <w:tcW w:w="480" w:type="dxa"/>
            <w:vAlign w:val="bottom"/>
          </w:tcPr>
          <w:p>
            <w:pPr>
              <w:spacing w:after="0"/>
              <w:rPr>
                <w:sz w:val="18"/>
                <w:szCs w:val="18"/>
                <w:color w:val="auto"/>
              </w:rPr>
            </w:pPr>
          </w:p>
        </w:tc>
      </w:tr>
      <w:tr>
        <w:trPr>
          <w:trHeight w:val="228"/>
        </w:trPr>
        <w:tc>
          <w:tcPr>
            <w:tcW w:w="5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6"/>
                <w:szCs w:val="16"/>
                <w:color w:val="auto"/>
              </w:rPr>
              <w:t>control</w:t>
            </w:r>
          </w:p>
        </w:tc>
        <w:tc>
          <w:tcPr>
            <w:tcW w:w="4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Pay versus performance disclosure</w:t>
            </w:r>
          </w:p>
        </w:tc>
        <w:tc>
          <w:tcPr>
            <w:tcW w:w="4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CEO pay ratio disclosure</w:t>
            </w:r>
          </w:p>
        </w:tc>
        <w:tc>
          <w:tcPr>
            <w:tcW w:w="4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43"/>
        </w:trPr>
        <w:tc>
          <w:tcPr>
            <w:tcW w:w="4860" w:type="dxa"/>
            <w:vAlign w:val="bottom"/>
            <w:gridSpan w:val="2"/>
          </w:tcPr>
          <w:p>
            <w:pPr>
              <w:spacing w:after="0"/>
              <w:rPr>
                <w:sz w:val="20"/>
                <w:szCs w:val="20"/>
                <w:color w:val="auto"/>
              </w:rPr>
            </w:pPr>
            <w:r>
              <w:rPr>
                <w:rFonts w:ascii="Arial" w:cs="Arial" w:eastAsia="Arial" w:hAnsi="Arial"/>
                <w:sz w:val="16"/>
                <w:szCs w:val="16"/>
                <w:color w:val="auto"/>
              </w:rPr>
              <w:t>Security ownership of directors and executive officers</w:t>
            </w:r>
          </w:p>
        </w:tc>
        <w:tc>
          <w:tcPr>
            <w:tcW w:w="480" w:type="dxa"/>
            <w:vAlign w:val="bottom"/>
          </w:tcPr>
          <w:p>
            <w:pPr>
              <w:jc w:val="right"/>
              <w:spacing w:after="0"/>
              <w:rPr>
                <w:sz w:val="20"/>
                <w:szCs w:val="20"/>
                <w:color w:val="auto"/>
              </w:rPr>
            </w:pPr>
            <w:r>
              <w:rPr>
                <w:rFonts w:ascii="Arial" w:cs="Arial" w:eastAsia="Arial" w:hAnsi="Arial"/>
                <w:sz w:val="16"/>
                <w:szCs w:val="16"/>
                <w:color w:val="auto"/>
              </w:rPr>
              <w:t>74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0" w:right="1060" w:hanging="258"/>
        <w:spacing w:after="0" w:line="296" w:lineRule="auto"/>
        <w:rPr>
          <w:sz w:val="20"/>
          <w:szCs w:val="20"/>
          <w:color w:val="auto"/>
        </w:rPr>
      </w:pPr>
      <w:r>
        <w:rPr>
          <w:rFonts w:ascii="Arial" w:cs="Arial" w:eastAsia="Arial" w:hAnsi="Arial"/>
          <w:sz w:val="16"/>
          <w:szCs w:val="16"/>
          <w:b w:val="1"/>
          <w:bCs w:val="1"/>
          <w:color w:val="074A75"/>
        </w:rPr>
        <w:t>Proposal 3: Approval of amended and restated long-term incentive plan effective May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-304165</wp:posOffset>
            </wp:positionV>
            <wp:extent cx="34118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-269875</wp:posOffset>
            </wp:positionV>
            <wp:extent cx="16256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b w:val="1"/>
          <w:bCs w:val="1"/>
          <w:color w:val="074A75"/>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41910</wp:posOffset>
            </wp:positionV>
            <wp:extent cx="3411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Proposal 4: Ratification of independent registered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-98425</wp:posOffset>
            </wp:positionV>
            <wp:extent cx="16256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Pr>
          <w:p>
            <w:pPr>
              <w:ind w:left="260"/>
              <w:spacing w:after="0"/>
              <w:rPr>
                <w:sz w:val="20"/>
                <w:szCs w:val="20"/>
                <w:color w:val="auto"/>
              </w:rPr>
            </w:pPr>
            <w:r>
              <w:rPr>
                <w:rFonts w:ascii="Arial" w:cs="Arial" w:eastAsia="Arial" w:hAnsi="Arial"/>
                <w:sz w:val="16"/>
                <w:szCs w:val="16"/>
                <w:b w:val="1"/>
                <w:bCs w:val="1"/>
                <w:color w:val="074A75"/>
              </w:rPr>
              <w:t>accounting firm</w:t>
            </w:r>
          </w:p>
        </w:tc>
        <w:tc>
          <w:tcPr>
            <w:tcW w:w="1920" w:type="dxa"/>
            <w:vAlign w:val="bottom"/>
          </w:tcPr>
          <w:p>
            <w:pPr>
              <w:spacing w:after="0"/>
              <w:rPr>
                <w:sz w:val="19"/>
                <w:szCs w:val="19"/>
                <w:color w:val="auto"/>
              </w:rPr>
            </w:pPr>
          </w:p>
        </w:tc>
      </w:tr>
      <w:tr>
        <w:trPr>
          <w:trHeight w:val="232"/>
        </w:trPr>
        <w:tc>
          <w:tcPr>
            <w:tcW w:w="3420" w:type="dxa"/>
            <w:vAlign w:val="bottom"/>
          </w:tcPr>
          <w:p>
            <w:pPr>
              <w:spacing w:after="0"/>
              <w:rPr>
                <w:sz w:val="20"/>
                <w:szCs w:val="20"/>
                <w:color w:val="auto"/>
              </w:rPr>
            </w:pPr>
            <w:r>
              <w:rPr>
                <w:rFonts w:ascii="Arial" w:cs="Arial" w:eastAsia="Arial" w:hAnsi="Arial"/>
                <w:sz w:val="16"/>
                <w:szCs w:val="16"/>
                <w:color w:val="auto"/>
              </w:rPr>
              <w:t>Audit Committee report</w:t>
            </w:r>
          </w:p>
        </w:tc>
        <w:tc>
          <w:tcPr>
            <w:tcW w:w="1920" w:type="dxa"/>
            <w:vAlign w:val="bottom"/>
          </w:tcPr>
          <w:p>
            <w:pPr>
              <w:jc w:val="right"/>
              <w:spacing w:after="0"/>
              <w:rPr>
                <w:sz w:val="20"/>
                <w:szCs w:val="20"/>
                <w:color w:val="auto"/>
              </w:rPr>
            </w:pPr>
            <w:r>
              <w:rPr>
                <w:rFonts w:ascii="Arial" w:cs="Arial" w:eastAsia="Arial" w:hAnsi="Arial"/>
                <w:sz w:val="16"/>
                <w:szCs w:val="16"/>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43815</wp:posOffset>
            </wp:positionV>
            <wp:extent cx="1714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23"/>
          <w:szCs w:val="23"/>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34118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Pr>
          <w:p>
            <w:pPr>
              <w:spacing w:after="0"/>
              <w:rPr>
                <w:sz w:val="20"/>
                <w:szCs w:val="20"/>
                <w:color w:val="auto"/>
              </w:rPr>
            </w:pPr>
            <w:r>
              <w:rPr>
                <w:rFonts w:ascii="Arial" w:cs="Arial" w:eastAsia="Arial" w:hAnsi="Arial"/>
                <w:sz w:val="16"/>
                <w:szCs w:val="16"/>
                <w:color w:val="auto"/>
              </w:rPr>
              <w:t>Introduction</w:t>
            </w: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51"/>
        </w:trPr>
        <w:tc>
          <w:tcPr>
            <w:tcW w:w="4500" w:type="dxa"/>
            <w:vAlign w:val="bottom"/>
          </w:tcPr>
          <w:p>
            <w:pPr>
              <w:spacing w:after="0"/>
              <w:rPr>
                <w:sz w:val="20"/>
                <w:szCs w:val="20"/>
                <w:color w:val="auto"/>
              </w:rPr>
            </w:pPr>
            <w:r>
              <w:rPr>
                <w:rFonts w:ascii="Arial" w:cs="Arial" w:eastAsia="Arial" w:hAnsi="Arial"/>
                <w:sz w:val="16"/>
                <w:szCs w:val="16"/>
                <w:b w:val="1"/>
                <w:bCs w:val="1"/>
                <w:color w:val="074A75"/>
              </w:rPr>
              <w:t>Proposals 5-11: Shareholder-submitted proposals</w:t>
            </w: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23"/>
          <w:szCs w:val="23"/>
          <w:b w:val="1"/>
          <w:bCs w:val="1"/>
          <w:color w:val="074A75"/>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41910</wp:posOffset>
            </wp:positionV>
            <wp:extent cx="34118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tcPr>
          <w:p>
            <w:pPr>
              <w:spacing w:after="0"/>
              <w:rPr>
                <w:sz w:val="20"/>
                <w:szCs w:val="20"/>
                <w:color w:val="auto"/>
              </w:rPr>
            </w:pPr>
            <w:r>
              <w:rPr>
                <w:rFonts w:ascii="Arial" w:cs="Arial" w:eastAsia="Arial" w:hAnsi="Arial"/>
                <w:sz w:val="16"/>
                <w:szCs w:val="16"/>
                <w:b w:val="1"/>
                <w:bCs w:val="1"/>
                <w:color w:val="074A75"/>
              </w:rPr>
              <w:t>Information About the Annual Shareholder Meeting</w:t>
            </w:r>
          </w:p>
        </w:tc>
        <w:tc>
          <w:tcPr>
            <w:tcW w:w="8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63"/>
        </w:trPr>
        <w:tc>
          <w:tcPr>
            <w:tcW w:w="4500" w:type="dxa"/>
            <w:vAlign w:val="bottom"/>
          </w:tcPr>
          <w:p>
            <w:pPr>
              <w:spacing w:after="0"/>
              <w:rPr>
                <w:sz w:val="20"/>
                <w:szCs w:val="20"/>
                <w:color w:val="auto"/>
              </w:rPr>
            </w:pPr>
            <w:r>
              <w:rPr>
                <w:rFonts w:ascii="Arial" w:cs="Arial" w:eastAsia="Arial" w:hAnsi="Arial"/>
                <w:sz w:val="16"/>
                <w:szCs w:val="16"/>
                <w:b w:val="1"/>
                <w:bCs w:val="1"/>
                <w:color w:val="074A75"/>
              </w:rPr>
              <w:t>Shareholder Proposals and Nominations for the</w:t>
            </w:r>
          </w:p>
        </w:tc>
        <w:tc>
          <w:tcPr>
            <w:tcW w:w="840" w:type="dxa"/>
            <w:vAlign w:val="bottom"/>
          </w:tcPr>
          <w:p>
            <w:pPr>
              <w:spacing w:after="0"/>
              <w:rPr>
                <w:sz w:val="22"/>
                <w:szCs w:val="22"/>
                <w:color w:val="auto"/>
              </w:rPr>
            </w:pPr>
          </w:p>
        </w:tc>
      </w:tr>
      <w:tr>
        <w:trPr>
          <w:trHeight w:val="228"/>
        </w:trPr>
        <w:tc>
          <w:tcPr>
            <w:tcW w:w="4500" w:type="dxa"/>
            <w:vAlign w:val="bottom"/>
          </w:tcPr>
          <w:p>
            <w:pPr>
              <w:ind w:left="260"/>
              <w:spacing w:after="0"/>
              <w:rPr>
                <w:sz w:val="20"/>
                <w:szCs w:val="20"/>
                <w:color w:val="auto"/>
              </w:rPr>
            </w:pPr>
            <w:r>
              <w:rPr>
                <w:rFonts w:ascii="Arial" w:cs="Arial" w:eastAsia="Arial" w:hAnsi="Arial"/>
                <w:sz w:val="16"/>
                <w:szCs w:val="16"/>
                <w:b w:val="1"/>
                <w:bCs w:val="1"/>
                <w:color w:val="074A75"/>
              </w:rPr>
              <w:t>2025 Annual Meeting</w:t>
            </w:r>
          </w:p>
        </w:tc>
        <w:tc>
          <w:tcPr>
            <w:tcW w:w="8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05"/>
        </w:trPr>
        <w:tc>
          <w:tcPr>
            <w:tcW w:w="4500" w:type="dxa"/>
            <w:vAlign w:val="bottom"/>
          </w:tcPr>
          <w:p>
            <w:pPr>
              <w:spacing w:after="0"/>
              <w:rPr>
                <w:sz w:val="20"/>
                <w:szCs w:val="20"/>
                <w:color w:val="auto"/>
              </w:rPr>
            </w:pPr>
            <w:r>
              <w:rPr>
                <w:rFonts w:ascii="Arial" w:cs="Arial" w:eastAsia="Arial" w:hAnsi="Arial"/>
                <w:sz w:val="16"/>
                <w:szCs w:val="16"/>
                <w:b w:val="1"/>
                <w:bCs w:val="1"/>
                <w:color w:val="074A75"/>
              </w:rPr>
              <w:t>Notes on Non-GAAP Financial Measures</w:t>
            </w:r>
          </w:p>
        </w:tc>
        <w:tc>
          <w:tcPr>
            <w:tcW w:w="8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43"/>
        </w:trPr>
        <w:tc>
          <w:tcPr>
            <w:tcW w:w="4500" w:type="dxa"/>
            <w:vAlign w:val="bottom"/>
          </w:tcPr>
          <w:p>
            <w:pPr>
              <w:spacing w:after="0"/>
              <w:rPr>
                <w:sz w:val="20"/>
                <w:szCs w:val="20"/>
                <w:color w:val="auto"/>
              </w:rPr>
            </w:pPr>
            <w:r>
              <w:rPr>
                <w:rFonts w:ascii="Arial" w:cs="Arial" w:eastAsia="Arial" w:hAnsi="Arial"/>
                <w:sz w:val="16"/>
                <w:szCs w:val="16"/>
                <w:b w:val="1"/>
                <w:bCs w:val="1"/>
                <w:color w:val="074A75"/>
              </w:rPr>
              <w:t>Appendix</w:t>
            </w:r>
          </w:p>
        </w:tc>
        <w:tc>
          <w:tcPr>
            <w:tcW w:w="8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43"/>
        </w:trPr>
        <w:tc>
          <w:tcPr>
            <w:tcW w:w="4500" w:type="dxa"/>
            <w:vAlign w:val="bottom"/>
          </w:tcPr>
          <w:p>
            <w:pPr>
              <w:spacing w:after="0"/>
              <w:rPr>
                <w:sz w:val="20"/>
                <w:szCs w:val="20"/>
                <w:color w:val="auto"/>
              </w:rPr>
            </w:pPr>
            <w:r>
              <w:rPr>
                <w:rFonts w:ascii="Arial" w:cs="Arial" w:eastAsia="Arial" w:hAnsi="Arial"/>
                <w:sz w:val="16"/>
                <w:szCs w:val="16"/>
                <w:b w:val="1"/>
                <w:bCs w:val="1"/>
                <w:color w:val="074A75"/>
              </w:rPr>
              <w:t>Glossary of Selected Terms and Acronyms</w:t>
            </w:r>
          </w:p>
        </w:tc>
        <w:tc>
          <w:tcPr>
            <w:tcW w:w="840" w:type="dxa"/>
            <w:vAlign w:val="bottom"/>
          </w:tcPr>
          <w:p>
            <w:pPr>
              <w:jc w:val="right"/>
              <w:spacing w:after="0"/>
              <w:rPr>
                <w:sz w:val="20"/>
                <w:szCs w:val="20"/>
                <w:color w:val="auto"/>
              </w:rPr>
            </w:pPr>
            <w:r>
              <w:rPr>
                <w:rFonts w:ascii="Arial" w:cs="Arial" w:eastAsia="Arial" w:hAnsi="Arial"/>
                <w:sz w:val="16"/>
                <w:szCs w:val="16"/>
                <w:color w:val="auto"/>
              </w:rPr>
              <w:t>121</w:t>
            </w:r>
          </w:p>
        </w:tc>
      </w:tr>
    </w:tbl>
    <w:p>
      <w:pPr>
        <w:spacing w:after="0" w:line="3040" w:lineRule="exact"/>
        <w:rPr>
          <w:sz w:val="20"/>
          <w:szCs w:val="20"/>
          <w:color w:val="auto"/>
        </w:rPr>
      </w:pPr>
    </w:p>
    <w:p>
      <w:pPr>
        <w:sectPr>
          <w:pgSz w:w="11900" w:h="16838" w:orient="portrait"/>
          <w:cols w:equalWidth="0" w:num="2">
            <w:col w:w="5360" w:space="400"/>
            <w:col w:w="5440"/>
          </w:cols>
          <w:pgMar w:left="320" w:top="157" w:right="379" w:bottom="1440" w:gutter="0" w:footer="0" w:header="0"/>
          <w:type w:val="continuous"/>
        </w:sectPr>
      </w:pP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This proxy statement contains forward-looking statements within the meaning of the Private Securities Litigation Reform Act of 1995. These statements can be identified by the fact that they do not relate strictly to historical or current facts. Forward-looking statements often use words such as “anticipate,” “target,” “expect,” “estimate,” “intend,” “plan,” “goal,” “believe” or other words of similar meaning. Forward-looking statements provide JPMorgan Chase &amp; Co.’s (“JPMorgan Chase” or the “Firm”) current expectations or forecasts of future events, circumstances, results or aspirations. All forward-looking statements are, by their nature, subject to risks and uncertainties, many of which are beyond the Firm’s control. JPMorgan Chase’s actual future results may differ materially from those set forth in its forward-looking statements. Certain of such risks and uncertainties are described in JPMorgan Chase’s Annual Report on Form 10-K for the year ended December 31, 2023 ("2023 Form 10-K"). Any forward-looking statements made by or on behalf of the Firm speak only as of the date they are made, and JPMorgan Chase does not undertake to update the forward-looking statements included in this proxy statement to reflect the impact of circumstances or events that may arise after the date the forward-looking statements were made.</w:t>
      </w:r>
    </w:p>
    <w:p>
      <w:pPr>
        <w:spacing w:after="0" w:line="77"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i w:val="1"/>
          <w:iCs w:val="1"/>
          <w:color w:val="auto"/>
        </w:rPr>
        <w:t>No reports, documents or websites that are cited or referred to in this proxy statement shall be deemed to form part of, or to be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2024 Proxy Summary</w:t>
      </w:r>
    </w:p>
    <w:p>
      <w:pPr>
        <w:spacing w:after="0" w:line="200" w:lineRule="exact"/>
        <w:rPr>
          <w:sz w:val="20"/>
          <w:szCs w:val="20"/>
          <w:color w:val="auto"/>
        </w:rPr>
      </w:pPr>
    </w:p>
    <w:p>
      <w:pPr>
        <w:spacing w:after="0" w:line="26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i w:val="1"/>
          <w:iCs w:val="1"/>
          <w:color w:val="auto"/>
        </w:rPr>
        <w:t>This summary highlights information in this proxy statement. This summary does not contain all the information you should consider, and you should read the entire proxy statement carefully before voting. Terms not defined in the text of this proxy statement can be found in the “Glossary of selected terms and acronyms” on page 121.</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Your vote is important. For more information on voting and attending the annual meeting, see “Information about the annual shareholder meeting” on page 107. This proxy statement has been prepared by our management and approved by the Board of Directors, and is being sent or made available to our shareholders on or about April 8, 2024.</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074A75"/>
        </w:rPr>
        <w:t>Annual meeting overview: 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40005</wp:posOffset>
            </wp:positionV>
            <wp:extent cx="137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49" w:lineRule="exact"/>
        <w:rPr>
          <w:sz w:val="20"/>
          <w:szCs w:val="20"/>
          <w:color w:val="auto"/>
        </w:rPr>
      </w:pPr>
    </w:p>
    <w:p>
      <w:pPr>
        <w:ind w:left="520"/>
        <w:spacing w:after="0"/>
        <w:rPr>
          <w:sz w:val="20"/>
          <w:szCs w:val="20"/>
          <w:color w:val="auto"/>
        </w:rPr>
      </w:pPr>
      <w:r>
        <w:rPr>
          <w:rFonts w:ascii="Arial" w:cs="Arial" w:eastAsia="Arial" w:hAnsi="Arial"/>
          <w:sz w:val="20"/>
          <w:szCs w:val="20"/>
          <w:color w:val="074A75"/>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77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39" w:lineRule="exact"/>
        <w:rPr>
          <w:sz w:val="20"/>
          <w:szCs w:val="20"/>
          <w:color w:val="auto"/>
        </w:rPr>
      </w:pPr>
    </w:p>
    <w:p>
      <w:pPr>
        <w:ind w:left="280" w:right="440"/>
        <w:spacing w:after="0" w:line="287" w:lineRule="auto"/>
        <w:rPr>
          <w:sz w:val="20"/>
          <w:szCs w:val="20"/>
          <w:color w:val="auto"/>
        </w:rPr>
      </w:pPr>
      <w:r>
        <w:rPr>
          <w:rFonts w:ascii="Arial" w:cs="Arial" w:eastAsia="Arial" w:hAnsi="Arial"/>
          <w:sz w:val="18"/>
          <w:szCs w:val="18"/>
          <w:b w:val="1"/>
          <w:bCs w:val="1"/>
          <w:color w:val="074A75"/>
        </w:rPr>
        <w:t xml:space="preserve">The Board of Directors recommends you vote </w:t>
      </w:r>
      <w:r>
        <w:rPr>
          <w:rFonts w:ascii="Arial" w:cs="Arial" w:eastAsia="Arial" w:hAnsi="Arial"/>
          <w:sz w:val="18"/>
          <w:szCs w:val="18"/>
          <w:b w:val="1"/>
          <w:bCs w:val="1"/>
          <w:u w:val="single" w:color="auto"/>
          <w:color w:val="074A75"/>
        </w:rPr>
        <w:t>FOR</w:t>
      </w:r>
      <w:r>
        <w:rPr>
          <w:rFonts w:ascii="Arial" w:cs="Arial" w:eastAsia="Arial" w:hAnsi="Arial"/>
          <w:sz w:val="18"/>
          <w:szCs w:val="18"/>
          <w:b w:val="1"/>
          <w:bCs w:val="1"/>
          <w:color w:val="074A75"/>
        </w:rPr>
        <w:t xml:space="preserve"> each director nominee and proposals 2, 3 and 4 </w:t>
      </w:r>
      <w:r>
        <w:rPr>
          <w:rFonts w:ascii="Arial" w:cs="Arial" w:eastAsia="Arial" w:hAnsi="Arial"/>
          <w:sz w:val="18"/>
          <w:szCs w:val="18"/>
          <w:color w:val="074A75"/>
        </w:rPr>
        <w:t>(for more information see</w:t>
      </w:r>
      <w:r>
        <w:rPr>
          <w:rFonts w:ascii="Arial" w:cs="Arial" w:eastAsia="Arial" w:hAnsi="Arial"/>
          <w:sz w:val="18"/>
          <w:szCs w:val="18"/>
          <w:b w:val="1"/>
          <w:bCs w:val="1"/>
          <w:color w:val="074A75"/>
        </w:rPr>
        <w:t xml:space="preserve"> </w:t>
      </w:r>
      <w:r>
        <w:rPr>
          <w:rFonts w:ascii="Arial" w:cs="Arial" w:eastAsia="Arial" w:hAnsi="Arial"/>
          <w:sz w:val="18"/>
          <w:szCs w:val="18"/>
          <w:color w:val="074A75"/>
        </w:rPr>
        <w:t>page referenced):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1.</w:t>
            </w:r>
          </w:p>
        </w:tc>
        <w:tc>
          <w:tcPr>
            <w:tcW w:w="8720" w:type="dxa"/>
            <w:vAlign w:val="bottom"/>
          </w:tcPr>
          <w:p>
            <w:pPr>
              <w:ind w:left="140"/>
              <w:spacing w:after="0"/>
              <w:rPr>
                <w:sz w:val="20"/>
                <w:szCs w:val="20"/>
                <w:color w:val="auto"/>
              </w:rPr>
            </w:pPr>
            <w:r>
              <w:rPr>
                <w:rFonts w:ascii="Arial" w:cs="Arial" w:eastAsia="Arial" w:hAnsi="Arial"/>
                <w:sz w:val="18"/>
                <w:szCs w:val="18"/>
                <w:color w:val="auto"/>
              </w:rPr>
              <w:t>Election of directors</w:t>
            </w:r>
          </w:p>
        </w:tc>
        <w:tc>
          <w:tcPr>
            <w:tcW w:w="2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2.</w:t>
            </w:r>
          </w:p>
        </w:tc>
        <w:tc>
          <w:tcPr>
            <w:tcW w:w="8720" w:type="dxa"/>
            <w:vAlign w:val="bottom"/>
          </w:tcPr>
          <w:p>
            <w:pPr>
              <w:ind w:left="140"/>
              <w:spacing w:after="0"/>
              <w:rPr>
                <w:sz w:val="20"/>
                <w:szCs w:val="20"/>
                <w:color w:val="auto"/>
              </w:rPr>
            </w:pPr>
            <w:r>
              <w:rPr>
                <w:rFonts w:ascii="Arial" w:cs="Arial" w:eastAsia="Arial" w:hAnsi="Arial"/>
                <w:sz w:val="18"/>
                <w:szCs w:val="18"/>
                <w:color w:val="auto"/>
              </w:rPr>
              <w:t>Advisory resolution to approve executive compensation</w:t>
            </w:r>
          </w:p>
        </w:tc>
        <w:tc>
          <w:tcPr>
            <w:tcW w:w="21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3.</w:t>
            </w:r>
          </w:p>
        </w:tc>
        <w:tc>
          <w:tcPr>
            <w:tcW w:w="8720" w:type="dxa"/>
            <w:vAlign w:val="bottom"/>
          </w:tcPr>
          <w:p>
            <w:pPr>
              <w:ind w:left="140"/>
              <w:spacing w:after="0"/>
              <w:rPr>
                <w:sz w:val="20"/>
                <w:szCs w:val="20"/>
                <w:color w:val="auto"/>
              </w:rPr>
            </w:pPr>
            <w:r>
              <w:rPr>
                <w:rFonts w:ascii="Arial" w:cs="Arial" w:eastAsia="Arial" w:hAnsi="Arial"/>
                <w:sz w:val="18"/>
                <w:szCs w:val="18"/>
                <w:color w:val="auto"/>
              </w:rPr>
              <w:t>Approval of amended and restated long-term incentive plan effective May 21, 2024</w:t>
            </w:r>
          </w:p>
        </w:tc>
        <w:tc>
          <w:tcPr>
            <w:tcW w:w="21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70"/>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4.</w:t>
            </w:r>
          </w:p>
        </w:tc>
        <w:tc>
          <w:tcPr>
            <w:tcW w:w="8720" w:type="dxa"/>
            <w:vAlign w:val="bottom"/>
          </w:tcPr>
          <w:p>
            <w:pPr>
              <w:ind w:left="140"/>
              <w:spacing w:after="0"/>
              <w:rPr>
                <w:sz w:val="20"/>
                <w:szCs w:val="20"/>
                <w:color w:val="auto"/>
              </w:rPr>
            </w:pPr>
            <w:r>
              <w:rPr>
                <w:rFonts w:ascii="Arial" w:cs="Arial" w:eastAsia="Arial" w:hAnsi="Arial"/>
                <w:sz w:val="18"/>
                <w:szCs w:val="18"/>
                <w:color w:val="auto"/>
              </w:rPr>
              <w:t>Ratification of independent registered public accounting firm</w:t>
            </w:r>
          </w:p>
        </w:tc>
        <w:tc>
          <w:tcPr>
            <w:tcW w:w="2180" w:type="dxa"/>
            <w:vAlign w:val="bottom"/>
          </w:tcPr>
          <w:p>
            <w:pPr>
              <w:jc w:val="right"/>
              <w:spacing w:after="0"/>
              <w:rPr>
                <w:sz w:val="20"/>
                <w:szCs w:val="20"/>
                <w:color w:val="auto"/>
              </w:rPr>
            </w:pPr>
            <w:r>
              <w:rPr>
                <w:rFonts w:ascii="Arial" w:cs="Arial" w:eastAsia="Arial" w:hAnsi="Arial"/>
                <w:sz w:val="16"/>
                <w:szCs w:val="16"/>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147320</wp:posOffset>
            </wp:positionV>
            <wp:extent cx="137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20"/>
          <w:szCs w:val="20"/>
          <w:color w:val="074A75"/>
        </w:rPr>
        <w:t>SHAREHOLDER PROPOSALS (if they are properly introduced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77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39" w:lineRule="exact"/>
        <w:rPr>
          <w:sz w:val="20"/>
          <w:szCs w:val="20"/>
          <w:color w:val="auto"/>
        </w:rPr>
      </w:pPr>
    </w:p>
    <w:p>
      <w:pPr>
        <w:ind w:left="280" w:right="300"/>
        <w:spacing w:after="0" w:line="287" w:lineRule="auto"/>
        <w:rPr>
          <w:sz w:val="20"/>
          <w:szCs w:val="20"/>
          <w:color w:val="auto"/>
        </w:rPr>
      </w:pPr>
      <w:r>
        <w:rPr>
          <w:rFonts w:ascii="Arial" w:cs="Arial" w:eastAsia="Arial" w:hAnsi="Arial"/>
          <w:sz w:val="18"/>
          <w:szCs w:val="18"/>
          <w:b w:val="1"/>
          <w:bCs w:val="1"/>
          <w:color w:val="074A75"/>
        </w:rPr>
        <w:t xml:space="preserve">The Board of Directors recommends you vote </w:t>
      </w:r>
      <w:r>
        <w:rPr>
          <w:rFonts w:ascii="Arial" w:cs="Arial" w:eastAsia="Arial" w:hAnsi="Arial"/>
          <w:sz w:val="18"/>
          <w:szCs w:val="18"/>
          <w:b w:val="1"/>
          <w:bCs w:val="1"/>
          <w:u w:val="single" w:color="auto"/>
          <w:color w:val="9E3124"/>
        </w:rPr>
        <w:t>AGAINST</w:t>
      </w:r>
      <w:r>
        <w:rPr>
          <w:rFonts w:ascii="Arial" w:cs="Arial" w:eastAsia="Arial" w:hAnsi="Arial"/>
          <w:sz w:val="18"/>
          <w:szCs w:val="18"/>
          <w:b w:val="1"/>
          <w:bCs w:val="1"/>
          <w:color w:val="074A75"/>
        </w:rPr>
        <w:t xml:space="preserve"> each of the following shareholder proposals </w:t>
      </w:r>
      <w:r>
        <w:rPr>
          <w:rFonts w:ascii="Arial" w:cs="Arial" w:eastAsia="Arial" w:hAnsi="Arial"/>
          <w:sz w:val="18"/>
          <w:szCs w:val="18"/>
          <w:color w:val="074A75"/>
        </w:rPr>
        <w:t>(for more information see</w:t>
      </w:r>
      <w:r>
        <w:rPr>
          <w:rFonts w:ascii="Arial" w:cs="Arial" w:eastAsia="Arial" w:hAnsi="Arial"/>
          <w:sz w:val="18"/>
          <w:szCs w:val="18"/>
          <w:b w:val="1"/>
          <w:bCs w:val="1"/>
          <w:color w:val="074A75"/>
        </w:rPr>
        <w:t xml:space="preserve"> </w:t>
      </w:r>
      <w:r>
        <w:rPr>
          <w:rFonts w:ascii="Arial" w:cs="Arial" w:eastAsia="Arial" w:hAnsi="Arial"/>
          <w:sz w:val="18"/>
          <w:szCs w:val="18"/>
          <w:color w:val="074A75"/>
        </w:rPr>
        <w:t>page referenced):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0" w:type="dxa"/>
            <w:vAlign w:val="bottom"/>
          </w:tcPr>
          <w:p>
            <w:pPr>
              <w:ind w:left="20"/>
              <w:spacing w:after="0"/>
              <w:rPr>
                <w:sz w:val="20"/>
                <w:szCs w:val="20"/>
                <w:color w:val="auto"/>
              </w:rPr>
            </w:pPr>
            <w:r>
              <w:rPr>
                <w:rFonts w:ascii="Arial" w:cs="Arial" w:eastAsia="Arial" w:hAnsi="Arial"/>
                <w:sz w:val="18"/>
                <w:szCs w:val="18"/>
                <w:color w:val="auto"/>
              </w:rPr>
              <w:t>5.</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Independent board chairman</w:t>
            </w:r>
          </w:p>
        </w:tc>
        <w:tc>
          <w:tcPr>
            <w:tcW w:w="320" w:type="dxa"/>
            <w:vAlign w:val="bottom"/>
          </w:tcPr>
          <w:p>
            <w:pPr>
              <w:spacing w:after="0"/>
              <w:rPr>
                <w:sz w:val="21"/>
                <w:szCs w:val="21"/>
                <w:color w:val="auto"/>
              </w:rPr>
            </w:pPr>
          </w:p>
        </w:tc>
        <w:tc>
          <w:tcPr>
            <w:tcW w:w="540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6.</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Humanitarian risks due to climate change policies</w:t>
            </w:r>
          </w:p>
        </w:tc>
        <w:tc>
          <w:tcPr>
            <w:tcW w:w="320" w:type="dxa"/>
            <w:vAlign w:val="bottom"/>
          </w:tcPr>
          <w:p>
            <w:pPr>
              <w:spacing w:after="0"/>
              <w:rPr>
                <w:sz w:val="23"/>
                <w:szCs w:val="23"/>
                <w:color w:val="auto"/>
              </w:rPr>
            </w:pPr>
          </w:p>
        </w:tc>
        <w:tc>
          <w:tcPr>
            <w:tcW w:w="5400" w:type="dxa"/>
            <w:vAlign w:val="bottom"/>
            <w:gridSpan w:val="2"/>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7.</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Indigenous peoples' rights indicators</w:t>
            </w:r>
          </w:p>
        </w:tc>
        <w:tc>
          <w:tcPr>
            <w:tcW w:w="320" w:type="dxa"/>
            <w:vAlign w:val="bottom"/>
          </w:tcPr>
          <w:p>
            <w:pPr>
              <w:spacing w:after="0"/>
              <w:rPr>
                <w:sz w:val="23"/>
                <w:szCs w:val="23"/>
                <w:color w:val="auto"/>
              </w:rPr>
            </w:pPr>
          </w:p>
        </w:tc>
        <w:tc>
          <w:tcPr>
            <w:tcW w:w="5400" w:type="dxa"/>
            <w:vAlign w:val="bottom"/>
            <w:gridSpan w:val="2"/>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8.</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Proxy voting alignment</w:t>
            </w:r>
          </w:p>
        </w:tc>
        <w:tc>
          <w:tcPr>
            <w:tcW w:w="320" w:type="dxa"/>
            <w:vAlign w:val="bottom"/>
          </w:tcPr>
          <w:p>
            <w:pPr>
              <w:spacing w:after="0"/>
              <w:rPr>
                <w:sz w:val="23"/>
                <w:szCs w:val="23"/>
                <w:color w:val="auto"/>
              </w:rPr>
            </w:pPr>
          </w:p>
        </w:tc>
        <w:tc>
          <w:tcPr>
            <w:tcW w:w="540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9.</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Report on due diligence in conflict-affected and high-risk areas</w:t>
            </w:r>
          </w:p>
        </w:tc>
        <w:tc>
          <w:tcPr>
            <w:tcW w:w="320" w:type="dxa"/>
            <w:vAlign w:val="bottom"/>
          </w:tcPr>
          <w:p>
            <w:pPr>
              <w:spacing w:after="0"/>
              <w:rPr>
                <w:sz w:val="23"/>
                <w:szCs w:val="23"/>
                <w:color w:val="auto"/>
              </w:rPr>
            </w:pPr>
          </w:p>
        </w:tc>
        <w:tc>
          <w:tcPr>
            <w:tcW w:w="540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10.</w:t>
            </w:r>
          </w:p>
        </w:tc>
        <w:tc>
          <w:tcPr>
            <w:tcW w:w="5480" w:type="dxa"/>
            <w:vAlign w:val="bottom"/>
            <w:gridSpan w:val="4"/>
          </w:tcPr>
          <w:p>
            <w:pPr>
              <w:ind w:left="100"/>
              <w:spacing w:after="0"/>
              <w:rPr>
                <w:sz w:val="20"/>
                <w:szCs w:val="20"/>
                <w:color w:val="auto"/>
              </w:rPr>
            </w:pPr>
            <w:r>
              <w:rPr>
                <w:rFonts w:ascii="Arial" w:cs="Arial" w:eastAsia="Arial" w:hAnsi="Arial"/>
                <w:sz w:val="18"/>
                <w:szCs w:val="18"/>
                <w:color w:val="auto"/>
              </w:rPr>
              <w:t>Shareholder opportunity to vote on excessive golden parachutes</w:t>
            </w:r>
          </w:p>
        </w:tc>
        <w:tc>
          <w:tcPr>
            <w:tcW w:w="540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70"/>
        </w:trPr>
        <w:tc>
          <w:tcPr>
            <w:tcW w:w="360" w:type="dxa"/>
            <w:vAlign w:val="bottom"/>
          </w:tcPr>
          <w:p>
            <w:pPr>
              <w:ind w:left="20"/>
              <w:spacing w:after="0"/>
              <w:rPr>
                <w:sz w:val="20"/>
                <w:szCs w:val="20"/>
                <w:color w:val="auto"/>
              </w:rPr>
            </w:pPr>
            <w:r>
              <w:rPr>
                <w:rFonts w:ascii="Arial" w:cs="Arial" w:eastAsia="Arial" w:hAnsi="Arial"/>
                <w:sz w:val="18"/>
                <w:szCs w:val="18"/>
                <w:color w:val="auto"/>
              </w:rPr>
              <w:t>11.</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Report on respecting workforce civil liberties</w:t>
            </w:r>
          </w:p>
        </w:tc>
        <w:tc>
          <w:tcPr>
            <w:tcW w:w="320" w:type="dxa"/>
            <w:vAlign w:val="bottom"/>
          </w:tcPr>
          <w:p>
            <w:pPr>
              <w:spacing w:after="0"/>
              <w:rPr>
                <w:sz w:val="23"/>
                <w:szCs w:val="23"/>
                <w:color w:val="auto"/>
              </w:rPr>
            </w:pPr>
          </w:p>
        </w:tc>
        <w:tc>
          <w:tcPr>
            <w:tcW w:w="5400" w:type="dxa"/>
            <w:vAlign w:val="bottom"/>
            <w:gridSpan w:val="2"/>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420"/>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auto"/>
              </w:rPr>
              <w:t>2024 PROXY STATEMENT</w:t>
            </w: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40" w:type="dxa"/>
            <w:vAlign w:val="bottom"/>
            <w:vMerge w:val="restart"/>
          </w:tcPr>
          <w:p>
            <w:pPr>
              <w:jc w:val="right"/>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88"/>
        </w:trPr>
        <w:tc>
          <w:tcPr>
            <w:tcW w:w="1940" w:type="dxa"/>
            <w:vAlign w:val="bottom"/>
            <w:gridSpan w:val="2"/>
            <w:vMerge w:val="continue"/>
          </w:tcPr>
          <w:p>
            <w:pPr>
              <w:spacing w:after="0"/>
              <w:rPr>
                <w:sz w:val="7"/>
                <w:szCs w:val="7"/>
                <w:color w:val="auto"/>
              </w:rPr>
            </w:pPr>
          </w:p>
        </w:tc>
        <w:tc>
          <w:tcPr>
            <w:tcW w:w="3480" w:type="dxa"/>
            <w:vAlign w:val="bottom"/>
            <w:tcBorders>
              <w:bottom w:val="single" w:sz="8" w:color="8A8C8F"/>
              <w:right w:val="single" w:sz="8" w:color="8A8C8F"/>
            </w:tcBorders>
          </w:tcPr>
          <w:p>
            <w:pPr>
              <w:spacing w:after="0"/>
              <w:rPr>
                <w:sz w:val="7"/>
                <w:szCs w:val="7"/>
                <w:color w:val="auto"/>
              </w:rPr>
            </w:pPr>
          </w:p>
        </w:tc>
        <w:tc>
          <w:tcPr>
            <w:tcW w:w="100" w:type="dxa"/>
            <w:vAlign w:val="bottom"/>
            <w:tcBorders>
              <w:top w:val="single" w:sz="8" w:color="8A8C8F"/>
              <w:bottom w:val="single" w:sz="8" w:color="8A8C8F"/>
            </w:tcBorders>
            <w:vMerge w:val="restart"/>
          </w:tcPr>
          <w:p>
            <w:pPr>
              <w:spacing w:after="0"/>
              <w:rPr>
                <w:sz w:val="7"/>
                <w:szCs w:val="7"/>
                <w:color w:val="auto"/>
              </w:rPr>
            </w:pPr>
          </w:p>
        </w:tc>
        <w:tc>
          <w:tcPr>
            <w:tcW w:w="3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1</w:t>
            </w:r>
          </w:p>
        </w:tc>
        <w:tc>
          <w:tcPr>
            <w:tcW w:w="3460" w:type="dxa"/>
            <w:vAlign w:val="bottom"/>
            <w:tcBorders>
              <w:bottom w:val="single" w:sz="8" w:color="8A8C8F"/>
            </w:tcBorders>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40" w:type="dxa"/>
            <w:vAlign w:val="bottom"/>
            <w:gridSpan w:val="2"/>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100" w:type="dxa"/>
            <w:vAlign w:val="bottom"/>
            <w:tcBorders>
              <w:bottom w:val="single" w:sz="8" w:color="8A8C8F"/>
            </w:tcBorders>
            <w:vMerge w:val="continue"/>
          </w:tcPr>
          <w:p>
            <w:pPr>
              <w:spacing w:after="0"/>
              <w:rPr>
                <w:sz w:val="8"/>
                <w:szCs w:val="8"/>
                <w:color w:val="auto"/>
              </w:rPr>
            </w:pPr>
          </w:p>
        </w:tc>
        <w:tc>
          <w:tcPr>
            <w:tcW w:w="3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6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6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74A75"/>
        </w:rPr>
        <w:t>The Firm demonstrated strong financial performance in 2023</w:t>
      </w:r>
    </w:p>
    <w:p>
      <w:pPr>
        <w:spacing w:after="0" w:line="283"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Firm continued its focus on serving our clients and customers amid ongoing, growing geopolitical tensions, economic uncertainty, elevated inflation and higher rates, while investing in and executing on long-term strategic initiatives. The Firm experienced growth across all of our market-leading lines of business, achieved record financial results and maintained a fortress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36"/>
          <w:szCs w:val="36"/>
          <w:color w:val="074A75"/>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85725" cy="1619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61988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357"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143510</wp:posOffset>
            </wp:positionV>
            <wp:extent cx="8890" cy="505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505460"/>
                    </a:xfrm>
                    <a:prstGeom prst="rect">
                      <a:avLst/>
                    </a:prstGeom>
                    <a:noFill/>
                  </pic:spPr>
                </pic:pic>
              </a:graphicData>
            </a:graphic>
          </wp:anchor>
        </w:drawing>
      </w:r>
    </w:p>
    <w:p>
      <w:pPr>
        <w:spacing w:after="0" w:line="191" w:lineRule="exact"/>
        <w:rPr>
          <w:sz w:val="20"/>
          <w:szCs w:val="20"/>
          <w:color w:val="auto"/>
        </w:rPr>
      </w:pPr>
    </w:p>
    <w:p>
      <w:pPr>
        <w:ind w:left="280"/>
        <w:spacing w:after="0"/>
        <w:tabs>
          <w:tab w:leader="none" w:pos="1620" w:val="left"/>
        </w:tabs>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158.1</w:t>
      </w:r>
      <w:r>
        <w:rPr>
          <w:rFonts w:ascii="Arial" w:cs="Arial" w:eastAsia="Arial" w:hAnsi="Arial"/>
          <w:sz w:val="23"/>
          <w:szCs w:val="23"/>
          <w:color w:val="074A75"/>
        </w:rPr>
        <w:t>B</w:t>
      </w:r>
      <w:r>
        <w:rPr>
          <w:sz w:val="20"/>
          <w:szCs w:val="20"/>
          <w:color w:val="auto"/>
        </w:rPr>
        <w:tab/>
      </w:r>
      <w:r>
        <w:rPr>
          <w:rFonts w:ascii="Arial" w:cs="Arial" w:eastAsia="Arial" w:hAnsi="Arial"/>
          <w:sz w:val="39"/>
          <w:szCs w:val="39"/>
          <w:color w:val="074A75"/>
          <w:vertAlign w:val="superscript"/>
        </w:rPr>
        <w:t>$</w:t>
      </w:r>
      <w:r>
        <w:rPr>
          <w:rFonts w:ascii="Arial" w:cs="Arial" w:eastAsia="Arial" w:hAnsi="Arial"/>
          <w:sz w:val="29"/>
          <w:szCs w:val="29"/>
          <w:color w:val="074A75"/>
        </w:rPr>
        <w:t>162.4</w:t>
      </w:r>
      <w:r>
        <w:rPr>
          <w:rFonts w:ascii="Arial" w:cs="Arial" w:eastAsia="Arial" w:hAnsi="Arial"/>
          <w:sz w:val="23"/>
          <w:szCs w:val="23"/>
          <w:color w:val="074A75"/>
        </w:rPr>
        <w:t>B</w:t>
      </w:r>
    </w:p>
    <w:p>
      <w:pPr>
        <w:ind w:left="440"/>
        <w:spacing w:after="0"/>
        <w:tabs>
          <w:tab w:leader="none" w:pos="1740" w:val="left"/>
        </w:tabs>
        <w:rPr>
          <w:sz w:val="20"/>
          <w:szCs w:val="20"/>
          <w:color w:val="auto"/>
        </w:rPr>
      </w:pPr>
      <w:r>
        <w:rPr>
          <w:rFonts w:ascii="Arial" w:cs="Arial" w:eastAsia="Arial" w:hAnsi="Arial"/>
          <w:sz w:val="13"/>
          <w:szCs w:val="13"/>
          <w:i w:val="1"/>
          <w:iCs w:val="1"/>
          <w:color w:val="auto"/>
        </w:rPr>
        <w:t>REPORTED</w:t>
      </w:r>
      <w:r>
        <w:rPr>
          <w:sz w:val="20"/>
          <w:szCs w:val="20"/>
          <w:color w:val="auto"/>
        </w:rPr>
        <w:tab/>
      </w:r>
      <w:r>
        <w:rPr>
          <w:rFonts w:ascii="Arial" w:cs="Arial" w:eastAsia="Arial" w:hAnsi="Arial"/>
          <w:sz w:val="13"/>
          <w:szCs w:val="13"/>
          <w:i w:val="1"/>
          <w:iCs w:val="1"/>
          <w:color w:val="auto"/>
        </w:rPr>
        <w:t>MANAGED</w:t>
      </w:r>
      <w:r>
        <w:rPr>
          <w:rFonts w:ascii="Arial" w:cs="Arial" w:eastAsia="Arial" w:hAnsi="Arial"/>
          <w:sz w:val="17"/>
          <w:szCs w:val="17"/>
          <w:i w:val="1"/>
          <w:i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140335</wp:posOffset>
            </wp:positionV>
            <wp:extent cx="170561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05610" cy="342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300"/>
        <w:spacing w:after="0"/>
        <w:rPr>
          <w:sz w:val="20"/>
          <w:szCs w:val="20"/>
          <w:color w:val="auto"/>
        </w:rPr>
      </w:pPr>
      <w:r>
        <w:rPr>
          <w:rFonts w:ascii="Arial" w:cs="Arial" w:eastAsia="Arial" w:hAnsi="Arial"/>
          <w:sz w:val="14"/>
          <w:szCs w:val="14"/>
          <w:color w:val="auto"/>
        </w:rPr>
        <w:t>EARNINGS PER SHARE ("EPS")</w:t>
      </w:r>
    </w:p>
    <w:p>
      <w:pPr>
        <w:spacing w:after="0" w:line="148" w:lineRule="exact"/>
        <w:rPr>
          <w:sz w:val="20"/>
          <w:szCs w:val="20"/>
          <w:color w:val="auto"/>
        </w:rPr>
      </w:pPr>
    </w:p>
    <w:p>
      <w:pPr>
        <w:ind w:left="104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16.23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91335" cy="874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1335" cy="874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4"/>
        </w:trPr>
        <w:tc>
          <w:tcPr>
            <w:tcW w:w="160" w:type="dxa"/>
            <w:vAlign w:val="bottom"/>
            <w:shd w:val="clear" w:color="auto" w:fill="EEEFEF"/>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60" w:type="dxa"/>
            <w:vAlign w:val="bottom"/>
            <w:shd w:val="clear" w:color="auto" w:fill="EEEFEF"/>
          </w:tcPr>
          <w:p>
            <w:pPr>
              <w:spacing w:after="0"/>
              <w:rPr>
                <w:sz w:val="4"/>
                <w:szCs w:val="4"/>
                <w:color w:val="auto"/>
              </w:rPr>
            </w:pPr>
          </w:p>
        </w:tc>
        <w:tc>
          <w:tcPr>
            <w:tcW w:w="1780" w:type="dxa"/>
            <w:vAlign w:val="bottom"/>
          </w:tcPr>
          <w:p>
            <w:pPr>
              <w:spacing w:after="0"/>
              <w:rPr>
                <w:sz w:val="4"/>
                <w:szCs w:val="4"/>
                <w:color w:val="auto"/>
              </w:rPr>
            </w:pPr>
          </w:p>
        </w:tc>
        <w:tc>
          <w:tcPr>
            <w:tcW w:w="140" w:type="dxa"/>
            <w:vAlign w:val="bottom"/>
            <w:shd w:val="clear" w:color="auto" w:fill="EEEFEF"/>
          </w:tcPr>
          <w:p>
            <w:pPr>
              <w:spacing w:after="0"/>
              <w:rPr>
                <w:sz w:val="4"/>
                <w:szCs w:val="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RETURN ON</w:t>
            </w:r>
          </w:p>
        </w:tc>
        <w:tc>
          <w:tcPr>
            <w:tcW w:w="20" w:type="dxa"/>
            <w:vAlign w:val="bottom"/>
          </w:tcPr>
          <w:p>
            <w:pPr>
              <w:spacing w:after="0"/>
              <w:rPr>
                <w:sz w:val="4"/>
                <w:szCs w:val="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rPr>
              <w:t>RETURN ON</w:t>
            </w:r>
          </w:p>
        </w:tc>
        <w:tc>
          <w:tcPr>
            <w:tcW w:w="140" w:type="dxa"/>
            <w:vAlign w:val="bottom"/>
            <w:shd w:val="clear" w:color="auto" w:fill="EEEFEF"/>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EEEFEF"/>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shd w:val="clear" w:color="auto" w:fill="EEEFEF"/>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shd w:val="clear" w:color="auto" w:fill="EEEFEF"/>
          </w:tcPr>
          <w:p>
            <w:pPr>
              <w:spacing w:after="0"/>
              <w:rPr>
                <w:sz w:val="15"/>
                <w:szCs w:val="15"/>
                <w:color w:val="auto"/>
              </w:rPr>
            </w:pPr>
          </w:p>
        </w:tc>
        <w:tc>
          <w:tcPr>
            <w:tcW w:w="1360" w:type="dxa"/>
            <w:vAlign w:val="bottom"/>
            <w:vMerge w:val="continue"/>
          </w:tcPr>
          <w:p>
            <w:pPr>
              <w:spacing w:after="0"/>
              <w:rPr>
                <w:sz w:val="15"/>
                <w:szCs w:val="15"/>
                <w:color w:val="auto"/>
              </w:rPr>
            </w:pPr>
          </w:p>
        </w:tc>
        <w:tc>
          <w:tcPr>
            <w:tcW w:w="20" w:type="dxa"/>
            <w:vAlign w:val="bottom"/>
            <w:shd w:val="clear" w:color="auto" w:fill="454545"/>
          </w:tcPr>
          <w:p>
            <w:pPr>
              <w:spacing w:after="0"/>
              <w:rPr>
                <w:sz w:val="15"/>
                <w:szCs w:val="15"/>
                <w:color w:val="auto"/>
              </w:rPr>
            </w:pPr>
          </w:p>
        </w:tc>
        <w:tc>
          <w:tcPr>
            <w:tcW w:w="1520" w:type="dxa"/>
            <w:vAlign w:val="bottom"/>
            <w:vMerge w:val="continue"/>
          </w:tcPr>
          <w:p>
            <w:pPr>
              <w:spacing w:after="0"/>
              <w:rPr>
                <w:sz w:val="15"/>
                <w:szCs w:val="15"/>
                <w:color w:val="auto"/>
              </w:rPr>
            </w:pPr>
          </w:p>
        </w:tc>
        <w:tc>
          <w:tcPr>
            <w:tcW w:w="140" w:type="dxa"/>
            <w:vAlign w:val="bottom"/>
            <w:shd w:val="clear" w:color="auto" w:fill="EEEFE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60" w:type="dxa"/>
            <w:vAlign w:val="bottom"/>
            <w:shd w:val="clear" w:color="auto" w:fill="EEEFEF"/>
          </w:tcPr>
          <w:p>
            <w:pPr>
              <w:spacing w:after="0"/>
              <w:rPr>
                <w:sz w:val="7"/>
                <w:szCs w:val="7"/>
                <w:color w:val="auto"/>
              </w:rPr>
            </w:pPr>
          </w:p>
        </w:tc>
        <w:tc>
          <w:tcPr>
            <w:tcW w:w="3140" w:type="dxa"/>
            <w:vAlign w:val="bottom"/>
            <w:gridSpan w:val="3"/>
            <w:vMerge w:val="restart"/>
          </w:tcPr>
          <w:p>
            <w:pPr>
              <w:ind w:left="960"/>
              <w:spacing w:after="0"/>
              <w:rPr>
                <w:sz w:val="20"/>
                <w:szCs w:val="20"/>
                <w:color w:val="auto"/>
              </w:rPr>
            </w:pPr>
            <w:r>
              <w:rPr>
                <w:rFonts w:ascii="Arial" w:cs="Arial" w:eastAsia="Arial" w:hAnsi="Arial"/>
                <w:sz w:val="14"/>
                <w:szCs w:val="14"/>
                <w:color w:val="auto"/>
              </w:rPr>
              <w:t>PRE-TAX INCOME</w:t>
            </w:r>
          </w:p>
        </w:tc>
        <w:tc>
          <w:tcPr>
            <w:tcW w:w="160" w:type="dxa"/>
            <w:vAlign w:val="bottom"/>
            <w:shd w:val="clear" w:color="auto" w:fill="EEEFEF"/>
          </w:tcPr>
          <w:p>
            <w:pPr>
              <w:spacing w:after="0"/>
              <w:rPr>
                <w:sz w:val="7"/>
                <w:szCs w:val="7"/>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EEEFEF"/>
          </w:tcPr>
          <w:p>
            <w:pPr>
              <w:spacing w:after="0"/>
              <w:rPr>
                <w:sz w:val="7"/>
                <w:szCs w:val="7"/>
                <w:color w:val="auto"/>
              </w:rPr>
            </w:pPr>
          </w:p>
        </w:tc>
        <w:tc>
          <w:tcPr>
            <w:tcW w:w="1360" w:type="dxa"/>
            <w:vAlign w:val="bottom"/>
            <w:vMerge w:val="continue"/>
          </w:tcPr>
          <w:p>
            <w:pPr>
              <w:spacing w:after="0"/>
              <w:rPr>
                <w:sz w:val="7"/>
                <w:szCs w:val="7"/>
                <w:color w:val="auto"/>
              </w:rPr>
            </w:pPr>
          </w:p>
        </w:tc>
        <w:tc>
          <w:tcPr>
            <w:tcW w:w="20" w:type="dxa"/>
            <w:vAlign w:val="bottom"/>
            <w:shd w:val="clear" w:color="auto" w:fill="454545"/>
          </w:tcPr>
          <w:p>
            <w:pPr>
              <w:spacing w:after="0"/>
              <w:rPr>
                <w:sz w:val="7"/>
                <w:szCs w:val="7"/>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rPr>
              <w:t>TANGIBLE COMMON</w:t>
            </w:r>
          </w:p>
        </w:tc>
        <w:tc>
          <w:tcPr>
            <w:tcW w:w="140" w:type="dxa"/>
            <w:vAlign w:val="bottom"/>
            <w:shd w:val="clear" w:color="auto" w:fill="EEEF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0" w:type="dxa"/>
            <w:vAlign w:val="bottom"/>
            <w:shd w:val="clear" w:color="auto" w:fill="EEEFEF"/>
          </w:tcPr>
          <w:p>
            <w:pPr>
              <w:spacing w:after="0"/>
              <w:rPr>
                <w:sz w:val="8"/>
                <w:szCs w:val="8"/>
                <w:color w:val="auto"/>
              </w:rPr>
            </w:pPr>
          </w:p>
        </w:tc>
        <w:tc>
          <w:tcPr>
            <w:tcW w:w="3140" w:type="dxa"/>
            <w:vAlign w:val="bottom"/>
            <w:gridSpan w:val="3"/>
            <w:vMerge w:val="continue"/>
          </w:tcPr>
          <w:p>
            <w:pPr>
              <w:spacing w:after="0"/>
              <w:rPr>
                <w:sz w:val="8"/>
                <w:szCs w:val="8"/>
                <w:color w:val="auto"/>
              </w:rPr>
            </w:pPr>
          </w:p>
        </w:tc>
        <w:tc>
          <w:tcPr>
            <w:tcW w:w="160" w:type="dxa"/>
            <w:vAlign w:val="bottom"/>
            <w:shd w:val="clear" w:color="auto" w:fill="EEEFEF"/>
          </w:tcPr>
          <w:p>
            <w:pPr>
              <w:spacing w:after="0"/>
              <w:rPr>
                <w:sz w:val="8"/>
                <w:szCs w:val="8"/>
                <w:color w:val="auto"/>
              </w:rPr>
            </w:pPr>
          </w:p>
        </w:tc>
        <w:tc>
          <w:tcPr>
            <w:tcW w:w="1780" w:type="dxa"/>
            <w:vAlign w:val="bottom"/>
            <w:vMerge w:val="continue"/>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EQUITY ("ROE")</w:t>
            </w:r>
          </w:p>
        </w:tc>
        <w:tc>
          <w:tcPr>
            <w:tcW w:w="20" w:type="dxa"/>
            <w:vAlign w:val="bottom"/>
            <w:shd w:val="clear" w:color="auto" w:fill="454545"/>
          </w:tcPr>
          <w:p>
            <w:pPr>
              <w:spacing w:after="0"/>
              <w:rPr>
                <w:sz w:val="8"/>
                <w:szCs w:val="8"/>
                <w:color w:val="auto"/>
              </w:rPr>
            </w:pPr>
          </w:p>
        </w:tc>
        <w:tc>
          <w:tcPr>
            <w:tcW w:w="1520" w:type="dxa"/>
            <w:vAlign w:val="bottom"/>
            <w:vMerge w:val="continue"/>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60" w:type="dxa"/>
            <w:vAlign w:val="bottom"/>
            <w:shd w:val="clear" w:color="auto" w:fill="EEEFEF"/>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60" w:type="dxa"/>
            <w:vAlign w:val="bottom"/>
            <w:shd w:val="clear" w:color="auto" w:fill="EEEFEF"/>
          </w:tcPr>
          <w:p>
            <w:pPr>
              <w:spacing w:after="0"/>
              <w:rPr>
                <w:sz w:val="8"/>
                <w:szCs w:val="8"/>
                <w:color w:val="auto"/>
              </w:rPr>
            </w:pPr>
          </w:p>
        </w:tc>
        <w:tc>
          <w:tcPr>
            <w:tcW w:w="1780" w:type="dxa"/>
            <w:vAlign w:val="bottom"/>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1360" w:type="dxa"/>
            <w:vAlign w:val="bottom"/>
            <w:vMerge w:val="continue"/>
          </w:tcPr>
          <w:p>
            <w:pPr>
              <w:spacing w:after="0"/>
              <w:rPr>
                <w:sz w:val="8"/>
                <w:szCs w:val="8"/>
                <w:color w:val="auto"/>
              </w:rPr>
            </w:pPr>
          </w:p>
        </w:tc>
        <w:tc>
          <w:tcPr>
            <w:tcW w:w="20" w:type="dxa"/>
            <w:vAlign w:val="bottom"/>
            <w:shd w:val="clear" w:color="auto" w:fill="454545"/>
          </w:tcPr>
          <w:p>
            <w:pPr>
              <w:spacing w:after="0"/>
              <w:rPr>
                <w:sz w:val="8"/>
                <w:szCs w:val="8"/>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rPr>
              <w:t>EQUITY ("ROTCE")</w:t>
            </w:r>
            <w:r>
              <w:rPr>
                <w:rFonts w:ascii="Arial" w:cs="Arial" w:eastAsia="Arial" w:hAnsi="Arial"/>
                <w:sz w:val="9"/>
                <w:szCs w:val="9"/>
                <w:color w:val="auto"/>
              </w:rPr>
              <w:t>2</w:t>
            </w:r>
          </w:p>
        </w:tc>
        <w:tc>
          <w:tcPr>
            <w:tcW w:w="140" w:type="dxa"/>
            <w:vAlign w:val="bottom"/>
            <w:shd w:val="clear" w:color="auto" w:fill="EEEFE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0" w:type="dxa"/>
            <w:vAlign w:val="bottom"/>
            <w:shd w:val="clear" w:color="auto" w:fill="EEEFEF"/>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60" w:type="dxa"/>
            <w:vAlign w:val="bottom"/>
            <w:shd w:val="clear" w:color="auto" w:fill="EEEFEF"/>
          </w:tcPr>
          <w:p>
            <w:pPr>
              <w:spacing w:after="0"/>
              <w:rPr>
                <w:sz w:val="8"/>
                <w:szCs w:val="8"/>
                <w:color w:val="auto"/>
              </w:rPr>
            </w:pPr>
          </w:p>
        </w:tc>
        <w:tc>
          <w:tcPr>
            <w:tcW w:w="1780" w:type="dxa"/>
            <w:vAlign w:val="bottom"/>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shd w:val="clear" w:color="auto" w:fill="454545"/>
          </w:tcPr>
          <w:p>
            <w:pPr>
              <w:spacing w:after="0"/>
              <w:rPr>
                <w:sz w:val="8"/>
                <w:szCs w:val="8"/>
                <w:color w:val="auto"/>
              </w:rPr>
            </w:pPr>
          </w:p>
        </w:tc>
        <w:tc>
          <w:tcPr>
            <w:tcW w:w="1520" w:type="dxa"/>
            <w:vAlign w:val="bottom"/>
            <w:vMerge w:val="continue"/>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60" w:type="dxa"/>
            <w:vAlign w:val="bottom"/>
            <w:shd w:val="clear" w:color="auto" w:fill="EEEFEF"/>
          </w:tcPr>
          <w:p>
            <w:pPr>
              <w:spacing w:after="0" w:line="20" w:lineRule="exact"/>
              <w:rPr>
                <w:sz w:val="1"/>
                <w:szCs w:val="1"/>
                <w:color w:val="auto"/>
              </w:rPr>
            </w:pPr>
          </w:p>
        </w:tc>
        <w:tc>
          <w:tcPr>
            <w:tcW w:w="138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61.6</w:t>
            </w:r>
            <w:r>
              <w:rPr>
                <w:rFonts w:ascii="Arial" w:cs="Arial" w:eastAsia="Arial" w:hAnsi="Arial"/>
                <w:sz w:val="23"/>
                <w:szCs w:val="23"/>
                <w:color w:val="074A75"/>
                <w:w w:val="95"/>
              </w:rPr>
              <w:t>B</w:t>
            </w:r>
          </w:p>
        </w:tc>
        <w:tc>
          <w:tcPr>
            <w:tcW w:w="20" w:type="dxa"/>
            <w:vAlign w:val="bottom"/>
          </w:tcPr>
          <w:p>
            <w:pPr>
              <w:spacing w:after="0" w:line="20" w:lineRule="exact"/>
              <w:rPr>
                <w:sz w:val="1"/>
                <w:szCs w:val="1"/>
                <w:color w:val="auto"/>
              </w:rPr>
            </w:pPr>
          </w:p>
        </w:tc>
        <w:tc>
          <w:tcPr>
            <w:tcW w:w="174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69.0</w:t>
            </w:r>
            <w:r>
              <w:rPr>
                <w:rFonts w:ascii="Arial" w:cs="Arial" w:eastAsia="Arial" w:hAnsi="Arial"/>
                <w:sz w:val="23"/>
                <w:szCs w:val="23"/>
                <w:color w:val="074A75"/>
                <w:w w:val="95"/>
              </w:rPr>
              <w:t>B</w:t>
            </w:r>
          </w:p>
        </w:tc>
        <w:tc>
          <w:tcPr>
            <w:tcW w:w="160" w:type="dxa"/>
            <w:vAlign w:val="bottom"/>
            <w:shd w:val="clear" w:color="auto" w:fill="EEEFEF"/>
          </w:tcPr>
          <w:p>
            <w:pPr>
              <w:spacing w:after="0" w:line="20" w:lineRule="exact"/>
              <w:rPr>
                <w:sz w:val="1"/>
                <w:szCs w:val="1"/>
                <w:color w:val="auto"/>
              </w:rPr>
            </w:pPr>
          </w:p>
        </w:tc>
        <w:tc>
          <w:tcPr>
            <w:tcW w:w="178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49.6</w:t>
            </w:r>
            <w:r>
              <w:rPr>
                <w:rFonts w:ascii="Arial" w:cs="Arial" w:eastAsia="Arial" w:hAnsi="Arial"/>
                <w:sz w:val="23"/>
                <w:szCs w:val="23"/>
                <w:color w:val="074A75"/>
                <w:w w:val="95"/>
              </w:rPr>
              <w:t>B</w:t>
            </w:r>
          </w:p>
        </w:tc>
        <w:tc>
          <w:tcPr>
            <w:tcW w:w="140" w:type="dxa"/>
            <w:vAlign w:val="bottom"/>
            <w:shd w:val="clear" w:color="auto" w:fill="EEEFEF"/>
          </w:tcPr>
          <w:p>
            <w:pPr>
              <w:spacing w:after="0" w:line="20" w:lineRule="exact"/>
              <w:rPr>
                <w:sz w:val="1"/>
                <w:szCs w:val="1"/>
                <w:color w:val="auto"/>
              </w:rPr>
            </w:pPr>
          </w:p>
        </w:tc>
        <w:tc>
          <w:tcPr>
            <w:tcW w:w="1360" w:type="dxa"/>
            <w:vAlign w:val="bottom"/>
            <w:vMerge w:val="restart"/>
          </w:tcPr>
          <w:p>
            <w:pPr>
              <w:jc w:val="center"/>
              <w:spacing w:after="0"/>
              <w:rPr>
                <w:sz w:val="20"/>
                <w:szCs w:val="20"/>
                <w:color w:val="auto"/>
              </w:rPr>
            </w:pPr>
            <w:r>
              <w:rPr>
                <w:rFonts w:ascii="Arial" w:cs="Arial" w:eastAsia="Arial" w:hAnsi="Arial"/>
                <w:sz w:val="31"/>
                <w:szCs w:val="31"/>
                <w:color w:val="074A75"/>
                <w:w w:val="90"/>
              </w:rPr>
              <w:t>17</w:t>
            </w:r>
            <w:r>
              <w:rPr>
                <w:rFonts w:ascii="Arial" w:cs="Arial" w:eastAsia="Arial" w:hAnsi="Arial"/>
                <w:sz w:val="39"/>
                <w:szCs w:val="39"/>
                <w:color w:val="074A75"/>
                <w:w w:val="90"/>
                <w:vertAlign w:val="superscript"/>
              </w:rPr>
              <w:t>%</w:t>
            </w:r>
          </w:p>
        </w:tc>
        <w:tc>
          <w:tcPr>
            <w:tcW w:w="20" w:type="dxa"/>
            <w:vAlign w:val="bottom"/>
            <w:shd w:val="clear" w:color="auto" w:fill="454545"/>
          </w:tcPr>
          <w:p>
            <w:pPr>
              <w:spacing w:after="0" w:line="20" w:lineRule="exact"/>
              <w:rPr>
                <w:sz w:val="1"/>
                <w:szCs w:val="1"/>
                <w:color w:val="auto"/>
              </w:rPr>
            </w:pPr>
          </w:p>
        </w:tc>
        <w:tc>
          <w:tcPr>
            <w:tcW w:w="1520" w:type="dxa"/>
            <w:vAlign w:val="bottom"/>
            <w:vMerge w:val="restart"/>
          </w:tcPr>
          <w:p>
            <w:pPr>
              <w:jc w:val="center"/>
              <w:spacing w:after="0"/>
              <w:rPr>
                <w:sz w:val="20"/>
                <w:szCs w:val="20"/>
                <w:color w:val="auto"/>
              </w:rPr>
            </w:pPr>
            <w:r>
              <w:rPr>
                <w:rFonts w:ascii="Arial" w:cs="Arial" w:eastAsia="Arial" w:hAnsi="Arial"/>
                <w:sz w:val="31"/>
                <w:szCs w:val="31"/>
                <w:color w:val="074A75"/>
                <w:w w:val="90"/>
              </w:rPr>
              <w:t>21</w:t>
            </w:r>
            <w:r>
              <w:rPr>
                <w:rFonts w:ascii="Arial" w:cs="Arial" w:eastAsia="Arial" w:hAnsi="Arial"/>
                <w:sz w:val="39"/>
                <w:szCs w:val="39"/>
                <w:color w:val="074A75"/>
                <w:w w:val="90"/>
                <w:vertAlign w:val="superscript"/>
              </w:rPr>
              <w:t>%</w:t>
            </w:r>
          </w:p>
        </w:tc>
        <w:tc>
          <w:tcPr>
            <w:tcW w:w="140" w:type="dxa"/>
            <w:vAlign w:val="bottom"/>
            <w:shd w:val="clear" w:color="auto" w:fill="EEEF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60" w:type="dxa"/>
            <w:vAlign w:val="bottom"/>
            <w:shd w:val="clear" w:color="auto" w:fill="EEEFEF"/>
          </w:tcPr>
          <w:p>
            <w:pPr>
              <w:spacing w:after="0"/>
              <w:rPr>
                <w:sz w:val="24"/>
                <w:szCs w:val="24"/>
                <w:color w:val="auto"/>
              </w:rPr>
            </w:pPr>
          </w:p>
        </w:tc>
        <w:tc>
          <w:tcPr>
            <w:tcW w:w="1380" w:type="dxa"/>
            <w:vAlign w:val="bottom"/>
            <w:vMerge w:val="continue"/>
          </w:tcPr>
          <w:p>
            <w:pPr>
              <w:spacing w:after="0"/>
              <w:rPr>
                <w:sz w:val="24"/>
                <w:szCs w:val="24"/>
                <w:color w:val="auto"/>
              </w:rPr>
            </w:pPr>
          </w:p>
        </w:tc>
        <w:tc>
          <w:tcPr>
            <w:tcW w:w="20" w:type="dxa"/>
            <w:vAlign w:val="bottom"/>
            <w:shd w:val="clear" w:color="auto" w:fill="454545"/>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shd w:val="clear" w:color="auto" w:fill="EEEFEF"/>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shd w:val="clear" w:color="auto" w:fill="EEEFEF"/>
          </w:tcPr>
          <w:p>
            <w:pPr>
              <w:spacing w:after="0"/>
              <w:rPr>
                <w:sz w:val="24"/>
                <w:szCs w:val="24"/>
                <w:color w:val="auto"/>
              </w:rPr>
            </w:pPr>
          </w:p>
        </w:tc>
        <w:tc>
          <w:tcPr>
            <w:tcW w:w="1360" w:type="dxa"/>
            <w:vAlign w:val="bottom"/>
            <w:vMerge w:val="continue"/>
          </w:tcPr>
          <w:p>
            <w:pPr>
              <w:spacing w:after="0"/>
              <w:rPr>
                <w:sz w:val="24"/>
                <w:szCs w:val="24"/>
                <w:color w:val="auto"/>
              </w:rPr>
            </w:pPr>
          </w:p>
        </w:tc>
        <w:tc>
          <w:tcPr>
            <w:tcW w:w="20" w:type="dxa"/>
            <w:vAlign w:val="bottom"/>
            <w:shd w:val="clear" w:color="auto" w:fill="454545"/>
          </w:tcPr>
          <w:p>
            <w:pPr>
              <w:spacing w:after="0"/>
              <w:rPr>
                <w:sz w:val="24"/>
                <w:szCs w:val="24"/>
                <w:color w:val="auto"/>
              </w:rPr>
            </w:pPr>
          </w:p>
        </w:tc>
        <w:tc>
          <w:tcPr>
            <w:tcW w:w="1520" w:type="dxa"/>
            <w:vAlign w:val="bottom"/>
            <w:vMerge w:val="continue"/>
          </w:tcPr>
          <w:p>
            <w:pPr>
              <w:spacing w:after="0"/>
              <w:rPr>
                <w:sz w:val="24"/>
                <w:szCs w:val="24"/>
                <w:color w:val="auto"/>
              </w:rPr>
            </w:pPr>
          </w:p>
        </w:tc>
        <w:tc>
          <w:tcPr>
            <w:tcW w:w="140" w:type="dxa"/>
            <w:vAlign w:val="bottom"/>
            <w:shd w:val="clear" w:color="auto" w:fill="EEEFEF"/>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60" w:type="dxa"/>
            <w:vAlign w:val="bottom"/>
            <w:shd w:val="clear" w:color="auto" w:fill="EEEFEF"/>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i w:val="1"/>
                <w:iCs w:val="1"/>
                <w:color w:val="auto"/>
              </w:rPr>
              <w:t>REPORTED</w:t>
            </w:r>
          </w:p>
        </w:tc>
        <w:tc>
          <w:tcPr>
            <w:tcW w:w="20" w:type="dxa"/>
            <w:vAlign w:val="bottom"/>
            <w:shd w:val="clear" w:color="auto" w:fill="454545"/>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i w:val="1"/>
                <w:iCs w:val="1"/>
                <w:color w:val="auto"/>
              </w:rPr>
              <w:t>EXCLUDING LOAN LOSS</w:t>
            </w:r>
          </w:p>
        </w:tc>
        <w:tc>
          <w:tcPr>
            <w:tcW w:w="160" w:type="dxa"/>
            <w:vAlign w:val="bottom"/>
            <w:shd w:val="clear" w:color="auto" w:fill="EEEFEF"/>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shd w:val="clear" w:color="auto" w:fill="EEEFEF"/>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shd w:val="clear" w:color="auto" w:fill="454545"/>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shd w:val="clear" w:color="auto" w:fill="EEEFE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60" w:type="dxa"/>
            <w:vAlign w:val="bottom"/>
            <w:shd w:val="clear" w:color="auto" w:fill="EEEFEF"/>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shd w:val="clear" w:color="auto" w:fill="454545"/>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3"/>
                <w:szCs w:val="13"/>
                <w:i w:val="1"/>
                <w:iCs w:val="1"/>
                <w:color w:val="auto"/>
              </w:rPr>
              <w:t>RESERVES ("Ex. LLR")</w:t>
            </w:r>
            <w:r>
              <w:rPr>
                <w:rFonts w:ascii="Arial" w:cs="Arial" w:eastAsia="Arial" w:hAnsi="Arial"/>
                <w:sz w:val="17"/>
                <w:szCs w:val="17"/>
                <w:i w:val="1"/>
                <w:iCs w:val="1"/>
                <w:color w:val="auto"/>
                <w:vertAlign w:val="superscript"/>
              </w:rPr>
              <w:t>1,2</w:t>
            </w:r>
          </w:p>
        </w:tc>
        <w:tc>
          <w:tcPr>
            <w:tcW w:w="160" w:type="dxa"/>
            <w:vAlign w:val="bottom"/>
            <w:shd w:val="clear" w:color="auto" w:fill="EEEFEF"/>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shd w:val="clear" w:color="auto" w:fill="EEEFEF"/>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shd w:val="clear" w:color="auto" w:fill="454545"/>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shd w:val="clear" w:color="auto" w:fill="EEEFE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60" w:type="dxa"/>
            <w:vAlign w:val="bottom"/>
            <w:tcBorders>
              <w:bottom w:val="single" w:sz="8" w:color="EEEFEF"/>
            </w:tcBorders>
            <w:shd w:val="clear" w:color="auto" w:fill="EEEFEF"/>
          </w:tcPr>
          <w:p>
            <w:pPr>
              <w:spacing w:after="0"/>
              <w:rPr>
                <w:sz w:val="7"/>
                <w:szCs w:val="7"/>
                <w:color w:val="auto"/>
              </w:rPr>
            </w:pPr>
          </w:p>
        </w:tc>
        <w:tc>
          <w:tcPr>
            <w:tcW w:w="1380" w:type="dxa"/>
            <w:vAlign w:val="bottom"/>
            <w:tcBorders>
              <w:bottom w:val="single" w:sz="8" w:color="EEEFEF"/>
            </w:tcBorders>
          </w:tcPr>
          <w:p>
            <w:pPr>
              <w:spacing w:after="0"/>
              <w:rPr>
                <w:sz w:val="7"/>
                <w:szCs w:val="7"/>
                <w:color w:val="auto"/>
              </w:rPr>
            </w:pPr>
          </w:p>
        </w:tc>
        <w:tc>
          <w:tcPr>
            <w:tcW w:w="20" w:type="dxa"/>
            <w:vAlign w:val="bottom"/>
            <w:tcBorders>
              <w:bottom w:val="single" w:sz="8" w:color="EEEFEF"/>
            </w:tcBorders>
          </w:tcPr>
          <w:p>
            <w:pPr>
              <w:spacing w:after="0"/>
              <w:rPr>
                <w:sz w:val="7"/>
                <w:szCs w:val="7"/>
                <w:color w:val="auto"/>
              </w:rPr>
            </w:pPr>
          </w:p>
        </w:tc>
        <w:tc>
          <w:tcPr>
            <w:tcW w:w="1740" w:type="dxa"/>
            <w:vAlign w:val="bottom"/>
            <w:tcBorders>
              <w:bottom w:val="single" w:sz="8" w:color="EEEFEF"/>
            </w:tcBorders>
          </w:tcPr>
          <w:p>
            <w:pPr>
              <w:spacing w:after="0"/>
              <w:rPr>
                <w:sz w:val="7"/>
                <w:szCs w:val="7"/>
                <w:color w:val="auto"/>
              </w:rPr>
            </w:pPr>
          </w:p>
        </w:tc>
        <w:tc>
          <w:tcPr>
            <w:tcW w:w="160" w:type="dxa"/>
            <w:vAlign w:val="bottom"/>
            <w:tcBorders>
              <w:bottom w:val="single" w:sz="8" w:color="EEEFEF"/>
            </w:tcBorders>
            <w:shd w:val="clear" w:color="auto" w:fill="EEEFEF"/>
          </w:tcPr>
          <w:p>
            <w:pPr>
              <w:spacing w:after="0"/>
              <w:rPr>
                <w:sz w:val="7"/>
                <w:szCs w:val="7"/>
                <w:color w:val="auto"/>
              </w:rPr>
            </w:pPr>
          </w:p>
        </w:tc>
        <w:tc>
          <w:tcPr>
            <w:tcW w:w="1780" w:type="dxa"/>
            <w:vAlign w:val="bottom"/>
            <w:tcBorders>
              <w:bottom w:val="single" w:sz="8" w:color="EEEFEF"/>
            </w:tcBorders>
          </w:tcPr>
          <w:p>
            <w:pPr>
              <w:spacing w:after="0"/>
              <w:rPr>
                <w:sz w:val="7"/>
                <w:szCs w:val="7"/>
                <w:color w:val="auto"/>
              </w:rPr>
            </w:pPr>
          </w:p>
        </w:tc>
        <w:tc>
          <w:tcPr>
            <w:tcW w:w="140" w:type="dxa"/>
            <w:vAlign w:val="bottom"/>
            <w:tcBorders>
              <w:bottom w:val="single" w:sz="8" w:color="EEEFEF"/>
            </w:tcBorders>
            <w:shd w:val="clear" w:color="auto" w:fill="EEEFEF"/>
          </w:tcPr>
          <w:p>
            <w:pPr>
              <w:spacing w:after="0"/>
              <w:rPr>
                <w:sz w:val="7"/>
                <w:szCs w:val="7"/>
                <w:color w:val="auto"/>
              </w:rPr>
            </w:pPr>
          </w:p>
        </w:tc>
        <w:tc>
          <w:tcPr>
            <w:tcW w:w="1360" w:type="dxa"/>
            <w:vAlign w:val="bottom"/>
            <w:tcBorders>
              <w:bottom w:val="single" w:sz="8" w:color="EEEFEF"/>
            </w:tcBorders>
          </w:tcPr>
          <w:p>
            <w:pPr>
              <w:spacing w:after="0"/>
              <w:rPr>
                <w:sz w:val="7"/>
                <w:szCs w:val="7"/>
                <w:color w:val="auto"/>
              </w:rPr>
            </w:pPr>
          </w:p>
        </w:tc>
        <w:tc>
          <w:tcPr>
            <w:tcW w:w="20" w:type="dxa"/>
            <w:vAlign w:val="bottom"/>
            <w:tcBorders>
              <w:bottom w:val="single" w:sz="8" w:color="EEEFEF"/>
            </w:tcBorders>
          </w:tcPr>
          <w:p>
            <w:pPr>
              <w:spacing w:after="0"/>
              <w:rPr>
                <w:sz w:val="7"/>
                <w:szCs w:val="7"/>
                <w:color w:val="auto"/>
              </w:rPr>
            </w:pPr>
          </w:p>
        </w:tc>
        <w:tc>
          <w:tcPr>
            <w:tcW w:w="1520" w:type="dxa"/>
            <w:vAlign w:val="bottom"/>
            <w:tcBorders>
              <w:bottom w:val="single" w:sz="8" w:color="EEEFEF"/>
            </w:tcBorders>
          </w:tcPr>
          <w:p>
            <w:pPr>
              <w:spacing w:after="0"/>
              <w:rPr>
                <w:sz w:val="7"/>
                <w:szCs w:val="7"/>
                <w:color w:val="auto"/>
              </w:rPr>
            </w:pPr>
          </w:p>
        </w:tc>
        <w:tc>
          <w:tcPr>
            <w:tcW w:w="140" w:type="dxa"/>
            <w:vAlign w:val="bottom"/>
            <w:tcBorders>
              <w:bottom w:val="single" w:sz="8" w:color="EEEFEF"/>
            </w:tcBorders>
            <w:shd w:val="clear" w:color="auto" w:fill="EEEFEF"/>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60" w:type="dxa"/>
            <w:vAlign w:val="bottom"/>
            <w:shd w:val="clear" w:color="auto" w:fill="EEEFEF"/>
          </w:tcPr>
          <w:p>
            <w:pPr>
              <w:spacing w:after="0"/>
              <w:rPr>
                <w:sz w:val="4"/>
                <w:szCs w:val="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BOOK VALUE PER</w:t>
            </w:r>
          </w:p>
        </w:tc>
        <w:tc>
          <w:tcPr>
            <w:tcW w:w="20" w:type="dxa"/>
            <w:vAlign w:val="bottom"/>
          </w:tcPr>
          <w:p>
            <w:pPr>
              <w:spacing w:after="0"/>
              <w:rPr>
                <w:sz w:val="4"/>
                <w:szCs w:val="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color w:val="auto"/>
              </w:rPr>
              <w:t>TANGIBLE BOOK VALUE</w:t>
            </w:r>
          </w:p>
        </w:tc>
        <w:tc>
          <w:tcPr>
            <w:tcW w:w="160" w:type="dxa"/>
            <w:vAlign w:val="bottom"/>
            <w:shd w:val="clear" w:color="auto" w:fill="EEEFEF"/>
          </w:tcPr>
          <w:p>
            <w:pPr>
              <w:spacing w:after="0"/>
              <w:rPr>
                <w:sz w:val="4"/>
                <w:szCs w:val="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rPr>
              <w:t>MARKET</w:t>
            </w:r>
          </w:p>
        </w:tc>
        <w:tc>
          <w:tcPr>
            <w:tcW w:w="140" w:type="dxa"/>
            <w:vAlign w:val="bottom"/>
            <w:shd w:val="clear" w:color="auto" w:fill="EEEFEF"/>
          </w:tcPr>
          <w:p>
            <w:pPr>
              <w:spacing w:after="0"/>
              <w:rPr>
                <w:sz w:val="4"/>
                <w:szCs w:val="4"/>
                <w:color w:val="auto"/>
              </w:rPr>
            </w:pPr>
          </w:p>
        </w:tc>
        <w:tc>
          <w:tcPr>
            <w:tcW w:w="2900" w:type="dxa"/>
            <w:vAlign w:val="bottom"/>
            <w:gridSpan w:val="3"/>
            <w:vMerge w:val="restart"/>
          </w:tcPr>
          <w:p>
            <w:pPr>
              <w:jc w:val="center"/>
              <w:spacing w:after="0"/>
              <w:rPr>
                <w:sz w:val="20"/>
                <w:szCs w:val="20"/>
                <w:color w:val="auto"/>
              </w:rPr>
            </w:pPr>
            <w:r>
              <w:rPr>
                <w:rFonts w:ascii="Arial" w:cs="Arial" w:eastAsia="Arial" w:hAnsi="Arial"/>
                <w:sz w:val="14"/>
                <w:szCs w:val="14"/>
                <w:color w:val="auto"/>
              </w:rPr>
              <w:t>NET CAPITAL DISTRIBUTIONS</w:t>
            </w:r>
            <w:r>
              <w:rPr>
                <w:rFonts w:ascii="Arial" w:cs="Arial" w:eastAsia="Arial" w:hAnsi="Arial"/>
                <w:sz w:val="18"/>
                <w:szCs w:val="18"/>
                <w:color w:val="auto"/>
                <w:vertAlign w:val="superscript"/>
              </w:rPr>
              <w:t>3</w:t>
            </w:r>
          </w:p>
        </w:tc>
        <w:tc>
          <w:tcPr>
            <w:tcW w:w="140" w:type="dxa"/>
            <w:vAlign w:val="bottom"/>
            <w:shd w:val="clear" w:color="auto" w:fill="EEEFE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EEEFEF"/>
          </w:tcPr>
          <w:p>
            <w:pPr>
              <w:spacing w:after="0"/>
              <w:rPr>
                <w:sz w:val="21"/>
                <w:szCs w:val="21"/>
                <w:color w:val="auto"/>
              </w:rPr>
            </w:pPr>
          </w:p>
        </w:tc>
        <w:tc>
          <w:tcPr>
            <w:tcW w:w="1380" w:type="dxa"/>
            <w:vAlign w:val="bottom"/>
            <w:vMerge w:val="continue"/>
          </w:tcPr>
          <w:p>
            <w:pPr>
              <w:spacing w:after="0"/>
              <w:rPr>
                <w:sz w:val="21"/>
                <w:szCs w:val="21"/>
                <w:color w:val="auto"/>
              </w:rPr>
            </w:pPr>
          </w:p>
        </w:tc>
        <w:tc>
          <w:tcPr>
            <w:tcW w:w="20" w:type="dxa"/>
            <w:vAlign w:val="bottom"/>
            <w:shd w:val="clear" w:color="auto" w:fill="454545"/>
          </w:tcPr>
          <w:p>
            <w:pPr>
              <w:spacing w:after="0"/>
              <w:rPr>
                <w:sz w:val="21"/>
                <w:szCs w:val="21"/>
                <w:color w:val="auto"/>
              </w:rPr>
            </w:pPr>
          </w:p>
        </w:tc>
        <w:tc>
          <w:tcPr>
            <w:tcW w:w="1740" w:type="dxa"/>
            <w:vAlign w:val="bottom"/>
            <w:vMerge w:val="continue"/>
          </w:tcPr>
          <w:p>
            <w:pPr>
              <w:spacing w:after="0"/>
              <w:rPr>
                <w:sz w:val="21"/>
                <w:szCs w:val="21"/>
                <w:color w:val="auto"/>
              </w:rPr>
            </w:pPr>
          </w:p>
        </w:tc>
        <w:tc>
          <w:tcPr>
            <w:tcW w:w="160" w:type="dxa"/>
            <w:vAlign w:val="bottom"/>
            <w:shd w:val="clear" w:color="auto" w:fill="EEEFEF"/>
          </w:tcPr>
          <w:p>
            <w:pPr>
              <w:spacing w:after="0"/>
              <w:rPr>
                <w:sz w:val="21"/>
                <w:szCs w:val="21"/>
                <w:color w:val="auto"/>
              </w:rPr>
            </w:pPr>
          </w:p>
        </w:tc>
        <w:tc>
          <w:tcPr>
            <w:tcW w:w="1780" w:type="dxa"/>
            <w:vAlign w:val="bottom"/>
            <w:vMerge w:val="continue"/>
          </w:tcPr>
          <w:p>
            <w:pPr>
              <w:spacing w:after="0"/>
              <w:rPr>
                <w:sz w:val="21"/>
                <w:szCs w:val="21"/>
                <w:color w:val="auto"/>
              </w:rPr>
            </w:pPr>
          </w:p>
        </w:tc>
        <w:tc>
          <w:tcPr>
            <w:tcW w:w="140" w:type="dxa"/>
            <w:vAlign w:val="bottom"/>
            <w:shd w:val="clear" w:color="auto" w:fill="EEEFEF"/>
          </w:tcPr>
          <w:p>
            <w:pPr>
              <w:spacing w:after="0"/>
              <w:rPr>
                <w:sz w:val="21"/>
                <w:szCs w:val="21"/>
                <w:color w:val="auto"/>
              </w:rPr>
            </w:pPr>
          </w:p>
        </w:tc>
        <w:tc>
          <w:tcPr>
            <w:tcW w:w="2900" w:type="dxa"/>
            <w:vAlign w:val="bottom"/>
            <w:gridSpan w:val="3"/>
            <w:vMerge w:val="continue"/>
          </w:tcPr>
          <w:p>
            <w:pPr>
              <w:spacing w:after="0"/>
              <w:rPr>
                <w:sz w:val="21"/>
                <w:szCs w:val="21"/>
                <w:color w:val="auto"/>
              </w:rPr>
            </w:pPr>
          </w:p>
        </w:tc>
        <w:tc>
          <w:tcPr>
            <w:tcW w:w="140" w:type="dxa"/>
            <w:vAlign w:val="bottom"/>
            <w:shd w:val="clear" w:color="auto" w:fill="EEEFEF"/>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160" w:type="dxa"/>
            <w:vAlign w:val="bottom"/>
            <w:shd w:val="clear" w:color="auto" w:fill="EEEFEF"/>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SHARE ("BVPS")</w:t>
            </w:r>
          </w:p>
        </w:tc>
        <w:tc>
          <w:tcPr>
            <w:tcW w:w="20" w:type="dxa"/>
            <w:vAlign w:val="bottom"/>
            <w:shd w:val="clear" w:color="auto" w:fill="454545"/>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rPr>
              <w:t>PER SHARE ("TBVPS")</w:t>
            </w:r>
            <w:r>
              <w:rPr>
                <w:rFonts w:ascii="Arial" w:cs="Arial" w:eastAsia="Arial" w:hAnsi="Arial"/>
                <w:sz w:val="9"/>
                <w:szCs w:val="9"/>
                <w:color w:val="auto"/>
              </w:rPr>
              <w:t>2</w:t>
            </w:r>
          </w:p>
        </w:tc>
        <w:tc>
          <w:tcPr>
            <w:tcW w:w="160" w:type="dxa"/>
            <w:vAlign w:val="bottom"/>
            <w:shd w:val="clear" w:color="auto" w:fill="EEEFEF"/>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rPr>
              <w:t>CAPITALIZATION</w:t>
            </w:r>
          </w:p>
        </w:tc>
        <w:tc>
          <w:tcPr>
            <w:tcW w:w="140" w:type="dxa"/>
            <w:vAlign w:val="bottom"/>
            <w:shd w:val="clear" w:color="auto" w:fill="EEEFEF"/>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shd w:val="clear" w:color="auto" w:fill="EEEFEF"/>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160" w:type="dxa"/>
            <w:vAlign w:val="bottom"/>
            <w:shd w:val="clear" w:color="auto" w:fill="EEEFEF"/>
          </w:tcPr>
          <w:p>
            <w:pPr>
              <w:spacing w:after="0"/>
              <w:rPr>
                <w:sz w:val="24"/>
                <w:szCs w:val="24"/>
                <w:color w:val="auto"/>
              </w:rPr>
            </w:pPr>
          </w:p>
        </w:tc>
        <w:tc>
          <w:tcPr>
            <w:tcW w:w="1380" w:type="dxa"/>
            <w:vAlign w:val="bottom"/>
          </w:tcPr>
          <w:p>
            <w:pPr>
              <w:jc w:val="center"/>
              <w:spacing w:after="0" w:line="415" w:lineRule="exact"/>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104.45</w:t>
            </w:r>
          </w:p>
        </w:tc>
        <w:tc>
          <w:tcPr>
            <w:tcW w:w="20" w:type="dxa"/>
            <w:vAlign w:val="bottom"/>
            <w:shd w:val="clear" w:color="auto" w:fill="454545"/>
          </w:tcPr>
          <w:p>
            <w:pPr>
              <w:spacing w:after="0"/>
              <w:rPr>
                <w:sz w:val="24"/>
                <w:szCs w:val="24"/>
                <w:color w:val="auto"/>
              </w:rPr>
            </w:pPr>
          </w:p>
        </w:tc>
        <w:tc>
          <w:tcPr>
            <w:tcW w:w="1740" w:type="dxa"/>
            <w:vAlign w:val="bottom"/>
          </w:tcPr>
          <w:p>
            <w:pPr>
              <w:jc w:val="center"/>
              <w:spacing w:after="0" w:line="415" w:lineRule="exact"/>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86.08</w:t>
            </w:r>
          </w:p>
        </w:tc>
        <w:tc>
          <w:tcPr>
            <w:tcW w:w="160" w:type="dxa"/>
            <w:vAlign w:val="bottom"/>
            <w:shd w:val="clear" w:color="auto" w:fill="EEEFEF"/>
          </w:tcPr>
          <w:p>
            <w:pPr>
              <w:spacing w:after="0"/>
              <w:rPr>
                <w:sz w:val="24"/>
                <w:szCs w:val="24"/>
                <w:color w:val="auto"/>
              </w:rPr>
            </w:pPr>
          </w:p>
        </w:tc>
        <w:tc>
          <w:tcPr>
            <w:tcW w:w="1780" w:type="dxa"/>
            <w:vAlign w:val="bottom"/>
          </w:tcPr>
          <w:p>
            <w:pPr>
              <w:jc w:val="center"/>
              <w:spacing w:after="0" w:line="415" w:lineRule="exact"/>
              <w:rPr>
                <w:sz w:val="20"/>
                <w:szCs w:val="20"/>
                <w:color w:val="auto"/>
              </w:rPr>
            </w:pPr>
            <w:r>
              <w:rPr>
                <w:rFonts w:ascii="Arial" w:cs="Arial" w:eastAsia="Arial" w:hAnsi="Arial"/>
                <w:sz w:val="39"/>
                <w:szCs w:val="39"/>
                <w:color w:val="074A75"/>
                <w:w w:val="96"/>
                <w:vertAlign w:val="superscript"/>
              </w:rPr>
              <w:t>$</w:t>
            </w:r>
            <w:r>
              <w:rPr>
                <w:rFonts w:ascii="Arial" w:cs="Arial" w:eastAsia="Arial" w:hAnsi="Arial"/>
                <w:sz w:val="31"/>
                <w:szCs w:val="31"/>
                <w:color w:val="074A75"/>
                <w:w w:val="96"/>
              </w:rPr>
              <w:t>489.3</w:t>
            </w:r>
            <w:r>
              <w:rPr>
                <w:rFonts w:ascii="Arial" w:cs="Arial" w:eastAsia="Arial" w:hAnsi="Arial"/>
                <w:sz w:val="23"/>
                <w:szCs w:val="23"/>
                <w:color w:val="074A75"/>
                <w:w w:val="96"/>
              </w:rPr>
              <w:t>B</w:t>
            </w:r>
          </w:p>
        </w:tc>
        <w:tc>
          <w:tcPr>
            <w:tcW w:w="140" w:type="dxa"/>
            <w:vAlign w:val="bottom"/>
            <w:shd w:val="clear" w:color="auto" w:fill="EEEFEF"/>
          </w:tcPr>
          <w:p>
            <w:pPr>
              <w:spacing w:after="0"/>
              <w:rPr>
                <w:sz w:val="24"/>
                <w:szCs w:val="24"/>
                <w:color w:val="auto"/>
              </w:rPr>
            </w:pPr>
          </w:p>
        </w:tc>
        <w:tc>
          <w:tcPr>
            <w:tcW w:w="2900" w:type="dxa"/>
            <w:vAlign w:val="bottom"/>
            <w:gridSpan w:val="3"/>
          </w:tcPr>
          <w:p>
            <w:pPr>
              <w:jc w:val="center"/>
              <w:spacing w:after="0" w:line="415" w:lineRule="exact"/>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19.8</w:t>
            </w:r>
            <w:r>
              <w:rPr>
                <w:rFonts w:ascii="Arial" w:cs="Arial" w:eastAsia="Arial" w:hAnsi="Arial"/>
                <w:sz w:val="23"/>
                <w:szCs w:val="23"/>
                <w:color w:val="074A75"/>
                <w:w w:val="95"/>
              </w:rPr>
              <w:t>B</w:t>
            </w:r>
          </w:p>
        </w:tc>
        <w:tc>
          <w:tcPr>
            <w:tcW w:w="140" w:type="dxa"/>
            <w:vAlign w:val="bottom"/>
            <w:shd w:val="clear" w:color="auto" w:fill="EEEFE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60" w:type="dxa"/>
            <w:vAlign w:val="bottom"/>
            <w:shd w:val="clear" w:color="auto" w:fill="EEEFEF"/>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60" w:type="dxa"/>
            <w:vAlign w:val="bottom"/>
            <w:shd w:val="clear" w:color="auto" w:fill="EEEFEF"/>
          </w:tcPr>
          <w:p>
            <w:pPr>
              <w:spacing w:after="0"/>
              <w:rPr>
                <w:sz w:val="4"/>
                <w:szCs w:val="4"/>
                <w:color w:val="auto"/>
              </w:rPr>
            </w:pPr>
          </w:p>
        </w:tc>
        <w:tc>
          <w:tcPr>
            <w:tcW w:w="1780" w:type="dxa"/>
            <w:vAlign w:val="bottom"/>
          </w:tcPr>
          <w:p>
            <w:pPr>
              <w:spacing w:after="0"/>
              <w:rPr>
                <w:sz w:val="4"/>
                <w:szCs w:val="4"/>
                <w:color w:val="auto"/>
              </w:rPr>
            </w:pPr>
          </w:p>
        </w:tc>
        <w:tc>
          <w:tcPr>
            <w:tcW w:w="140" w:type="dxa"/>
            <w:vAlign w:val="bottom"/>
            <w:shd w:val="clear" w:color="auto" w:fill="EEEFEF"/>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shd w:val="clear" w:color="auto" w:fill="EEEFEF"/>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60" w:type="dxa"/>
            <w:vAlign w:val="bottom"/>
            <w:shd w:val="clear" w:color="auto" w:fill="EEEFEF"/>
          </w:tcPr>
          <w:p>
            <w:pPr>
              <w:spacing w:after="0"/>
              <w:rPr>
                <w:sz w:val="8"/>
                <w:szCs w:val="8"/>
                <w:color w:val="auto"/>
              </w:rPr>
            </w:pPr>
          </w:p>
        </w:tc>
        <w:tc>
          <w:tcPr>
            <w:tcW w:w="1380" w:type="dxa"/>
            <w:vAlign w:val="bottom"/>
            <w:shd w:val="clear" w:color="auto" w:fill="EEEFEF"/>
          </w:tcPr>
          <w:p>
            <w:pPr>
              <w:spacing w:after="0"/>
              <w:rPr>
                <w:sz w:val="8"/>
                <w:szCs w:val="8"/>
                <w:color w:val="auto"/>
              </w:rPr>
            </w:pPr>
          </w:p>
        </w:tc>
        <w:tc>
          <w:tcPr>
            <w:tcW w:w="20" w:type="dxa"/>
            <w:vAlign w:val="bottom"/>
            <w:shd w:val="clear" w:color="auto" w:fill="EEEFEF"/>
          </w:tcPr>
          <w:p>
            <w:pPr>
              <w:spacing w:after="0"/>
              <w:rPr>
                <w:sz w:val="8"/>
                <w:szCs w:val="8"/>
                <w:color w:val="auto"/>
              </w:rPr>
            </w:pPr>
          </w:p>
        </w:tc>
        <w:tc>
          <w:tcPr>
            <w:tcW w:w="1740" w:type="dxa"/>
            <w:vAlign w:val="bottom"/>
            <w:shd w:val="clear" w:color="auto" w:fill="EEEFEF"/>
          </w:tcPr>
          <w:p>
            <w:pPr>
              <w:spacing w:after="0"/>
              <w:rPr>
                <w:sz w:val="8"/>
                <w:szCs w:val="8"/>
                <w:color w:val="auto"/>
              </w:rPr>
            </w:pPr>
          </w:p>
        </w:tc>
        <w:tc>
          <w:tcPr>
            <w:tcW w:w="160" w:type="dxa"/>
            <w:vAlign w:val="bottom"/>
            <w:shd w:val="clear" w:color="auto" w:fill="EEEFEF"/>
          </w:tcPr>
          <w:p>
            <w:pPr>
              <w:spacing w:after="0"/>
              <w:rPr>
                <w:sz w:val="8"/>
                <w:szCs w:val="8"/>
                <w:color w:val="auto"/>
              </w:rPr>
            </w:pPr>
          </w:p>
        </w:tc>
        <w:tc>
          <w:tcPr>
            <w:tcW w:w="1780" w:type="dxa"/>
            <w:vAlign w:val="bottom"/>
            <w:shd w:val="clear" w:color="auto" w:fill="EEEFEF"/>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1360" w:type="dxa"/>
            <w:vAlign w:val="bottom"/>
            <w:shd w:val="clear" w:color="auto" w:fill="EEEFEF"/>
          </w:tcPr>
          <w:p>
            <w:pPr>
              <w:spacing w:after="0"/>
              <w:rPr>
                <w:sz w:val="8"/>
                <w:szCs w:val="8"/>
                <w:color w:val="auto"/>
              </w:rPr>
            </w:pPr>
          </w:p>
        </w:tc>
        <w:tc>
          <w:tcPr>
            <w:tcW w:w="20" w:type="dxa"/>
            <w:vAlign w:val="bottom"/>
            <w:shd w:val="clear" w:color="auto" w:fill="EEEFEF"/>
          </w:tcPr>
          <w:p>
            <w:pPr>
              <w:spacing w:after="0"/>
              <w:rPr>
                <w:sz w:val="8"/>
                <w:szCs w:val="8"/>
                <w:color w:val="auto"/>
              </w:rPr>
            </w:pPr>
          </w:p>
        </w:tc>
        <w:tc>
          <w:tcPr>
            <w:tcW w:w="1520" w:type="dxa"/>
            <w:vAlign w:val="bottom"/>
            <w:shd w:val="clear" w:color="auto" w:fill="EEEFEF"/>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714500" cy="7454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0" cy="74549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2680" w:space="140"/>
            <w:col w:w="8420"/>
          </w:cols>
          <w:pgMar w:left="320" w:top="157" w:right="339" w:bottom="1440" w:gutter="0" w:footer="0" w:header="0"/>
          <w:type w:val="continuous"/>
        </w:sectPr>
      </w:pPr>
    </w:p>
    <w:p>
      <w:pPr>
        <w:spacing w:after="0" w:line="5" w:lineRule="exact"/>
        <w:rPr>
          <w:sz w:val="20"/>
          <w:szCs w:val="20"/>
          <w:color w:val="auto"/>
        </w:rPr>
      </w:pPr>
    </w:p>
    <w:p>
      <w:pPr>
        <w:ind w:left="680"/>
        <w:spacing w:after="0"/>
        <w:rPr>
          <w:sz w:val="20"/>
          <w:szCs w:val="20"/>
          <w:color w:val="auto"/>
        </w:rPr>
      </w:pPr>
      <w:r>
        <w:rPr>
          <w:rFonts w:ascii="Arial" w:cs="Arial" w:eastAsia="Arial" w:hAnsi="Arial"/>
          <w:sz w:val="20"/>
          <w:szCs w:val="20"/>
          <w:color w:val="074A75"/>
        </w:rPr>
        <w:t>CONSUMER &amp;</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20"/>
          <w:szCs w:val="20"/>
          <w:color w:val="074A75"/>
        </w:rPr>
        <w:t>COMMUNITY BANKING</w:t>
      </w:r>
    </w:p>
    <w:p>
      <w:pPr>
        <w:ind w:left="1000"/>
        <w:spacing w:after="0"/>
        <w:rPr>
          <w:sz w:val="20"/>
          <w:szCs w:val="20"/>
          <w:color w:val="auto"/>
        </w:rPr>
      </w:pPr>
      <w:r>
        <w:rPr>
          <w:rFonts w:ascii="Arial" w:cs="Arial" w:eastAsia="Arial" w:hAnsi="Arial"/>
          <w:sz w:val="20"/>
          <w:szCs w:val="20"/>
          <w:color w:val="074A75"/>
        </w:rPr>
        <w:t>("CCB")</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60" w:type="dxa"/>
            <w:vAlign w:val="bottom"/>
            <w:tcBorders>
              <w:right w:val="single" w:sz="8" w:color="454545"/>
            </w:tcBorders>
            <w:vMerge w:val="restart"/>
            <w:shd w:val="clear" w:color="auto" w:fill="EEEFEF"/>
          </w:tcPr>
          <w:p>
            <w:pPr>
              <w:jc w:val="center"/>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PRE-TAX INCOME</w:t>
            </w:r>
          </w:p>
        </w:tc>
        <w:tc>
          <w:tcPr>
            <w:tcW w:w="0" w:type="dxa"/>
            <w:vAlign w:val="bottom"/>
          </w:tcPr>
          <w:p>
            <w:pPr>
              <w:spacing w:after="0"/>
              <w:rPr>
                <w:sz w:val="1"/>
                <w:szCs w:val="1"/>
                <w:color w:val="auto"/>
              </w:rPr>
            </w:pPr>
          </w:p>
        </w:tc>
      </w:tr>
      <w:tr>
        <w:trPr>
          <w:trHeight w:val="98"/>
        </w:trPr>
        <w:tc>
          <w:tcPr>
            <w:tcW w:w="1360" w:type="dxa"/>
            <w:vAlign w:val="bottom"/>
            <w:tcBorders>
              <w:right w:val="single" w:sz="8" w:color="454545"/>
            </w:tcBorders>
            <w:vMerge w:val="continue"/>
            <w:shd w:val="clear" w:color="auto" w:fill="EEEFEF"/>
          </w:tcPr>
          <w:p>
            <w:pPr>
              <w:spacing w:after="0"/>
              <w:rPr>
                <w:sz w:val="8"/>
                <w:szCs w:val="8"/>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5"/>
              </w:rPr>
              <w:t>ex. LLR</w:t>
            </w:r>
            <w:r>
              <w:rPr>
                <w:rFonts w:ascii="Arial" w:cs="Arial" w:eastAsia="Arial" w:hAnsi="Arial"/>
                <w:sz w:val="18"/>
                <w:szCs w:val="18"/>
                <w:color w:val="auto"/>
                <w:w w:val="95"/>
                <w:vertAlign w:val="superscript"/>
              </w:rPr>
              <w:t>1,2</w:t>
            </w:r>
          </w:p>
        </w:tc>
        <w:tc>
          <w:tcPr>
            <w:tcW w:w="0" w:type="dxa"/>
            <w:vAlign w:val="bottom"/>
          </w:tcPr>
          <w:p>
            <w:pPr>
              <w:spacing w:after="0"/>
              <w:rPr>
                <w:sz w:val="1"/>
                <w:szCs w:val="1"/>
                <w:color w:val="auto"/>
              </w:rPr>
            </w:pPr>
          </w:p>
        </w:tc>
      </w:tr>
      <w:tr>
        <w:trPr>
          <w:trHeight w:val="116"/>
        </w:trPr>
        <w:tc>
          <w:tcPr>
            <w:tcW w:w="1360" w:type="dxa"/>
            <w:vAlign w:val="bottom"/>
            <w:tcBorders>
              <w:right w:val="single" w:sz="8" w:color="454545"/>
            </w:tcBorders>
            <w:shd w:val="clear" w:color="auto" w:fill="EEEFEF"/>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9"/>
        </w:trPr>
        <w:tc>
          <w:tcPr>
            <w:tcW w:w="1360" w:type="dxa"/>
            <w:vAlign w:val="bottom"/>
            <w:tcBorders>
              <w:bottom w:val="single" w:sz="8" w:color="EEEFEF"/>
              <w:right w:val="single" w:sz="8" w:color="454545"/>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70.1</w:t>
            </w:r>
            <w:r>
              <w:rPr>
                <w:rFonts w:ascii="Arial" w:cs="Arial" w:eastAsia="Arial" w:hAnsi="Arial"/>
                <w:sz w:val="23"/>
                <w:szCs w:val="23"/>
                <w:color w:val="074A75"/>
                <w:w w:val="95"/>
              </w:rPr>
              <w:t>B</w:t>
            </w:r>
          </w:p>
        </w:tc>
        <w:tc>
          <w:tcPr>
            <w:tcW w:w="132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30.0</w:t>
            </w:r>
            <w:r>
              <w:rPr>
                <w:rFonts w:ascii="Arial" w:cs="Arial" w:eastAsia="Arial" w:hAnsi="Arial"/>
                <w:sz w:val="23"/>
                <w:szCs w:val="23"/>
                <w:color w:val="074A75"/>
                <w:w w:val="95"/>
              </w:rPr>
              <w:t>B</w:t>
            </w:r>
          </w:p>
        </w:tc>
        <w:tc>
          <w:tcPr>
            <w:tcW w:w="0" w:type="dxa"/>
            <w:vAlign w:val="bottom"/>
          </w:tcPr>
          <w:p>
            <w:pPr>
              <w:spacing w:after="0"/>
              <w:rPr>
                <w:sz w:val="1"/>
                <w:szCs w:val="1"/>
                <w:color w:val="auto"/>
              </w:rPr>
            </w:pPr>
          </w:p>
        </w:tc>
      </w:tr>
      <w:tr>
        <w:trPr>
          <w:trHeight w:val="208"/>
        </w:trPr>
        <w:tc>
          <w:tcPr>
            <w:tcW w:w="136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EEEFEF"/>
          </w:tcPr>
          <w:p>
            <w:pPr>
              <w:jc w:val="center"/>
              <w:spacing w:after="0"/>
              <w:rPr>
                <w:sz w:val="20"/>
                <w:szCs w:val="20"/>
                <w:color w:val="auto"/>
              </w:rPr>
            </w:pPr>
            <w:r>
              <w:rPr>
                <w:rFonts w:ascii="Arial" w:cs="Arial" w:eastAsia="Arial" w:hAnsi="Arial"/>
                <w:sz w:val="14"/>
                <w:szCs w:val="14"/>
                <w:color w:val="auto"/>
                <w:w w:val="98"/>
              </w:rPr>
              <w:t>ROE</w:t>
            </w:r>
          </w:p>
        </w:tc>
        <w:tc>
          <w:tcPr>
            <w:tcW w:w="0" w:type="dxa"/>
            <w:vAlign w:val="bottom"/>
          </w:tcPr>
          <w:p>
            <w:pPr>
              <w:spacing w:after="0"/>
              <w:rPr>
                <w:sz w:val="1"/>
                <w:szCs w:val="1"/>
                <w:color w:val="auto"/>
              </w:rPr>
            </w:pPr>
          </w:p>
        </w:tc>
      </w:tr>
      <w:tr>
        <w:trPr>
          <w:trHeight w:val="427"/>
        </w:trPr>
        <w:tc>
          <w:tcPr>
            <w:tcW w:w="136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21.2</w:t>
            </w:r>
            <w:r>
              <w:rPr>
                <w:rFonts w:ascii="Arial" w:cs="Arial" w:eastAsia="Arial" w:hAnsi="Arial"/>
                <w:sz w:val="23"/>
                <w:szCs w:val="23"/>
                <w:color w:val="074A75"/>
                <w:w w:val="95"/>
              </w:rPr>
              <w:t>B</w:t>
            </w:r>
          </w:p>
        </w:tc>
        <w:tc>
          <w:tcPr>
            <w:tcW w:w="1320" w:type="dxa"/>
            <w:vAlign w:val="bottom"/>
            <w:shd w:val="clear" w:color="auto" w:fill="EEEFEF"/>
          </w:tcPr>
          <w:p>
            <w:pPr>
              <w:jc w:val="center"/>
              <w:spacing w:after="0"/>
              <w:rPr>
                <w:sz w:val="20"/>
                <w:szCs w:val="20"/>
                <w:color w:val="auto"/>
              </w:rPr>
            </w:pPr>
            <w:r>
              <w:rPr>
                <w:rFonts w:ascii="Arial" w:cs="Arial" w:eastAsia="Arial" w:hAnsi="Arial"/>
                <w:sz w:val="29"/>
                <w:szCs w:val="29"/>
                <w:color w:val="074A75"/>
                <w:w w:val="92"/>
              </w:rPr>
              <w:t>38</w:t>
            </w:r>
            <w:r>
              <w:rPr>
                <w:rFonts w:ascii="Arial" w:cs="Arial" w:eastAsia="Arial" w:hAnsi="Arial"/>
                <w:sz w:val="37"/>
                <w:szCs w:val="37"/>
                <w:color w:val="074A75"/>
                <w:w w:val="92"/>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97355" cy="1457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97355" cy="1457325"/>
                    </a:xfrm>
                    <a:prstGeom prst="rect">
                      <a:avLst/>
                    </a:prstGeom>
                    <a:noFill/>
                  </pic:spPr>
                </pic:pic>
              </a:graphicData>
            </a:graphic>
          </wp:anchor>
        </w:drawing>
      </w:r>
    </w:p>
    <w:p>
      <w:pPr>
        <w:spacing w:after="0" w:line="44" w:lineRule="exact"/>
        <w:rPr>
          <w:sz w:val="20"/>
          <w:szCs w:val="20"/>
          <w:color w:val="auto"/>
        </w:rPr>
      </w:pPr>
    </w:p>
    <w:p>
      <w:pPr>
        <w:ind w:left="220" w:right="480" w:hanging="194"/>
        <w:spacing w:after="0" w:line="278" w:lineRule="auto"/>
        <w:tabs>
          <w:tab w:leader="none" w:pos="214" w:val="left"/>
        </w:tabs>
        <w:numPr>
          <w:ilvl w:val="0"/>
          <w:numId w:val="11"/>
        </w:numPr>
        <w:rPr>
          <w:rFonts w:ascii="Arial" w:cs="Arial" w:eastAsia="Arial" w:hAnsi="Arial"/>
          <w:sz w:val="15"/>
          <w:szCs w:val="15"/>
          <w:color w:val="074A75"/>
        </w:rPr>
      </w:pPr>
      <w:r>
        <w:rPr>
          <w:rFonts w:ascii="Arial" w:cs="Arial" w:eastAsia="Arial" w:hAnsi="Arial"/>
          <w:sz w:val="15"/>
          <w:szCs w:val="15"/>
          <w:color w:val="auto"/>
        </w:rPr>
        <w:t>#1 market share in U.S. retail deposits</w:t>
      </w:r>
      <w:r>
        <w:rPr>
          <w:rFonts w:ascii="Arial" w:cs="Arial" w:eastAsia="Arial" w:hAnsi="Arial"/>
          <w:sz w:val="19"/>
          <w:szCs w:val="19"/>
          <w:color w:val="auto"/>
          <w:vertAlign w:val="superscript"/>
        </w:rPr>
        <w:t>4</w:t>
      </w:r>
    </w:p>
    <w:p>
      <w:pPr>
        <w:spacing w:after="0" w:line="1" w:lineRule="exact"/>
        <w:rPr>
          <w:rFonts w:ascii="Arial" w:cs="Arial" w:eastAsia="Arial" w:hAnsi="Arial"/>
          <w:sz w:val="15"/>
          <w:szCs w:val="15"/>
          <w:color w:val="074A75"/>
        </w:rPr>
      </w:pPr>
    </w:p>
    <w:p>
      <w:pPr>
        <w:ind w:left="220" w:right="120" w:hanging="194"/>
        <w:spacing w:after="0" w:line="270" w:lineRule="auto"/>
        <w:tabs>
          <w:tab w:leader="none" w:pos="214" w:val="left"/>
        </w:tabs>
        <w:numPr>
          <w:ilvl w:val="0"/>
          <w:numId w:val="11"/>
        </w:numPr>
        <w:rPr>
          <w:rFonts w:ascii="Arial" w:cs="Arial" w:eastAsia="Arial" w:hAnsi="Arial"/>
          <w:sz w:val="15"/>
          <w:szCs w:val="15"/>
          <w:color w:val="074A75"/>
        </w:rPr>
      </w:pPr>
      <w:r>
        <w:rPr>
          <w:rFonts w:ascii="Arial" w:cs="Arial" w:eastAsia="Arial" w:hAnsi="Arial"/>
          <w:sz w:val="15"/>
          <w:szCs w:val="15"/>
          <w:color w:val="auto"/>
        </w:rPr>
        <w:t>#1 market share in Card, based on U.S. sales and outstandings</w:t>
      </w:r>
    </w:p>
    <w:p>
      <w:pPr>
        <w:spacing w:after="0" w:line="35" w:lineRule="exact"/>
        <w:rPr>
          <w:rFonts w:ascii="Arial" w:cs="Arial" w:eastAsia="Arial" w:hAnsi="Arial"/>
          <w:sz w:val="15"/>
          <w:szCs w:val="15"/>
          <w:color w:val="074A75"/>
        </w:rPr>
      </w:pPr>
    </w:p>
    <w:p>
      <w:pPr>
        <w:ind w:left="220" w:right="400" w:hanging="194"/>
        <w:spacing w:after="0" w:line="301" w:lineRule="auto"/>
        <w:tabs>
          <w:tab w:leader="none" w:pos="214" w:val="left"/>
        </w:tabs>
        <w:numPr>
          <w:ilvl w:val="0"/>
          <w:numId w:val="11"/>
        </w:numPr>
        <w:rPr>
          <w:rFonts w:ascii="Arial" w:cs="Arial" w:eastAsia="Arial" w:hAnsi="Arial"/>
          <w:sz w:val="15"/>
          <w:szCs w:val="15"/>
          <w:color w:val="074A75"/>
        </w:rPr>
      </w:pPr>
      <w:r>
        <w:rPr>
          <w:rFonts w:ascii="Arial" w:cs="Arial" w:eastAsia="Arial" w:hAnsi="Arial"/>
          <w:sz w:val="15"/>
          <w:szCs w:val="15"/>
          <w:color w:val="auto"/>
        </w:rPr>
        <w:t>#1 primary bank for U.S. small businesses</w:t>
      </w:r>
    </w:p>
    <w:p>
      <w:pPr>
        <w:spacing w:after="0" w:line="11" w:lineRule="exact"/>
        <w:rPr>
          <w:rFonts w:ascii="Arial" w:cs="Arial" w:eastAsia="Arial" w:hAnsi="Arial"/>
          <w:sz w:val="15"/>
          <w:szCs w:val="15"/>
          <w:color w:val="074A75"/>
        </w:rPr>
      </w:pPr>
    </w:p>
    <w:p>
      <w:pPr>
        <w:ind w:left="220" w:hanging="194"/>
        <w:spacing w:after="0"/>
        <w:tabs>
          <w:tab w:leader="none" w:pos="220" w:val="left"/>
        </w:tabs>
        <w:numPr>
          <w:ilvl w:val="0"/>
          <w:numId w:val="11"/>
        </w:numPr>
        <w:rPr>
          <w:rFonts w:ascii="Arial" w:cs="Arial" w:eastAsia="Arial" w:hAnsi="Arial"/>
          <w:sz w:val="15"/>
          <w:szCs w:val="15"/>
          <w:color w:val="074A75"/>
        </w:rPr>
      </w:pPr>
      <w:r>
        <w:rPr>
          <w:rFonts w:ascii="Arial" w:cs="Arial" w:eastAsia="Arial" w:hAnsi="Arial"/>
          <w:sz w:val="15"/>
          <w:szCs w:val="15"/>
          <w:color w:val="auto"/>
        </w:rPr>
        <w:t>#1 banking platform in the U.S.</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left="-19" w:right="80"/>
        <w:spacing w:after="0" w:line="313" w:lineRule="auto"/>
        <w:rPr>
          <w:sz w:val="20"/>
          <w:szCs w:val="20"/>
          <w:color w:val="auto"/>
        </w:rPr>
      </w:pPr>
      <w:r>
        <w:rPr>
          <w:rFonts w:ascii="Arial" w:cs="Arial" w:eastAsia="Arial" w:hAnsi="Arial"/>
          <w:sz w:val="19"/>
          <w:szCs w:val="19"/>
          <w:color w:val="074A75"/>
        </w:rPr>
        <w:t>CORPORATE &amp; INVESTMENT BANK ("CIB")</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PRE-TAX INCOME</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6"/>
        </w:trPr>
        <w:tc>
          <w:tcPr>
            <w:tcW w:w="1380" w:type="dxa"/>
            <w:vAlign w:val="bottom"/>
            <w:tcBorders>
              <w:right w:val="single" w:sz="8" w:color="454545"/>
            </w:tcBorders>
            <w:vMerge w:val="restart"/>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48.8</w:t>
            </w:r>
            <w:r>
              <w:rPr>
                <w:rFonts w:ascii="Arial" w:cs="Arial" w:eastAsia="Arial" w:hAnsi="Arial"/>
                <w:sz w:val="23"/>
                <w:szCs w:val="23"/>
                <w:color w:val="074A75"/>
                <w:w w:val="95"/>
              </w:rPr>
              <w:t>B</w:t>
            </w: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9"/>
        </w:trPr>
        <w:tc>
          <w:tcPr>
            <w:tcW w:w="1380" w:type="dxa"/>
            <w:vAlign w:val="bottom"/>
            <w:tcBorders>
              <w:bottom w:val="single" w:sz="8" w:color="EEEFEF"/>
              <w:right w:val="single" w:sz="8" w:color="454545"/>
            </w:tcBorders>
            <w:vMerge w:val="continue"/>
            <w:shd w:val="clear" w:color="auto" w:fill="EEEFEF"/>
          </w:tcPr>
          <w:p>
            <w:pPr>
              <w:spacing w:after="0"/>
              <w:rPr>
                <w:sz w:val="24"/>
                <w:szCs w:val="24"/>
                <w:color w:val="auto"/>
              </w:rPr>
            </w:pPr>
          </w:p>
        </w:tc>
        <w:tc>
          <w:tcPr>
            <w:tcW w:w="132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20.1</w:t>
            </w:r>
            <w:r>
              <w:rPr>
                <w:rFonts w:ascii="Arial" w:cs="Arial" w:eastAsia="Arial" w:hAnsi="Arial"/>
                <w:sz w:val="23"/>
                <w:szCs w:val="23"/>
                <w:color w:val="074A75"/>
                <w:w w:val="95"/>
              </w:rPr>
              <w:t>B</w:t>
            </w:r>
          </w:p>
        </w:tc>
        <w:tc>
          <w:tcPr>
            <w:tcW w:w="0" w:type="dxa"/>
            <w:vAlign w:val="bottom"/>
          </w:tcPr>
          <w:p>
            <w:pPr>
              <w:spacing w:after="0"/>
              <w:rPr>
                <w:sz w:val="1"/>
                <w:szCs w:val="1"/>
                <w:color w:val="auto"/>
              </w:rPr>
            </w:pPr>
          </w:p>
        </w:tc>
      </w:tr>
      <w:tr>
        <w:trPr>
          <w:trHeight w:val="208"/>
        </w:trPr>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EEEFEF"/>
          </w:tcPr>
          <w:p>
            <w:pPr>
              <w:jc w:val="center"/>
              <w:spacing w:after="0"/>
              <w:rPr>
                <w:sz w:val="20"/>
                <w:szCs w:val="20"/>
                <w:color w:val="auto"/>
              </w:rPr>
            </w:pPr>
            <w:r>
              <w:rPr>
                <w:rFonts w:ascii="Arial" w:cs="Arial" w:eastAsia="Arial" w:hAnsi="Arial"/>
                <w:sz w:val="14"/>
                <w:szCs w:val="14"/>
                <w:color w:val="auto"/>
              </w:rPr>
              <w:t>ROE</w:t>
            </w:r>
          </w:p>
        </w:tc>
        <w:tc>
          <w:tcPr>
            <w:tcW w:w="0" w:type="dxa"/>
            <w:vAlign w:val="bottom"/>
          </w:tcPr>
          <w:p>
            <w:pPr>
              <w:spacing w:after="0"/>
              <w:rPr>
                <w:sz w:val="1"/>
                <w:szCs w:val="1"/>
                <w:color w:val="auto"/>
              </w:rPr>
            </w:pPr>
          </w:p>
        </w:tc>
      </w:tr>
      <w:tr>
        <w:trPr>
          <w:trHeight w:val="427"/>
        </w:trPr>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14.1</w:t>
            </w:r>
            <w:r>
              <w:rPr>
                <w:rFonts w:ascii="Arial" w:cs="Arial" w:eastAsia="Arial" w:hAnsi="Arial"/>
                <w:sz w:val="23"/>
                <w:szCs w:val="23"/>
                <w:color w:val="074A75"/>
                <w:w w:val="95"/>
              </w:rPr>
              <w:t>B</w:t>
            </w:r>
          </w:p>
        </w:tc>
        <w:tc>
          <w:tcPr>
            <w:tcW w:w="1320" w:type="dxa"/>
            <w:vAlign w:val="bottom"/>
            <w:shd w:val="clear" w:color="auto" w:fill="EEEFEF"/>
          </w:tcPr>
          <w:p>
            <w:pPr>
              <w:jc w:val="center"/>
              <w:spacing w:after="0"/>
              <w:rPr>
                <w:sz w:val="20"/>
                <w:szCs w:val="20"/>
                <w:color w:val="auto"/>
              </w:rPr>
            </w:pPr>
            <w:r>
              <w:rPr>
                <w:rFonts w:ascii="Arial" w:cs="Arial" w:eastAsia="Arial" w:hAnsi="Arial"/>
                <w:sz w:val="29"/>
                <w:szCs w:val="29"/>
                <w:color w:val="074A75"/>
                <w:w w:val="88"/>
              </w:rPr>
              <w:t>13</w:t>
            </w:r>
            <w:r>
              <w:rPr>
                <w:rFonts w:ascii="Arial" w:cs="Arial" w:eastAsia="Arial" w:hAnsi="Arial"/>
                <w:sz w:val="37"/>
                <w:szCs w:val="37"/>
                <w:color w:val="074A75"/>
                <w:w w:val="88"/>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714500" cy="14573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0" cy="1457325"/>
                    </a:xfrm>
                    <a:prstGeom prst="rect">
                      <a:avLst/>
                    </a:prstGeom>
                    <a:noFill/>
                  </pic:spPr>
                </pic:pic>
              </a:graphicData>
            </a:graphic>
          </wp:anchor>
        </w:drawing>
      </w:r>
    </w:p>
    <w:p>
      <w:pPr>
        <w:spacing w:after="0" w:line="44" w:lineRule="exact"/>
        <w:rPr>
          <w:sz w:val="20"/>
          <w:szCs w:val="20"/>
          <w:color w:val="auto"/>
        </w:rPr>
      </w:pPr>
    </w:p>
    <w:p>
      <w:pPr>
        <w:ind w:left="220" w:right="40" w:hanging="193"/>
        <w:spacing w:after="0" w:line="273" w:lineRule="auto"/>
        <w:tabs>
          <w:tab w:leader="none" w:pos="214" w:val="left"/>
        </w:tabs>
        <w:numPr>
          <w:ilvl w:val="0"/>
          <w:numId w:val="12"/>
        </w:numPr>
        <w:rPr>
          <w:rFonts w:ascii="Arial" w:cs="Arial" w:eastAsia="Arial" w:hAnsi="Arial"/>
          <w:sz w:val="15"/>
          <w:szCs w:val="15"/>
          <w:color w:val="074A75"/>
        </w:rPr>
      </w:pPr>
      <w:r>
        <w:rPr>
          <w:rFonts w:ascii="Arial" w:cs="Arial" w:eastAsia="Arial" w:hAnsi="Arial"/>
          <w:sz w:val="15"/>
          <w:szCs w:val="15"/>
          <w:color w:val="auto"/>
        </w:rPr>
        <w:t>#1 in Global Investment Banking ("IB") fees for 15 consecutive years, with 8.8% wallet share</w:t>
      </w:r>
      <w:r>
        <w:rPr>
          <w:rFonts w:ascii="Arial" w:cs="Arial" w:eastAsia="Arial" w:hAnsi="Arial"/>
          <w:sz w:val="9"/>
          <w:szCs w:val="9"/>
          <w:color w:val="auto"/>
        </w:rPr>
        <w:t>5</w:t>
      </w:r>
    </w:p>
    <w:p>
      <w:pPr>
        <w:spacing w:after="0" w:line="30" w:lineRule="exact"/>
        <w:rPr>
          <w:rFonts w:ascii="Arial" w:cs="Arial" w:eastAsia="Arial" w:hAnsi="Arial"/>
          <w:sz w:val="15"/>
          <w:szCs w:val="15"/>
          <w:color w:val="074A75"/>
        </w:rPr>
      </w:pPr>
    </w:p>
    <w:p>
      <w:pPr>
        <w:ind w:left="220" w:hanging="193"/>
        <w:spacing w:after="0"/>
        <w:tabs>
          <w:tab w:leader="none" w:pos="220" w:val="left"/>
        </w:tabs>
        <w:numPr>
          <w:ilvl w:val="0"/>
          <w:numId w:val="12"/>
        </w:numPr>
        <w:rPr>
          <w:rFonts w:ascii="Arial" w:cs="Arial" w:eastAsia="Arial" w:hAnsi="Arial"/>
          <w:sz w:val="15"/>
          <w:szCs w:val="15"/>
          <w:color w:val="074A75"/>
        </w:rPr>
      </w:pPr>
      <w:r>
        <w:rPr>
          <w:rFonts w:ascii="Arial" w:cs="Arial" w:eastAsia="Arial" w:hAnsi="Arial"/>
          <w:sz w:val="15"/>
          <w:szCs w:val="15"/>
          <w:color w:val="auto"/>
        </w:rPr>
        <w:t>#1 in Markets revenue</w:t>
      </w:r>
      <w:r>
        <w:rPr>
          <w:rFonts w:ascii="Arial" w:cs="Arial" w:eastAsia="Arial" w:hAnsi="Arial"/>
          <w:sz w:val="19"/>
          <w:szCs w:val="19"/>
          <w:color w:val="auto"/>
          <w:vertAlign w:val="superscript"/>
        </w:rPr>
        <w:t>5</w:t>
      </w:r>
    </w:p>
    <w:p>
      <w:pPr>
        <w:spacing w:after="0" w:line="48" w:lineRule="exact"/>
        <w:rPr>
          <w:rFonts w:ascii="Arial" w:cs="Arial" w:eastAsia="Arial" w:hAnsi="Arial"/>
          <w:sz w:val="15"/>
          <w:szCs w:val="15"/>
          <w:color w:val="074A75"/>
        </w:rPr>
      </w:pPr>
    </w:p>
    <w:p>
      <w:pPr>
        <w:ind w:left="220" w:hanging="193"/>
        <w:spacing w:after="0"/>
        <w:tabs>
          <w:tab w:leader="none" w:pos="220" w:val="left"/>
        </w:tabs>
        <w:numPr>
          <w:ilvl w:val="0"/>
          <w:numId w:val="12"/>
        </w:numPr>
        <w:rPr>
          <w:rFonts w:ascii="Arial" w:cs="Arial" w:eastAsia="Arial" w:hAnsi="Arial"/>
          <w:sz w:val="15"/>
          <w:szCs w:val="15"/>
          <w:color w:val="074A75"/>
        </w:rPr>
      </w:pPr>
      <w:r>
        <w:rPr>
          <w:rFonts w:ascii="Arial" w:cs="Arial" w:eastAsia="Arial" w:hAnsi="Arial"/>
          <w:sz w:val="15"/>
          <w:szCs w:val="15"/>
          <w:color w:val="auto"/>
        </w:rPr>
        <w:t>#1 in USD payments volume</w:t>
      </w:r>
      <w:r>
        <w:rPr>
          <w:rFonts w:ascii="Arial" w:cs="Arial" w:eastAsia="Arial" w:hAnsi="Arial"/>
          <w:sz w:val="19"/>
          <w:szCs w:val="19"/>
          <w:color w:val="auto"/>
          <w:vertAlign w:val="superscript"/>
        </w:rPr>
        <w:t>6</w:t>
      </w:r>
    </w:p>
    <w:p>
      <w:pPr>
        <w:spacing w:after="0" w:line="38" w:lineRule="exact"/>
        <w:rPr>
          <w:rFonts w:ascii="Arial" w:cs="Arial" w:eastAsia="Arial" w:hAnsi="Arial"/>
          <w:sz w:val="15"/>
          <w:szCs w:val="15"/>
          <w:color w:val="074A75"/>
        </w:rPr>
      </w:pPr>
    </w:p>
    <w:p>
      <w:pPr>
        <w:ind w:left="220" w:hanging="193"/>
        <w:spacing w:after="0"/>
        <w:tabs>
          <w:tab w:leader="none" w:pos="220" w:val="left"/>
        </w:tabs>
        <w:numPr>
          <w:ilvl w:val="0"/>
          <w:numId w:val="12"/>
        </w:numPr>
        <w:rPr>
          <w:rFonts w:ascii="Arial" w:cs="Arial" w:eastAsia="Arial" w:hAnsi="Arial"/>
          <w:sz w:val="15"/>
          <w:szCs w:val="15"/>
          <w:color w:val="074A75"/>
        </w:rPr>
      </w:pPr>
      <w:r>
        <w:rPr>
          <w:rFonts w:ascii="Arial" w:cs="Arial" w:eastAsia="Arial" w:hAnsi="Arial"/>
          <w:sz w:val="15"/>
          <w:szCs w:val="15"/>
          <w:color w:val="auto"/>
        </w:rPr>
        <w:t>#3 custodian globally by revenue</w:t>
      </w:r>
      <w:r>
        <w:rPr>
          <w:rFonts w:ascii="Arial" w:cs="Arial" w:eastAsia="Arial" w:hAnsi="Arial"/>
          <w:sz w:val="19"/>
          <w:szCs w:val="19"/>
          <w:color w:val="auto"/>
          <w:vertAlign w:val="superscript"/>
        </w:rPr>
        <w:t>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0"/>
        </w:trPr>
        <w:tc>
          <w:tcPr>
            <w:tcW w:w="2700" w:type="dxa"/>
            <w:vAlign w:val="bottom"/>
            <w:gridSpan w:val="3"/>
            <w:shd w:val="clear" w:color="auto" w:fill="EEEFEF"/>
          </w:tcPr>
          <w:p>
            <w:pPr>
              <w:ind w:left="680"/>
              <w:spacing w:after="0"/>
              <w:rPr>
                <w:sz w:val="20"/>
                <w:szCs w:val="20"/>
                <w:color w:val="auto"/>
              </w:rPr>
            </w:pPr>
            <w:r>
              <w:rPr>
                <w:rFonts w:ascii="Arial" w:cs="Arial" w:eastAsia="Arial" w:hAnsi="Arial"/>
                <w:sz w:val="20"/>
                <w:szCs w:val="20"/>
                <w:color w:val="074A75"/>
              </w:rPr>
              <w:t>COMMERCIAL</w:t>
            </w:r>
          </w:p>
        </w:tc>
        <w:tc>
          <w:tcPr>
            <w:tcW w:w="140" w:type="dxa"/>
            <w:vAlign w:val="bottom"/>
          </w:tcPr>
          <w:p>
            <w:pPr>
              <w:spacing w:after="0"/>
              <w:rPr>
                <w:sz w:val="24"/>
                <w:szCs w:val="24"/>
                <w:color w:val="auto"/>
              </w:rPr>
            </w:pPr>
          </w:p>
        </w:tc>
        <w:tc>
          <w:tcPr>
            <w:tcW w:w="2720" w:type="dxa"/>
            <w:vAlign w:val="bottom"/>
            <w:gridSpan w:val="3"/>
            <w:shd w:val="clear" w:color="auto" w:fill="EEEFEF"/>
          </w:tcPr>
          <w:p>
            <w:pPr>
              <w:ind w:left="520"/>
              <w:spacing w:after="0"/>
              <w:rPr>
                <w:sz w:val="20"/>
                <w:szCs w:val="20"/>
                <w:color w:val="auto"/>
              </w:rPr>
            </w:pPr>
            <w:r>
              <w:rPr>
                <w:rFonts w:ascii="Arial" w:cs="Arial" w:eastAsia="Arial" w:hAnsi="Arial"/>
                <w:sz w:val="20"/>
                <w:szCs w:val="20"/>
                <w:color w:val="074A75"/>
              </w:rPr>
              <w:t>ASSET &amp; WEALTH</w:t>
            </w:r>
          </w:p>
        </w:tc>
        <w:tc>
          <w:tcPr>
            <w:tcW w:w="0" w:type="dxa"/>
            <w:vAlign w:val="bottom"/>
          </w:tcPr>
          <w:p>
            <w:pPr>
              <w:spacing w:after="0"/>
              <w:rPr>
                <w:sz w:val="1"/>
                <w:szCs w:val="1"/>
                <w:color w:val="auto"/>
              </w:rPr>
            </w:pPr>
          </w:p>
        </w:tc>
      </w:tr>
      <w:tr>
        <w:trPr>
          <w:trHeight w:val="261"/>
        </w:trPr>
        <w:tc>
          <w:tcPr>
            <w:tcW w:w="2700" w:type="dxa"/>
            <w:vAlign w:val="bottom"/>
            <w:gridSpan w:val="3"/>
            <w:shd w:val="clear" w:color="auto" w:fill="EEEFEF"/>
          </w:tcPr>
          <w:p>
            <w:pPr>
              <w:ind w:left="600"/>
              <w:spacing w:after="0"/>
              <w:rPr>
                <w:sz w:val="20"/>
                <w:szCs w:val="20"/>
                <w:color w:val="auto"/>
              </w:rPr>
            </w:pPr>
            <w:r>
              <w:rPr>
                <w:rFonts w:ascii="Arial" w:cs="Arial" w:eastAsia="Arial" w:hAnsi="Arial"/>
                <w:sz w:val="20"/>
                <w:szCs w:val="20"/>
                <w:color w:val="074A75"/>
              </w:rPr>
              <w:t>BANKING ("CB")</w:t>
            </w:r>
          </w:p>
        </w:tc>
        <w:tc>
          <w:tcPr>
            <w:tcW w:w="140" w:type="dxa"/>
            <w:vAlign w:val="bottom"/>
          </w:tcPr>
          <w:p>
            <w:pPr>
              <w:spacing w:after="0"/>
              <w:rPr>
                <w:sz w:val="22"/>
                <w:szCs w:val="22"/>
                <w:color w:val="auto"/>
              </w:rPr>
            </w:pPr>
          </w:p>
        </w:tc>
        <w:tc>
          <w:tcPr>
            <w:tcW w:w="2720" w:type="dxa"/>
            <w:vAlign w:val="bottom"/>
            <w:gridSpan w:val="3"/>
            <w:shd w:val="clear" w:color="auto" w:fill="EEEFEF"/>
          </w:tcPr>
          <w:p>
            <w:pPr>
              <w:ind w:left="260"/>
              <w:spacing w:after="0"/>
              <w:rPr>
                <w:sz w:val="20"/>
                <w:szCs w:val="20"/>
                <w:color w:val="auto"/>
              </w:rPr>
            </w:pPr>
            <w:r>
              <w:rPr>
                <w:rFonts w:ascii="Arial" w:cs="Arial" w:eastAsia="Arial" w:hAnsi="Arial"/>
                <w:sz w:val="20"/>
                <w:szCs w:val="20"/>
                <w:color w:val="074A75"/>
              </w:rPr>
              <w:t>MANAGEMENT ("AWM")</w:t>
            </w:r>
          </w:p>
        </w:tc>
        <w:tc>
          <w:tcPr>
            <w:tcW w:w="0" w:type="dxa"/>
            <w:vAlign w:val="bottom"/>
          </w:tcPr>
          <w:p>
            <w:pPr>
              <w:spacing w:after="0"/>
              <w:rPr>
                <w:sz w:val="1"/>
                <w:szCs w:val="1"/>
                <w:color w:val="auto"/>
              </w:rPr>
            </w:pPr>
          </w:p>
        </w:tc>
      </w:tr>
      <w:tr>
        <w:trPr>
          <w:trHeight w:val="138"/>
        </w:trPr>
        <w:tc>
          <w:tcPr>
            <w:tcW w:w="134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20" w:type="dxa"/>
            <w:vAlign w:val="bottom"/>
            <w:shd w:val="clear" w:color="auto" w:fill="EEEFEF"/>
          </w:tcPr>
          <w:p>
            <w:pPr>
              <w:spacing w:after="0"/>
              <w:rPr>
                <w:sz w:val="12"/>
                <w:szCs w:val="12"/>
                <w:color w:val="auto"/>
              </w:rPr>
            </w:pPr>
          </w:p>
        </w:tc>
        <w:tc>
          <w:tcPr>
            <w:tcW w:w="134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rPr>
              <w:t>PRE-TAX INCOME</w:t>
            </w:r>
          </w:p>
        </w:tc>
        <w:tc>
          <w:tcPr>
            <w:tcW w:w="140" w:type="dxa"/>
            <w:vAlign w:val="bottom"/>
          </w:tcPr>
          <w:p>
            <w:pPr>
              <w:spacing w:after="0"/>
              <w:rPr>
                <w:sz w:val="12"/>
                <w:szCs w:val="12"/>
                <w:color w:val="auto"/>
              </w:rPr>
            </w:pPr>
          </w:p>
        </w:tc>
        <w:tc>
          <w:tcPr>
            <w:tcW w:w="136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20" w:type="dxa"/>
            <w:vAlign w:val="bottom"/>
            <w:shd w:val="clear" w:color="auto" w:fill="EEEFEF"/>
          </w:tcPr>
          <w:p>
            <w:pPr>
              <w:spacing w:after="0"/>
              <w:rPr>
                <w:sz w:val="12"/>
                <w:szCs w:val="12"/>
                <w:color w:val="auto"/>
              </w:rPr>
            </w:pPr>
          </w:p>
        </w:tc>
        <w:tc>
          <w:tcPr>
            <w:tcW w:w="134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rPr>
              <w:t>PRE-TAX INCOME</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91"/>
        </w:trPr>
        <w:tc>
          <w:tcPr>
            <w:tcW w:w="1340" w:type="dxa"/>
            <w:vAlign w:val="bottom"/>
            <w:vMerge w:val="continue"/>
            <w:shd w:val="clear" w:color="auto" w:fill="EEEFEF"/>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1340" w:type="dxa"/>
            <w:vAlign w:val="bottom"/>
            <w:vMerge w:val="continue"/>
            <w:shd w:val="clear" w:color="auto" w:fill="EEEFEF"/>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continue"/>
            <w:shd w:val="clear" w:color="auto" w:fill="EEEFEF"/>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1340" w:type="dxa"/>
            <w:vAlign w:val="bottom"/>
            <w:vMerge w:val="continue"/>
            <w:shd w:val="clear" w:color="auto" w:fill="EEEFEF"/>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1340" w:type="dxa"/>
            <w:vAlign w:val="bottom"/>
            <w:vMerge w:val="continue"/>
            <w:shd w:val="clear" w:color="auto" w:fill="EEEFEF"/>
          </w:tcPr>
          <w:p>
            <w:pPr>
              <w:spacing w:after="0"/>
              <w:rPr>
                <w:sz w:val="8"/>
                <w:szCs w:val="8"/>
                <w:color w:val="auto"/>
              </w:rPr>
            </w:pPr>
          </w:p>
        </w:tc>
        <w:tc>
          <w:tcPr>
            <w:tcW w:w="20" w:type="dxa"/>
            <w:vAlign w:val="bottom"/>
            <w:shd w:val="clear" w:color="auto" w:fill="454545"/>
          </w:tcPr>
          <w:p>
            <w:pPr>
              <w:spacing w:after="0"/>
              <w:rPr>
                <w:sz w:val="8"/>
                <w:szCs w:val="8"/>
                <w:color w:val="auto"/>
              </w:rPr>
            </w:pPr>
          </w:p>
        </w:tc>
        <w:tc>
          <w:tcPr>
            <w:tcW w:w="1340" w:type="dxa"/>
            <w:vAlign w:val="bottom"/>
            <w:vMerge w:val="restart"/>
            <w:shd w:val="clear" w:color="auto" w:fill="EEEFEF"/>
          </w:tcPr>
          <w:p>
            <w:pPr>
              <w:jc w:val="center"/>
              <w:spacing w:after="0"/>
              <w:rPr>
                <w:sz w:val="20"/>
                <w:szCs w:val="20"/>
                <w:color w:val="auto"/>
              </w:rPr>
            </w:pPr>
            <w:r>
              <w:rPr>
                <w:rFonts w:ascii="Arial" w:cs="Arial" w:eastAsia="Arial" w:hAnsi="Arial"/>
                <w:sz w:val="14"/>
                <w:szCs w:val="14"/>
                <w:color w:val="auto"/>
                <w:w w:val="95"/>
              </w:rPr>
              <w:t>ex. LLR</w:t>
            </w:r>
            <w:r>
              <w:rPr>
                <w:rFonts w:ascii="Arial" w:cs="Arial" w:eastAsia="Arial" w:hAnsi="Arial"/>
                <w:sz w:val="18"/>
                <w:szCs w:val="18"/>
                <w:color w:val="auto"/>
                <w:w w:val="95"/>
                <w:vertAlign w:val="superscript"/>
              </w:rPr>
              <w:t>1,2</w:t>
            </w:r>
          </w:p>
        </w:tc>
        <w:tc>
          <w:tcPr>
            <w:tcW w:w="140" w:type="dxa"/>
            <w:vAlign w:val="bottom"/>
          </w:tcPr>
          <w:p>
            <w:pPr>
              <w:spacing w:after="0"/>
              <w:rPr>
                <w:sz w:val="8"/>
                <w:szCs w:val="8"/>
                <w:color w:val="auto"/>
              </w:rPr>
            </w:pPr>
          </w:p>
        </w:tc>
        <w:tc>
          <w:tcPr>
            <w:tcW w:w="1360" w:type="dxa"/>
            <w:vAlign w:val="bottom"/>
            <w:vMerge w:val="continue"/>
            <w:shd w:val="clear" w:color="auto" w:fill="EEEFEF"/>
          </w:tcPr>
          <w:p>
            <w:pPr>
              <w:spacing w:after="0"/>
              <w:rPr>
                <w:sz w:val="8"/>
                <w:szCs w:val="8"/>
                <w:color w:val="auto"/>
              </w:rPr>
            </w:pPr>
          </w:p>
        </w:tc>
        <w:tc>
          <w:tcPr>
            <w:tcW w:w="20" w:type="dxa"/>
            <w:vAlign w:val="bottom"/>
            <w:shd w:val="clear" w:color="auto" w:fill="454545"/>
          </w:tcPr>
          <w:p>
            <w:pPr>
              <w:spacing w:after="0"/>
              <w:rPr>
                <w:sz w:val="8"/>
                <w:szCs w:val="8"/>
                <w:color w:val="auto"/>
              </w:rPr>
            </w:pPr>
          </w:p>
        </w:tc>
        <w:tc>
          <w:tcPr>
            <w:tcW w:w="1340" w:type="dxa"/>
            <w:vAlign w:val="bottom"/>
            <w:vMerge w:val="continue"/>
            <w:shd w:val="clear" w:color="auto" w:fill="EEEFE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40" w:type="dxa"/>
            <w:vAlign w:val="bottom"/>
            <w:shd w:val="clear" w:color="auto" w:fill="EEEFEF"/>
          </w:tcPr>
          <w:p>
            <w:pPr>
              <w:spacing w:after="0"/>
              <w:rPr>
                <w:sz w:val="10"/>
                <w:szCs w:val="10"/>
                <w:color w:val="auto"/>
              </w:rPr>
            </w:pPr>
          </w:p>
        </w:tc>
        <w:tc>
          <w:tcPr>
            <w:tcW w:w="20" w:type="dxa"/>
            <w:vAlign w:val="bottom"/>
            <w:shd w:val="clear" w:color="auto" w:fill="454545"/>
          </w:tcPr>
          <w:p>
            <w:pPr>
              <w:spacing w:after="0"/>
              <w:rPr>
                <w:sz w:val="10"/>
                <w:szCs w:val="10"/>
                <w:color w:val="auto"/>
              </w:rPr>
            </w:pPr>
          </w:p>
        </w:tc>
        <w:tc>
          <w:tcPr>
            <w:tcW w:w="1340" w:type="dxa"/>
            <w:vAlign w:val="bottom"/>
            <w:vMerge w:val="continue"/>
            <w:shd w:val="clear" w:color="auto" w:fill="EEEFEF"/>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shd w:val="clear" w:color="auto" w:fill="EEEFEF"/>
          </w:tcPr>
          <w:p>
            <w:pPr>
              <w:spacing w:after="0"/>
              <w:rPr>
                <w:sz w:val="10"/>
                <w:szCs w:val="10"/>
                <w:color w:val="auto"/>
              </w:rPr>
            </w:pPr>
          </w:p>
        </w:tc>
        <w:tc>
          <w:tcPr>
            <w:tcW w:w="20" w:type="dxa"/>
            <w:vAlign w:val="bottom"/>
            <w:shd w:val="clear" w:color="auto" w:fill="454545"/>
          </w:tcPr>
          <w:p>
            <w:pPr>
              <w:spacing w:after="0"/>
              <w:rPr>
                <w:sz w:val="10"/>
                <w:szCs w:val="10"/>
                <w:color w:val="auto"/>
              </w:rPr>
            </w:pPr>
          </w:p>
        </w:tc>
        <w:tc>
          <w:tcPr>
            <w:tcW w:w="1340" w:type="dxa"/>
            <w:vAlign w:val="bottom"/>
            <w:shd w:val="clear" w:color="auto" w:fill="EEEFEF"/>
          </w:tcPr>
          <w:p>
            <w:pPr>
              <w:spacing w:after="0"/>
              <w:rPr>
                <w:sz w:val="10"/>
                <w:szCs w:val="10"/>
                <w:color w:val="auto"/>
              </w:rPr>
            </w:pPr>
          </w:p>
        </w:tc>
        <w:tc>
          <w:tcPr>
            <w:tcW w:w="0" w:type="dxa"/>
            <w:vAlign w:val="bottom"/>
          </w:tcPr>
          <w:p>
            <w:pPr>
              <w:spacing w:after="0"/>
              <w:rPr>
                <w:sz w:val="1"/>
                <w:szCs w:val="1"/>
                <w:color w:val="auto"/>
              </w:rPr>
            </w:pPr>
          </w:p>
        </w:tc>
      </w:tr>
      <w:tr>
        <w:trPr>
          <w:trHeight w:val="439"/>
        </w:trPr>
        <w:tc>
          <w:tcPr>
            <w:tcW w:w="134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15.5</w:t>
            </w:r>
            <w:r>
              <w:rPr>
                <w:rFonts w:ascii="Arial" w:cs="Arial" w:eastAsia="Arial" w:hAnsi="Arial"/>
                <w:sz w:val="23"/>
                <w:szCs w:val="23"/>
                <w:color w:val="074A75"/>
                <w:w w:val="95"/>
              </w:rPr>
              <w:t>B</w:t>
            </w:r>
          </w:p>
        </w:tc>
        <w:tc>
          <w:tcPr>
            <w:tcW w:w="20" w:type="dxa"/>
            <w:vAlign w:val="bottom"/>
            <w:tcBorders>
              <w:bottom w:val="single" w:sz="8" w:color="EEEFEF"/>
            </w:tcBorders>
            <w:shd w:val="clear" w:color="auto" w:fill="454545"/>
          </w:tcPr>
          <w:p>
            <w:pPr>
              <w:spacing w:after="0"/>
              <w:rPr>
                <w:sz w:val="24"/>
                <w:szCs w:val="24"/>
                <w:color w:val="auto"/>
              </w:rPr>
            </w:pPr>
          </w:p>
        </w:tc>
        <w:tc>
          <w:tcPr>
            <w:tcW w:w="134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9.9</w:t>
            </w:r>
            <w:r>
              <w:rPr>
                <w:rFonts w:ascii="Arial" w:cs="Arial" w:eastAsia="Arial" w:hAnsi="Arial"/>
                <w:sz w:val="23"/>
                <w:szCs w:val="23"/>
                <w:color w:val="074A75"/>
                <w:w w:val="95"/>
              </w:rPr>
              <w:t>B</w:t>
            </w:r>
          </w:p>
        </w:tc>
        <w:tc>
          <w:tcPr>
            <w:tcW w:w="140" w:type="dxa"/>
            <w:vAlign w:val="bottom"/>
          </w:tcPr>
          <w:p>
            <w:pPr>
              <w:spacing w:after="0"/>
              <w:rPr>
                <w:sz w:val="24"/>
                <w:szCs w:val="24"/>
                <w:color w:val="auto"/>
              </w:rPr>
            </w:pPr>
          </w:p>
        </w:tc>
        <w:tc>
          <w:tcPr>
            <w:tcW w:w="136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19.8</w:t>
            </w:r>
            <w:r>
              <w:rPr>
                <w:rFonts w:ascii="Arial" w:cs="Arial" w:eastAsia="Arial" w:hAnsi="Arial"/>
                <w:sz w:val="23"/>
                <w:szCs w:val="23"/>
                <w:color w:val="074A75"/>
                <w:w w:val="95"/>
              </w:rPr>
              <w:t>B</w:t>
            </w:r>
          </w:p>
        </w:tc>
        <w:tc>
          <w:tcPr>
            <w:tcW w:w="20" w:type="dxa"/>
            <w:vAlign w:val="bottom"/>
            <w:tcBorders>
              <w:bottom w:val="single" w:sz="8" w:color="EEEFEF"/>
            </w:tcBorders>
            <w:shd w:val="clear" w:color="auto" w:fill="454545"/>
          </w:tcPr>
          <w:p>
            <w:pPr>
              <w:spacing w:after="0"/>
              <w:rPr>
                <w:sz w:val="24"/>
                <w:szCs w:val="24"/>
                <w:color w:val="auto"/>
              </w:rPr>
            </w:pPr>
          </w:p>
        </w:tc>
        <w:tc>
          <w:tcPr>
            <w:tcW w:w="134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6.9</w:t>
            </w:r>
            <w:r>
              <w:rPr>
                <w:rFonts w:ascii="Arial" w:cs="Arial" w:eastAsia="Arial" w:hAnsi="Arial"/>
                <w:sz w:val="23"/>
                <w:szCs w:val="23"/>
                <w:color w:val="074A75"/>
                <w:w w:val="95"/>
              </w:rPr>
              <w:t>B</w:t>
            </w:r>
          </w:p>
        </w:tc>
        <w:tc>
          <w:tcPr>
            <w:tcW w:w="0" w:type="dxa"/>
            <w:vAlign w:val="bottom"/>
          </w:tcPr>
          <w:p>
            <w:pPr>
              <w:spacing w:after="0"/>
              <w:rPr>
                <w:sz w:val="1"/>
                <w:szCs w:val="1"/>
                <w:color w:val="auto"/>
              </w:rPr>
            </w:pPr>
          </w:p>
        </w:tc>
      </w:tr>
      <w:tr>
        <w:trPr>
          <w:trHeight w:val="208"/>
        </w:trPr>
        <w:tc>
          <w:tcPr>
            <w:tcW w:w="1340" w:type="dxa"/>
            <w:vAlign w:val="bottom"/>
            <w:shd w:val="clear" w:color="auto" w:fill="EEEFEF"/>
          </w:tcPr>
          <w:p>
            <w:pPr>
              <w:ind w:left="22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454545"/>
          </w:tcPr>
          <w:p>
            <w:pPr>
              <w:spacing w:after="0"/>
              <w:rPr>
                <w:sz w:val="18"/>
                <w:szCs w:val="18"/>
                <w:color w:val="auto"/>
              </w:rPr>
            </w:pPr>
          </w:p>
        </w:tc>
        <w:tc>
          <w:tcPr>
            <w:tcW w:w="1340" w:type="dxa"/>
            <w:vAlign w:val="bottom"/>
            <w:shd w:val="clear" w:color="auto" w:fill="EEEFEF"/>
          </w:tcPr>
          <w:p>
            <w:pPr>
              <w:jc w:val="center"/>
              <w:spacing w:after="0"/>
              <w:rPr>
                <w:sz w:val="20"/>
                <w:szCs w:val="20"/>
                <w:color w:val="auto"/>
              </w:rPr>
            </w:pPr>
            <w:r>
              <w:rPr>
                <w:rFonts w:ascii="Arial" w:cs="Arial" w:eastAsia="Arial" w:hAnsi="Arial"/>
                <w:sz w:val="14"/>
                <w:szCs w:val="14"/>
                <w:color w:val="auto"/>
                <w:w w:val="98"/>
              </w:rPr>
              <w:t>ROE</w:t>
            </w:r>
          </w:p>
        </w:tc>
        <w:tc>
          <w:tcPr>
            <w:tcW w:w="140" w:type="dxa"/>
            <w:vAlign w:val="bottom"/>
          </w:tcPr>
          <w:p>
            <w:pPr>
              <w:spacing w:after="0"/>
              <w:rPr>
                <w:sz w:val="18"/>
                <w:szCs w:val="18"/>
                <w:color w:val="auto"/>
              </w:rPr>
            </w:pPr>
          </w:p>
        </w:tc>
        <w:tc>
          <w:tcPr>
            <w:tcW w:w="1360" w:type="dxa"/>
            <w:vAlign w:val="bottom"/>
            <w:shd w:val="clear" w:color="auto" w:fill="EEEFEF"/>
          </w:tcPr>
          <w:p>
            <w:pPr>
              <w:ind w:left="24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454545"/>
          </w:tcPr>
          <w:p>
            <w:pPr>
              <w:spacing w:after="0"/>
              <w:rPr>
                <w:sz w:val="18"/>
                <w:szCs w:val="18"/>
                <w:color w:val="auto"/>
              </w:rPr>
            </w:pPr>
          </w:p>
        </w:tc>
        <w:tc>
          <w:tcPr>
            <w:tcW w:w="1340" w:type="dxa"/>
            <w:vAlign w:val="bottom"/>
            <w:shd w:val="clear" w:color="auto" w:fill="EEEFEF"/>
          </w:tcPr>
          <w:p>
            <w:pPr>
              <w:jc w:val="center"/>
              <w:spacing w:after="0"/>
              <w:rPr>
                <w:sz w:val="20"/>
                <w:szCs w:val="20"/>
                <w:color w:val="auto"/>
              </w:rPr>
            </w:pPr>
            <w:r>
              <w:rPr>
                <w:rFonts w:ascii="Arial" w:cs="Arial" w:eastAsia="Arial" w:hAnsi="Arial"/>
                <w:sz w:val="14"/>
                <w:szCs w:val="14"/>
                <w:color w:val="auto"/>
                <w:w w:val="98"/>
              </w:rPr>
              <w:t>ROE</w:t>
            </w:r>
          </w:p>
        </w:tc>
        <w:tc>
          <w:tcPr>
            <w:tcW w:w="0" w:type="dxa"/>
            <w:vAlign w:val="bottom"/>
          </w:tcPr>
          <w:p>
            <w:pPr>
              <w:spacing w:after="0"/>
              <w:rPr>
                <w:sz w:val="1"/>
                <w:szCs w:val="1"/>
                <w:color w:val="auto"/>
              </w:rPr>
            </w:pPr>
          </w:p>
        </w:tc>
      </w:tr>
      <w:tr>
        <w:trPr>
          <w:trHeight w:val="427"/>
        </w:trPr>
        <w:tc>
          <w:tcPr>
            <w:tcW w:w="1340" w:type="dxa"/>
            <w:vAlign w:val="bottom"/>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6.1</w:t>
            </w:r>
            <w:r>
              <w:rPr>
                <w:rFonts w:ascii="Arial" w:cs="Arial" w:eastAsia="Arial" w:hAnsi="Arial"/>
                <w:sz w:val="23"/>
                <w:szCs w:val="23"/>
                <w:color w:val="074A75"/>
                <w:w w:val="95"/>
              </w:rPr>
              <w:t>B</w:t>
            </w:r>
          </w:p>
        </w:tc>
        <w:tc>
          <w:tcPr>
            <w:tcW w:w="20" w:type="dxa"/>
            <w:vAlign w:val="bottom"/>
            <w:shd w:val="clear" w:color="auto" w:fill="454545"/>
          </w:tcPr>
          <w:p>
            <w:pPr>
              <w:spacing w:after="0"/>
              <w:rPr>
                <w:sz w:val="24"/>
                <w:szCs w:val="24"/>
                <w:color w:val="auto"/>
              </w:rPr>
            </w:pPr>
          </w:p>
        </w:tc>
        <w:tc>
          <w:tcPr>
            <w:tcW w:w="1340" w:type="dxa"/>
            <w:vAlign w:val="bottom"/>
            <w:shd w:val="clear" w:color="auto" w:fill="EEEFEF"/>
          </w:tcPr>
          <w:p>
            <w:pPr>
              <w:jc w:val="center"/>
              <w:spacing w:after="0"/>
              <w:rPr>
                <w:sz w:val="20"/>
                <w:szCs w:val="20"/>
                <w:color w:val="auto"/>
              </w:rPr>
            </w:pPr>
            <w:r>
              <w:rPr>
                <w:rFonts w:ascii="Arial" w:cs="Arial" w:eastAsia="Arial" w:hAnsi="Arial"/>
                <w:sz w:val="29"/>
                <w:szCs w:val="29"/>
                <w:color w:val="074A75"/>
                <w:w w:val="92"/>
              </w:rPr>
              <w:t>20</w:t>
            </w:r>
            <w:r>
              <w:rPr>
                <w:rFonts w:ascii="Arial" w:cs="Arial" w:eastAsia="Arial" w:hAnsi="Arial"/>
                <w:sz w:val="37"/>
                <w:szCs w:val="37"/>
                <w:color w:val="074A75"/>
                <w:w w:val="92"/>
                <w:vertAlign w:val="superscript"/>
              </w:rPr>
              <w:t>%</w:t>
            </w:r>
          </w:p>
        </w:tc>
        <w:tc>
          <w:tcPr>
            <w:tcW w:w="140" w:type="dxa"/>
            <w:vAlign w:val="bottom"/>
          </w:tcPr>
          <w:p>
            <w:pPr>
              <w:spacing w:after="0"/>
              <w:rPr>
                <w:sz w:val="24"/>
                <w:szCs w:val="24"/>
                <w:color w:val="auto"/>
              </w:rPr>
            </w:pPr>
          </w:p>
        </w:tc>
        <w:tc>
          <w:tcPr>
            <w:tcW w:w="1360" w:type="dxa"/>
            <w:vAlign w:val="bottom"/>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5.2</w:t>
            </w:r>
            <w:r>
              <w:rPr>
                <w:rFonts w:ascii="Arial" w:cs="Arial" w:eastAsia="Arial" w:hAnsi="Arial"/>
                <w:sz w:val="23"/>
                <w:szCs w:val="23"/>
                <w:color w:val="074A75"/>
                <w:w w:val="95"/>
              </w:rPr>
              <w:t>B</w:t>
            </w:r>
          </w:p>
        </w:tc>
        <w:tc>
          <w:tcPr>
            <w:tcW w:w="20" w:type="dxa"/>
            <w:vAlign w:val="bottom"/>
            <w:shd w:val="clear" w:color="auto" w:fill="454545"/>
          </w:tcPr>
          <w:p>
            <w:pPr>
              <w:spacing w:after="0"/>
              <w:rPr>
                <w:sz w:val="24"/>
                <w:szCs w:val="24"/>
                <w:color w:val="auto"/>
              </w:rPr>
            </w:pPr>
          </w:p>
        </w:tc>
        <w:tc>
          <w:tcPr>
            <w:tcW w:w="1340" w:type="dxa"/>
            <w:vAlign w:val="bottom"/>
            <w:shd w:val="clear" w:color="auto" w:fill="EEEFEF"/>
          </w:tcPr>
          <w:p>
            <w:pPr>
              <w:jc w:val="center"/>
              <w:spacing w:after="0"/>
              <w:rPr>
                <w:sz w:val="20"/>
                <w:szCs w:val="20"/>
                <w:color w:val="auto"/>
              </w:rPr>
            </w:pPr>
            <w:r>
              <w:rPr>
                <w:rFonts w:ascii="Arial" w:cs="Arial" w:eastAsia="Arial" w:hAnsi="Arial"/>
                <w:sz w:val="29"/>
                <w:szCs w:val="29"/>
                <w:color w:val="074A75"/>
                <w:w w:val="92"/>
              </w:rPr>
              <w:t>31</w:t>
            </w:r>
            <w:r>
              <w:rPr>
                <w:rFonts w:ascii="Arial" w:cs="Arial" w:eastAsia="Arial" w:hAnsi="Arial"/>
                <w:sz w:val="37"/>
                <w:szCs w:val="37"/>
                <w:color w:val="074A75"/>
                <w:w w:val="92"/>
                <w:vertAlign w:val="superscript"/>
              </w:rPr>
              <w:t>%</w:t>
            </w:r>
          </w:p>
        </w:tc>
        <w:tc>
          <w:tcPr>
            <w:tcW w:w="0" w:type="dxa"/>
            <w:vAlign w:val="bottom"/>
          </w:tcPr>
          <w:p>
            <w:pPr>
              <w:spacing w:after="0"/>
              <w:rPr>
                <w:sz w:val="1"/>
                <w:szCs w:val="1"/>
                <w:color w:val="auto"/>
              </w:rPr>
            </w:pPr>
          </w:p>
        </w:tc>
      </w:tr>
      <w:tr>
        <w:trPr>
          <w:trHeight w:val="253"/>
        </w:trPr>
        <w:tc>
          <w:tcPr>
            <w:tcW w:w="2700" w:type="dxa"/>
            <w:vAlign w:val="bottom"/>
            <w:gridSpan w:val="3"/>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Record revenues overall and in</w:t>
            </w:r>
          </w:p>
        </w:tc>
        <w:tc>
          <w:tcPr>
            <w:tcW w:w="140" w:type="dxa"/>
            <w:vAlign w:val="bottom"/>
          </w:tcPr>
          <w:p>
            <w:pPr>
              <w:spacing w:after="0"/>
              <w:rPr>
                <w:sz w:val="21"/>
                <w:szCs w:val="21"/>
                <w:color w:val="auto"/>
              </w:rPr>
            </w:pPr>
          </w:p>
        </w:tc>
        <w:tc>
          <w:tcPr>
            <w:tcW w:w="2720" w:type="dxa"/>
            <w:vAlign w:val="bottom"/>
            <w:gridSpan w:val="3"/>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Pre-tax margin of 35%</w:t>
            </w:r>
          </w:p>
        </w:tc>
        <w:tc>
          <w:tcPr>
            <w:tcW w:w="0" w:type="dxa"/>
            <w:vAlign w:val="bottom"/>
          </w:tcPr>
          <w:p>
            <w:pPr>
              <w:spacing w:after="0"/>
              <w:rPr>
                <w:sz w:val="1"/>
                <w:szCs w:val="1"/>
                <w:color w:val="auto"/>
              </w:rPr>
            </w:pPr>
          </w:p>
        </w:tc>
      </w:tr>
      <w:tr>
        <w:trPr>
          <w:trHeight w:val="175"/>
        </w:trPr>
        <w:tc>
          <w:tcPr>
            <w:tcW w:w="2700" w:type="dxa"/>
            <w:vAlign w:val="bottom"/>
            <w:gridSpan w:val="3"/>
          </w:tcPr>
          <w:p>
            <w:pPr>
              <w:ind w:left="220"/>
              <w:spacing w:after="0"/>
              <w:rPr>
                <w:sz w:val="20"/>
                <w:szCs w:val="20"/>
                <w:color w:val="auto"/>
              </w:rPr>
            </w:pPr>
            <w:r>
              <w:rPr>
                <w:rFonts w:ascii="Arial" w:cs="Arial" w:eastAsia="Arial" w:hAnsi="Arial"/>
                <w:sz w:val="15"/>
                <w:szCs w:val="15"/>
                <w:color w:val="auto"/>
              </w:rPr>
              <w:t>Middle Market Banking &amp;</w:t>
            </w:r>
          </w:p>
        </w:tc>
        <w:tc>
          <w:tcPr>
            <w:tcW w:w="140" w:type="dxa"/>
            <w:vAlign w:val="bottom"/>
          </w:tcPr>
          <w:p>
            <w:pPr>
              <w:spacing w:after="0"/>
              <w:rPr>
                <w:sz w:val="15"/>
                <w:szCs w:val="15"/>
                <w:color w:val="auto"/>
              </w:rPr>
            </w:pPr>
          </w:p>
        </w:tc>
        <w:tc>
          <w:tcPr>
            <w:tcW w:w="2720" w:type="dxa"/>
            <w:vAlign w:val="bottom"/>
            <w:gridSpan w:val="3"/>
            <w:vMerge w:val="restart"/>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Long-term Assets Under</w:t>
            </w:r>
          </w:p>
        </w:tc>
        <w:tc>
          <w:tcPr>
            <w:tcW w:w="0" w:type="dxa"/>
            <w:vAlign w:val="bottom"/>
          </w:tcPr>
          <w:p>
            <w:pPr>
              <w:spacing w:after="0"/>
              <w:rPr>
                <w:sz w:val="1"/>
                <w:szCs w:val="1"/>
                <w:color w:val="auto"/>
              </w:rPr>
            </w:pPr>
          </w:p>
        </w:tc>
      </w:tr>
      <w:tr>
        <w:trPr>
          <w:trHeight w:val="81"/>
        </w:trPr>
        <w:tc>
          <w:tcPr>
            <w:tcW w:w="2700" w:type="dxa"/>
            <w:vAlign w:val="bottom"/>
            <w:gridSpan w:val="3"/>
            <w:vMerge w:val="restart"/>
          </w:tcPr>
          <w:p>
            <w:pPr>
              <w:ind w:left="220"/>
              <w:spacing w:after="0"/>
              <w:rPr>
                <w:sz w:val="20"/>
                <w:szCs w:val="20"/>
                <w:color w:val="auto"/>
              </w:rPr>
            </w:pPr>
            <w:r>
              <w:rPr>
                <w:rFonts w:ascii="Arial" w:cs="Arial" w:eastAsia="Arial" w:hAnsi="Arial"/>
                <w:sz w:val="15"/>
                <w:szCs w:val="15"/>
                <w:color w:val="auto"/>
              </w:rPr>
              <w:t>Specialized Industries ("MMBSI") of</w:t>
            </w:r>
          </w:p>
        </w:tc>
        <w:tc>
          <w:tcPr>
            <w:tcW w:w="140" w:type="dxa"/>
            <w:vAlign w:val="bottom"/>
          </w:tcPr>
          <w:p>
            <w:pPr>
              <w:spacing w:after="0"/>
              <w:rPr>
                <w:sz w:val="7"/>
                <w:szCs w:val="7"/>
                <w:color w:val="auto"/>
              </w:rPr>
            </w:pPr>
          </w:p>
        </w:tc>
        <w:tc>
          <w:tcPr>
            <w:tcW w:w="27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7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gridSpan w:val="3"/>
            <w:vMerge w:val="restart"/>
          </w:tcPr>
          <w:p>
            <w:pPr>
              <w:ind w:left="220"/>
              <w:spacing w:after="0"/>
              <w:rPr>
                <w:sz w:val="20"/>
                <w:szCs w:val="20"/>
                <w:color w:val="auto"/>
              </w:rPr>
            </w:pPr>
            <w:r>
              <w:rPr>
                <w:rFonts w:ascii="Arial" w:cs="Arial" w:eastAsia="Arial" w:hAnsi="Arial"/>
                <w:sz w:val="15"/>
                <w:szCs w:val="15"/>
                <w:color w:val="auto"/>
              </w:rPr>
              <w:t>Management ("AUM") flows of</w:t>
            </w:r>
          </w:p>
        </w:tc>
        <w:tc>
          <w:tcPr>
            <w:tcW w:w="0" w:type="dxa"/>
            <w:vAlign w:val="bottom"/>
          </w:tcPr>
          <w:p>
            <w:pPr>
              <w:spacing w:after="0"/>
              <w:rPr>
                <w:sz w:val="1"/>
                <w:szCs w:val="1"/>
                <w:color w:val="auto"/>
              </w:rPr>
            </w:pPr>
          </w:p>
        </w:tc>
      </w:tr>
      <w:tr>
        <w:trPr>
          <w:trHeight w:val="68"/>
        </w:trPr>
        <w:tc>
          <w:tcPr>
            <w:tcW w:w="2700" w:type="dxa"/>
            <w:vAlign w:val="bottom"/>
            <w:gridSpan w:val="3"/>
            <w:vMerge w:val="restart"/>
          </w:tcPr>
          <w:p>
            <w:pPr>
              <w:ind w:left="220"/>
              <w:spacing w:after="0"/>
              <w:rPr>
                <w:sz w:val="20"/>
                <w:szCs w:val="20"/>
                <w:color w:val="auto"/>
              </w:rPr>
            </w:pPr>
            <w:r>
              <w:rPr>
                <w:rFonts w:ascii="Arial" w:cs="Arial" w:eastAsia="Arial" w:hAnsi="Arial"/>
                <w:sz w:val="15"/>
                <w:szCs w:val="15"/>
                <w:color w:val="auto"/>
              </w:rPr>
              <w:t>$7.4B, Corporate Client Banking &amp;</w:t>
            </w:r>
          </w:p>
        </w:tc>
        <w:tc>
          <w:tcPr>
            <w:tcW w:w="140" w:type="dxa"/>
            <w:vAlign w:val="bottom"/>
          </w:tcPr>
          <w:p>
            <w:pPr>
              <w:spacing w:after="0"/>
              <w:rPr>
                <w:sz w:val="5"/>
                <w:szCs w:val="5"/>
                <w:color w:val="auto"/>
              </w:rPr>
            </w:pPr>
          </w:p>
        </w:tc>
        <w:tc>
          <w:tcPr>
            <w:tcW w:w="2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gridSpan w:val="3"/>
            <w:vMerge w:val="restart"/>
          </w:tcPr>
          <w:p>
            <w:pPr>
              <w:ind w:left="220"/>
              <w:spacing w:after="0"/>
              <w:rPr>
                <w:sz w:val="20"/>
                <w:szCs w:val="20"/>
                <w:color w:val="auto"/>
              </w:rPr>
            </w:pPr>
            <w:r>
              <w:rPr>
                <w:rFonts w:ascii="Arial" w:cs="Arial" w:eastAsia="Arial" w:hAnsi="Arial"/>
                <w:sz w:val="15"/>
                <w:szCs w:val="15"/>
                <w:color w:val="auto"/>
              </w:rPr>
              <w:t>$140B, top 2 rank in Client Asset</w:t>
            </w:r>
          </w:p>
        </w:tc>
        <w:tc>
          <w:tcPr>
            <w:tcW w:w="0" w:type="dxa"/>
            <w:vAlign w:val="bottom"/>
          </w:tcPr>
          <w:p>
            <w:pPr>
              <w:spacing w:after="0"/>
              <w:rPr>
                <w:sz w:val="1"/>
                <w:szCs w:val="1"/>
                <w:color w:val="auto"/>
              </w:rPr>
            </w:pPr>
          </w:p>
        </w:tc>
      </w:tr>
      <w:tr>
        <w:trPr>
          <w:trHeight w:val="66"/>
        </w:trPr>
        <w:tc>
          <w:tcPr>
            <w:tcW w:w="2700" w:type="dxa"/>
            <w:vAlign w:val="bottom"/>
            <w:gridSpan w:val="3"/>
            <w:vMerge w:val="restart"/>
          </w:tcPr>
          <w:p>
            <w:pPr>
              <w:ind w:left="220"/>
              <w:spacing w:after="0"/>
              <w:rPr>
                <w:sz w:val="20"/>
                <w:szCs w:val="20"/>
                <w:color w:val="auto"/>
              </w:rPr>
            </w:pPr>
            <w:r>
              <w:rPr>
                <w:rFonts w:ascii="Arial" w:cs="Arial" w:eastAsia="Arial" w:hAnsi="Arial"/>
                <w:sz w:val="15"/>
                <w:szCs w:val="15"/>
                <w:color w:val="auto"/>
              </w:rPr>
              <w:t>Specialized Industries ("CCBSI") of</w:t>
            </w:r>
          </w:p>
        </w:tc>
        <w:tc>
          <w:tcPr>
            <w:tcW w:w="140" w:type="dxa"/>
            <w:vAlign w:val="bottom"/>
          </w:tcPr>
          <w:p>
            <w:pPr>
              <w:spacing w:after="0"/>
              <w:rPr>
                <w:sz w:val="5"/>
                <w:szCs w:val="5"/>
                <w:color w:val="auto"/>
              </w:rPr>
            </w:pPr>
          </w:p>
        </w:tc>
        <w:tc>
          <w:tcPr>
            <w:tcW w:w="2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7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3"/>
          </w:tcPr>
          <w:p>
            <w:pPr>
              <w:ind w:left="220"/>
              <w:spacing w:after="0" w:line="154" w:lineRule="exact"/>
              <w:rPr>
                <w:sz w:val="20"/>
                <w:szCs w:val="20"/>
                <w:color w:val="auto"/>
              </w:rPr>
            </w:pPr>
            <w:r>
              <w:rPr>
                <w:rFonts w:ascii="Arial" w:cs="Arial" w:eastAsia="Arial" w:hAnsi="Arial"/>
                <w:sz w:val="14"/>
                <w:szCs w:val="14"/>
                <w:color w:val="auto"/>
              </w:rPr>
              <w:t>Flows</w:t>
            </w:r>
            <w:r>
              <w:rPr>
                <w:rFonts w:ascii="Arial" w:cs="Arial" w:eastAsia="Arial" w:hAnsi="Arial"/>
                <w:sz w:val="17"/>
                <w:szCs w:val="17"/>
                <w:color w:val="auto"/>
                <w:vertAlign w:val="superscript"/>
              </w:rPr>
              <w:t>8</w:t>
            </w:r>
            <w:r>
              <w:rPr>
                <w:rFonts w:ascii="Arial" w:cs="Arial" w:eastAsia="Arial" w:hAnsi="Arial"/>
                <w:sz w:val="14"/>
                <w:szCs w:val="14"/>
                <w:color w:val="auto"/>
              </w:rPr>
              <w:t xml:space="preserve"> over a 5-year period</w:t>
            </w:r>
          </w:p>
        </w:tc>
        <w:tc>
          <w:tcPr>
            <w:tcW w:w="0" w:type="dxa"/>
            <w:vAlign w:val="bottom"/>
          </w:tcPr>
          <w:p>
            <w:pPr>
              <w:spacing w:after="0"/>
              <w:rPr>
                <w:sz w:val="1"/>
                <w:szCs w:val="1"/>
                <w:color w:val="auto"/>
              </w:rPr>
            </w:pPr>
          </w:p>
        </w:tc>
      </w:tr>
      <w:tr>
        <w:trPr>
          <w:trHeight w:val="145"/>
        </w:trPr>
        <w:tc>
          <w:tcPr>
            <w:tcW w:w="2700" w:type="dxa"/>
            <w:vAlign w:val="bottom"/>
            <w:gridSpan w:val="3"/>
          </w:tcPr>
          <w:p>
            <w:pPr>
              <w:ind w:left="220"/>
              <w:spacing w:after="0" w:line="145" w:lineRule="exact"/>
              <w:rPr>
                <w:sz w:val="20"/>
                <w:szCs w:val="20"/>
                <w:color w:val="auto"/>
              </w:rPr>
            </w:pPr>
            <w:r>
              <w:rPr>
                <w:rFonts w:ascii="Arial" w:cs="Arial" w:eastAsia="Arial" w:hAnsi="Arial"/>
                <w:sz w:val="15"/>
                <w:szCs w:val="15"/>
                <w:color w:val="auto"/>
              </w:rPr>
              <w:t>$4.8B and Commercial Real Estate</w:t>
            </w:r>
          </w:p>
        </w:tc>
        <w:tc>
          <w:tcPr>
            <w:tcW w:w="140" w:type="dxa"/>
            <w:vAlign w:val="bottom"/>
          </w:tcPr>
          <w:p>
            <w:pPr>
              <w:spacing w:after="0"/>
              <w:rPr>
                <w:sz w:val="12"/>
                <w:szCs w:val="12"/>
                <w:color w:val="auto"/>
              </w:rPr>
            </w:pPr>
          </w:p>
        </w:tc>
        <w:tc>
          <w:tcPr>
            <w:tcW w:w="2720" w:type="dxa"/>
            <w:vAlign w:val="bottom"/>
            <w:gridSpan w:val="3"/>
            <w:vMerge w:val="restart"/>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Average deposits of $216.2B (down</w:t>
            </w:r>
          </w:p>
        </w:tc>
        <w:tc>
          <w:tcPr>
            <w:tcW w:w="0" w:type="dxa"/>
            <w:vAlign w:val="bottom"/>
          </w:tcPr>
          <w:p>
            <w:pPr>
              <w:spacing w:after="0"/>
              <w:rPr>
                <w:sz w:val="1"/>
                <w:szCs w:val="1"/>
                <w:color w:val="auto"/>
              </w:rPr>
            </w:pPr>
          </w:p>
        </w:tc>
      </w:tr>
      <w:tr>
        <w:trPr>
          <w:trHeight w:val="152"/>
        </w:trPr>
        <w:tc>
          <w:tcPr>
            <w:tcW w:w="1360" w:type="dxa"/>
            <w:vAlign w:val="bottom"/>
            <w:gridSpan w:val="2"/>
          </w:tcPr>
          <w:p>
            <w:pPr>
              <w:ind w:left="220"/>
              <w:spacing w:after="0" w:line="153" w:lineRule="exact"/>
              <w:rPr>
                <w:sz w:val="20"/>
                <w:szCs w:val="20"/>
                <w:color w:val="auto"/>
              </w:rPr>
            </w:pPr>
            <w:r>
              <w:rPr>
                <w:rFonts w:ascii="Arial" w:cs="Arial" w:eastAsia="Arial" w:hAnsi="Arial"/>
                <w:sz w:val="15"/>
                <w:szCs w:val="15"/>
                <w:color w:val="auto"/>
                <w:w w:val="99"/>
              </w:rPr>
              <w:t>("CRE") of $3.3B</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gridSpan w:val="3"/>
          </w:tcPr>
          <w:p>
            <w:pPr>
              <w:ind w:left="220"/>
              <w:spacing w:after="0" w:line="118" w:lineRule="exact"/>
              <w:rPr>
                <w:sz w:val="20"/>
                <w:szCs w:val="20"/>
                <w:color w:val="auto"/>
              </w:rPr>
            </w:pPr>
            <w:r>
              <w:rPr>
                <w:rFonts w:ascii="Arial" w:cs="Arial" w:eastAsia="Arial" w:hAnsi="Arial"/>
                <w:sz w:val="13"/>
                <w:szCs w:val="13"/>
                <w:color w:val="auto"/>
              </w:rPr>
              <w:t>17%); record average loans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-880110</wp:posOffset>
            </wp:positionV>
            <wp:extent cx="3531870" cy="1457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31870" cy="145732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1"/>
        </w:trPr>
        <w:tc>
          <w:tcPr>
            <w:tcW w:w="2760" w:type="dxa"/>
            <w:vAlign w:val="bottom"/>
          </w:tcPr>
          <w:p>
            <w:pPr>
              <w:spacing w:after="0" w:line="161" w:lineRule="exact"/>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Record average loans of $268.3B</w:t>
            </w:r>
          </w:p>
        </w:tc>
        <w:tc>
          <w:tcPr>
            <w:tcW w:w="1420" w:type="dxa"/>
            <w:vAlign w:val="bottom"/>
            <w:vMerge w:val="restart"/>
          </w:tcPr>
          <w:p>
            <w:pPr>
              <w:ind w:left="280"/>
              <w:spacing w:after="0"/>
              <w:rPr>
                <w:sz w:val="20"/>
                <w:szCs w:val="20"/>
                <w:color w:val="auto"/>
              </w:rPr>
            </w:pPr>
            <w:r>
              <w:rPr>
                <w:rFonts w:ascii="Arial" w:cs="Arial" w:eastAsia="Arial" w:hAnsi="Arial"/>
                <w:sz w:val="15"/>
                <w:szCs w:val="15"/>
                <w:color w:val="auto"/>
                <w:w w:val="99"/>
              </w:rPr>
              <w:t>$220.5B (up 2%)</w:t>
            </w:r>
          </w:p>
        </w:tc>
        <w:tc>
          <w:tcPr>
            <w:tcW w:w="0" w:type="dxa"/>
            <w:vAlign w:val="bottom"/>
          </w:tcPr>
          <w:p>
            <w:pPr>
              <w:spacing w:after="0"/>
              <w:rPr>
                <w:sz w:val="1"/>
                <w:szCs w:val="1"/>
                <w:color w:val="auto"/>
              </w:rPr>
            </w:pPr>
          </w:p>
        </w:tc>
      </w:tr>
      <w:tr>
        <w:trPr>
          <w:trHeight w:val="92"/>
        </w:trPr>
        <w:tc>
          <w:tcPr>
            <w:tcW w:w="2760" w:type="dxa"/>
            <w:vAlign w:val="bottom"/>
            <w:vMerge w:val="restart"/>
          </w:tcPr>
          <w:p>
            <w:pPr>
              <w:ind w:left="200"/>
              <w:spacing w:after="0"/>
              <w:rPr>
                <w:sz w:val="20"/>
                <w:szCs w:val="20"/>
                <w:color w:val="auto"/>
              </w:rPr>
            </w:pPr>
            <w:r>
              <w:rPr>
                <w:rFonts w:ascii="Arial" w:cs="Arial" w:eastAsia="Arial" w:hAnsi="Arial"/>
                <w:sz w:val="15"/>
                <w:szCs w:val="15"/>
                <w:color w:val="auto"/>
              </w:rPr>
              <w:t>(up 20%)</w:t>
            </w: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6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220" w:right="2900" w:hanging="204"/>
        <w:spacing w:after="0" w:line="301" w:lineRule="auto"/>
        <w:tabs>
          <w:tab w:leader="none" w:pos="214" w:val="left"/>
        </w:tabs>
        <w:numPr>
          <w:ilvl w:val="0"/>
          <w:numId w:val="13"/>
        </w:numPr>
        <w:rPr>
          <w:rFonts w:ascii="Arial" w:cs="Arial" w:eastAsia="Arial" w:hAnsi="Arial"/>
          <w:sz w:val="15"/>
          <w:szCs w:val="15"/>
          <w:color w:val="074A75"/>
        </w:rPr>
      </w:pPr>
      <w:r>
        <w:rPr>
          <w:rFonts w:ascii="Arial" w:cs="Arial" w:eastAsia="Arial" w:hAnsi="Arial"/>
          <w:sz w:val="15"/>
          <w:szCs w:val="15"/>
          <w:color w:val="auto"/>
        </w:rPr>
        <w:t>Strong credit performance with a net charge-off ratio of 12bps</w:t>
      </w:r>
    </w:p>
    <w:p>
      <w:pPr>
        <w:spacing w:after="0" w:line="200" w:lineRule="exact"/>
        <w:rPr>
          <w:sz w:val="20"/>
          <w:szCs w:val="20"/>
          <w:color w:val="auto"/>
        </w:rPr>
      </w:pPr>
    </w:p>
    <w:p>
      <w:pPr>
        <w:sectPr>
          <w:pgSz w:w="11900" w:h="16838" w:orient="portrait"/>
          <w:cols w:equalWidth="0" w:num="3">
            <w:col w:w="2680" w:space="140"/>
            <w:col w:w="2700" w:space="160"/>
            <w:col w:w="5560"/>
          </w:cols>
          <w:pgMar w:left="320" w:top="157" w:right="339" w:bottom="1440" w:gutter="0" w:footer="0" w:header="0"/>
          <w:type w:val="continuous"/>
        </w:sectPr>
      </w:pPr>
    </w:p>
    <w:p>
      <w:pPr>
        <w:spacing w:after="0" w:line="38" w:lineRule="exact"/>
        <w:rPr>
          <w:sz w:val="20"/>
          <w:szCs w:val="20"/>
          <w:color w:val="auto"/>
        </w:rPr>
      </w:pPr>
    </w:p>
    <w:p>
      <w:pPr>
        <w:ind w:right="380"/>
        <w:spacing w:after="0" w:line="203" w:lineRule="auto"/>
        <w:rPr>
          <w:sz w:val="20"/>
          <w:szCs w:val="20"/>
          <w:color w:val="auto"/>
        </w:rPr>
      </w:pPr>
      <w:r>
        <w:rPr>
          <w:rFonts w:ascii="Arial" w:cs="Arial" w:eastAsia="Arial" w:hAnsi="Arial"/>
          <w:sz w:val="17"/>
          <w:szCs w:val="17"/>
          <w:color w:val="auto"/>
        </w:rPr>
        <w:t>Excluding the impact of First Republic Bank</w:t>
      </w:r>
      <w:r>
        <w:rPr>
          <w:rFonts w:ascii="Arial" w:cs="Arial" w:eastAsia="Arial" w:hAnsi="Arial"/>
          <w:sz w:val="22"/>
          <w:szCs w:val="22"/>
          <w:color w:val="auto"/>
          <w:vertAlign w:val="superscript"/>
        </w:rPr>
        <w:t>9</w:t>
      </w:r>
      <w:r>
        <w:rPr>
          <w:rFonts w:ascii="Arial" w:cs="Arial" w:eastAsia="Arial" w:hAnsi="Arial"/>
          <w:sz w:val="17"/>
          <w:szCs w:val="17"/>
          <w:color w:val="auto"/>
        </w:rPr>
        <w:t>: the Firm achieved managed revenue</w:t>
      </w:r>
      <w:r>
        <w:rPr>
          <w:rFonts w:ascii="Arial" w:cs="Arial" w:eastAsia="Arial" w:hAnsi="Arial"/>
          <w:sz w:val="22"/>
          <w:szCs w:val="22"/>
          <w:color w:val="auto"/>
          <w:vertAlign w:val="superscript"/>
        </w:rPr>
        <w:t>1,2</w:t>
      </w:r>
      <w:r>
        <w:rPr>
          <w:rFonts w:ascii="Arial" w:cs="Arial" w:eastAsia="Arial" w:hAnsi="Arial"/>
          <w:sz w:val="17"/>
          <w:szCs w:val="17"/>
          <w:color w:val="auto"/>
        </w:rPr>
        <w:t xml:space="preserve"> of $154.2 billion, pre-tax income ex. LLR</w:t>
      </w:r>
      <w:r>
        <w:rPr>
          <w:rFonts w:ascii="Arial" w:cs="Arial" w:eastAsia="Arial" w:hAnsi="Arial"/>
          <w:sz w:val="22"/>
          <w:szCs w:val="22"/>
          <w:color w:val="auto"/>
          <w:vertAlign w:val="superscript"/>
        </w:rPr>
        <w:t>1,2</w:t>
      </w:r>
      <w:r>
        <w:rPr>
          <w:rFonts w:ascii="Arial" w:cs="Arial" w:eastAsia="Arial" w:hAnsi="Arial"/>
          <w:sz w:val="17"/>
          <w:szCs w:val="17"/>
          <w:color w:val="auto"/>
        </w:rPr>
        <w:t xml:space="preserve"> of $63.2 billion, net income of $45.4 billion, or $14.84 per share, and ROTCE</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19%; CCB achieved managed revenue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of $66.9 billion, pre-tax</w:t>
      </w:r>
    </w:p>
    <w:p>
      <w:pPr>
        <w:spacing w:after="0" w:line="1" w:lineRule="exact"/>
        <w:rPr>
          <w:sz w:val="20"/>
          <w:szCs w:val="20"/>
          <w:color w:val="auto"/>
        </w:rPr>
      </w:pPr>
    </w:p>
    <w:p>
      <w:pPr>
        <w:jc w:val="both"/>
        <w:ind w:right="420"/>
        <w:spacing w:after="0" w:line="217" w:lineRule="auto"/>
        <w:rPr>
          <w:sz w:val="20"/>
          <w:szCs w:val="20"/>
          <w:color w:val="auto"/>
        </w:rPr>
      </w:pPr>
      <w:r>
        <w:rPr>
          <w:rFonts w:ascii="Arial" w:cs="Arial" w:eastAsia="Arial" w:hAnsi="Arial"/>
          <w:sz w:val="18"/>
          <w:szCs w:val="18"/>
          <w:color w:val="auto"/>
        </w:rPr>
        <w:t>income ex. LLR</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$27.9 billion, net income of $20.0 billion, and ROE of 38%; CB achieved managed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$14.6 billion, pre-tax income ex. LLR</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$9.0 billion, net income of $ 6.0 billion, and ROE of 20%; AWM achieved managed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$18.7 billion, pre-tax income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$5.9 billion, net income of $4.5 billion and ROE of 27%.</w:t>
      </w:r>
    </w:p>
    <w:p>
      <w:pPr>
        <w:ind w:left="200" w:hanging="192"/>
        <w:spacing w:after="0" w:line="197" w:lineRule="auto"/>
        <w:tabs>
          <w:tab w:leader="none" w:pos="20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The Firm reviews the results of the Firm and the lines of business on a managed basis. Refer to Note 2, on page 113 for a definition of managed basis.</w:t>
      </w:r>
    </w:p>
    <w:p>
      <w:pPr>
        <w:ind w:left="200" w:hanging="192"/>
        <w:spacing w:after="0" w:line="194" w:lineRule="auto"/>
        <w:tabs>
          <w:tab w:leader="none" w:pos="20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Managed Revenue, Pre-Tax Income (ex. LLR), ROTCE and TBVPS are each non-GAAP financial measures; refer to Notes 1 and 2 on page 113 for a further discussion of these measures.</w:t>
      </w:r>
    </w:p>
    <w:p>
      <w:pPr>
        <w:ind w:left="200" w:hanging="192"/>
        <w:spacing w:after="0" w:line="193" w:lineRule="auto"/>
        <w:tabs>
          <w:tab w:leader="none" w:pos="20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Reflects common dividends and common stock repurchases, net of common stock issued to employees.</w:t>
      </w:r>
    </w:p>
    <w:p>
      <w:pPr>
        <w:ind w:left="200" w:hanging="192"/>
        <w:spacing w:after="0" w:line="188" w:lineRule="auto"/>
        <w:tabs>
          <w:tab w:leader="none" w:pos="20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Refer to Notes 2 and 3 on page 59.</w:t>
      </w:r>
    </w:p>
    <w:p>
      <w:pPr>
        <w:ind w:left="200" w:hanging="192"/>
        <w:spacing w:after="0" w:line="194" w:lineRule="auto"/>
        <w:tabs>
          <w:tab w:leader="none" w:pos="20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Refer to Notes 2 and 3 on page 57.</w:t>
      </w:r>
    </w:p>
    <w:p>
      <w:pPr>
        <w:ind w:left="200" w:hanging="192"/>
        <w:spacing w:after="0" w:line="194" w:lineRule="auto"/>
        <w:tabs>
          <w:tab w:leader="none" w:pos="20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Based on third-party data.</w:t>
      </w:r>
    </w:p>
    <w:p>
      <w:pPr>
        <w:ind w:left="200" w:hanging="192"/>
        <w:spacing w:after="0" w:line="188" w:lineRule="auto"/>
        <w:tabs>
          <w:tab w:leader="none" w:pos="200" w:val="left"/>
        </w:tabs>
        <w:numPr>
          <w:ilvl w:val="0"/>
          <w:numId w:val="20"/>
        </w:numPr>
        <w:rPr>
          <w:rFonts w:ascii="Arial" w:cs="Arial" w:eastAsia="Arial" w:hAnsi="Arial"/>
          <w:sz w:val="15"/>
          <w:szCs w:val="15"/>
          <w:color w:val="auto"/>
          <w:vertAlign w:val="superscript"/>
        </w:rPr>
      </w:pPr>
      <w:r>
        <w:rPr>
          <w:rFonts w:ascii="Arial" w:cs="Arial" w:eastAsia="Arial" w:hAnsi="Arial"/>
          <w:sz w:val="12"/>
          <w:szCs w:val="12"/>
          <w:color w:val="auto"/>
        </w:rPr>
        <w:t>Coalition Greenwich FY23 Competitor Analytics (preliminary). Rank is based on JPMorgan Chase's internal business structure and revenue and Coalition Index Banks for Securities Services.</w:t>
      </w:r>
    </w:p>
    <w:p>
      <w:pPr>
        <w:ind w:left="200" w:hanging="192"/>
        <w:spacing w:after="0" w:line="193" w:lineRule="auto"/>
        <w:tabs>
          <w:tab w:leader="none" w:pos="20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Refer to Note 2 on page 58.</w:t>
      </w:r>
    </w:p>
    <w:p>
      <w:pPr>
        <w:spacing w:after="0" w:line="1" w:lineRule="exact"/>
        <w:rPr>
          <w:sz w:val="20"/>
          <w:szCs w:val="20"/>
          <w:color w:val="auto"/>
        </w:rPr>
      </w:pPr>
    </w:p>
    <w:p>
      <w:pPr>
        <w:ind w:left="200" w:right="140" w:hanging="192"/>
        <w:spacing w:after="0" w:line="224" w:lineRule="auto"/>
        <w:tabs>
          <w:tab w:leader="none" w:pos="20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On May 1, 2023, JPMorgan Chase acquired certain assets and assumed certain liabilities of First Republic Bank. All references to excluding the impact of First Republic Bank refer to excluding the relevant effects of the First Republic Bank acquisition, as well as subsequent related business and activities, as applicable. Refer to Note 34 to the Firm’s Consolidated Financial Statements in the 2023 Annual Report on pages 307 - 309.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198120</wp:posOffset>
            </wp:positionV>
            <wp:extent cx="274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  </w:t>
      </w:r>
      <w:r>
        <w:rPr>
          <w:sz w:val="1"/>
          <w:szCs w:val="1"/>
          <w:color w:val="auto"/>
        </w:rPr>
        <w:drawing>
          <wp:inline distT="0" distB="0" distL="0" distR="0">
            <wp:extent cx="2203450" cy="1543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74A75"/>
        </w:rPr>
        <w:t>We are committed to strong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composition reflects an effective mix of experience, refreshment, skills and diversity to provide independent oversight</w:t>
      </w:r>
    </w:p>
    <w:p>
      <w:pPr>
        <w:spacing w:after="0" w:line="168" w:lineRule="exact"/>
        <w:rPr>
          <w:sz w:val="20"/>
          <w:szCs w:val="20"/>
          <w:color w:val="auto"/>
        </w:rPr>
      </w:pPr>
    </w:p>
    <w:p>
      <w:pPr>
        <w:ind w:left="200" w:right="80" w:hanging="192"/>
        <w:spacing w:after="0" w:line="273" w:lineRule="auto"/>
        <w:tabs>
          <w:tab w:leader="none" w:pos="200" w:val="left"/>
        </w:tabs>
        <w:numPr>
          <w:ilvl w:val="0"/>
          <w:numId w:val="23"/>
        </w:numPr>
        <w:rPr>
          <w:rFonts w:ascii="Arial" w:cs="Arial" w:eastAsia="Arial" w:hAnsi="Arial"/>
          <w:sz w:val="17"/>
          <w:szCs w:val="17"/>
          <w:color w:val="074A75"/>
        </w:rPr>
      </w:pPr>
      <w:r>
        <w:rPr>
          <w:rFonts w:ascii="Arial" w:cs="Arial" w:eastAsia="Arial" w:hAnsi="Arial"/>
          <w:sz w:val="17"/>
          <w:szCs w:val="17"/>
          <w:color w:val="auto"/>
        </w:rPr>
        <w:t>Our directors have experience and demonstrated success in executive fields relevant to the Firm’s business and operations, and contribute to the Board’s effective oversight of management and its diversity across a range of attributes, executive experience and skills</w:t>
      </w:r>
    </w:p>
    <w:p>
      <w:pPr>
        <w:ind w:left="200" w:hanging="192"/>
        <w:spacing w:after="0"/>
        <w:tabs>
          <w:tab w:leader="none" w:pos="200" w:val="left"/>
        </w:tabs>
        <w:numPr>
          <w:ilvl w:val="0"/>
          <w:numId w:val="23"/>
        </w:numPr>
        <w:rPr>
          <w:rFonts w:ascii="Arial" w:cs="Arial" w:eastAsia="Arial" w:hAnsi="Arial"/>
          <w:sz w:val="17"/>
          <w:szCs w:val="17"/>
          <w:color w:val="074A75"/>
        </w:rPr>
      </w:pPr>
      <w:r>
        <w:rPr>
          <w:rFonts w:ascii="Arial" w:cs="Arial" w:eastAsia="Arial" w:hAnsi="Arial"/>
          <w:sz w:val="17"/>
          <w:szCs w:val="17"/>
          <w:color w:val="auto"/>
        </w:rPr>
        <w:t>The Board has a well-balanced tenure with a mix of experience and fresh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strong Lead Independent Director role facilitates independent Board oversight of management</w:t>
      </w:r>
    </w:p>
    <w:p>
      <w:pPr>
        <w:spacing w:after="0" w:line="181" w:lineRule="exact"/>
        <w:rPr>
          <w:sz w:val="20"/>
          <w:szCs w:val="20"/>
          <w:color w:val="auto"/>
        </w:rPr>
      </w:pPr>
    </w:p>
    <w:p>
      <w:pPr>
        <w:ind w:left="200" w:right="100" w:hanging="192"/>
        <w:spacing w:after="0" w:line="258" w:lineRule="auto"/>
        <w:tabs>
          <w:tab w:leader="none" w:pos="200" w:val="left"/>
        </w:tabs>
        <w:numPr>
          <w:ilvl w:val="0"/>
          <w:numId w:val="24"/>
        </w:numPr>
        <w:rPr>
          <w:rFonts w:ascii="Arial" w:cs="Arial" w:eastAsia="Arial" w:hAnsi="Arial"/>
          <w:sz w:val="17"/>
          <w:szCs w:val="17"/>
          <w:color w:val="074A75"/>
        </w:rPr>
      </w:pPr>
      <w:r>
        <w:rPr>
          <w:rFonts w:ascii="Arial" w:cs="Arial" w:eastAsia="Arial" w:hAnsi="Arial"/>
          <w:sz w:val="17"/>
          <w:szCs w:val="17"/>
          <w:color w:val="auto"/>
        </w:rPr>
        <w:t>The Firm’s Corporate Governance Principles (“Governance Principles”) require the independent directors to appoint a Lead Independent Director if the role of the Chair is combined with that of the CEO</w:t>
      </w:r>
    </w:p>
    <w:p>
      <w:pPr>
        <w:ind w:left="200" w:hanging="192"/>
        <w:spacing w:after="0"/>
        <w:tabs>
          <w:tab w:leader="none" w:pos="200" w:val="left"/>
        </w:tabs>
        <w:numPr>
          <w:ilvl w:val="0"/>
          <w:numId w:val="24"/>
        </w:numPr>
        <w:rPr>
          <w:rFonts w:ascii="Arial" w:cs="Arial" w:eastAsia="Arial" w:hAnsi="Arial"/>
          <w:sz w:val="17"/>
          <w:szCs w:val="17"/>
          <w:color w:val="074A75"/>
        </w:rPr>
      </w:pPr>
      <w:r>
        <w:rPr>
          <w:rFonts w:ascii="Arial" w:cs="Arial" w:eastAsia="Arial" w:hAnsi="Arial"/>
          <w:sz w:val="17"/>
          <w:szCs w:val="17"/>
          <w:color w:val="auto"/>
        </w:rPr>
        <w:t>The Board reviews its leadership structure annually</w:t>
      </w:r>
    </w:p>
    <w:p>
      <w:pPr>
        <w:spacing w:after="0" w:line="7" w:lineRule="exact"/>
        <w:rPr>
          <w:rFonts w:ascii="Arial" w:cs="Arial" w:eastAsia="Arial" w:hAnsi="Arial"/>
          <w:sz w:val="17"/>
          <w:szCs w:val="17"/>
          <w:color w:val="074A75"/>
        </w:rPr>
      </w:pPr>
    </w:p>
    <w:p>
      <w:pPr>
        <w:ind w:left="200" w:right="100" w:hanging="192"/>
        <w:spacing w:after="0" w:line="264" w:lineRule="auto"/>
        <w:tabs>
          <w:tab w:leader="none" w:pos="200" w:val="left"/>
        </w:tabs>
        <w:numPr>
          <w:ilvl w:val="0"/>
          <w:numId w:val="24"/>
        </w:numPr>
        <w:rPr>
          <w:rFonts w:ascii="Arial" w:cs="Arial" w:eastAsia="Arial" w:hAnsi="Arial"/>
          <w:sz w:val="17"/>
          <w:szCs w:val="17"/>
          <w:color w:val="074A75"/>
        </w:rPr>
      </w:pPr>
      <w:r>
        <w:rPr>
          <w:rFonts w:ascii="Arial" w:cs="Arial" w:eastAsia="Arial" w:hAnsi="Arial"/>
          <w:sz w:val="17"/>
          <w:szCs w:val="17"/>
          <w:color w:val="auto"/>
        </w:rPr>
        <w:t>The Lead Independent Director's responsibilities demonstrate the Board's commitment to empowering the Lead Independent Director to serve as an effective counterbalance to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Board guides succession planning</w:t>
      </w:r>
    </w:p>
    <w:p>
      <w:pPr>
        <w:spacing w:after="0" w:line="168"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7"/>
          <w:szCs w:val="17"/>
          <w:color w:val="074A75"/>
        </w:rPr>
      </w:pPr>
      <w:r>
        <w:rPr>
          <w:rFonts w:ascii="Arial" w:cs="Arial" w:eastAsia="Arial" w:hAnsi="Arial"/>
          <w:sz w:val="17"/>
          <w:szCs w:val="17"/>
          <w:color w:val="auto"/>
        </w:rPr>
        <w:t>The Board is focused on enabling an orderly CEO transition to take place in the medium-term</w:t>
      </w:r>
    </w:p>
    <w:p>
      <w:pPr>
        <w:spacing w:after="0" w:line="23" w:lineRule="exact"/>
        <w:rPr>
          <w:rFonts w:ascii="Arial" w:cs="Arial" w:eastAsia="Arial" w:hAnsi="Arial"/>
          <w:sz w:val="17"/>
          <w:szCs w:val="17"/>
          <w:color w:val="074A75"/>
        </w:rPr>
      </w:pPr>
    </w:p>
    <w:p>
      <w:pPr>
        <w:ind w:left="200" w:right="320" w:hanging="192"/>
        <w:spacing w:after="0" w:line="256" w:lineRule="auto"/>
        <w:tabs>
          <w:tab w:leader="none" w:pos="200" w:val="left"/>
        </w:tabs>
        <w:numPr>
          <w:ilvl w:val="0"/>
          <w:numId w:val="25"/>
        </w:numPr>
        <w:rPr>
          <w:rFonts w:ascii="Arial" w:cs="Arial" w:eastAsia="Arial" w:hAnsi="Arial"/>
          <w:sz w:val="17"/>
          <w:szCs w:val="17"/>
          <w:color w:val="074A75"/>
        </w:rPr>
      </w:pPr>
      <w:r>
        <w:rPr>
          <w:rFonts w:ascii="Arial" w:cs="Arial" w:eastAsia="Arial" w:hAnsi="Arial"/>
          <w:sz w:val="17"/>
          <w:szCs w:val="17"/>
          <w:color w:val="auto"/>
        </w:rPr>
        <w:t>As part of succession planning, the Board continues to oversee management's development of several Operating Committee ("OC") members who are well-known to shareholders as strong potential candidates to succeed Mr. Dimon</w:t>
      </w:r>
    </w:p>
    <w:p>
      <w:pPr>
        <w:spacing w:after="0" w:line="1" w:lineRule="exact"/>
        <w:rPr>
          <w:rFonts w:ascii="Arial" w:cs="Arial" w:eastAsia="Arial" w:hAnsi="Arial"/>
          <w:sz w:val="17"/>
          <w:szCs w:val="17"/>
          <w:color w:val="074A75"/>
        </w:rPr>
      </w:pPr>
    </w:p>
    <w:p>
      <w:pPr>
        <w:ind w:left="200" w:right="180" w:hanging="192"/>
        <w:spacing w:after="0" w:line="248" w:lineRule="auto"/>
        <w:tabs>
          <w:tab w:leader="none" w:pos="200" w:val="left"/>
        </w:tabs>
        <w:numPr>
          <w:ilvl w:val="0"/>
          <w:numId w:val="25"/>
        </w:numPr>
        <w:rPr>
          <w:rFonts w:ascii="Arial" w:cs="Arial" w:eastAsia="Arial" w:hAnsi="Arial"/>
          <w:sz w:val="17"/>
          <w:szCs w:val="17"/>
          <w:color w:val="074A75"/>
        </w:rPr>
      </w:pPr>
      <w:r>
        <w:rPr>
          <w:rFonts w:ascii="Arial" w:cs="Arial" w:eastAsia="Arial" w:hAnsi="Arial"/>
          <w:sz w:val="17"/>
          <w:szCs w:val="17"/>
          <w:color w:val="auto"/>
        </w:rPr>
        <w:t>Individual OC members have been provided with opportunities to gain exposure to different parts of the business and to deepen their leadership experience in new and expanded roles</w:t>
      </w:r>
    </w:p>
    <w:p>
      <w:pPr>
        <w:spacing w:after="0" w:line="1" w:lineRule="exact"/>
        <w:rPr>
          <w:rFonts w:ascii="Arial" w:cs="Arial" w:eastAsia="Arial" w:hAnsi="Arial"/>
          <w:sz w:val="17"/>
          <w:szCs w:val="17"/>
          <w:color w:val="074A75"/>
        </w:rPr>
      </w:pPr>
    </w:p>
    <w:p>
      <w:pPr>
        <w:ind w:left="200" w:hanging="192"/>
        <w:spacing w:after="0"/>
        <w:tabs>
          <w:tab w:leader="none" w:pos="200" w:val="left"/>
        </w:tabs>
        <w:numPr>
          <w:ilvl w:val="0"/>
          <w:numId w:val="25"/>
        </w:numPr>
        <w:rPr>
          <w:rFonts w:ascii="Arial" w:cs="Arial" w:eastAsia="Arial" w:hAnsi="Arial"/>
          <w:sz w:val="17"/>
          <w:szCs w:val="17"/>
          <w:color w:val="074A75"/>
        </w:rPr>
      </w:pPr>
      <w:r>
        <w:rPr>
          <w:rFonts w:ascii="Arial" w:cs="Arial" w:eastAsia="Arial" w:hAnsi="Arial"/>
          <w:sz w:val="17"/>
          <w:szCs w:val="17"/>
          <w:color w:val="auto"/>
        </w:rPr>
        <w:t>In January 2024, the Firm announced leadership changes and a streamlined business to continue to position the Firm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291840"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91840" cy="37719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Board provides independent oversight of the Firm’s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business and affairs</w:t>
      </w:r>
    </w:p>
    <w:p>
      <w:pPr>
        <w:sectPr>
          <w:pgSz w:w="11900" w:h="16838" w:orient="portrait"/>
          <w:cols w:equalWidth="0" w:num="1">
            <w:col w:w="11240"/>
          </w:cols>
          <w:pgMar w:left="320" w:top="157" w:right="339" w:bottom="1440" w:gutter="0" w:footer="0" w:header="0"/>
        </w:sectPr>
      </w:pPr>
    </w:p>
    <w:p>
      <w:pPr>
        <w:spacing w:after="0" w:line="163"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7"/>
          <w:szCs w:val="17"/>
          <w:color w:val="074A75"/>
        </w:rPr>
      </w:pPr>
      <w:r>
        <w:rPr>
          <w:rFonts w:ascii="Arial" w:cs="Arial" w:eastAsia="Arial" w:hAnsi="Arial"/>
          <w:sz w:val="17"/>
          <w:szCs w:val="17"/>
          <w:color w:val="auto"/>
        </w:rPr>
        <w:t>Sets the cultural “tone at the top”</w:t>
      </w:r>
    </w:p>
    <w:p>
      <w:pPr>
        <w:spacing w:after="0" w:line="61" w:lineRule="exact"/>
        <w:rPr>
          <w:rFonts w:ascii="Arial" w:cs="Arial" w:eastAsia="Arial" w:hAnsi="Arial"/>
          <w:sz w:val="17"/>
          <w:szCs w:val="17"/>
          <w:color w:val="074A75"/>
        </w:rPr>
      </w:pPr>
    </w:p>
    <w:p>
      <w:pPr>
        <w:ind w:left="200" w:right="104" w:hanging="192"/>
        <w:spacing w:after="0" w:line="273" w:lineRule="auto"/>
        <w:tabs>
          <w:tab w:leader="none" w:pos="200" w:val="left"/>
        </w:tabs>
        <w:numPr>
          <w:ilvl w:val="0"/>
          <w:numId w:val="26"/>
        </w:numPr>
        <w:rPr>
          <w:rFonts w:ascii="Arial" w:cs="Arial" w:eastAsia="Arial" w:hAnsi="Arial"/>
          <w:sz w:val="17"/>
          <w:szCs w:val="17"/>
          <w:color w:val="005088"/>
        </w:rPr>
      </w:pPr>
      <w:r>
        <w:rPr>
          <w:rFonts w:ascii="Arial" w:cs="Arial" w:eastAsia="Arial" w:hAnsi="Arial"/>
          <w:sz w:val="17"/>
          <w:szCs w:val="17"/>
          <w:color w:val="auto"/>
        </w:rPr>
        <w:t>Oversees the business and affairs of the Firm based on sound governance practices and effective leadership structure</w:t>
      </w:r>
    </w:p>
    <w:p>
      <w:pPr>
        <w:ind w:left="200" w:right="104" w:hanging="192"/>
        <w:spacing w:after="0" w:line="284" w:lineRule="auto"/>
        <w:tabs>
          <w:tab w:leader="none" w:pos="200" w:val="left"/>
        </w:tabs>
        <w:numPr>
          <w:ilvl w:val="0"/>
          <w:numId w:val="26"/>
        </w:numPr>
        <w:rPr>
          <w:rFonts w:ascii="Arial" w:cs="Arial" w:eastAsia="Arial" w:hAnsi="Arial"/>
          <w:sz w:val="17"/>
          <w:szCs w:val="17"/>
          <w:color w:val="074A75"/>
        </w:rPr>
      </w:pPr>
      <w:r>
        <w:rPr>
          <w:rFonts w:ascii="Arial" w:cs="Arial" w:eastAsia="Arial" w:hAnsi="Arial"/>
          <w:sz w:val="17"/>
          <w:szCs w:val="17"/>
          <w:color w:val="auto"/>
        </w:rPr>
        <w:t>Reviews and approves the Firm’s strategic plan, and oversees strategic objectives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96" w:hanging="196"/>
        <w:spacing w:after="0"/>
        <w:tabs>
          <w:tab w:leader="none" w:pos="196" w:val="left"/>
        </w:tabs>
        <w:numPr>
          <w:ilvl w:val="0"/>
          <w:numId w:val="27"/>
        </w:numPr>
        <w:rPr>
          <w:rFonts w:ascii="Arial" w:cs="Arial" w:eastAsia="Arial" w:hAnsi="Arial"/>
          <w:sz w:val="17"/>
          <w:szCs w:val="17"/>
          <w:color w:val="074A75"/>
        </w:rPr>
      </w:pPr>
      <w:r>
        <w:rPr>
          <w:rFonts w:ascii="Arial" w:cs="Arial" w:eastAsia="Arial" w:hAnsi="Arial"/>
          <w:sz w:val="17"/>
          <w:szCs w:val="17"/>
          <w:color w:val="auto"/>
        </w:rPr>
        <w:t>Oversees the Firm’s financial performance and condition</w:t>
      </w:r>
    </w:p>
    <w:p>
      <w:pPr>
        <w:spacing w:after="0" w:line="61" w:lineRule="exact"/>
        <w:rPr>
          <w:rFonts w:ascii="Arial" w:cs="Arial" w:eastAsia="Arial" w:hAnsi="Arial"/>
          <w:sz w:val="17"/>
          <w:szCs w:val="17"/>
          <w:color w:val="074A75"/>
        </w:rPr>
      </w:pPr>
    </w:p>
    <w:p>
      <w:pPr>
        <w:ind w:left="196" w:right="1480" w:hanging="196"/>
        <w:spacing w:after="0" w:line="273" w:lineRule="auto"/>
        <w:tabs>
          <w:tab w:leader="none" w:pos="197" w:val="left"/>
        </w:tabs>
        <w:numPr>
          <w:ilvl w:val="0"/>
          <w:numId w:val="27"/>
        </w:numPr>
        <w:rPr>
          <w:rFonts w:ascii="Arial" w:cs="Arial" w:eastAsia="Arial" w:hAnsi="Arial"/>
          <w:sz w:val="17"/>
          <w:szCs w:val="17"/>
          <w:color w:val="074A75"/>
        </w:rPr>
      </w:pPr>
      <w:r>
        <w:rPr>
          <w:rFonts w:ascii="Arial" w:cs="Arial" w:eastAsia="Arial" w:hAnsi="Arial"/>
          <w:sz w:val="17"/>
          <w:szCs w:val="17"/>
          <w:color w:val="auto"/>
        </w:rPr>
        <w:t>Oversees the Firm's risk management and internal control frameworks</w:t>
      </w:r>
    </w:p>
    <w:p>
      <w:pPr>
        <w:ind w:left="196" w:right="900" w:hanging="196"/>
        <w:spacing w:after="0" w:line="284" w:lineRule="auto"/>
        <w:tabs>
          <w:tab w:leader="none" w:pos="197" w:val="left"/>
        </w:tabs>
        <w:numPr>
          <w:ilvl w:val="0"/>
          <w:numId w:val="27"/>
        </w:numPr>
        <w:rPr>
          <w:rFonts w:ascii="Arial" w:cs="Arial" w:eastAsia="Arial" w:hAnsi="Arial"/>
          <w:sz w:val="17"/>
          <w:szCs w:val="17"/>
          <w:color w:val="074A75"/>
        </w:rPr>
      </w:pPr>
      <w:r>
        <w:rPr>
          <w:rFonts w:ascii="Arial" w:cs="Arial" w:eastAsia="Arial" w:hAnsi="Arial"/>
          <w:sz w:val="17"/>
          <w:szCs w:val="17"/>
          <w:color w:val="auto"/>
        </w:rPr>
        <w:t>Oversees executive performance, talent management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20320</wp:posOffset>
            </wp:positionV>
            <wp:extent cx="713232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24" w:space="720"/>
            <w:col w:w="5496"/>
          </w:cols>
          <w:pgMar w:left="320" w:top="157"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We actively engage with shareholders</w:t>
      </w:r>
    </w:p>
    <w:p>
      <w:pPr>
        <w:spacing w:after="0" w:line="181" w:lineRule="exact"/>
        <w:rPr>
          <w:sz w:val="20"/>
          <w:szCs w:val="20"/>
          <w:color w:val="auto"/>
        </w:rPr>
      </w:pPr>
    </w:p>
    <w:p>
      <w:pPr>
        <w:ind w:left="200" w:right="340" w:hanging="192"/>
        <w:spacing w:after="0" w:line="281" w:lineRule="auto"/>
        <w:tabs>
          <w:tab w:leader="none" w:pos="200" w:val="left"/>
        </w:tabs>
        <w:numPr>
          <w:ilvl w:val="0"/>
          <w:numId w:val="28"/>
        </w:numPr>
        <w:rPr>
          <w:rFonts w:ascii="Arial" w:cs="Arial" w:eastAsia="Arial" w:hAnsi="Arial"/>
          <w:sz w:val="17"/>
          <w:szCs w:val="17"/>
          <w:color w:val="074A75"/>
        </w:rPr>
      </w:pPr>
      <w:r>
        <w:rPr>
          <w:rFonts w:ascii="Arial" w:cs="Arial" w:eastAsia="Arial" w:hAnsi="Arial"/>
          <w:sz w:val="17"/>
          <w:szCs w:val="17"/>
          <w:color w:val="auto"/>
        </w:rPr>
        <w:t>We regularly engage with shareholders throughout the year on a wide variety of topics, such as strategy, financial and operating performance, competitive environment, regulatory landscape and environmental, social and governance ("ESG")-related matters</w:t>
      </w:r>
    </w:p>
    <w:p>
      <w:pPr>
        <w:spacing w:after="0" w:line="1" w:lineRule="exact"/>
        <w:rPr>
          <w:rFonts w:ascii="Arial" w:cs="Arial" w:eastAsia="Arial" w:hAnsi="Arial"/>
          <w:sz w:val="17"/>
          <w:szCs w:val="17"/>
          <w:color w:val="074A75"/>
        </w:rPr>
      </w:pPr>
    </w:p>
    <w:p>
      <w:pPr>
        <w:ind w:left="200" w:hanging="192"/>
        <w:spacing w:after="0"/>
        <w:tabs>
          <w:tab w:leader="none" w:pos="200" w:val="left"/>
        </w:tabs>
        <w:numPr>
          <w:ilvl w:val="0"/>
          <w:numId w:val="28"/>
        </w:numPr>
        <w:rPr>
          <w:rFonts w:ascii="Arial" w:cs="Arial" w:eastAsia="Arial" w:hAnsi="Arial"/>
          <w:sz w:val="17"/>
          <w:szCs w:val="17"/>
          <w:color w:val="074A75"/>
        </w:rPr>
      </w:pPr>
      <w:r>
        <w:rPr>
          <w:rFonts w:ascii="Arial" w:cs="Arial" w:eastAsia="Arial" w:hAnsi="Arial"/>
          <w:sz w:val="17"/>
          <w:szCs w:val="17"/>
          <w:color w:val="auto"/>
        </w:rPr>
        <w:t>In 2023, our shareholder engagement initiatives included:</w:t>
      </w:r>
    </w:p>
    <w:p>
      <w:pPr>
        <w:spacing w:after="0" w:line="74" w:lineRule="exact"/>
        <w:rPr>
          <w:rFonts w:ascii="Arial" w:cs="Arial" w:eastAsia="Arial" w:hAnsi="Arial"/>
          <w:sz w:val="17"/>
          <w:szCs w:val="17"/>
          <w:color w:val="074A75"/>
        </w:rPr>
      </w:pPr>
    </w:p>
    <w:p>
      <w:pPr>
        <w:ind w:left="400" w:right="60" w:hanging="194"/>
        <w:spacing w:after="0" w:line="257" w:lineRule="auto"/>
        <w:rPr>
          <w:rFonts w:ascii="Arial" w:cs="Arial" w:eastAsia="Arial" w:hAnsi="Arial"/>
          <w:sz w:val="17"/>
          <w:szCs w:val="17"/>
          <w:color w:val="074A75"/>
        </w:rPr>
      </w:pPr>
      <w:r>
        <w:rPr>
          <w:rFonts w:ascii="Arial" w:cs="Arial" w:eastAsia="Arial" w:hAnsi="Arial"/>
          <w:sz w:val="17"/>
          <w:szCs w:val="17"/>
          <w:color w:val="074A75"/>
        </w:rPr>
        <w:t xml:space="preserve">– </w:t>
      </w:r>
      <w:r>
        <w:rPr>
          <w:rFonts w:ascii="Arial" w:cs="Arial" w:eastAsia="Arial" w:hAnsi="Arial"/>
          <w:sz w:val="17"/>
          <w:szCs w:val="17"/>
          <w:b w:val="1"/>
          <w:bCs w:val="1"/>
          <w:color w:val="000000"/>
        </w:rPr>
        <w:t>Shareholder Engagement:</w:t>
      </w:r>
      <w:r>
        <w:rPr>
          <w:rFonts w:ascii="Arial" w:cs="Arial" w:eastAsia="Arial" w:hAnsi="Arial"/>
          <w:sz w:val="17"/>
          <w:szCs w:val="17"/>
          <w:color w:val="074A75"/>
        </w:rPr>
        <w:t xml:space="preserve"> </w:t>
      </w:r>
      <w:r>
        <w:rPr>
          <w:rFonts w:ascii="Arial" w:cs="Arial" w:eastAsia="Arial" w:hAnsi="Arial"/>
          <w:sz w:val="17"/>
          <w:szCs w:val="17"/>
          <w:color w:val="000000"/>
        </w:rPr>
        <w:t>We solicited feedback through approximately 200 engagements with 120 shareholders that represented 50% of</w:t>
      </w:r>
      <w:r>
        <w:rPr>
          <w:rFonts w:ascii="Arial" w:cs="Arial" w:eastAsia="Arial" w:hAnsi="Arial"/>
          <w:sz w:val="17"/>
          <w:szCs w:val="17"/>
          <w:color w:val="074A75"/>
        </w:rPr>
        <w:t xml:space="preserve"> </w:t>
      </w:r>
      <w:r>
        <w:rPr>
          <w:rFonts w:ascii="Arial" w:cs="Arial" w:eastAsia="Arial" w:hAnsi="Arial"/>
          <w:sz w:val="17"/>
          <w:szCs w:val="17"/>
          <w:color w:val="000000"/>
        </w:rPr>
        <w:t>the Firm's outstanding common stock, in addition to other key stakeholder listening and learning sessions. Our engagements with shareholders focused on board and management succession planning, executive compensation, technology, including artificial intelligence, cybersecurity and the Firm's sustainability efforts, including its climate strategy, in addition to a variety of discussions on the Firm's strategy and its financial and operating performance</w:t>
      </w:r>
    </w:p>
    <w:p>
      <w:pPr>
        <w:spacing w:after="0" w:line="33" w:lineRule="exact"/>
        <w:rPr>
          <w:rFonts w:ascii="Arial" w:cs="Arial" w:eastAsia="Arial" w:hAnsi="Arial"/>
          <w:sz w:val="17"/>
          <w:szCs w:val="17"/>
          <w:color w:val="074A75"/>
        </w:rPr>
      </w:pPr>
    </w:p>
    <w:p>
      <w:pPr>
        <w:ind w:left="400" w:right="680" w:hanging="194"/>
        <w:spacing w:after="0" w:line="284" w:lineRule="auto"/>
        <w:rPr>
          <w:rFonts w:ascii="Arial" w:cs="Arial" w:eastAsia="Arial" w:hAnsi="Arial"/>
          <w:sz w:val="17"/>
          <w:szCs w:val="17"/>
          <w:color w:val="074A75"/>
        </w:rPr>
      </w:pPr>
      <w:r>
        <w:rPr>
          <w:rFonts w:ascii="Arial" w:cs="Arial" w:eastAsia="Arial" w:hAnsi="Arial"/>
          <w:sz w:val="17"/>
          <w:szCs w:val="17"/>
          <w:color w:val="074A75"/>
        </w:rPr>
        <w:t xml:space="preserve">– </w:t>
      </w:r>
      <w:r>
        <w:rPr>
          <w:rFonts w:ascii="Arial" w:cs="Arial" w:eastAsia="Arial" w:hAnsi="Arial"/>
          <w:sz w:val="17"/>
          <w:szCs w:val="17"/>
          <w:b w:val="1"/>
          <w:bCs w:val="1"/>
          <w:color w:val="000000"/>
        </w:rPr>
        <w:t>Meetings/Conferences:</w:t>
      </w:r>
      <w:r>
        <w:rPr>
          <w:rFonts w:ascii="Arial" w:cs="Arial" w:eastAsia="Arial" w:hAnsi="Arial"/>
          <w:sz w:val="17"/>
          <w:szCs w:val="17"/>
          <w:color w:val="074A75"/>
        </w:rPr>
        <w:t xml:space="preserve"> </w:t>
      </w:r>
      <w:r>
        <w:rPr>
          <w:rFonts w:ascii="Arial" w:cs="Arial" w:eastAsia="Arial" w:hAnsi="Arial"/>
          <w:sz w:val="17"/>
          <w:szCs w:val="17"/>
          <w:color w:val="000000"/>
        </w:rPr>
        <w:t>Senior management hosted approximately 28 investor meetings, and presented at approximately 15 investor</w:t>
      </w:r>
      <w:r>
        <w:rPr>
          <w:rFonts w:ascii="Arial" w:cs="Arial" w:eastAsia="Arial" w:hAnsi="Arial"/>
          <w:sz w:val="17"/>
          <w:szCs w:val="17"/>
          <w:color w:val="074A75"/>
        </w:rPr>
        <w:t xml:space="preserve"> </w:t>
      </w:r>
      <w:r>
        <w:rPr>
          <w:rFonts w:ascii="Arial" w:cs="Arial" w:eastAsia="Arial" w:hAnsi="Arial"/>
          <w:sz w:val="17"/>
          <w:szCs w:val="17"/>
          <w:color w:val="000000"/>
        </w:rPr>
        <w:t>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governance practices promote Board effectiveness and shareholder interests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40" w:type="dxa"/>
            <w:vAlign w:val="bottom"/>
          </w:tcPr>
          <w:p>
            <w:pPr>
              <w:spacing w:after="0"/>
              <w:rPr>
                <w:sz w:val="20"/>
                <w:szCs w:val="20"/>
                <w:color w:val="auto"/>
              </w:rPr>
            </w:pPr>
            <w:r>
              <w:rPr>
                <w:rFonts w:ascii="Arial" w:cs="Arial" w:eastAsia="Arial" w:hAnsi="Arial"/>
                <w:sz w:val="17"/>
                <w:szCs w:val="17"/>
                <w:color w:val="074A75"/>
              </w:rPr>
              <w:t>•</w:t>
            </w:r>
          </w:p>
        </w:tc>
        <w:tc>
          <w:tcPr>
            <w:tcW w:w="4360" w:type="dxa"/>
            <w:vAlign w:val="bottom"/>
            <w:gridSpan w:val="2"/>
          </w:tcPr>
          <w:p>
            <w:pPr>
              <w:ind w:left="60"/>
              <w:spacing w:after="0"/>
              <w:rPr>
                <w:sz w:val="20"/>
                <w:szCs w:val="20"/>
                <w:color w:val="auto"/>
              </w:rPr>
            </w:pPr>
            <w:r>
              <w:rPr>
                <w:rFonts w:ascii="Arial" w:cs="Arial" w:eastAsia="Arial" w:hAnsi="Arial"/>
                <w:sz w:val="17"/>
                <w:szCs w:val="17"/>
                <w:color w:val="auto"/>
              </w:rPr>
              <w:t>Annual Board and committee assessment</w:t>
            </w:r>
          </w:p>
        </w:tc>
        <w:tc>
          <w:tcPr>
            <w:tcW w:w="6340" w:type="dxa"/>
            <w:vAlign w:val="bottom"/>
            <w:gridSpan w:val="2"/>
          </w:tcPr>
          <w:p>
            <w:pPr>
              <w:ind w:left="112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Majority voting for all director elections</w:t>
            </w:r>
          </w:p>
        </w:tc>
      </w:tr>
      <w:tr>
        <w:trPr>
          <w:trHeight w:val="256"/>
        </w:trPr>
        <w:tc>
          <w:tcPr>
            <w:tcW w:w="140" w:type="dxa"/>
            <w:vAlign w:val="bottom"/>
          </w:tcPr>
          <w:p>
            <w:pPr>
              <w:spacing w:after="0"/>
              <w:rPr>
                <w:sz w:val="20"/>
                <w:szCs w:val="20"/>
                <w:color w:val="auto"/>
              </w:rPr>
            </w:pPr>
            <w:r>
              <w:rPr>
                <w:rFonts w:ascii="Arial" w:cs="Arial" w:eastAsia="Arial" w:hAnsi="Arial"/>
                <w:sz w:val="17"/>
                <w:szCs w:val="17"/>
                <w:color w:val="074A75"/>
              </w:rPr>
              <w:t>•</w:t>
            </w:r>
          </w:p>
        </w:tc>
        <w:tc>
          <w:tcPr>
            <w:tcW w:w="4360" w:type="dxa"/>
            <w:vAlign w:val="bottom"/>
            <w:gridSpan w:val="2"/>
          </w:tcPr>
          <w:p>
            <w:pPr>
              <w:ind w:left="60"/>
              <w:spacing w:after="0"/>
              <w:rPr>
                <w:sz w:val="20"/>
                <w:szCs w:val="20"/>
                <w:color w:val="auto"/>
              </w:rPr>
            </w:pPr>
            <w:r>
              <w:rPr>
                <w:rFonts w:ascii="Arial" w:cs="Arial" w:eastAsia="Arial" w:hAnsi="Arial"/>
                <w:sz w:val="17"/>
                <w:szCs w:val="17"/>
                <w:color w:val="auto"/>
              </w:rPr>
              <w:t>Robust shareholder rights:</w:t>
            </w:r>
          </w:p>
        </w:tc>
        <w:tc>
          <w:tcPr>
            <w:tcW w:w="6340" w:type="dxa"/>
            <w:vAlign w:val="bottom"/>
            <w:gridSpan w:val="2"/>
          </w:tcPr>
          <w:p>
            <w:pPr>
              <w:ind w:left="112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Stock ownership requirements for directors</w:t>
            </w:r>
          </w:p>
        </w:tc>
      </w:tr>
      <w:tr>
        <w:trPr>
          <w:trHeight w:val="267"/>
        </w:trPr>
        <w:tc>
          <w:tcPr>
            <w:tcW w:w="140" w:type="dxa"/>
            <w:vAlign w:val="bottom"/>
          </w:tcPr>
          <w:p>
            <w:pPr>
              <w:spacing w:after="0"/>
              <w:rPr>
                <w:sz w:val="23"/>
                <w:szCs w:val="23"/>
                <w:color w:val="auto"/>
              </w:rPr>
            </w:pPr>
          </w:p>
        </w:tc>
        <w:tc>
          <w:tcPr>
            <w:tcW w:w="200" w:type="dxa"/>
            <w:vAlign w:val="bottom"/>
          </w:tcPr>
          <w:p>
            <w:pPr>
              <w:ind w:left="60"/>
              <w:spacing w:after="0"/>
              <w:rPr>
                <w:sz w:val="20"/>
                <w:szCs w:val="20"/>
                <w:color w:val="auto"/>
              </w:rPr>
            </w:pPr>
            <w:r>
              <w:rPr>
                <w:rFonts w:ascii="Arial" w:cs="Arial" w:eastAsia="Arial" w:hAnsi="Arial"/>
                <w:sz w:val="17"/>
                <w:szCs w:val="17"/>
                <w:b w:val="1"/>
                <w:bCs w:val="1"/>
                <w:color w:val="074A75"/>
              </w:rPr>
              <w:t>–</w:t>
            </w:r>
          </w:p>
        </w:tc>
        <w:tc>
          <w:tcPr>
            <w:tcW w:w="4160" w:type="dxa"/>
            <w:vAlign w:val="bottom"/>
          </w:tcPr>
          <w:p>
            <w:pPr>
              <w:ind w:left="60"/>
              <w:spacing w:after="0"/>
              <w:rPr>
                <w:sz w:val="20"/>
                <w:szCs w:val="20"/>
                <w:color w:val="auto"/>
              </w:rPr>
            </w:pPr>
            <w:r>
              <w:rPr>
                <w:rFonts w:ascii="Arial" w:cs="Arial" w:eastAsia="Arial" w:hAnsi="Arial"/>
                <w:sz w:val="17"/>
                <w:szCs w:val="17"/>
                <w:color w:val="auto"/>
              </w:rPr>
              <w:t>proxy access</w:t>
            </w:r>
          </w:p>
        </w:tc>
        <w:tc>
          <w:tcPr>
            <w:tcW w:w="1240" w:type="dxa"/>
            <w:vAlign w:val="bottom"/>
          </w:tcPr>
          <w:p>
            <w:pPr>
              <w:ind w:left="1120"/>
              <w:spacing w:after="0"/>
              <w:rPr>
                <w:sz w:val="20"/>
                <w:szCs w:val="20"/>
                <w:color w:val="auto"/>
              </w:rPr>
            </w:pPr>
            <w:r>
              <w:rPr>
                <w:rFonts w:ascii="Arial" w:cs="Arial" w:eastAsia="Arial" w:hAnsi="Arial"/>
                <w:sz w:val="17"/>
                <w:szCs w:val="17"/>
                <w:color w:val="074A75"/>
              </w:rPr>
              <w:t>•</w:t>
            </w:r>
          </w:p>
        </w:tc>
        <w:tc>
          <w:tcPr>
            <w:tcW w:w="5100" w:type="dxa"/>
            <w:vAlign w:val="bottom"/>
          </w:tcPr>
          <w:p>
            <w:pPr>
              <w:ind w:left="80"/>
              <w:spacing w:after="0"/>
              <w:rPr>
                <w:sz w:val="20"/>
                <w:szCs w:val="20"/>
                <w:color w:val="auto"/>
              </w:rPr>
            </w:pPr>
            <w:r>
              <w:rPr>
                <w:rFonts w:ascii="Arial" w:cs="Arial" w:eastAsia="Arial" w:hAnsi="Arial"/>
                <w:sz w:val="17"/>
                <w:szCs w:val="17"/>
                <w:color w:val="auto"/>
              </w:rPr>
              <w:t>100% principal standing committee independence</w:t>
            </w:r>
          </w:p>
        </w:tc>
      </w:tr>
      <w:tr>
        <w:trPr>
          <w:trHeight w:val="224"/>
        </w:trPr>
        <w:tc>
          <w:tcPr>
            <w:tcW w:w="140" w:type="dxa"/>
            <w:vAlign w:val="bottom"/>
          </w:tcPr>
          <w:p>
            <w:pPr>
              <w:spacing w:after="0"/>
              <w:rPr>
                <w:sz w:val="19"/>
                <w:szCs w:val="19"/>
                <w:color w:val="auto"/>
              </w:rPr>
            </w:pPr>
          </w:p>
        </w:tc>
        <w:tc>
          <w:tcPr>
            <w:tcW w:w="4360" w:type="dxa"/>
            <w:vAlign w:val="bottom"/>
            <w:gridSpan w:val="2"/>
          </w:tcPr>
          <w:p>
            <w:pPr>
              <w:ind w:left="60"/>
              <w:spacing w:after="0"/>
              <w:rPr>
                <w:sz w:val="20"/>
                <w:szCs w:val="20"/>
                <w:color w:val="auto"/>
              </w:rPr>
            </w:pPr>
            <w:r>
              <w:rPr>
                <w:rFonts w:ascii="Arial" w:cs="Arial" w:eastAsia="Arial" w:hAnsi="Arial"/>
                <w:sz w:val="17"/>
                <w:szCs w:val="17"/>
                <w:b w:val="1"/>
                <w:bCs w:val="1"/>
                <w:color w:val="074A75"/>
              </w:rPr>
              <w:t xml:space="preserve">– </w:t>
            </w:r>
            <w:r>
              <w:rPr>
                <w:rFonts w:ascii="Arial" w:cs="Arial" w:eastAsia="Arial" w:hAnsi="Arial"/>
                <w:sz w:val="17"/>
                <w:szCs w:val="17"/>
                <w:color w:val="000000"/>
              </w:rPr>
              <w:t>right to call a special meeting</w:t>
            </w:r>
          </w:p>
        </w:tc>
        <w:tc>
          <w:tcPr>
            <w:tcW w:w="1240" w:type="dxa"/>
            <w:vAlign w:val="bottom"/>
          </w:tcPr>
          <w:p>
            <w:pPr>
              <w:ind w:left="1120"/>
              <w:spacing w:after="0"/>
              <w:rPr>
                <w:sz w:val="20"/>
                <w:szCs w:val="20"/>
                <w:color w:val="auto"/>
              </w:rPr>
            </w:pPr>
            <w:r>
              <w:rPr>
                <w:rFonts w:ascii="Arial" w:cs="Arial" w:eastAsia="Arial" w:hAnsi="Arial"/>
                <w:sz w:val="17"/>
                <w:szCs w:val="17"/>
                <w:color w:val="074A75"/>
              </w:rPr>
              <w:t>•</w:t>
            </w:r>
          </w:p>
        </w:tc>
        <w:tc>
          <w:tcPr>
            <w:tcW w:w="5100" w:type="dxa"/>
            <w:vAlign w:val="bottom"/>
          </w:tcPr>
          <w:p>
            <w:pPr>
              <w:ind w:left="80"/>
              <w:spacing w:after="0"/>
              <w:rPr>
                <w:sz w:val="20"/>
                <w:szCs w:val="20"/>
                <w:color w:val="auto"/>
              </w:rPr>
            </w:pPr>
            <w:r>
              <w:rPr>
                <w:rFonts w:ascii="Arial" w:cs="Arial" w:eastAsia="Arial" w:hAnsi="Arial"/>
                <w:sz w:val="17"/>
                <w:szCs w:val="17"/>
                <w:color w:val="auto"/>
              </w:rPr>
              <w:t>Executive sessions of independent directors at each regular Board</w:t>
            </w:r>
          </w:p>
        </w:tc>
      </w:tr>
      <w:tr>
        <w:trPr>
          <w:trHeight w:val="289"/>
        </w:trPr>
        <w:tc>
          <w:tcPr>
            <w:tcW w:w="14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17"/>
                <w:szCs w:val="17"/>
                <w:b w:val="1"/>
                <w:bCs w:val="1"/>
                <w:color w:val="074A75"/>
              </w:rPr>
              <w:t>–</w:t>
            </w:r>
          </w:p>
        </w:tc>
        <w:tc>
          <w:tcPr>
            <w:tcW w:w="4160" w:type="dxa"/>
            <w:vAlign w:val="bottom"/>
          </w:tcPr>
          <w:p>
            <w:pPr>
              <w:ind w:left="60"/>
              <w:spacing w:after="0"/>
              <w:rPr>
                <w:sz w:val="20"/>
                <w:szCs w:val="20"/>
                <w:color w:val="auto"/>
              </w:rPr>
            </w:pPr>
            <w:r>
              <w:rPr>
                <w:rFonts w:ascii="Arial" w:cs="Arial" w:eastAsia="Arial" w:hAnsi="Arial"/>
                <w:sz w:val="17"/>
                <w:szCs w:val="17"/>
                <w:color w:val="auto"/>
              </w:rPr>
              <w:t>right to act by written consent</w:t>
            </w:r>
          </w:p>
        </w:tc>
        <w:tc>
          <w:tcPr>
            <w:tcW w:w="1240" w:type="dxa"/>
            <w:vAlign w:val="bottom"/>
          </w:tcPr>
          <w:p>
            <w:pPr>
              <w:spacing w:after="0"/>
              <w:rPr>
                <w:sz w:val="24"/>
                <w:szCs w:val="24"/>
                <w:color w:val="auto"/>
              </w:rPr>
            </w:pPr>
          </w:p>
        </w:tc>
        <w:tc>
          <w:tcPr>
            <w:tcW w:w="5100" w:type="dxa"/>
            <w:vAlign w:val="bottom"/>
          </w:tcPr>
          <w:p>
            <w:pPr>
              <w:ind w:left="80"/>
              <w:spacing w:after="0"/>
              <w:rPr>
                <w:sz w:val="20"/>
                <w:szCs w:val="20"/>
                <w:color w:val="auto"/>
              </w:rPr>
            </w:pPr>
            <w:r>
              <w:rPr>
                <w:rFonts w:ascii="Arial" w:cs="Arial" w:eastAsia="Arial" w:hAnsi="Arial"/>
                <w:sz w:val="17"/>
                <w:szCs w:val="17"/>
                <w:color w:val="auto"/>
              </w:rPr>
              <w:t>meeting</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2024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3</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5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1: Election of directors – page 7</w:t>
      </w:r>
    </w:p>
    <w:p>
      <w:pPr>
        <w:spacing w:after="0" w:line="28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Board of Directors has nominated the 10 individuals listed below. All are independent other than our CEO. If elected at the annual meeting, all nominees are expected to serve until next year’s annual meeting.</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140" w:type="dxa"/>
            <w:vAlign w:val="bottom"/>
          </w:tcPr>
          <w:p>
            <w:pPr>
              <w:ind w:left="840"/>
              <w:spacing w:after="0"/>
              <w:rPr>
                <w:sz w:val="20"/>
                <w:szCs w:val="20"/>
                <w:color w:val="auto"/>
              </w:rPr>
            </w:pPr>
            <w:r>
              <w:rPr>
                <w:rFonts w:ascii="Arial" w:cs="Arial" w:eastAsia="Arial" w:hAnsi="Arial"/>
                <w:sz w:val="16"/>
                <w:szCs w:val="16"/>
                <w:color w:val="074A75"/>
              </w:rPr>
              <w:t>Nominee/Director of</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074A75"/>
                <w:w w:val="98"/>
              </w:rPr>
              <w:t>Age</w:t>
            </w:r>
          </w:p>
        </w:tc>
        <w:tc>
          <w:tcPr>
            <w:tcW w:w="2540" w:type="dxa"/>
            <w:vAlign w:val="bottom"/>
            <w:vMerge w:val="restart"/>
          </w:tcPr>
          <w:p>
            <w:pPr>
              <w:ind w:left="500"/>
              <w:spacing w:after="0"/>
              <w:rPr>
                <w:sz w:val="20"/>
                <w:szCs w:val="20"/>
                <w:color w:val="auto"/>
              </w:rPr>
            </w:pPr>
            <w:r>
              <w:rPr>
                <w:rFonts w:ascii="Arial" w:cs="Arial" w:eastAsia="Arial" w:hAnsi="Arial"/>
                <w:sz w:val="16"/>
                <w:szCs w:val="16"/>
                <w:color w:val="074A75"/>
              </w:rPr>
              <w:t>Principal Occupation</w:t>
            </w:r>
          </w:p>
        </w:tc>
        <w:tc>
          <w:tcPr>
            <w:tcW w:w="1980" w:type="dxa"/>
            <w:vAlign w:val="bottom"/>
          </w:tcPr>
          <w:p>
            <w:pPr>
              <w:jc w:val="center"/>
              <w:spacing w:after="0"/>
              <w:rPr>
                <w:sz w:val="20"/>
                <w:szCs w:val="20"/>
                <w:color w:val="auto"/>
              </w:rPr>
            </w:pPr>
            <w:r>
              <w:rPr>
                <w:rFonts w:ascii="Arial" w:cs="Arial" w:eastAsia="Arial" w:hAnsi="Arial"/>
                <w:sz w:val="16"/>
                <w:szCs w:val="16"/>
                <w:color w:val="074A75"/>
              </w:rPr>
              <w:t>Other U.S.-Listed Public</w:t>
            </w:r>
          </w:p>
        </w:tc>
        <w:tc>
          <w:tcPr>
            <w:tcW w:w="2900" w:type="dxa"/>
            <w:vAlign w:val="bottom"/>
          </w:tcPr>
          <w:p>
            <w:pPr>
              <w:ind w:left="500"/>
              <w:spacing w:after="0"/>
              <w:rPr>
                <w:sz w:val="20"/>
                <w:szCs w:val="20"/>
                <w:color w:val="auto"/>
              </w:rPr>
            </w:pPr>
            <w:r>
              <w:rPr>
                <w:rFonts w:ascii="Arial" w:cs="Arial" w:eastAsia="Arial" w:hAnsi="Arial"/>
                <w:sz w:val="16"/>
                <w:szCs w:val="16"/>
                <w:color w:val="074A75"/>
              </w:rPr>
              <w:t>Committee Membership</w:t>
            </w:r>
            <w:r>
              <w:rPr>
                <w:rFonts w:ascii="Arial" w:cs="Arial" w:eastAsia="Arial" w:hAnsi="Arial"/>
                <w:sz w:val="21"/>
                <w:szCs w:val="21"/>
                <w:color w:val="074A75"/>
                <w:vertAlign w:val="superscript"/>
              </w:rPr>
              <w:t>2, 3</w:t>
            </w:r>
          </w:p>
        </w:tc>
        <w:tc>
          <w:tcPr>
            <w:tcW w:w="0" w:type="dxa"/>
            <w:vAlign w:val="bottom"/>
          </w:tcPr>
          <w:p>
            <w:pPr>
              <w:spacing w:after="0"/>
              <w:rPr>
                <w:sz w:val="1"/>
                <w:szCs w:val="1"/>
                <w:color w:val="auto"/>
              </w:rPr>
            </w:pPr>
          </w:p>
        </w:tc>
      </w:tr>
      <w:tr>
        <w:trPr>
          <w:trHeight w:val="229"/>
        </w:trPr>
        <w:tc>
          <w:tcPr>
            <w:tcW w:w="3140" w:type="dxa"/>
            <w:vAlign w:val="bottom"/>
          </w:tcPr>
          <w:p>
            <w:pPr>
              <w:ind w:left="700"/>
              <w:spacing w:after="0" w:line="230" w:lineRule="exact"/>
              <w:rPr>
                <w:sz w:val="20"/>
                <w:szCs w:val="20"/>
                <w:color w:val="auto"/>
              </w:rPr>
            </w:pPr>
            <w:r>
              <w:rPr>
                <w:rFonts w:ascii="Arial" w:cs="Arial" w:eastAsia="Arial" w:hAnsi="Arial"/>
                <w:sz w:val="16"/>
                <w:szCs w:val="16"/>
                <w:color w:val="074A75"/>
              </w:rPr>
              <w:t>JPMorgan Chase since</w:t>
            </w:r>
            <w:r>
              <w:rPr>
                <w:rFonts w:ascii="Arial" w:cs="Arial" w:eastAsia="Arial" w:hAnsi="Arial"/>
                <w:sz w:val="21"/>
                <w:szCs w:val="21"/>
                <w:color w:val="074A75"/>
                <w:vertAlign w:val="superscript"/>
              </w:rPr>
              <w:t>1</w:t>
            </w:r>
          </w:p>
        </w:tc>
        <w:tc>
          <w:tcPr>
            <w:tcW w:w="640" w:type="dxa"/>
            <w:vAlign w:val="bottom"/>
            <w:vMerge w:val="continue"/>
          </w:tcPr>
          <w:p>
            <w:pPr>
              <w:spacing w:after="0"/>
              <w:rPr>
                <w:sz w:val="19"/>
                <w:szCs w:val="19"/>
                <w:color w:val="auto"/>
              </w:rPr>
            </w:pPr>
          </w:p>
        </w:tc>
        <w:tc>
          <w:tcPr>
            <w:tcW w:w="2540" w:type="dxa"/>
            <w:vAlign w:val="bottom"/>
            <w:vMerge w:val="continue"/>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074A75"/>
              </w:rPr>
              <w:t>Company Directorships</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b w:val="1"/>
                <w:bCs w:val="1"/>
                <w:color w:val="auto"/>
              </w:rPr>
              <w:t>Stephen B. Burke</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65</w:t>
            </w: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Chairman and Chief</w:t>
            </w:r>
          </w:p>
        </w:tc>
        <w:tc>
          <w:tcPr>
            <w:tcW w:w="198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2</w:t>
            </w:r>
          </w:p>
        </w:tc>
        <w:tc>
          <w:tcPr>
            <w:tcW w:w="2900" w:type="dxa"/>
            <w:vAlign w:val="bottom"/>
          </w:tcPr>
          <w:p>
            <w:pPr>
              <w:ind w:left="80"/>
              <w:spacing w:after="0"/>
              <w:rPr>
                <w:sz w:val="20"/>
                <w:szCs w:val="20"/>
                <w:color w:val="auto"/>
              </w:rPr>
            </w:pPr>
            <w:r>
              <w:rPr>
                <w:rFonts w:ascii="Arial" w:cs="Arial" w:eastAsia="Arial" w:hAnsi="Arial"/>
                <w:sz w:val="14"/>
                <w:szCs w:val="14"/>
                <w:color w:val="auto"/>
              </w:rPr>
              <w:t>Compensation &amp; Management</w:t>
            </w:r>
          </w:p>
        </w:tc>
        <w:tc>
          <w:tcPr>
            <w:tcW w:w="0" w:type="dxa"/>
            <w:vAlign w:val="bottom"/>
          </w:tcPr>
          <w:p>
            <w:pPr>
              <w:spacing w:after="0"/>
              <w:rPr>
                <w:sz w:val="1"/>
                <w:szCs w:val="1"/>
                <w:color w:val="auto"/>
              </w:rPr>
            </w:pPr>
          </w:p>
        </w:tc>
      </w:tr>
      <w:tr>
        <w:trPr>
          <w:trHeight w:val="175"/>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color w:val="auto"/>
              </w:rPr>
              <w:t>Lead Independent Director</w:t>
            </w:r>
          </w:p>
        </w:tc>
        <w:tc>
          <w:tcPr>
            <w:tcW w:w="640" w:type="dxa"/>
            <w:vAlign w:val="bottom"/>
            <w:tcBorders>
              <w:right w:val="single" w:sz="8" w:color="454545"/>
            </w:tcBorders>
          </w:tcPr>
          <w:p>
            <w:pPr>
              <w:spacing w:after="0"/>
              <w:rPr>
                <w:sz w:val="15"/>
                <w:szCs w:val="15"/>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Executive Officer of NBCUniversal,</w:t>
            </w:r>
          </w:p>
        </w:tc>
        <w:tc>
          <w:tcPr>
            <w:tcW w:w="1980" w:type="dxa"/>
            <w:vAlign w:val="bottom"/>
            <w:tcBorders>
              <w:right w:val="single" w:sz="8" w:color="454545"/>
            </w:tcBorders>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Development (Chair);</w:t>
            </w:r>
          </w:p>
        </w:tc>
        <w:tc>
          <w:tcPr>
            <w:tcW w:w="0" w:type="dxa"/>
            <w:vAlign w:val="bottom"/>
          </w:tcPr>
          <w:p>
            <w:pPr>
              <w:spacing w:after="0"/>
              <w:rPr>
                <w:sz w:val="1"/>
                <w:szCs w:val="1"/>
                <w:color w:val="auto"/>
              </w:rPr>
            </w:pPr>
          </w:p>
        </w:tc>
      </w:tr>
      <w:tr>
        <w:trPr>
          <w:trHeight w:val="190"/>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color w:val="auto"/>
              </w:rPr>
              <w:t>Director since 2004</w:t>
            </w:r>
          </w:p>
        </w:tc>
        <w:tc>
          <w:tcPr>
            <w:tcW w:w="640" w:type="dxa"/>
            <w:vAlign w:val="bottom"/>
            <w:tcBorders>
              <w:right w:val="single" w:sz="8" w:color="454545"/>
            </w:tcBorders>
          </w:tcPr>
          <w:p>
            <w:pPr>
              <w:spacing w:after="0"/>
              <w:rPr>
                <w:sz w:val="16"/>
                <w:szCs w:val="16"/>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LLC</w:t>
            </w:r>
          </w:p>
        </w:tc>
        <w:tc>
          <w:tcPr>
            <w:tcW w:w="1980" w:type="dxa"/>
            <w:vAlign w:val="bottom"/>
            <w:tcBorders>
              <w:right w:val="single" w:sz="8" w:color="454545"/>
            </w:tcBorders>
          </w:tcPr>
          <w:p>
            <w:pPr>
              <w:spacing w:after="0"/>
              <w:rPr>
                <w:sz w:val="16"/>
                <w:szCs w:val="16"/>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Corporate Governance &amp; Nominating</w:t>
            </w:r>
          </w:p>
        </w:tc>
        <w:tc>
          <w:tcPr>
            <w:tcW w:w="0" w:type="dxa"/>
            <w:vAlign w:val="bottom"/>
          </w:tcPr>
          <w:p>
            <w:pPr>
              <w:spacing w:after="0"/>
              <w:rPr>
                <w:sz w:val="1"/>
                <w:szCs w:val="1"/>
                <w:color w:val="auto"/>
              </w:rPr>
            </w:pPr>
          </w:p>
        </w:tc>
      </w:tr>
      <w:tr>
        <w:trPr>
          <w:trHeight w:val="238"/>
        </w:trPr>
        <w:tc>
          <w:tcPr>
            <w:tcW w:w="3140" w:type="dxa"/>
            <w:vAlign w:val="bottom"/>
            <w:tcBorders>
              <w:bottom w:val="single" w:sz="8" w:color="454545"/>
              <w:right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spacing w:after="0"/>
              <w:rPr>
                <w:sz w:val="20"/>
                <w:szCs w:val="20"/>
                <w:color w:val="auto"/>
              </w:rPr>
            </w:pPr>
          </w:p>
        </w:tc>
        <w:tc>
          <w:tcPr>
            <w:tcW w:w="2540" w:type="dxa"/>
            <w:vAlign w:val="bottom"/>
            <w:tcBorders>
              <w:bottom w:val="single" w:sz="8" w:color="454545"/>
              <w:right w:val="single" w:sz="8" w:color="454545"/>
            </w:tcBorders>
          </w:tcPr>
          <w:p>
            <w:pPr>
              <w:spacing w:after="0"/>
              <w:rPr>
                <w:sz w:val="20"/>
                <w:szCs w:val="20"/>
                <w:color w:val="auto"/>
              </w:rPr>
            </w:pPr>
          </w:p>
        </w:tc>
        <w:tc>
          <w:tcPr>
            <w:tcW w:w="1980" w:type="dxa"/>
            <w:vAlign w:val="bottom"/>
            <w:tcBorders>
              <w:bottom w:val="single" w:sz="8" w:color="454545"/>
              <w:right w:val="single" w:sz="8" w:color="454545"/>
            </w:tcBorders>
          </w:tcPr>
          <w:p>
            <w:pPr>
              <w:spacing w:after="0"/>
              <w:rPr>
                <w:sz w:val="20"/>
                <w:szCs w:val="20"/>
                <w:color w:val="auto"/>
              </w:rPr>
            </w:pPr>
          </w:p>
        </w:tc>
        <w:tc>
          <w:tcPr>
            <w:tcW w:w="2900" w:type="dxa"/>
            <w:vAlign w:val="bottom"/>
            <w:tcBorders>
              <w:bottom w:val="single" w:sz="8" w:color="454545"/>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b w:val="1"/>
                <w:bCs w:val="1"/>
                <w:color w:val="auto"/>
              </w:rPr>
              <w:t>Linda B. Bammann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68</w:t>
            </w: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Deputy Head of Risk</w:t>
            </w:r>
          </w:p>
        </w:tc>
        <w:tc>
          <w:tcPr>
            <w:tcW w:w="198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2900" w:type="dxa"/>
            <w:vAlign w:val="bottom"/>
          </w:tcPr>
          <w:p>
            <w:pPr>
              <w:ind w:left="80"/>
              <w:spacing w:after="0"/>
              <w:rPr>
                <w:sz w:val="20"/>
                <w:szCs w:val="20"/>
                <w:color w:val="auto"/>
              </w:rPr>
            </w:pPr>
            <w:r>
              <w:rPr>
                <w:rFonts w:ascii="Arial" w:cs="Arial" w:eastAsia="Arial" w:hAnsi="Arial"/>
                <w:sz w:val="14"/>
                <w:szCs w:val="14"/>
                <w:color w:val="auto"/>
              </w:rPr>
              <w:t>Risk (Chair);</w:t>
            </w:r>
          </w:p>
        </w:tc>
        <w:tc>
          <w:tcPr>
            <w:tcW w:w="0" w:type="dxa"/>
            <w:vAlign w:val="bottom"/>
          </w:tcPr>
          <w:p>
            <w:pPr>
              <w:spacing w:after="0"/>
              <w:rPr>
                <w:sz w:val="1"/>
                <w:szCs w:val="1"/>
                <w:color w:val="auto"/>
              </w:rPr>
            </w:pPr>
          </w:p>
        </w:tc>
      </w:tr>
      <w:tr>
        <w:trPr>
          <w:trHeight w:val="176"/>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color w:val="auto"/>
              </w:rPr>
              <w:t>Director since 2013</w:t>
            </w:r>
          </w:p>
        </w:tc>
        <w:tc>
          <w:tcPr>
            <w:tcW w:w="640" w:type="dxa"/>
            <w:vAlign w:val="bottom"/>
            <w:tcBorders>
              <w:right w:val="single" w:sz="8" w:color="454545"/>
            </w:tcBorders>
          </w:tcPr>
          <w:p>
            <w:pPr>
              <w:spacing w:after="0"/>
              <w:rPr>
                <w:sz w:val="15"/>
                <w:szCs w:val="15"/>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Management of JPMorgan Chase &amp;</w:t>
            </w:r>
          </w:p>
        </w:tc>
        <w:tc>
          <w:tcPr>
            <w:tcW w:w="1980" w:type="dxa"/>
            <w:vAlign w:val="bottom"/>
            <w:tcBorders>
              <w:right w:val="single" w:sz="8" w:color="454545"/>
            </w:tcBorders>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Compensation &amp;</w:t>
            </w:r>
          </w:p>
        </w:tc>
        <w:tc>
          <w:tcPr>
            <w:tcW w:w="0" w:type="dxa"/>
            <w:vAlign w:val="bottom"/>
          </w:tcPr>
          <w:p>
            <w:pPr>
              <w:spacing w:after="0"/>
              <w:rPr>
                <w:sz w:val="1"/>
                <w:szCs w:val="1"/>
                <w:color w:val="auto"/>
              </w:rPr>
            </w:pPr>
          </w:p>
        </w:tc>
      </w:tr>
      <w:tr>
        <w:trPr>
          <w:trHeight w:val="190"/>
        </w:trPr>
        <w:tc>
          <w:tcPr>
            <w:tcW w:w="314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Co.</w:t>
            </w:r>
            <w:r>
              <w:rPr>
                <w:rFonts w:ascii="Arial" w:cs="Arial" w:eastAsia="Arial" w:hAnsi="Arial"/>
                <w:sz w:val="9"/>
                <w:szCs w:val="9"/>
                <w:color w:val="auto"/>
              </w:rPr>
              <w:t>4</w:t>
            </w:r>
          </w:p>
        </w:tc>
        <w:tc>
          <w:tcPr>
            <w:tcW w:w="1980" w:type="dxa"/>
            <w:vAlign w:val="bottom"/>
            <w:tcBorders>
              <w:right w:val="single" w:sz="8" w:color="454545"/>
            </w:tcBorders>
          </w:tcPr>
          <w:p>
            <w:pPr>
              <w:spacing w:after="0"/>
              <w:rPr>
                <w:sz w:val="16"/>
                <w:szCs w:val="16"/>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Management Development</w:t>
            </w:r>
          </w:p>
        </w:tc>
        <w:tc>
          <w:tcPr>
            <w:tcW w:w="0" w:type="dxa"/>
            <w:vAlign w:val="bottom"/>
          </w:tcPr>
          <w:p>
            <w:pPr>
              <w:spacing w:after="0"/>
              <w:rPr>
                <w:sz w:val="1"/>
                <w:szCs w:val="1"/>
                <w:color w:val="auto"/>
              </w:rPr>
            </w:pPr>
          </w:p>
        </w:tc>
      </w:tr>
      <w:tr>
        <w:trPr>
          <w:trHeight w:val="238"/>
        </w:trPr>
        <w:tc>
          <w:tcPr>
            <w:tcW w:w="3140" w:type="dxa"/>
            <w:vAlign w:val="bottom"/>
            <w:tcBorders>
              <w:bottom w:val="single" w:sz="8" w:color="454545"/>
              <w:right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spacing w:after="0"/>
              <w:rPr>
                <w:sz w:val="20"/>
                <w:szCs w:val="20"/>
                <w:color w:val="auto"/>
              </w:rPr>
            </w:pPr>
          </w:p>
        </w:tc>
        <w:tc>
          <w:tcPr>
            <w:tcW w:w="2540" w:type="dxa"/>
            <w:vAlign w:val="bottom"/>
            <w:tcBorders>
              <w:bottom w:val="single" w:sz="8" w:color="454545"/>
              <w:right w:val="single" w:sz="8" w:color="454545"/>
            </w:tcBorders>
          </w:tcPr>
          <w:p>
            <w:pPr>
              <w:spacing w:after="0"/>
              <w:rPr>
                <w:sz w:val="20"/>
                <w:szCs w:val="20"/>
                <w:color w:val="auto"/>
              </w:rPr>
            </w:pPr>
          </w:p>
        </w:tc>
        <w:tc>
          <w:tcPr>
            <w:tcW w:w="1980" w:type="dxa"/>
            <w:vAlign w:val="bottom"/>
            <w:tcBorders>
              <w:bottom w:val="single" w:sz="8" w:color="454545"/>
              <w:right w:val="single" w:sz="8" w:color="454545"/>
            </w:tcBorders>
          </w:tcPr>
          <w:p>
            <w:pPr>
              <w:spacing w:after="0"/>
              <w:rPr>
                <w:sz w:val="20"/>
                <w:szCs w:val="20"/>
                <w:color w:val="auto"/>
              </w:rPr>
            </w:pPr>
          </w:p>
        </w:tc>
        <w:tc>
          <w:tcPr>
            <w:tcW w:w="2900" w:type="dxa"/>
            <w:vAlign w:val="bottom"/>
            <w:tcBorders>
              <w:bottom w:val="single" w:sz="8" w:color="454545"/>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b w:val="1"/>
                <w:bCs w:val="1"/>
                <w:color w:val="auto"/>
              </w:rPr>
              <w:t>Todd A. Combs</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53</w:t>
            </w: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President and Chief</w:t>
            </w:r>
          </w:p>
        </w:tc>
        <w:tc>
          <w:tcPr>
            <w:tcW w:w="198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2900" w:type="dxa"/>
            <w:vAlign w:val="bottom"/>
          </w:tcPr>
          <w:p>
            <w:pPr>
              <w:ind w:left="80"/>
              <w:spacing w:after="0"/>
              <w:rPr>
                <w:sz w:val="20"/>
                <w:szCs w:val="20"/>
                <w:color w:val="auto"/>
              </w:rPr>
            </w:pPr>
            <w:r>
              <w:rPr>
                <w:rFonts w:ascii="Arial" w:cs="Arial" w:eastAsia="Arial" w:hAnsi="Arial"/>
                <w:sz w:val="14"/>
                <w:szCs w:val="14"/>
                <w:color w:val="auto"/>
              </w:rPr>
              <w:t>Corporate Governance &amp;</w:t>
            </w:r>
          </w:p>
        </w:tc>
        <w:tc>
          <w:tcPr>
            <w:tcW w:w="0" w:type="dxa"/>
            <w:vAlign w:val="bottom"/>
          </w:tcPr>
          <w:p>
            <w:pPr>
              <w:spacing w:after="0"/>
              <w:rPr>
                <w:sz w:val="1"/>
                <w:szCs w:val="1"/>
                <w:color w:val="auto"/>
              </w:rPr>
            </w:pPr>
          </w:p>
        </w:tc>
      </w:tr>
      <w:tr>
        <w:trPr>
          <w:trHeight w:val="176"/>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color w:val="auto"/>
              </w:rPr>
              <w:t>Director since 2016</w:t>
            </w:r>
          </w:p>
        </w:tc>
        <w:tc>
          <w:tcPr>
            <w:tcW w:w="640" w:type="dxa"/>
            <w:vAlign w:val="bottom"/>
            <w:tcBorders>
              <w:right w:val="single" w:sz="8" w:color="454545"/>
            </w:tcBorders>
          </w:tcPr>
          <w:p>
            <w:pPr>
              <w:spacing w:after="0"/>
              <w:rPr>
                <w:sz w:val="15"/>
                <w:szCs w:val="15"/>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Executive Officer of GEICO and</w:t>
            </w:r>
          </w:p>
        </w:tc>
        <w:tc>
          <w:tcPr>
            <w:tcW w:w="1980" w:type="dxa"/>
            <w:vAlign w:val="bottom"/>
            <w:tcBorders>
              <w:right w:val="single" w:sz="8" w:color="454545"/>
            </w:tcBorders>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Nominating (Chair);</w:t>
            </w:r>
          </w:p>
        </w:tc>
        <w:tc>
          <w:tcPr>
            <w:tcW w:w="0" w:type="dxa"/>
            <w:vAlign w:val="bottom"/>
          </w:tcPr>
          <w:p>
            <w:pPr>
              <w:spacing w:after="0"/>
              <w:rPr>
                <w:sz w:val="1"/>
                <w:szCs w:val="1"/>
                <w:color w:val="auto"/>
              </w:rPr>
            </w:pPr>
          </w:p>
        </w:tc>
      </w:tr>
      <w:tr>
        <w:trPr>
          <w:trHeight w:val="176"/>
        </w:trPr>
        <w:tc>
          <w:tcPr>
            <w:tcW w:w="3140" w:type="dxa"/>
            <w:vAlign w:val="bottom"/>
            <w:tcBorders>
              <w:right w:val="single" w:sz="8" w:color="454545"/>
            </w:tcBorders>
          </w:tcPr>
          <w:p>
            <w:pPr>
              <w:spacing w:after="0"/>
              <w:rPr>
                <w:sz w:val="15"/>
                <w:szCs w:val="15"/>
                <w:color w:val="auto"/>
              </w:rPr>
            </w:pPr>
          </w:p>
        </w:tc>
        <w:tc>
          <w:tcPr>
            <w:tcW w:w="640" w:type="dxa"/>
            <w:vAlign w:val="bottom"/>
            <w:tcBorders>
              <w:right w:val="single" w:sz="8" w:color="454545"/>
            </w:tcBorders>
          </w:tcPr>
          <w:p>
            <w:pPr>
              <w:spacing w:after="0"/>
              <w:rPr>
                <w:sz w:val="15"/>
                <w:szCs w:val="15"/>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Investment Officer at Berkshire</w:t>
            </w:r>
          </w:p>
        </w:tc>
        <w:tc>
          <w:tcPr>
            <w:tcW w:w="1980" w:type="dxa"/>
            <w:vAlign w:val="bottom"/>
            <w:tcBorders>
              <w:right w:val="single" w:sz="8" w:color="454545"/>
            </w:tcBorders>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Compensation &amp;</w:t>
            </w:r>
          </w:p>
        </w:tc>
        <w:tc>
          <w:tcPr>
            <w:tcW w:w="0" w:type="dxa"/>
            <w:vAlign w:val="bottom"/>
          </w:tcPr>
          <w:p>
            <w:pPr>
              <w:spacing w:after="0"/>
              <w:rPr>
                <w:sz w:val="1"/>
                <w:szCs w:val="1"/>
                <w:color w:val="auto"/>
              </w:rPr>
            </w:pPr>
          </w:p>
        </w:tc>
      </w:tr>
      <w:tr>
        <w:trPr>
          <w:trHeight w:val="190"/>
        </w:trPr>
        <w:tc>
          <w:tcPr>
            <w:tcW w:w="314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Hathaway Inc.</w:t>
            </w:r>
          </w:p>
        </w:tc>
        <w:tc>
          <w:tcPr>
            <w:tcW w:w="1980" w:type="dxa"/>
            <w:vAlign w:val="bottom"/>
            <w:tcBorders>
              <w:right w:val="single" w:sz="8" w:color="454545"/>
            </w:tcBorders>
          </w:tcPr>
          <w:p>
            <w:pPr>
              <w:spacing w:after="0"/>
              <w:rPr>
                <w:sz w:val="16"/>
                <w:szCs w:val="16"/>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Management Development</w:t>
            </w:r>
          </w:p>
        </w:tc>
        <w:tc>
          <w:tcPr>
            <w:tcW w:w="0" w:type="dxa"/>
            <w:vAlign w:val="bottom"/>
          </w:tcPr>
          <w:p>
            <w:pPr>
              <w:spacing w:after="0"/>
              <w:rPr>
                <w:sz w:val="1"/>
                <w:szCs w:val="1"/>
                <w:color w:val="auto"/>
              </w:rPr>
            </w:pPr>
          </w:p>
        </w:tc>
      </w:tr>
      <w:tr>
        <w:trPr>
          <w:trHeight w:val="76"/>
        </w:trPr>
        <w:tc>
          <w:tcPr>
            <w:tcW w:w="3140" w:type="dxa"/>
            <w:vAlign w:val="bottom"/>
            <w:tcBorders>
              <w:bottom w:val="single" w:sz="8" w:color="454545"/>
              <w:right w:val="single" w:sz="8" w:color="454545"/>
            </w:tcBorders>
          </w:tcPr>
          <w:p>
            <w:pPr>
              <w:spacing w:after="0"/>
              <w:rPr>
                <w:sz w:val="6"/>
                <w:szCs w:val="6"/>
                <w:color w:val="auto"/>
              </w:rPr>
            </w:pPr>
          </w:p>
        </w:tc>
        <w:tc>
          <w:tcPr>
            <w:tcW w:w="640" w:type="dxa"/>
            <w:vAlign w:val="bottom"/>
            <w:tcBorders>
              <w:bottom w:val="single" w:sz="8" w:color="454545"/>
              <w:right w:val="single" w:sz="8" w:color="454545"/>
            </w:tcBorders>
          </w:tcPr>
          <w:p>
            <w:pPr>
              <w:spacing w:after="0"/>
              <w:rPr>
                <w:sz w:val="6"/>
                <w:szCs w:val="6"/>
                <w:color w:val="auto"/>
              </w:rPr>
            </w:pPr>
          </w:p>
        </w:tc>
        <w:tc>
          <w:tcPr>
            <w:tcW w:w="2540" w:type="dxa"/>
            <w:vAlign w:val="bottom"/>
            <w:tcBorders>
              <w:bottom w:val="single" w:sz="8" w:color="454545"/>
              <w:right w:val="single" w:sz="8" w:color="454545"/>
            </w:tcBorders>
          </w:tcPr>
          <w:p>
            <w:pPr>
              <w:spacing w:after="0"/>
              <w:rPr>
                <w:sz w:val="6"/>
                <w:szCs w:val="6"/>
                <w:color w:val="auto"/>
              </w:rPr>
            </w:pPr>
          </w:p>
        </w:tc>
        <w:tc>
          <w:tcPr>
            <w:tcW w:w="1980" w:type="dxa"/>
            <w:vAlign w:val="bottom"/>
            <w:tcBorders>
              <w:bottom w:val="single" w:sz="8" w:color="454545"/>
              <w:right w:val="single" w:sz="8" w:color="454545"/>
            </w:tcBorders>
          </w:tcPr>
          <w:p>
            <w:pPr>
              <w:spacing w:after="0"/>
              <w:rPr>
                <w:sz w:val="6"/>
                <w:szCs w:val="6"/>
                <w:color w:val="auto"/>
              </w:rPr>
            </w:pPr>
          </w:p>
        </w:tc>
        <w:tc>
          <w:tcPr>
            <w:tcW w:w="2900" w:type="dxa"/>
            <w:vAlign w:val="bottom"/>
            <w:tcBorders>
              <w:bottom w:val="single" w:sz="8" w:color="454545"/>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b w:val="1"/>
                <w:bCs w:val="1"/>
                <w:color w:val="auto"/>
              </w:rPr>
              <w:t>Alicia Boler Davis</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55</w:t>
            </w: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Chief Executive Officer of Alto</w:t>
            </w:r>
          </w:p>
        </w:tc>
        <w:tc>
          <w:tcPr>
            <w:tcW w:w="198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2900" w:type="dxa"/>
            <w:vAlign w:val="bottom"/>
          </w:tcPr>
          <w:p>
            <w:pPr>
              <w:ind w:left="80"/>
              <w:spacing w:after="0"/>
              <w:rPr>
                <w:sz w:val="20"/>
                <w:szCs w:val="20"/>
                <w:color w:val="auto"/>
              </w:rPr>
            </w:pPr>
            <w:r>
              <w:rPr>
                <w:rFonts w:ascii="Arial" w:cs="Arial" w:eastAsia="Arial" w:hAnsi="Arial"/>
                <w:sz w:val="14"/>
                <w:szCs w:val="14"/>
                <w:color w:val="auto"/>
              </w:rPr>
              <w:t>Risk</w:t>
            </w:r>
          </w:p>
        </w:tc>
        <w:tc>
          <w:tcPr>
            <w:tcW w:w="0" w:type="dxa"/>
            <w:vAlign w:val="bottom"/>
          </w:tcPr>
          <w:p>
            <w:pPr>
              <w:spacing w:after="0"/>
              <w:rPr>
                <w:sz w:val="1"/>
                <w:szCs w:val="1"/>
                <w:color w:val="auto"/>
              </w:rPr>
            </w:pPr>
          </w:p>
        </w:tc>
      </w:tr>
      <w:tr>
        <w:trPr>
          <w:trHeight w:val="190"/>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color w:val="auto"/>
              </w:rPr>
              <w:t>Director since 2023</w:t>
            </w:r>
          </w:p>
        </w:tc>
        <w:tc>
          <w:tcPr>
            <w:tcW w:w="640" w:type="dxa"/>
            <w:vAlign w:val="bottom"/>
            <w:tcBorders>
              <w:right w:val="single" w:sz="8" w:color="454545"/>
            </w:tcBorders>
          </w:tcPr>
          <w:p>
            <w:pPr>
              <w:spacing w:after="0"/>
              <w:rPr>
                <w:sz w:val="16"/>
                <w:szCs w:val="16"/>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Pharmacy, LLC</w:t>
            </w:r>
          </w:p>
        </w:tc>
        <w:tc>
          <w:tcPr>
            <w:tcW w:w="1980" w:type="dxa"/>
            <w:vAlign w:val="bottom"/>
            <w:tcBorders>
              <w:right w:val="single" w:sz="8" w:color="454545"/>
            </w:tcBorders>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314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40" w:type="dxa"/>
            <w:vAlign w:val="bottom"/>
            <w:tcBorders>
              <w:bottom w:val="single" w:sz="8" w:color="454545"/>
              <w:right w:val="single" w:sz="8" w:color="454545"/>
            </w:tcBorders>
          </w:tcPr>
          <w:p>
            <w:pPr>
              <w:spacing w:after="0"/>
              <w:rPr>
                <w:sz w:val="24"/>
                <w:szCs w:val="24"/>
                <w:color w:val="auto"/>
              </w:rPr>
            </w:pPr>
          </w:p>
        </w:tc>
        <w:tc>
          <w:tcPr>
            <w:tcW w:w="1980" w:type="dxa"/>
            <w:vAlign w:val="bottom"/>
            <w:tcBorders>
              <w:bottom w:val="single" w:sz="8" w:color="454545"/>
              <w:right w:val="single" w:sz="8" w:color="454545"/>
            </w:tcBorders>
          </w:tcPr>
          <w:p>
            <w:pPr>
              <w:spacing w:after="0"/>
              <w:rPr>
                <w:sz w:val="24"/>
                <w:szCs w:val="24"/>
                <w:color w:val="auto"/>
              </w:rPr>
            </w:pPr>
          </w:p>
        </w:tc>
        <w:tc>
          <w:tcPr>
            <w:tcW w:w="29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b w:val="1"/>
                <w:bCs w:val="1"/>
                <w:color w:val="auto"/>
              </w:rPr>
              <w:t>James Dimon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68</w:t>
            </w: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 Officer</w:t>
            </w:r>
          </w:p>
        </w:tc>
        <w:tc>
          <w:tcPr>
            <w:tcW w:w="198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color w:val="auto"/>
              </w:rPr>
              <w:t>Director since 2004</w:t>
            </w:r>
          </w:p>
        </w:tc>
        <w:tc>
          <w:tcPr>
            <w:tcW w:w="640" w:type="dxa"/>
            <w:vAlign w:val="bottom"/>
            <w:tcBorders>
              <w:right w:val="single" w:sz="8" w:color="454545"/>
            </w:tcBorders>
          </w:tcPr>
          <w:p>
            <w:pPr>
              <w:spacing w:after="0"/>
              <w:rPr>
                <w:sz w:val="16"/>
                <w:szCs w:val="16"/>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 JPMorgan Chase &amp; Co.</w:t>
            </w:r>
          </w:p>
        </w:tc>
        <w:tc>
          <w:tcPr>
            <w:tcW w:w="1980" w:type="dxa"/>
            <w:vAlign w:val="bottom"/>
            <w:tcBorders>
              <w:right w:val="single" w:sz="8" w:color="454545"/>
            </w:tcBorders>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314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40" w:type="dxa"/>
            <w:vAlign w:val="bottom"/>
            <w:tcBorders>
              <w:bottom w:val="single" w:sz="8" w:color="454545"/>
              <w:right w:val="single" w:sz="8" w:color="454545"/>
            </w:tcBorders>
          </w:tcPr>
          <w:p>
            <w:pPr>
              <w:spacing w:after="0"/>
              <w:rPr>
                <w:sz w:val="24"/>
                <w:szCs w:val="24"/>
                <w:color w:val="auto"/>
              </w:rPr>
            </w:pPr>
          </w:p>
        </w:tc>
        <w:tc>
          <w:tcPr>
            <w:tcW w:w="1980" w:type="dxa"/>
            <w:vAlign w:val="bottom"/>
            <w:tcBorders>
              <w:bottom w:val="single" w:sz="8" w:color="454545"/>
              <w:right w:val="single" w:sz="8" w:color="454545"/>
            </w:tcBorders>
          </w:tcPr>
          <w:p>
            <w:pPr>
              <w:spacing w:after="0"/>
              <w:rPr>
                <w:sz w:val="24"/>
                <w:szCs w:val="24"/>
                <w:color w:val="auto"/>
              </w:rPr>
            </w:pPr>
          </w:p>
        </w:tc>
        <w:tc>
          <w:tcPr>
            <w:tcW w:w="29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b w:val="1"/>
                <w:bCs w:val="1"/>
                <w:color w:val="auto"/>
              </w:rPr>
              <w:t>Alex Gorsky</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63</w:t>
            </w: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Chairman and Chief</w:t>
            </w:r>
          </w:p>
        </w:tc>
        <w:tc>
          <w:tcPr>
            <w:tcW w:w="198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2</w:t>
            </w:r>
          </w:p>
        </w:tc>
        <w:tc>
          <w:tcPr>
            <w:tcW w:w="2900" w:type="dxa"/>
            <w:vAlign w:val="bottom"/>
          </w:tcPr>
          <w:p>
            <w:pPr>
              <w:ind w:left="80"/>
              <w:spacing w:after="0"/>
              <w:rPr>
                <w:sz w:val="20"/>
                <w:szCs w:val="20"/>
                <w:color w:val="auto"/>
              </w:rPr>
            </w:pPr>
            <w:r>
              <w:rPr>
                <w:rFonts w:ascii="Arial" w:cs="Arial" w:eastAsia="Arial" w:hAnsi="Arial"/>
                <w:sz w:val="14"/>
                <w:szCs w:val="14"/>
                <w:color w:val="auto"/>
              </w:rPr>
              <w:t>Risk</w:t>
            </w:r>
          </w:p>
        </w:tc>
        <w:tc>
          <w:tcPr>
            <w:tcW w:w="0" w:type="dxa"/>
            <w:vAlign w:val="bottom"/>
          </w:tcPr>
          <w:p>
            <w:pPr>
              <w:spacing w:after="0"/>
              <w:rPr>
                <w:sz w:val="1"/>
                <w:szCs w:val="1"/>
                <w:color w:val="auto"/>
              </w:rPr>
            </w:pPr>
          </w:p>
        </w:tc>
      </w:tr>
      <w:tr>
        <w:trPr>
          <w:trHeight w:val="175"/>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color w:val="auto"/>
              </w:rPr>
              <w:t>Director since 2022</w:t>
            </w:r>
          </w:p>
        </w:tc>
        <w:tc>
          <w:tcPr>
            <w:tcW w:w="640" w:type="dxa"/>
            <w:vAlign w:val="bottom"/>
            <w:tcBorders>
              <w:right w:val="single" w:sz="8" w:color="454545"/>
            </w:tcBorders>
          </w:tcPr>
          <w:p>
            <w:pPr>
              <w:spacing w:after="0"/>
              <w:rPr>
                <w:sz w:val="15"/>
                <w:szCs w:val="15"/>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Executive Officer of Johnson &amp;</w:t>
            </w:r>
          </w:p>
        </w:tc>
        <w:tc>
          <w:tcPr>
            <w:tcW w:w="1980" w:type="dxa"/>
            <w:vAlign w:val="bottom"/>
            <w:tcBorders>
              <w:right w:val="single" w:sz="8" w:color="454545"/>
            </w:tcBorders>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4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Johnson</w:t>
            </w:r>
          </w:p>
        </w:tc>
        <w:tc>
          <w:tcPr>
            <w:tcW w:w="1980" w:type="dxa"/>
            <w:vAlign w:val="bottom"/>
            <w:tcBorders>
              <w:right w:val="single" w:sz="8" w:color="454545"/>
            </w:tcBorders>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40" w:type="dxa"/>
            <w:vAlign w:val="bottom"/>
            <w:tcBorders>
              <w:bottom w:val="single" w:sz="8" w:color="454545"/>
              <w:right w:val="single" w:sz="8" w:color="454545"/>
            </w:tcBorders>
          </w:tcPr>
          <w:p>
            <w:pPr>
              <w:spacing w:after="0"/>
              <w:rPr>
                <w:sz w:val="19"/>
                <w:szCs w:val="19"/>
                <w:color w:val="auto"/>
              </w:rPr>
            </w:pPr>
          </w:p>
        </w:tc>
        <w:tc>
          <w:tcPr>
            <w:tcW w:w="640" w:type="dxa"/>
            <w:vAlign w:val="bottom"/>
            <w:tcBorders>
              <w:bottom w:val="single" w:sz="8" w:color="454545"/>
              <w:right w:val="single" w:sz="8" w:color="454545"/>
            </w:tcBorders>
          </w:tcPr>
          <w:p>
            <w:pPr>
              <w:spacing w:after="0"/>
              <w:rPr>
                <w:sz w:val="19"/>
                <w:szCs w:val="19"/>
                <w:color w:val="auto"/>
              </w:rPr>
            </w:pPr>
          </w:p>
        </w:tc>
        <w:tc>
          <w:tcPr>
            <w:tcW w:w="2540" w:type="dxa"/>
            <w:vAlign w:val="bottom"/>
            <w:tcBorders>
              <w:bottom w:val="single" w:sz="8" w:color="454545"/>
              <w:right w:val="single" w:sz="8" w:color="454545"/>
            </w:tcBorders>
          </w:tcPr>
          <w:p>
            <w:pPr>
              <w:spacing w:after="0"/>
              <w:rPr>
                <w:sz w:val="19"/>
                <w:szCs w:val="19"/>
                <w:color w:val="auto"/>
              </w:rPr>
            </w:pPr>
          </w:p>
        </w:tc>
        <w:tc>
          <w:tcPr>
            <w:tcW w:w="1980" w:type="dxa"/>
            <w:vAlign w:val="bottom"/>
            <w:tcBorders>
              <w:bottom w:val="single" w:sz="8" w:color="454545"/>
              <w:right w:val="single" w:sz="8" w:color="454545"/>
            </w:tcBorders>
          </w:tcPr>
          <w:p>
            <w:pPr>
              <w:spacing w:after="0"/>
              <w:rPr>
                <w:sz w:val="19"/>
                <w:szCs w:val="19"/>
                <w:color w:val="auto"/>
              </w:rPr>
            </w:pPr>
          </w:p>
        </w:tc>
        <w:tc>
          <w:tcPr>
            <w:tcW w:w="2900" w:type="dxa"/>
            <w:vAlign w:val="bottom"/>
            <w:tcBorders>
              <w:bottom w:val="single" w:sz="8" w:color="454545"/>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b w:val="1"/>
                <w:bCs w:val="1"/>
                <w:color w:val="auto"/>
              </w:rPr>
              <w:t>Mellody Hobson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55</w:t>
            </w: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Co-Chief Executive Officer and</w:t>
            </w:r>
          </w:p>
        </w:tc>
        <w:tc>
          <w:tcPr>
            <w:tcW w:w="198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2900" w:type="dxa"/>
            <w:vAlign w:val="bottom"/>
          </w:tcPr>
          <w:p>
            <w:pPr>
              <w:ind w:left="80"/>
              <w:spacing w:after="0"/>
              <w:rPr>
                <w:sz w:val="20"/>
                <w:szCs w:val="20"/>
                <w:color w:val="auto"/>
              </w:rPr>
            </w:pPr>
            <w:r>
              <w:rPr>
                <w:rFonts w:ascii="Arial" w:cs="Arial" w:eastAsia="Arial" w:hAnsi="Arial"/>
                <w:sz w:val="14"/>
                <w:szCs w:val="14"/>
                <w:color w:val="auto"/>
              </w:rPr>
              <w:t>Public Responsibility (Chair);</w:t>
            </w:r>
          </w:p>
        </w:tc>
        <w:tc>
          <w:tcPr>
            <w:tcW w:w="0" w:type="dxa"/>
            <w:vAlign w:val="bottom"/>
          </w:tcPr>
          <w:p>
            <w:pPr>
              <w:spacing w:after="0"/>
              <w:rPr>
                <w:sz w:val="1"/>
                <w:szCs w:val="1"/>
                <w:color w:val="auto"/>
              </w:rPr>
            </w:pPr>
          </w:p>
        </w:tc>
      </w:tr>
      <w:tr>
        <w:trPr>
          <w:trHeight w:val="190"/>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color w:val="auto"/>
              </w:rPr>
              <w:t>Director since 2018</w:t>
            </w:r>
          </w:p>
        </w:tc>
        <w:tc>
          <w:tcPr>
            <w:tcW w:w="640" w:type="dxa"/>
            <w:vAlign w:val="bottom"/>
            <w:tcBorders>
              <w:right w:val="single" w:sz="8" w:color="454545"/>
            </w:tcBorders>
          </w:tcPr>
          <w:p>
            <w:pPr>
              <w:spacing w:after="0"/>
              <w:rPr>
                <w:sz w:val="16"/>
                <w:szCs w:val="16"/>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President of Ariel Investments, LLC</w:t>
            </w:r>
          </w:p>
        </w:tc>
        <w:tc>
          <w:tcPr>
            <w:tcW w:w="1980" w:type="dxa"/>
            <w:vAlign w:val="bottom"/>
            <w:tcBorders>
              <w:right w:val="single" w:sz="8" w:color="454545"/>
            </w:tcBorders>
          </w:tcPr>
          <w:p>
            <w:pPr>
              <w:spacing w:after="0"/>
              <w:rPr>
                <w:sz w:val="16"/>
                <w:szCs w:val="16"/>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Risk</w:t>
            </w:r>
          </w:p>
        </w:tc>
        <w:tc>
          <w:tcPr>
            <w:tcW w:w="0" w:type="dxa"/>
            <w:vAlign w:val="bottom"/>
          </w:tcPr>
          <w:p>
            <w:pPr>
              <w:spacing w:after="0"/>
              <w:rPr>
                <w:sz w:val="1"/>
                <w:szCs w:val="1"/>
                <w:color w:val="auto"/>
              </w:rPr>
            </w:pPr>
          </w:p>
        </w:tc>
      </w:tr>
      <w:tr>
        <w:trPr>
          <w:trHeight w:val="400"/>
        </w:trPr>
        <w:tc>
          <w:tcPr>
            <w:tcW w:w="314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40" w:type="dxa"/>
            <w:vAlign w:val="bottom"/>
            <w:tcBorders>
              <w:bottom w:val="single" w:sz="8" w:color="454545"/>
              <w:right w:val="single" w:sz="8" w:color="454545"/>
            </w:tcBorders>
          </w:tcPr>
          <w:p>
            <w:pPr>
              <w:spacing w:after="0"/>
              <w:rPr>
                <w:sz w:val="24"/>
                <w:szCs w:val="24"/>
                <w:color w:val="auto"/>
              </w:rPr>
            </w:pPr>
          </w:p>
        </w:tc>
        <w:tc>
          <w:tcPr>
            <w:tcW w:w="1980" w:type="dxa"/>
            <w:vAlign w:val="bottom"/>
            <w:tcBorders>
              <w:bottom w:val="single" w:sz="8" w:color="454545"/>
              <w:right w:val="single" w:sz="8" w:color="454545"/>
            </w:tcBorders>
          </w:tcPr>
          <w:p>
            <w:pPr>
              <w:spacing w:after="0"/>
              <w:rPr>
                <w:sz w:val="24"/>
                <w:szCs w:val="24"/>
                <w:color w:val="auto"/>
              </w:rPr>
            </w:pPr>
          </w:p>
        </w:tc>
        <w:tc>
          <w:tcPr>
            <w:tcW w:w="29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b w:val="1"/>
                <w:bCs w:val="1"/>
                <w:color w:val="auto"/>
              </w:rPr>
              <w:t>Phebe N. Novakovic</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66</w:t>
            </w: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 Officer</w:t>
            </w:r>
          </w:p>
        </w:tc>
        <w:tc>
          <w:tcPr>
            <w:tcW w:w="198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2900" w:type="dxa"/>
            <w:vAlign w:val="bottom"/>
          </w:tcPr>
          <w:p>
            <w:pPr>
              <w:ind w:left="8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90"/>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color w:val="auto"/>
              </w:rPr>
              <w:t>Director since 2020</w:t>
            </w:r>
          </w:p>
        </w:tc>
        <w:tc>
          <w:tcPr>
            <w:tcW w:w="640" w:type="dxa"/>
            <w:vAlign w:val="bottom"/>
            <w:tcBorders>
              <w:right w:val="single" w:sz="8" w:color="454545"/>
            </w:tcBorders>
          </w:tcPr>
          <w:p>
            <w:pPr>
              <w:spacing w:after="0"/>
              <w:rPr>
                <w:sz w:val="16"/>
                <w:szCs w:val="16"/>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 General Dynamics Corporation</w:t>
            </w:r>
          </w:p>
        </w:tc>
        <w:tc>
          <w:tcPr>
            <w:tcW w:w="1980" w:type="dxa"/>
            <w:vAlign w:val="bottom"/>
            <w:tcBorders>
              <w:right w:val="single" w:sz="8" w:color="454545"/>
            </w:tcBorders>
          </w:tcPr>
          <w:p>
            <w:pPr>
              <w:spacing w:after="0"/>
              <w:rPr>
                <w:sz w:val="16"/>
                <w:szCs w:val="16"/>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Public Responsibility</w:t>
            </w:r>
          </w:p>
        </w:tc>
        <w:tc>
          <w:tcPr>
            <w:tcW w:w="0" w:type="dxa"/>
            <w:vAlign w:val="bottom"/>
          </w:tcPr>
          <w:p>
            <w:pPr>
              <w:spacing w:after="0"/>
              <w:rPr>
                <w:sz w:val="1"/>
                <w:szCs w:val="1"/>
                <w:color w:val="auto"/>
              </w:rPr>
            </w:pPr>
          </w:p>
        </w:tc>
      </w:tr>
      <w:tr>
        <w:trPr>
          <w:trHeight w:val="400"/>
        </w:trPr>
        <w:tc>
          <w:tcPr>
            <w:tcW w:w="314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40" w:type="dxa"/>
            <w:vAlign w:val="bottom"/>
            <w:tcBorders>
              <w:bottom w:val="single" w:sz="8" w:color="454545"/>
              <w:right w:val="single" w:sz="8" w:color="454545"/>
            </w:tcBorders>
          </w:tcPr>
          <w:p>
            <w:pPr>
              <w:spacing w:after="0"/>
              <w:rPr>
                <w:sz w:val="24"/>
                <w:szCs w:val="24"/>
                <w:color w:val="auto"/>
              </w:rPr>
            </w:pPr>
          </w:p>
        </w:tc>
        <w:tc>
          <w:tcPr>
            <w:tcW w:w="1980" w:type="dxa"/>
            <w:vAlign w:val="bottom"/>
            <w:tcBorders>
              <w:bottom w:val="single" w:sz="8" w:color="454545"/>
              <w:right w:val="single" w:sz="8" w:color="454545"/>
            </w:tcBorders>
          </w:tcPr>
          <w:p>
            <w:pPr>
              <w:spacing w:after="0"/>
              <w:rPr>
                <w:sz w:val="24"/>
                <w:szCs w:val="24"/>
                <w:color w:val="auto"/>
              </w:rPr>
            </w:pPr>
          </w:p>
        </w:tc>
        <w:tc>
          <w:tcPr>
            <w:tcW w:w="29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b w:val="1"/>
                <w:bCs w:val="1"/>
                <w:color w:val="auto"/>
              </w:rPr>
              <w:t>Virginia M. Rometty</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66</w:t>
            </w: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Executive Chairman,</w:t>
            </w:r>
          </w:p>
        </w:tc>
        <w:tc>
          <w:tcPr>
            <w:tcW w:w="198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2900" w:type="dxa"/>
            <w:vAlign w:val="bottom"/>
          </w:tcPr>
          <w:p>
            <w:pPr>
              <w:ind w:left="80"/>
              <w:spacing w:after="0"/>
              <w:rPr>
                <w:sz w:val="20"/>
                <w:szCs w:val="20"/>
                <w:color w:val="auto"/>
              </w:rPr>
            </w:pPr>
            <w:r>
              <w:rPr>
                <w:rFonts w:ascii="Arial" w:cs="Arial" w:eastAsia="Arial" w:hAnsi="Arial"/>
                <w:sz w:val="14"/>
                <w:szCs w:val="14"/>
                <w:color w:val="auto"/>
              </w:rPr>
              <w:t>Compensation &amp; Management</w:t>
            </w:r>
          </w:p>
        </w:tc>
        <w:tc>
          <w:tcPr>
            <w:tcW w:w="0" w:type="dxa"/>
            <w:vAlign w:val="bottom"/>
          </w:tcPr>
          <w:p>
            <w:pPr>
              <w:spacing w:after="0"/>
              <w:rPr>
                <w:sz w:val="1"/>
                <w:szCs w:val="1"/>
                <w:color w:val="auto"/>
              </w:rPr>
            </w:pPr>
          </w:p>
        </w:tc>
      </w:tr>
      <w:tr>
        <w:trPr>
          <w:trHeight w:val="175"/>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color w:val="auto"/>
              </w:rPr>
              <w:t>Director since 2020</w:t>
            </w:r>
          </w:p>
        </w:tc>
        <w:tc>
          <w:tcPr>
            <w:tcW w:w="640" w:type="dxa"/>
            <w:vAlign w:val="bottom"/>
            <w:tcBorders>
              <w:right w:val="single" w:sz="8" w:color="454545"/>
            </w:tcBorders>
          </w:tcPr>
          <w:p>
            <w:pPr>
              <w:spacing w:after="0"/>
              <w:rPr>
                <w:sz w:val="15"/>
                <w:szCs w:val="15"/>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President and Chief Executive Officer</w:t>
            </w:r>
          </w:p>
        </w:tc>
        <w:tc>
          <w:tcPr>
            <w:tcW w:w="1980" w:type="dxa"/>
            <w:vAlign w:val="bottom"/>
            <w:tcBorders>
              <w:right w:val="single" w:sz="8" w:color="454545"/>
            </w:tcBorders>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Development;</w:t>
            </w:r>
          </w:p>
        </w:tc>
        <w:tc>
          <w:tcPr>
            <w:tcW w:w="0" w:type="dxa"/>
            <w:vAlign w:val="bottom"/>
          </w:tcPr>
          <w:p>
            <w:pPr>
              <w:spacing w:after="0"/>
              <w:rPr>
                <w:sz w:val="1"/>
                <w:szCs w:val="1"/>
                <w:color w:val="auto"/>
              </w:rPr>
            </w:pPr>
          </w:p>
        </w:tc>
      </w:tr>
      <w:tr>
        <w:trPr>
          <w:trHeight w:val="175"/>
        </w:trPr>
        <w:tc>
          <w:tcPr>
            <w:tcW w:w="3140" w:type="dxa"/>
            <w:vAlign w:val="bottom"/>
            <w:tcBorders>
              <w:right w:val="single" w:sz="8" w:color="454545"/>
            </w:tcBorders>
          </w:tcPr>
          <w:p>
            <w:pPr>
              <w:spacing w:after="0"/>
              <w:rPr>
                <w:sz w:val="15"/>
                <w:szCs w:val="15"/>
                <w:color w:val="auto"/>
              </w:rPr>
            </w:pPr>
          </w:p>
        </w:tc>
        <w:tc>
          <w:tcPr>
            <w:tcW w:w="640" w:type="dxa"/>
            <w:vAlign w:val="bottom"/>
            <w:tcBorders>
              <w:right w:val="single" w:sz="8" w:color="454545"/>
            </w:tcBorders>
          </w:tcPr>
          <w:p>
            <w:pPr>
              <w:spacing w:after="0"/>
              <w:rPr>
                <w:sz w:val="15"/>
                <w:szCs w:val="15"/>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 International Business Machines</w:t>
            </w:r>
          </w:p>
        </w:tc>
        <w:tc>
          <w:tcPr>
            <w:tcW w:w="1980" w:type="dxa"/>
            <w:vAlign w:val="bottom"/>
            <w:tcBorders>
              <w:right w:val="single" w:sz="8" w:color="454545"/>
            </w:tcBorders>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Corporate Governance &amp; Nominating</w:t>
            </w:r>
          </w:p>
        </w:tc>
        <w:tc>
          <w:tcPr>
            <w:tcW w:w="0" w:type="dxa"/>
            <w:vAlign w:val="bottom"/>
          </w:tcPr>
          <w:p>
            <w:pPr>
              <w:spacing w:after="0"/>
              <w:rPr>
                <w:sz w:val="1"/>
                <w:szCs w:val="1"/>
                <w:color w:val="auto"/>
              </w:rPr>
            </w:pPr>
          </w:p>
        </w:tc>
      </w:tr>
      <w:tr>
        <w:trPr>
          <w:trHeight w:val="190"/>
        </w:trPr>
        <w:tc>
          <w:tcPr>
            <w:tcW w:w="314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Corporation ("IBM")</w:t>
            </w:r>
          </w:p>
        </w:tc>
        <w:tc>
          <w:tcPr>
            <w:tcW w:w="1980" w:type="dxa"/>
            <w:vAlign w:val="bottom"/>
            <w:tcBorders>
              <w:right w:val="single" w:sz="8" w:color="454545"/>
            </w:tcBorders>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3140" w:type="dxa"/>
            <w:vAlign w:val="bottom"/>
            <w:tcBorders>
              <w:bottom w:val="single" w:sz="8" w:color="auto"/>
              <w:right w:val="single" w:sz="8" w:color="454545"/>
            </w:tcBorders>
          </w:tcPr>
          <w:p>
            <w:pPr>
              <w:spacing w:after="0"/>
              <w:rPr>
                <w:sz w:val="6"/>
                <w:szCs w:val="6"/>
                <w:color w:val="auto"/>
              </w:rPr>
            </w:pPr>
          </w:p>
        </w:tc>
        <w:tc>
          <w:tcPr>
            <w:tcW w:w="640" w:type="dxa"/>
            <w:vAlign w:val="bottom"/>
            <w:tcBorders>
              <w:bottom w:val="single" w:sz="8" w:color="auto"/>
              <w:right w:val="single" w:sz="8" w:color="454545"/>
            </w:tcBorders>
          </w:tcPr>
          <w:p>
            <w:pPr>
              <w:spacing w:after="0"/>
              <w:rPr>
                <w:sz w:val="6"/>
                <w:szCs w:val="6"/>
                <w:color w:val="auto"/>
              </w:rPr>
            </w:pPr>
          </w:p>
        </w:tc>
        <w:tc>
          <w:tcPr>
            <w:tcW w:w="2540" w:type="dxa"/>
            <w:vAlign w:val="bottom"/>
            <w:tcBorders>
              <w:bottom w:val="single" w:sz="8" w:color="auto"/>
              <w:right w:val="single" w:sz="8" w:color="454545"/>
            </w:tcBorders>
          </w:tcPr>
          <w:p>
            <w:pPr>
              <w:spacing w:after="0"/>
              <w:rPr>
                <w:sz w:val="6"/>
                <w:szCs w:val="6"/>
                <w:color w:val="auto"/>
              </w:rPr>
            </w:pPr>
          </w:p>
        </w:tc>
        <w:tc>
          <w:tcPr>
            <w:tcW w:w="1980" w:type="dxa"/>
            <w:vAlign w:val="bottom"/>
            <w:tcBorders>
              <w:bottom w:val="single" w:sz="8" w:color="auto"/>
              <w:right w:val="single" w:sz="8" w:color="454545"/>
            </w:tcBorders>
          </w:tcPr>
          <w:p>
            <w:pPr>
              <w:spacing w:after="0"/>
              <w:rPr>
                <w:sz w:val="6"/>
                <w:szCs w:val="6"/>
                <w:color w:val="auto"/>
              </w:rPr>
            </w:pPr>
          </w:p>
        </w:tc>
        <w:tc>
          <w:tcPr>
            <w:tcW w:w="2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b w:val="1"/>
                <w:bCs w:val="1"/>
                <w:color w:val="auto"/>
              </w:rPr>
              <w:t>Mark A. Weinberger</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62</w:t>
            </w: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Global Chairman and Chief</w:t>
            </w:r>
          </w:p>
        </w:tc>
        <w:tc>
          <w:tcPr>
            <w:tcW w:w="198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2</w:t>
            </w:r>
          </w:p>
        </w:tc>
        <w:tc>
          <w:tcPr>
            <w:tcW w:w="2900" w:type="dxa"/>
            <w:vAlign w:val="bottom"/>
          </w:tcPr>
          <w:p>
            <w:pPr>
              <w:ind w:left="8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75"/>
        </w:trPr>
        <w:tc>
          <w:tcPr>
            <w:tcW w:w="3140" w:type="dxa"/>
            <w:vAlign w:val="bottom"/>
            <w:tcBorders>
              <w:right w:val="single" w:sz="8" w:color="454545"/>
            </w:tcBorders>
          </w:tcPr>
          <w:p>
            <w:pPr>
              <w:ind w:left="840"/>
              <w:spacing w:after="0"/>
              <w:rPr>
                <w:sz w:val="20"/>
                <w:szCs w:val="20"/>
                <w:color w:val="auto"/>
              </w:rPr>
            </w:pPr>
            <w:r>
              <w:rPr>
                <w:rFonts w:ascii="Arial" w:cs="Arial" w:eastAsia="Arial" w:hAnsi="Arial"/>
                <w:sz w:val="14"/>
                <w:szCs w:val="14"/>
                <w:color w:val="auto"/>
              </w:rPr>
              <w:t>Director since 2024</w:t>
            </w:r>
          </w:p>
        </w:tc>
        <w:tc>
          <w:tcPr>
            <w:tcW w:w="640" w:type="dxa"/>
            <w:vAlign w:val="bottom"/>
            <w:tcBorders>
              <w:right w:val="single" w:sz="8" w:color="454545"/>
            </w:tcBorders>
          </w:tcPr>
          <w:p>
            <w:pPr>
              <w:spacing w:after="0"/>
              <w:rPr>
                <w:sz w:val="15"/>
                <w:szCs w:val="15"/>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Executive Officer of Ernst &amp; Young</w:t>
            </w:r>
          </w:p>
        </w:tc>
        <w:tc>
          <w:tcPr>
            <w:tcW w:w="1980" w:type="dxa"/>
            <w:vAlign w:val="bottom"/>
            <w:tcBorders>
              <w:right w:val="single" w:sz="8" w:color="454545"/>
            </w:tcBorders>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4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4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LLP</w:t>
            </w:r>
          </w:p>
        </w:tc>
        <w:tc>
          <w:tcPr>
            <w:tcW w:w="1980" w:type="dxa"/>
            <w:vAlign w:val="bottom"/>
            <w:tcBorders>
              <w:right w:val="single" w:sz="8" w:color="454545"/>
            </w:tcBorders>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40" w:type="dxa"/>
            <w:vAlign w:val="bottom"/>
            <w:tcBorders>
              <w:bottom w:val="single" w:sz="8" w:color="454545"/>
              <w:right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spacing w:after="0"/>
              <w:rPr>
                <w:sz w:val="20"/>
                <w:szCs w:val="20"/>
                <w:color w:val="auto"/>
              </w:rPr>
            </w:pPr>
          </w:p>
        </w:tc>
        <w:tc>
          <w:tcPr>
            <w:tcW w:w="2540" w:type="dxa"/>
            <w:vAlign w:val="bottom"/>
            <w:tcBorders>
              <w:bottom w:val="single" w:sz="8" w:color="454545"/>
              <w:right w:val="single" w:sz="8" w:color="454545"/>
            </w:tcBorders>
          </w:tcPr>
          <w:p>
            <w:pPr>
              <w:spacing w:after="0"/>
              <w:rPr>
                <w:sz w:val="20"/>
                <w:szCs w:val="20"/>
                <w:color w:val="auto"/>
              </w:rPr>
            </w:pPr>
          </w:p>
        </w:tc>
        <w:tc>
          <w:tcPr>
            <w:tcW w:w="1980" w:type="dxa"/>
            <w:vAlign w:val="bottom"/>
            <w:tcBorders>
              <w:bottom w:val="single" w:sz="8" w:color="454545"/>
              <w:right w:val="single" w:sz="8" w:color="454545"/>
            </w:tcBorders>
          </w:tcPr>
          <w:p>
            <w:pPr>
              <w:spacing w:after="0"/>
              <w:rPr>
                <w:sz w:val="20"/>
                <w:szCs w:val="20"/>
                <w:color w:val="auto"/>
              </w:rPr>
            </w:pPr>
          </w:p>
        </w:tc>
        <w:tc>
          <w:tcPr>
            <w:tcW w:w="2900" w:type="dxa"/>
            <w:vAlign w:val="bottom"/>
            <w:tcBorders>
              <w:bottom w:val="single" w:sz="8" w:color="454545"/>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-5280025</wp:posOffset>
            </wp:positionV>
            <wp:extent cx="325755" cy="403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755" cy="4032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-4748530</wp:posOffset>
            </wp:positionV>
            <wp:extent cx="325755" cy="402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755" cy="4025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-4208780</wp:posOffset>
            </wp:positionV>
            <wp:extent cx="325755" cy="394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-3677285</wp:posOffset>
            </wp:positionV>
            <wp:extent cx="325755" cy="402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755" cy="4025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-3145790</wp:posOffset>
            </wp:positionV>
            <wp:extent cx="325755" cy="402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755" cy="4025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-2614295</wp:posOffset>
            </wp:positionV>
            <wp:extent cx="325755" cy="394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-2091055</wp:posOffset>
            </wp:positionV>
            <wp:extent cx="325755" cy="394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-1568450</wp:posOffset>
            </wp:positionV>
            <wp:extent cx="325755" cy="394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-1045210</wp:posOffset>
            </wp:positionV>
            <wp:extent cx="316865" cy="403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6865" cy="4032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-505460</wp:posOffset>
            </wp:positionV>
            <wp:extent cx="316865" cy="403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6865" cy="403225"/>
                    </a:xfrm>
                    <a:prstGeom prst="rect">
                      <a:avLst/>
                    </a:prstGeom>
                    <a:noFill/>
                  </pic:spPr>
                </pic:pic>
              </a:graphicData>
            </a:graphic>
          </wp:anchor>
        </w:drawing>
      </w:r>
    </w:p>
    <w:p>
      <w:pPr>
        <w:spacing w:after="0" w:line="127"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Director of a heritage company of the Firm as follows: Bank One Corporation: Mr. Burke (2003–2004), Mr. Dimon, Chairman of the Board (2000–2004)</w:t>
      </w:r>
    </w:p>
    <w:p>
      <w:pPr>
        <w:ind w:left="200" w:hanging="192"/>
        <w:spacing w:after="0" w:line="193" w:lineRule="auto"/>
        <w:tabs>
          <w:tab w:leader="none" w:pos="200"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Principal standing committees</w:t>
      </w:r>
    </w:p>
    <w:p>
      <w:pPr>
        <w:ind w:left="200" w:hanging="192"/>
        <w:spacing w:after="0" w:line="226" w:lineRule="auto"/>
        <w:tabs>
          <w:tab w:leader="none" w:pos="200" w:val="left"/>
        </w:tabs>
        <w:numPr>
          <w:ilvl w:val="0"/>
          <w:numId w:val="31"/>
        </w:numPr>
        <w:rPr>
          <w:rFonts w:ascii="Arial" w:cs="Arial" w:eastAsia="Arial" w:hAnsi="Arial"/>
          <w:sz w:val="15"/>
          <w:szCs w:val="15"/>
          <w:color w:val="auto"/>
          <w:vertAlign w:val="superscript"/>
        </w:rPr>
      </w:pPr>
      <w:r>
        <w:rPr>
          <w:rFonts w:ascii="Arial" w:cs="Arial" w:eastAsia="Arial" w:hAnsi="Arial"/>
          <w:sz w:val="12"/>
          <w:szCs w:val="12"/>
          <w:color w:val="auto"/>
        </w:rPr>
        <w:t>If elected, Mr. Weinberger will serve as the Chair of the Audit Committee, and Mr. Gorsky will serve on the Audit and Public Responsibility Committees, concluding his service on the Risk Committee</w:t>
      </w:r>
    </w:p>
    <w:p>
      <w:pPr>
        <w:ind w:left="200" w:hanging="192"/>
        <w:spacing w:after="0" w:line="201" w:lineRule="auto"/>
        <w:tabs>
          <w:tab w:leader="none" w:pos="200" w:val="left"/>
        </w:tabs>
        <w:numPr>
          <w:ilvl w:val="0"/>
          <w:numId w:val="32"/>
        </w:numPr>
        <w:rPr>
          <w:rFonts w:ascii="Arial" w:cs="Arial" w:eastAsia="Arial" w:hAnsi="Arial"/>
          <w:sz w:val="16"/>
          <w:szCs w:val="16"/>
          <w:color w:val="auto"/>
          <w:vertAlign w:val="superscript"/>
        </w:rPr>
      </w:pPr>
      <w:r>
        <w:rPr>
          <w:rFonts w:ascii="Arial" w:cs="Arial" w:eastAsia="Arial" w:hAnsi="Arial"/>
          <w:sz w:val="13"/>
          <w:szCs w:val="13"/>
          <w:color w:val="auto"/>
        </w:rPr>
        <w:t>Retired from JPMorgan Chase &amp; Co. 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198120</wp:posOffset>
            </wp:positionV>
            <wp:extent cx="274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  </w:t>
      </w:r>
      <w:r>
        <w:rPr>
          <w:sz w:val="1"/>
          <w:szCs w:val="1"/>
          <w:color w:val="auto"/>
        </w:rPr>
        <w:drawing>
          <wp:inline distT="0" distB="0" distL="0" distR="0">
            <wp:extent cx="2203450" cy="1543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2: Advisory resolution to approve executive compensation – page 34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are submitting an advisory resolution to approve the compensation of our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074A75"/>
        </w:rPr>
        <w:t>We believe shareholders should consider three key factors in their evaluation of this year’s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74A75"/>
        </w:rPr>
        <w:t>1. How we think about pay decisions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Firm’s Business Principles and strategic framework form the basis of our OC members’ strategic priorities. The Compensation &amp; Management Development Committee ("CMDC") references those strategic priorities and the Firm’s compensation philosophy to assess OC members’ performance and to determine their respective total compensation levels and pay mix.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74A75"/>
        </w:rPr>
        <w:t>2. How we performed against our business strategy</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continued to deliver strong multi-year financial performance, invest in our future, strengthen our risk and control environment, and reinforce our culture and values, including our long-standing commitment to serve our customers, employees and communities, and conduct business in a responsible way to drive inclusive growth.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74A75"/>
        </w:rPr>
        <w:t>3. How performance determined pay in 2023</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determining OC member pay, the CMDC took into account performance across four broad performance dimensions: Business Results; Risk, Controls &amp; Conduct; Client/Customer/Stakeholder; and Teamwork &amp; Leadership. CEO pay is strongly aligned to the Firm’s short-, medium- and long-term performance, with approximately 86% of the CEO’s variable pay deferred into equity, of which 100% is in at-risk Performance Share Units ("PSUs") for both our CEO and our President &amp; COO. Other NEO pay is also strongly aligned to Firm and line of business ("LOB") performance, with a majority of variable pay deferred into equity, of which 50% is in at-risk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74A75"/>
        </w:rPr>
        <w:t>Disciplined performance assessment process to determine pay</w:t>
      </w:r>
    </w:p>
    <w:p>
      <w:pPr>
        <w:spacing w:after="0" w:line="29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CMDC uses a balanced holistic approach to determine annual compensation, which includes a disciplined assessment of performance against the aforementioned four broad dimensions over a sustained period of time.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salary and incentive compensation awarded to our NEOs for 2023 performance.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Borders>
              <w:bottom w:val="single" w:sz="8" w:color="494949"/>
            </w:tcBorders>
          </w:tcPr>
          <w:p>
            <w:pPr>
              <w:spacing w:after="0"/>
              <w:rPr>
                <w:sz w:val="19"/>
                <w:szCs w:val="19"/>
                <w:color w:val="auto"/>
              </w:rPr>
            </w:pPr>
          </w:p>
        </w:tc>
        <w:tc>
          <w:tcPr>
            <w:tcW w:w="3540" w:type="dxa"/>
            <w:vAlign w:val="bottom"/>
            <w:tcBorders>
              <w:bottom w:val="single" w:sz="8" w:color="494949"/>
            </w:tcBorders>
            <w:gridSpan w:val="4"/>
          </w:tcPr>
          <w:p>
            <w:pPr>
              <w:jc w:val="right"/>
              <w:ind w:right="980"/>
              <w:spacing w:after="0"/>
              <w:rPr>
                <w:sz w:val="20"/>
                <w:szCs w:val="20"/>
                <w:color w:val="auto"/>
              </w:rPr>
            </w:pPr>
            <w:r>
              <w:rPr>
                <w:rFonts w:ascii="Arial" w:cs="Arial" w:eastAsia="Arial" w:hAnsi="Arial"/>
                <w:sz w:val="16"/>
                <w:szCs w:val="16"/>
                <w:color w:val="auto"/>
              </w:rPr>
              <w:t>Incentive Compensation</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6"/>
                <w:szCs w:val="16"/>
                <w:color w:val="074A75"/>
              </w:rPr>
              <w:t>Restricted</w:t>
            </w:r>
          </w:p>
        </w:tc>
        <w:tc>
          <w:tcPr>
            <w:tcW w:w="1160" w:type="dxa"/>
            <w:vAlign w:val="bottom"/>
          </w:tcPr>
          <w:p>
            <w:pPr>
              <w:jc w:val="right"/>
              <w:ind w:right="120"/>
              <w:spacing w:after="0"/>
              <w:rPr>
                <w:sz w:val="20"/>
                <w:szCs w:val="20"/>
                <w:color w:val="auto"/>
              </w:rPr>
            </w:pPr>
            <w:r>
              <w:rPr>
                <w:rFonts w:ascii="Arial" w:cs="Arial" w:eastAsia="Arial" w:hAnsi="Arial"/>
                <w:sz w:val="16"/>
                <w:szCs w:val="16"/>
                <w:color w:val="074A75"/>
              </w:rPr>
              <w:t>Performance</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Name and principal position</w:t>
            </w:r>
            <w:r>
              <w:rPr>
                <w:rFonts w:ascii="Arial" w:cs="Arial" w:eastAsia="Arial" w:hAnsi="Arial"/>
                <w:sz w:val="21"/>
                <w:szCs w:val="21"/>
                <w:color w:val="074A75"/>
                <w:vertAlign w:val="superscript"/>
              </w:rPr>
              <w:t>1</w:t>
            </w:r>
          </w:p>
        </w:tc>
        <w:tc>
          <w:tcPr>
            <w:tcW w:w="860" w:type="dxa"/>
            <w:vAlign w:val="bottom"/>
            <w:tcBorders>
              <w:bottom w:val="single" w:sz="8" w:color="494949"/>
            </w:tcBorders>
          </w:tcPr>
          <w:p>
            <w:pPr>
              <w:spacing w:after="0"/>
              <w:rPr>
                <w:sz w:val="21"/>
                <w:szCs w:val="21"/>
                <w:color w:val="auto"/>
              </w:rPr>
            </w:pPr>
          </w:p>
        </w:tc>
        <w:tc>
          <w:tcPr>
            <w:tcW w:w="940" w:type="dxa"/>
            <w:vAlign w:val="bottom"/>
            <w:tcBorders>
              <w:bottom w:val="single" w:sz="8" w:color="494949"/>
            </w:tcBorders>
          </w:tcPr>
          <w:p>
            <w:pPr>
              <w:jc w:val="right"/>
              <w:ind w:right="281"/>
              <w:spacing w:after="0"/>
              <w:rPr>
                <w:sz w:val="20"/>
                <w:szCs w:val="20"/>
                <w:color w:val="auto"/>
              </w:rPr>
            </w:pPr>
            <w:r>
              <w:rPr>
                <w:rFonts w:ascii="Arial" w:cs="Arial" w:eastAsia="Arial" w:hAnsi="Arial"/>
                <w:sz w:val="16"/>
                <w:szCs w:val="16"/>
                <w:color w:val="074A75"/>
              </w:rPr>
              <w:t>Salary</w:t>
            </w:r>
          </w:p>
        </w:tc>
        <w:tc>
          <w:tcPr>
            <w:tcW w:w="300" w:type="dxa"/>
            <w:vAlign w:val="bottom"/>
            <w:tcBorders>
              <w:bottom w:val="single" w:sz="8" w:color="494949"/>
            </w:tcBorders>
          </w:tcPr>
          <w:p>
            <w:pPr>
              <w:spacing w:after="0"/>
              <w:rPr>
                <w:sz w:val="21"/>
                <w:szCs w:val="21"/>
                <w:color w:val="auto"/>
              </w:rPr>
            </w:pPr>
          </w:p>
        </w:tc>
        <w:tc>
          <w:tcPr>
            <w:tcW w:w="1020" w:type="dxa"/>
            <w:vAlign w:val="bottom"/>
            <w:tcBorders>
              <w:bottom w:val="single" w:sz="8" w:color="494949"/>
            </w:tcBorders>
          </w:tcPr>
          <w:p>
            <w:pPr>
              <w:jc w:val="right"/>
              <w:ind w:right="380"/>
              <w:spacing w:after="0"/>
              <w:rPr>
                <w:sz w:val="20"/>
                <w:szCs w:val="20"/>
                <w:color w:val="auto"/>
              </w:rPr>
            </w:pPr>
            <w:r>
              <w:rPr>
                <w:rFonts w:ascii="Arial" w:cs="Arial" w:eastAsia="Arial" w:hAnsi="Arial"/>
                <w:sz w:val="16"/>
                <w:szCs w:val="16"/>
                <w:color w:val="074A75"/>
              </w:rPr>
              <w:t>Cash</w:t>
            </w:r>
          </w:p>
        </w:tc>
        <w:tc>
          <w:tcPr>
            <w:tcW w:w="200" w:type="dxa"/>
            <w:vAlign w:val="bottom"/>
            <w:tcBorders>
              <w:bottom w:val="single" w:sz="8" w:color="494949"/>
            </w:tcBorders>
          </w:tcPr>
          <w:p>
            <w:pPr>
              <w:spacing w:after="0"/>
              <w:rPr>
                <w:sz w:val="21"/>
                <w:szCs w:val="21"/>
                <w:color w:val="auto"/>
              </w:rPr>
            </w:pPr>
          </w:p>
        </w:tc>
        <w:tc>
          <w:tcPr>
            <w:tcW w:w="1160" w:type="dxa"/>
            <w:vAlign w:val="bottom"/>
            <w:tcBorders>
              <w:bottom w:val="single" w:sz="8" w:color="494949"/>
            </w:tcBorders>
          </w:tcPr>
          <w:p>
            <w:pPr>
              <w:ind w:left="60"/>
              <w:spacing w:after="0"/>
              <w:rPr>
                <w:sz w:val="20"/>
                <w:szCs w:val="20"/>
                <w:color w:val="auto"/>
              </w:rPr>
            </w:pPr>
            <w:r>
              <w:rPr>
                <w:rFonts w:ascii="Arial" w:cs="Arial" w:eastAsia="Arial" w:hAnsi="Arial"/>
                <w:sz w:val="16"/>
                <w:szCs w:val="16"/>
                <w:color w:val="074A75"/>
              </w:rPr>
              <w:t>stock units</w:t>
            </w:r>
          </w:p>
        </w:tc>
        <w:tc>
          <w:tcPr>
            <w:tcW w:w="1160" w:type="dxa"/>
            <w:vAlign w:val="bottom"/>
            <w:tcBorders>
              <w:bottom w:val="single" w:sz="8" w:color="494949"/>
            </w:tcBorders>
          </w:tcPr>
          <w:p>
            <w:pPr>
              <w:jc w:val="right"/>
              <w:ind w:right="160"/>
              <w:spacing w:after="0"/>
              <w:rPr>
                <w:sz w:val="20"/>
                <w:szCs w:val="20"/>
                <w:color w:val="auto"/>
              </w:rPr>
            </w:pPr>
            <w:r>
              <w:rPr>
                <w:rFonts w:ascii="Arial" w:cs="Arial" w:eastAsia="Arial" w:hAnsi="Arial"/>
                <w:sz w:val="16"/>
                <w:szCs w:val="16"/>
                <w:color w:val="074A75"/>
              </w:rPr>
              <w:t>share units</w:t>
            </w:r>
          </w:p>
        </w:tc>
        <w:tc>
          <w:tcPr>
            <w:tcW w:w="260" w:type="dxa"/>
            <w:vAlign w:val="bottom"/>
            <w:tcBorders>
              <w:bottom w:val="single" w:sz="8" w:color="494949"/>
            </w:tcBorders>
          </w:tcPr>
          <w:p>
            <w:pPr>
              <w:spacing w:after="0"/>
              <w:rPr>
                <w:sz w:val="21"/>
                <w:szCs w:val="21"/>
                <w:color w:val="auto"/>
              </w:rPr>
            </w:pPr>
          </w:p>
        </w:tc>
        <w:tc>
          <w:tcPr>
            <w:tcW w:w="1020" w:type="dxa"/>
            <w:vAlign w:val="bottom"/>
            <w:tcBorders>
              <w:bottom w:val="single" w:sz="8" w:color="494949"/>
            </w:tcBorders>
          </w:tcPr>
          <w:p>
            <w:pPr>
              <w:jc w:val="right"/>
              <w:ind w:right="401"/>
              <w:spacing w:after="0"/>
              <w:rPr>
                <w:sz w:val="20"/>
                <w:szCs w:val="20"/>
                <w:color w:val="auto"/>
              </w:rPr>
            </w:pPr>
            <w:r>
              <w:rPr>
                <w:rFonts w:ascii="Arial" w:cs="Arial" w:eastAsia="Arial" w:hAnsi="Arial"/>
                <w:sz w:val="16"/>
                <w:szCs w:val="16"/>
                <w:color w:val="074A75"/>
              </w:rPr>
              <w:t>Total</w:t>
            </w:r>
          </w:p>
        </w:tc>
        <w:tc>
          <w:tcPr>
            <w:tcW w:w="0" w:type="dxa"/>
            <w:vAlign w:val="bottom"/>
          </w:tcPr>
          <w:p>
            <w:pPr>
              <w:spacing w:after="0"/>
              <w:rPr>
                <w:sz w:val="1"/>
                <w:szCs w:val="1"/>
                <w:color w:val="auto"/>
              </w:rPr>
            </w:pPr>
          </w:p>
        </w:tc>
      </w:tr>
      <w:tr>
        <w:trPr>
          <w:trHeight w:val="236"/>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86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1,500,000</w:t>
            </w:r>
          </w:p>
        </w:tc>
        <w:tc>
          <w:tcPr>
            <w:tcW w:w="300" w:type="dxa"/>
            <w:vAlign w:val="bottom"/>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5,000,000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29,500,000</w:t>
            </w:r>
          </w:p>
        </w:tc>
        <w:tc>
          <w:tcPr>
            <w:tcW w:w="260" w:type="dxa"/>
            <w:vAlign w:val="bottom"/>
            <w:vMerge w:val="restart"/>
          </w:tcPr>
          <w:p>
            <w:pPr>
              <w:jc w:val="right"/>
              <w:ind w:right="81"/>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36,000,000</w:t>
            </w:r>
          </w:p>
        </w:tc>
        <w:tc>
          <w:tcPr>
            <w:tcW w:w="0" w:type="dxa"/>
            <w:vAlign w:val="bottom"/>
          </w:tcPr>
          <w:p>
            <w:pPr>
              <w:spacing w:after="0"/>
              <w:rPr>
                <w:sz w:val="1"/>
                <w:szCs w:val="1"/>
                <w:color w:val="auto"/>
              </w:rPr>
            </w:pPr>
          </w:p>
        </w:tc>
      </w:tr>
      <w:tr>
        <w:trPr>
          <w:trHeight w:val="118"/>
        </w:trPr>
        <w:tc>
          <w:tcPr>
            <w:tcW w:w="4320" w:type="dxa"/>
            <w:vAlign w:val="bottom"/>
            <w:vMerge w:val="restart"/>
          </w:tcPr>
          <w:p>
            <w:pPr>
              <w:ind w:left="20"/>
              <w:spacing w:after="0"/>
              <w:rPr>
                <w:sz w:val="20"/>
                <w:szCs w:val="20"/>
                <w:color w:val="auto"/>
              </w:rPr>
            </w:pPr>
            <w:r>
              <w:rPr>
                <w:rFonts w:ascii="Arial" w:cs="Arial" w:eastAsia="Arial" w:hAnsi="Arial"/>
                <w:sz w:val="16"/>
                <w:szCs w:val="16"/>
                <w:color w:val="auto"/>
              </w:rPr>
              <w:t>Chairman and CEO</w:t>
            </w: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3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4320" w:type="dxa"/>
            <w:vAlign w:val="bottom"/>
            <w:tcBorders>
              <w:bottom w:val="single" w:sz="8" w:color="494949"/>
            </w:tcBorders>
          </w:tcPr>
          <w:p>
            <w:pPr>
              <w:spacing w:after="0"/>
              <w:rPr>
                <w:sz w:val="7"/>
                <w:szCs w:val="7"/>
                <w:color w:val="auto"/>
              </w:rPr>
            </w:pPr>
          </w:p>
        </w:tc>
        <w:tc>
          <w:tcPr>
            <w:tcW w:w="860" w:type="dxa"/>
            <w:vAlign w:val="bottom"/>
            <w:tcBorders>
              <w:bottom w:val="single" w:sz="8" w:color="494949"/>
            </w:tcBorders>
          </w:tcPr>
          <w:p>
            <w:pPr>
              <w:spacing w:after="0"/>
              <w:rPr>
                <w:sz w:val="7"/>
                <w:szCs w:val="7"/>
                <w:color w:val="auto"/>
              </w:rPr>
            </w:pPr>
          </w:p>
        </w:tc>
        <w:tc>
          <w:tcPr>
            <w:tcW w:w="940" w:type="dxa"/>
            <w:vAlign w:val="bottom"/>
            <w:tcBorders>
              <w:bottom w:val="single" w:sz="8" w:color="494949"/>
            </w:tcBorders>
          </w:tcPr>
          <w:p>
            <w:pPr>
              <w:spacing w:after="0"/>
              <w:rPr>
                <w:sz w:val="7"/>
                <w:szCs w:val="7"/>
                <w:color w:val="auto"/>
              </w:rPr>
            </w:pPr>
          </w:p>
        </w:tc>
        <w:tc>
          <w:tcPr>
            <w:tcW w:w="300" w:type="dxa"/>
            <w:vAlign w:val="bottom"/>
            <w:tcBorders>
              <w:bottom w:val="single" w:sz="8" w:color="494949"/>
            </w:tcBorders>
          </w:tcPr>
          <w:p>
            <w:pPr>
              <w:spacing w:after="0"/>
              <w:rPr>
                <w:sz w:val="7"/>
                <w:szCs w:val="7"/>
                <w:color w:val="auto"/>
              </w:rPr>
            </w:pPr>
          </w:p>
        </w:tc>
        <w:tc>
          <w:tcPr>
            <w:tcW w:w="1020" w:type="dxa"/>
            <w:vAlign w:val="bottom"/>
            <w:tcBorders>
              <w:bottom w:val="single" w:sz="8" w:color="494949"/>
            </w:tcBorders>
          </w:tcPr>
          <w:p>
            <w:pPr>
              <w:spacing w:after="0"/>
              <w:rPr>
                <w:sz w:val="7"/>
                <w:szCs w:val="7"/>
                <w:color w:val="auto"/>
              </w:rPr>
            </w:pPr>
          </w:p>
        </w:tc>
        <w:tc>
          <w:tcPr>
            <w:tcW w:w="200" w:type="dxa"/>
            <w:vAlign w:val="bottom"/>
            <w:tcBorders>
              <w:bottom w:val="single" w:sz="8" w:color="494949"/>
            </w:tcBorders>
          </w:tcPr>
          <w:p>
            <w:pPr>
              <w:spacing w:after="0"/>
              <w:rPr>
                <w:sz w:val="7"/>
                <w:szCs w:val="7"/>
                <w:color w:val="auto"/>
              </w:rPr>
            </w:pPr>
          </w:p>
        </w:tc>
        <w:tc>
          <w:tcPr>
            <w:tcW w:w="1160" w:type="dxa"/>
            <w:vAlign w:val="bottom"/>
            <w:tcBorders>
              <w:bottom w:val="single" w:sz="8" w:color="494949"/>
            </w:tcBorders>
          </w:tcPr>
          <w:p>
            <w:pPr>
              <w:spacing w:after="0"/>
              <w:rPr>
                <w:sz w:val="7"/>
                <w:szCs w:val="7"/>
                <w:color w:val="auto"/>
              </w:rPr>
            </w:pPr>
          </w:p>
        </w:tc>
        <w:tc>
          <w:tcPr>
            <w:tcW w:w="1160" w:type="dxa"/>
            <w:vAlign w:val="bottom"/>
            <w:tcBorders>
              <w:bottom w:val="single" w:sz="8" w:color="494949"/>
            </w:tcBorders>
          </w:tcPr>
          <w:p>
            <w:pPr>
              <w:spacing w:after="0"/>
              <w:rPr>
                <w:sz w:val="7"/>
                <w:szCs w:val="7"/>
                <w:color w:val="auto"/>
              </w:rPr>
            </w:pPr>
          </w:p>
        </w:tc>
        <w:tc>
          <w:tcPr>
            <w:tcW w:w="260" w:type="dxa"/>
            <w:vAlign w:val="bottom"/>
            <w:tcBorders>
              <w:bottom w:val="single" w:sz="8" w:color="494949"/>
            </w:tcBorders>
          </w:tcPr>
          <w:p>
            <w:pPr>
              <w:spacing w:after="0"/>
              <w:rPr>
                <w:sz w:val="7"/>
                <w:szCs w:val="7"/>
                <w:color w:val="auto"/>
              </w:rPr>
            </w:pPr>
          </w:p>
        </w:tc>
        <w:tc>
          <w:tcPr>
            <w:tcW w:w="1020" w:type="dxa"/>
            <w:vAlign w:val="bottom"/>
            <w:tcBorders>
              <w:bottom w:val="single" w:sz="8" w:color="494949"/>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Daniel Pinto</w:t>
            </w:r>
          </w:p>
        </w:tc>
        <w:tc>
          <w:tcPr>
            <w:tcW w:w="860" w:type="dxa"/>
            <w:vAlign w:val="bottom"/>
          </w:tcPr>
          <w:p>
            <w:pPr>
              <w:spacing w:after="0"/>
              <w:rPr>
                <w:sz w:val="22"/>
                <w:szCs w:val="2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1,500,000</w:t>
            </w:r>
          </w:p>
        </w:tc>
        <w:tc>
          <w:tcPr>
            <w:tcW w:w="30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5,000,000</w:t>
            </w:r>
          </w:p>
        </w:tc>
        <w:tc>
          <w:tcPr>
            <w:tcW w:w="200" w:type="dxa"/>
            <w:vAlign w:val="bottom"/>
          </w:tcPr>
          <w:p>
            <w:pPr>
              <w:spacing w:after="0"/>
              <w:rPr>
                <w:sz w:val="22"/>
                <w:szCs w:val="22"/>
                <w:color w:val="auto"/>
              </w:rPr>
            </w:pPr>
          </w:p>
        </w:tc>
        <w:tc>
          <w:tcPr>
            <w:tcW w:w="116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23,500,000</w:t>
            </w:r>
          </w:p>
        </w:tc>
        <w:tc>
          <w:tcPr>
            <w:tcW w:w="260" w:type="dxa"/>
            <w:vAlign w:val="bottom"/>
          </w:tcPr>
          <w:p>
            <w:pPr>
              <w:spacing w:after="0"/>
              <w:rPr>
                <w:sz w:val="22"/>
                <w:szCs w:val="22"/>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30,000,000</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Arial" w:cs="Arial" w:eastAsia="Arial" w:hAnsi="Arial"/>
                <w:sz w:val="16"/>
                <w:szCs w:val="16"/>
                <w:color w:val="auto"/>
              </w:rPr>
              <w:t>President &amp; Chief Operating Officer</w:t>
            </w:r>
          </w:p>
        </w:tc>
        <w:tc>
          <w:tcPr>
            <w:tcW w:w="8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Former CEO, Corporate &amp; Investment Bank</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4320" w:type="dxa"/>
            <w:vAlign w:val="bottom"/>
            <w:tcBorders>
              <w:bottom w:val="single" w:sz="8" w:color="494949"/>
            </w:tcBorders>
          </w:tcPr>
          <w:p>
            <w:pPr>
              <w:spacing w:after="0"/>
              <w:rPr>
                <w:sz w:val="7"/>
                <w:szCs w:val="7"/>
                <w:color w:val="auto"/>
              </w:rPr>
            </w:pPr>
          </w:p>
        </w:tc>
        <w:tc>
          <w:tcPr>
            <w:tcW w:w="860" w:type="dxa"/>
            <w:vAlign w:val="bottom"/>
            <w:tcBorders>
              <w:bottom w:val="single" w:sz="8" w:color="494949"/>
            </w:tcBorders>
          </w:tcPr>
          <w:p>
            <w:pPr>
              <w:spacing w:after="0"/>
              <w:rPr>
                <w:sz w:val="7"/>
                <w:szCs w:val="7"/>
                <w:color w:val="auto"/>
              </w:rPr>
            </w:pPr>
          </w:p>
        </w:tc>
        <w:tc>
          <w:tcPr>
            <w:tcW w:w="940" w:type="dxa"/>
            <w:vAlign w:val="bottom"/>
            <w:tcBorders>
              <w:bottom w:val="single" w:sz="8" w:color="494949"/>
            </w:tcBorders>
          </w:tcPr>
          <w:p>
            <w:pPr>
              <w:spacing w:after="0"/>
              <w:rPr>
                <w:sz w:val="7"/>
                <w:szCs w:val="7"/>
                <w:color w:val="auto"/>
              </w:rPr>
            </w:pPr>
          </w:p>
        </w:tc>
        <w:tc>
          <w:tcPr>
            <w:tcW w:w="300" w:type="dxa"/>
            <w:vAlign w:val="bottom"/>
            <w:tcBorders>
              <w:bottom w:val="single" w:sz="8" w:color="494949"/>
            </w:tcBorders>
          </w:tcPr>
          <w:p>
            <w:pPr>
              <w:spacing w:after="0"/>
              <w:rPr>
                <w:sz w:val="7"/>
                <w:szCs w:val="7"/>
                <w:color w:val="auto"/>
              </w:rPr>
            </w:pPr>
          </w:p>
        </w:tc>
        <w:tc>
          <w:tcPr>
            <w:tcW w:w="1020" w:type="dxa"/>
            <w:vAlign w:val="bottom"/>
            <w:tcBorders>
              <w:bottom w:val="single" w:sz="8" w:color="494949"/>
            </w:tcBorders>
          </w:tcPr>
          <w:p>
            <w:pPr>
              <w:spacing w:after="0"/>
              <w:rPr>
                <w:sz w:val="7"/>
                <w:szCs w:val="7"/>
                <w:color w:val="auto"/>
              </w:rPr>
            </w:pPr>
          </w:p>
        </w:tc>
        <w:tc>
          <w:tcPr>
            <w:tcW w:w="200" w:type="dxa"/>
            <w:vAlign w:val="bottom"/>
            <w:tcBorders>
              <w:bottom w:val="single" w:sz="8" w:color="494949"/>
            </w:tcBorders>
          </w:tcPr>
          <w:p>
            <w:pPr>
              <w:spacing w:after="0"/>
              <w:rPr>
                <w:sz w:val="7"/>
                <w:szCs w:val="7"/>
                <w:color w:val="auto"/>
              </w:rPr>
            </w:pPr>
          </w:p>
        </w:tc>
        <w:tc>
          <w:tcPr>
            <w:tcW w:w="1160" w:type="dxa"/>
            <w:vAlign w:val="bottom"/>
            <w:tcBorders>
              <w:bottom w:val="single" w:sz="8" w:color="494949"/>
            </w:tcBorders>
          </w:tcPr>
          <w:p>
            <w:pPr>
              <w:spacing w:after="0"/>
              <w:rPr>
                <w:sz w:val="7"/>
                <w:szCs w:val="7"/>
                <w:color w:val="auto"/>
              </w:rPr>
            </w:pPr>
          </w:p>
        </w:tc>
        <w:tc>
          <w:tcPr>
            <w:tcW w:w="1160" w:type="dxa"/>
            <w:vAlign w:val="bottom"/>
            <w:tcBorders>
              <w:bottom w:val="single" w:sz="8" w:color="494949"/>
            </w:tcBorders>
          </w:tcPr>
          <w:p>
            <w:pPr>
              <w:spacing w:after="0"/>
              <w:rPr>
                <w:sz w:val="7"/>
                <w:szCs w:val="7"/>
                <w:color w:val="auto"/>
              </w:rPr>
            </w:pPr>
          </w:p>
        </w:tc>
        <w:tc>
          <w:tcPr>
            <w:tcW w:w="260" w:type="dxa"/>
            <w:vAlign w:val="bottom"/>
            <w:tcBorders>
              <w:bottom w:val="single" w:sz="8" w:color="494949"/>
            </w:tcBorders>
          </w:tcPr>
          <w:p>
            <w:pPr>
              <w:spacing w:after="0"/>
              <w:rPr>
                <w:sz w:val="7"/>
                <w:szCs w:val="7"/>
                <w:color w:val="auto"/>
              </w:rPr>
            </w:pPr>
          </w:p>
        </w:tc>
        <w:tc>
          <w:tcPr>
            <w:tcW w:w="1020" w:type="dxa"/>
            <w:vAlign w:val="bottom"/>
            <w:tcBorders>
              <w:bottom w:val="single" w:sz="8" w:color="494949"/>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8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750,000</w:t>
            </w:r>
          </w:p>
        </w:tc>
        <w:tc>
          <w:tcPr>
            <w:tcW w:w="3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10,500,000</w:t>
            </w:r>
          </w:p>
        </w:tc>
        <w:tc>
          <w:tcPr>
            <w:tcW w:w="200" w:type="dxa"/>
            <w:vAlign w:val="bottom"/>
          </w:tcPr>
          <w:p>
            <w:pPr>
              <w:spacing w:after="0"/>
              <w:rPr>
                <w:sz w:val="20"/>
                <w:szCs w:val="20"/>
                <w:color w:val="auto"/>
              </w:rPr>
            </w:pPr>
          </w:p>
        </w:tc>
        <w:tc>
          <w:tcPr>
            <w:tcW w:w="1160" w:type="dxa"/>
            <w:vAlign w:val="bottom"/>
            <w:vMerge w:val="restart"/>
          </w:tcPr>
          <w:p>
            <w:pPr>
              <w:jc w:val="right"/>
              <w:ind w:right="120"/>
              <w:spacing w:after="0"/>
              <w:rPr>
                <w:sz w:val="20"/>
                <w:szCs w:val="20"/>
                <w:color w:val="auto"/>
              </w:rPr>
            </w:pPr>
            <w:r>
              <w:rPr>
                <w:rFonts w:ascii="Arial" w:cs="Arial" w:eastAsia="Arial" w:hAnsi="Arial"/>
                <w:sz w:val="16"/>
                <w:szCs w:val="16"/>
                <w:color w:val="auto"/>
              </w:rPr>
              <w:t>7,875,000</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7,875,000</w:t>
            </w:r>
          </w:p>
        </w:tc>
        <w:tc>
          <w:tcPr>
            <w:tcW w:w="260" w:type="dxa"/>
            <w:vAlign w:val="bottom"/>
          </w:tcPr>
          <w:p>
            <w:pPr>
              <w:spacing w:after="0"/>
              <w:rPr>
                <w:sz w:val="20"/>
                <w:szCs w:val="20"/>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27,000,000</w:t>
            </w:r>
          </w:p>
        </w:tc>
        <w:tc>
          <w:tcPr>
            <w:tcW w:w="0" w:type="dxa"/>
            <w:vAlign w:val="bottom"/>
          </w:tcPr>
          <w:p>
            <w:pPr>
              <w:spacing w:after="0"/>
              <w:rPr>
                <w:sz w:val="1"/>
                <w:szCs w:val="1"/>
                <w:color w:val="auto"/>
              </w:rPr>
            </w:pPr>
          </w:p>
        </w:tc>
      </w:tr>
      <w:tr>
        <w:trPr>
          <w:trHeight w:val="118"/>
        </w:trPr>
        <w:tc>
          <w:tcPr>
            <w:tcW w:w="4320" w:type="dxa"/>
            <w:vAlign w:val="bottom"/>
            <w:vMerge w:val="restart"/>
          </w:tcPr>
          <w:p>
            <w:pPr>
              <w:ind w:left="20"/>
              <w:spacing w:after="0"/>
              <w:rPr>
                <w:sz w:val="20"/>
                <w:szCs w:val="20"/>
                <w:color w:val="auto"/>
              </w:rPr>
            </w:pPr>
            <w:r>
              <w:rPr>
                <w:rFonts w:ascii="Arial" w:cs="Arial" w:eastAsia="Arial" w:hAnsi="Arial"/>
                <w:sz w:val="16"/>
                <w:szCs w:val="16"/>
                <w:color w:val="auto"/>
              </w:rPr>
              <w:t>CEO, Asset &amp; Wealth Management</w:t>
            </w:r>
          </w:p>
        </w:tc>
        <w:tc>
          <w:tcPr>
            <w:tcW w:w="8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3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4320" w:type="dxa"/>
            <w:vAlign w:val="bottom"/>
            <w:tcBorders>
              <w:bottom w:val="single" w:sz="8" w:color="494949"/>
            </w:tcBorders>
          </w:tcPr>
          <w:p>
            <w:pPr>
              <w:spacing w:after="0"/>
              <w:rPr>
                <w:sz w:val="7"/>
                <w:szCs w:val="7"/>
                <w:color w:val="auto"/>
              </w:rPr>
            </w:pPr>
          </w:p>
        </w:tc>
        <w:tc>
          <w:tcPr>
            <w:tcW w:w="860" w:type="dxa"/>
            <w:vAlign w:val="bottom"/>
            <w:tcBorders>
              <w:bottom w:val="single" w:sz="8" w:color="494949"/>
            </w:tcBorders>
          </w:tcPr>
          <w:p>
            <w:pPr>
              <w:spacing w:after="0"/>
              <w:rPr>
                <w:sz w:val="7"/>
                <w:szCs w:val="7"/>
                <w:color w:val="auto"/>
              </w:rPr>
            </w:pPr>
          </w:p>
        </w:tc>
        <w:tc>
          <w:tcPr>
            <w:tcW w:w="940" w:type="dxa"/>
            <w:vAlign w:val="bottom"/>
            <w:tcBorders>
              <w:bottom w:val="single" w:sz="8" w:color="494949"/>
            </w:tcBorders>
          </w:tcPr>
          <w:p>
            <w:pPr>
              <w:spacing w:after="0"/>
              <w:rPr>
                <w:sz w:val="7"/>
                <w:szCs w:val="7"/>
                <w:color w:val="auto"/>
              </w:rPr>
            </w:pPr>
          </w:p>
        </w:tc>
        <w:tc>
          <w:tcPr>
            <w:tcW w:w="300" w:type="dxa"/>
            <w:vAlign w:val="bottom"/>
            <w:tcBorders>
              <w:bottom w:val="single" w:sz="8" w:color="494949"/>
            </w:tcBorders>
          </w:tcPr>
          <w:p>
            <w:pPr>
              <w:spacing w:after="0"/>
              <w:rPr>
                <w:sz w:val="7"/>
                <w:szCs w:val="7"/>
                <w:color w:val="auto"/>
              </w:rPr>
            </w:pPr>
          </w:p>
        </w:tc>
        <w:tc>
          <w:tcPr>
            <w:tcW w:w="1020" w:type="dxa"/>
            <w:vAlign w:val="bottom"/>
            <w:tcBorders>
              <w:bottom w:val="single" w:sz="8" w:color="494949"/>
            </w:tcBorders>
          </w:tcPr>
          <w:p>
            <w:pPr>
              <w:spacing w:after="0"/>
              <w:rPr>
                <w:sz w:val="7"/>
                <w:szCs w:val="7"/>
                <w:color w:val="auto"/>
              </w:rPr>
            </w:pPr>
          </w:p>
        </w:tc>
        <w:tc>
          <w:tcPr>
            <w:tcW w:w="200" w:type="dxa"/>
            <w:vAlign w:val="bottom"/>
            <w:tcBorders>
              <w:bottom w:val="single" w:sz="8" w:color="494949"/>
            </w:tcBorders>
          </w:tcPr>
          <w:p>
            <w:pPr>
              <w:spacing w:after="0"/>
              <w:rPr>
                <w:sz w:val="7"/>
                <w:szCs w:val="7"/>
                <w:color w:val="auto"/>
              </w:rPr>
            </w:pPr>
          </w:p>
        </w:tc>
        <w:tc>
          <w:tcPr>
            <w:tcW w:w="1160" w:type="dxa"/>
            <w:vAlign w:val="bottom"/>
            <w:tcBorders>
              <w:bottom w:val="single" w:sz="8" w:color="494949"/>
            </w:tcBorders>
          </w:tcPr>
          <w:p>
            <w:pPr>
              <w:spacing w:after="0"/>
              <w:rPr>
                <w:sz w:val="7"/>
                <w:szCs w:val="7"/>
                <w:color w:val="auto"/>
              </w:rPr>
            </w:pPr>
          </w:p>
        </w:tc>
        <w:tc>
          <w:tcPr>
            <w:tcW w:w="1160" w:type="dxa"/>
            <w:vAlign w:val="bottom"/>
            <w:tcBorders>
              <w:bottom w:val="single" w:sz="8" w:color="494949"/>
            </w:tcBorders>
          </w:tcPr>
          <w:p>
            <w:pPr>
              <w:spacing w:after="0"/>
              <w:rPr>
                <w:sz w:val="7"/>
                <w:szCs w:val="7"/>
                <w:color w:val="auto"/>
              </w:rPr>
            </w:pPr>
          </w:p>
        </w:tc>
        <w:tc>
          <w:tcPr>
            <w:tcW w:w="260" w:type="dxa"/>
            <w:vAlign w:val="bottom"/>
            <w:tcBorders>
              <w:bottom w:val="single" w:sz="8" w:color="494949"/>
            </w:tcBorders>
          </w:tcPr>
          <w:p>
            <w:pPr>
              <w:spacing w:after="0"/>
              <w:rPr>
                <w:sz w:val="7"/>
                <w:szCs w:val="7"/>
                <w:color w:val="auto"/>
              </w:rPr>
            </w:pPr>
          </w:p>
        </w:tc>
        <w:tc>
          <w:tcPr>
            <w:tcW w:w="1020" w:type="dxa"/>
            <w:vAlign w:val="bottom"/>
            <w:tcBorders>
              <w:bottom w:val="single" w:sz="8" w:color="494949"/>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Marianne Lake</w:t>
            </w: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6"/>
                <w:szCs w:val="16"/>
                <w:color w:val="auto"/>
              </w:rPr>
              <w:t>CEO, Consumer &amp; Community Banking</w:t>
            </w:r>
          </w:p>
        </w:tc>
        <w:tc>
          <w:tcPr>
            <w:tcW w:w="8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750,000</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7,100,000</w:t>
            </w:r>
          </w:p>
        </w:tc>
        <w:tc>
          <w:tcPr>
            <w:tcW w:w="200" w:type="dxa"/>
            <w:vAlign w:val="bottom"/>
          </w:tcPr>
          <w:p>
            <w:pPr>
              <w:spacing w:after="0"/>
              <w:rPr>
                <w:sz w:val="17"/>
                <w:szCs w:val="17"/>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5,325,000</w:t>
            </w:r>
          </w:p>
        </w:tc>
        <w:tc>
          <w:tcPr>
            <w:tcW w:w="1160" w:type="dxa"/>
            <w:vAlign w:val="bottom"/>
          </w:tcPr>
          <w:p>
            <w:pPr>
              <w:jc w:val="right"/>
              <w:spacing w:after="0"/>
              <w:rPr>
                <w:sz w:val="20"/>
                <w:szCs w:val="20"/>
                <w:color w:val="auto"/>
              </w:rPr>
            </w:pPr>
            <w:r>
              <w:rPr>
                <w:rFonts w:ascii="Arial" w:cs="Arial" w:eastAsia="Arial" w:hAnsi="Arial"/>
                <w:sz w:val="16"/>
                <w:szCs w:val="16"/>
                <w:color w:val="auto"/>
              </w:rPr>
              <w:t>5,325,000</w:t>
            </w:r>
          </w:p>
        </w:tc>
        <w:tc>
          <w:tcPr>
            <w:tcW w:w="2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18,500,000</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Former Co-CEO, Consumer &amp; Community Banking</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4320" w:type="dxa"/>
            <w:vAlign w:val="bottom"/>
            <w:tcBorders>
              <w:bottom w:val="single" w:sz="8" w:color="494949"/>
            </w:tcBorders>
          </w:tcPr>
          <w:p>
            <w:pPr>
              <w:spacing w:after="0"/>
              <w:rPr>
                <w:sz w:val="6"/>
                <w:szCs w:val="6"/>
                <w:color w:val="auto"/>
              </w:rPr>
            </w:pPr>
          </w:p>
        </w:tc>
        <w:tc>
          <w:tcPr>
            <w:tcW w:w="860" w:type="dxa"/>
            <w:vAlign w:val="bottom"/>
            <w:tcBorders>
              <w:bottom w:val="single" w:sz="8" w:color="494949"/>
            </w:tcBorders>
          </w:tcPr>
          <w:p>
            <w:pPr>
              <w:spacing w:after="0"/>
              <w:rPr>
                <w:sz w:val="6"/>
                <w:szCs w:val="6"/>
                <w:color w:val="auto"/>
              </w:rPr>
            </w:pPr>
          </w:p>
        </w:tc>
        <w:tc>
          <w:tcPr>
            <w:tcW w:w="940" w:type="dxa"/>
            <w:vAlign w:val="bottom"/>
            <w:tcBorders>
              <w:bottom w:val="single" w:sz="8" w:color="494949"/>
            </w:tcBorders>
          </w:tcPr>
          <w:p>
            <w:pPr>
              <w:spacing w:after="0"/>
              <w:rPr>
                <w:sz w:val="6"/>
                <w:szCs w:val="6"/>
                <w:color w:val="auto"/>
              </w:rPr>
            </w:pPr>
          </w:p>
        </w:tc>
        <w:tc>
          <w:tcPr>
            <w:tcW w:w="300" w:type="dxa"/>
            <w:vAlign w:val="bottom"/>
            <w:tcBorders>
              <w:bottom w:val="single" w:sz="8" w:color="494949"/>
            </w:tcBorders>
          </w:tcPr>
          <w:p>
            <w:pPr>
              <w:spacing w:after="0"/>
              <w:rPr>
                <w:sz w:val="6"/>
                <w:szCs w:val="6"/>
                <w:color w:val="auto"/>
              </w:rPr>
            </w:pPr>
          </w:p>
        </w:tc>
        <w:tc>
          <w:tcPr>
            <w:tcW w:w="1020" w:type="dxa"/>
            <w:vAlign w:val="bottom"/>
            <w:tcBorders>
              <w:bottom w:val="single" w:sz="8" w:color="494949"/>
            </w:tcBorders>
          </w:tcPr>
          <w:p>
            <w:pPr>
              <w:spacing w:after="0"/>
              <w:rPr>
                <w:sz w:val="6"/>
                <w:szCs w:val="6"/>
                <w:color w:val="auto"/>
              </w:rPr>
            </w:pPr>
          </w:p>
        </w:tc>
        <w:tc>
          <w:tcPr>
            <w:tcW w:w="20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1020" w:type="dxa"/>
            <w:vAlign w:val="bottom"/>
            <w:tcBorders>
              <w:bottom w:val="single" w:sz="8" w:color="494949"/>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6"/>
                <w:szCs w:val="16"/>
                <w:color w:val="auto"/>
              </w:rPr>
              <w:t>Co-CEO, Commercial &amp; Investment Bank</w:t>
            </w:r>
          </w:p>
        </w:tc>
        <w:tc>
          <w:tcPr>
            <w:tcW w:w="8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750,000</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7,100,000</w:t>
            </w:r>
          </w:p>
        </w:tc>
        <w:tc>
          <w:tcPr>
            <w:tcW w:w="200" w:type="dxa"/>
            <w:vAlign w:val="bottom"/>
          </w:tcPr>
          <w:p>
            <w:pPr>
              <w:spacing w:after="0"/>
              <w:rPr>
                <w:sz w:val="17"/>
                <w:szCs w:val="17"/>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5,325,000</w:t>
            </w:r>
          </w:p>
        </w:tc>
        <w:tc>
          <w:tcPr>
            <w:tcW w:w="1160" w:type="dxa"/>
            <w:vAlign w:val="bottom"/>
          </w:tcPr>
          <w:p>
            <w:pPr>
              <w:jc w:val="right"/>
              <w:spacing w:after="0"/>
              <w:rPr>
                <w:sz w:val="20"/>
                <w:szCs w:val="20"/>
                <w:color w:val="auto"/>
              </w:rPr>
            </w:pPr>
            <w:r>
              <w:rPr>
                <w:rFonts w:ascii="Arial" w:cs="Arial" w:eastAsia="Arial" w:hAnsi="Arial"/>
                <w:sz w:val="16"/>
                <w:szCs w:val="16"/>
                <w:color w:val="auto"/>
              </w:rPr>
              <w:t>5,325,000</w:t>
            </w:r>
          </w:p>
        </w:tc>
        <w:tc>
          <w:tcPr>
            <w:tcW w:w="2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18,500,000</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Former Co-CEO, Consumer &amp; Community Banking</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4320" w:type="dxa"/>
            <w:vAlign w:val="bottom"/>
            <w:tcBorders>
              <w:bottom w:val="single" w:sz="8" w:color="494949"/>
            </w:tcBorders>
          </w:tcPr>
          <w:p>
            <w:pPr>
              <w:spacing w:after="0"/>
              <w:rPr>
                <w:sz w:val="6"/>
                <w:szCs w:val="6"/>
                <w:color w:val="auto"/>
              </w:rPr>
            </w:pPr>
          </w:p>
        </w:tc>
        <w:tc>
          <w:tcPr>
            <w:tcW w:w="860" w:type="dxa"/>
            <w:vAlign w:val="bottom"/>
            <w:tcBorders>
              <w:bottom w:val="single" w:sz="8" w:color="494949"/>
            </w:tcBorders>
          </w:tcPr>
          <w:p>
            <w:pPr>
              <w:spacing w:after="0"/>
              <w:rPr>
                <w:sz w:val="6"/>
                <w:szCs w:val="6"/>
                <w:color w:val="auto"/>
              </w:rPr>
            </w:pPr>
          </w:p>
        </w:tc>
        <w:tc>
          <w:tcPr>
            <w:tcW w:w="940" w:type="dxa"/>
            <w:vAlign w:val="bottom"/>
            <w:tcBorders>
              <w:bottom w:val="single" w:sz="8" w:color="494949"/>
            </w:tcBorders>
          </w:tcPr>
          <w:p>
            <w:pPr>
              <w:spacing w:after="0"/>
              <w:rPr>
                <w:sz w:val="6"/>
                <w:szCs w:val="6"/>
                <w:color w:val="auto"/>
              </w:rPr>
            </w:pPr>
          </w:p>
        </w:tc>
        <w:tc>
          <w:tcPr>
            <w:tcW w:w="300" w:type="dxa"/>
            <w:vAlign w:val="bottom"/>
            <w:tcBorders>
              <w:bottom w:val="single" w:sz="8" w:color="494949"/>
            </w:tcBorders>
          </w:tcPr>
          <w:p>
            <w:pPr>
              <w:spacing w:after="0"/>
              <w:rPr>
                <w:sz w:val="6"/>
                <w:szCs w:val="6"/>
                <w:color w:val="auto"/>
              </w:rPr>
            </w:pPr>
          </w:p>
        </w:tc>
        <w:tc>
          <w:tcPr>
            <w:tcW w:w="1020" w:type="dxa"/>
            <w:vAlign w:val="bottom"/>
            <w:tcBorders>
              <w:bottom w:val="single" w:sz="8" w:color="494949"/>
            </w:tcBorders>
          </w:tcPr>
          <w:p>
            <w:pPr>
              <w:spacing w:after="0"/>
              <w:rPr>
                <w:sz w:val="6"/>
                <w:szCs w:val="6"/>
                <w:color w:val="auto"/>
              </w:rPr>
            </w:pPr>
          </w:p>
        </w:tc>
        <w:tc>
          <w:tcPr>
            <w:tcW w:w="20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1160" w:type="dxa"/>
            <w:vAlign w:val="bottom"/>
            <w:tcBorders>
              <w:bottom w:val="single" w:sz="8" w:color="494949"/>
            </w:tcBorders>
          </w:tcPr>
          <w:p>
            <w:pPr>
              <w:spacing w:after="0"/>
              <w:rPr>
                <w:sz w:val="6"/>
                <w:szCs w:val="6"/>
                <w:color w:val="auto"/>
              </w:rPr>
            </w:pPr>
          </w:p>
        </w:tc>
        <w:tc>
          <w:tcPr>
            <w:tcW w:w="260" w:type="dxa"/>
            <w:vAlign w:val="bottom"/>
            <w:tcBorders>
              <w:bottom w:val="single" w:sz="8" w:color="494949"/>
            </w:tcBorders>
          </w:tcPr>
          <w:p>
            <w:pPr>
              <w:spacing w:after="0"/>
              <w:rPr>
                <w:sz w:val="6"/>
                <w:szCs w:val="6"/>
                <w:color w:val="auto"/>
              </w:rPr>
            </w:pPr>
          </w:p>
        </w:tc>
        <w:tc>
          <w:tcPr>
            <w:tcW w:w="1020" w:type="dxa"/>
            <w:vAlign w:val="bottom"/>
            <w:tcBorders>
              <w:bottom w:val="single" w:sz="8" w:color="494949"/>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Jeremy Barnum</w:t>
            </w:r>
          </w:p>
        </w:tc>
        <w:tc>
          <w:tcPr>
            <w:tcW w:w="8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750,000</w:t>
            </w:r>
          </w:p>
        </w:tc>
        <w:tc>
          <w:tcPr>
            <w:tcW w:w="3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5,700,000</w:t>
            </w:r>
          </w:p>
        </w:tc>
        <w:tc>
          <w:tcPr>
            <w:tcW w:w="200" w:type="dxa"/>
            <w:vAlign w:val="bottom"/>
          </w:tcPr>
          <w:p>
            <w:pPr>
              <w:spacing w:after="0"/>
              <w:rPr>
                <w:sz w:val="20"/>
                <w:szCs w:val="20"/>
                <w:color w:val="auto"/>
              </w:rPr>
            </w:pPr>
          </w:p>
        </w:tc>
        <w:tc>
          <w:tcPr>
            <w:tcW w:w="1160" w:type="dxa"/>
            <w:vAlign w:val="bottom"/>
            <w:vMerge w:val="restart"/>
          </w:tcPr>
          <w:p>
            <w:pPr>
              <w:jc w:val="right"/>
              <w:ind w:right="120"/>
              <w:spacing w:after="0"/>
              <w:rPr>
                <w:sz w:val="20"/>
                <w:szCs w:val="20"/>
                <w:color w:val="auto"/>
              </w:rPr>
            </w:pPr>
            <w:r>
              <w:rPr>
                <w:rFonts w:ascii="Arial" w:cs="Arial" w:eastAsia="Arial" w:hAnsi="Arial"/>
                <w:sz w:val="16"/>
                <w:szCs w:val="16"/>
                <w:color w:val="auto"/>
              </w:rPr>
              <w:t>4,275,000</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4,275,000</w:t>
            </w:r>
          </w:p>
        </w:tc>
        <w:tc>
          <w:tcPr>
            <w:tcW w:w="260" w:type="dxa"/>
            <w:vAlign w:val="bottom"/>
          </w:tcPr>
          <w:p>
            <w:pPr>
              <w:spacing w:after="0"/>
              <w:rPr>
                <w:sz w:val="20"/>
                <w:szCs w:val="20"/>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15,000,000</w:t>
            </w:r>
          </w:p>
        </w:tc>
        <w:tc>
          <w:tcPr>
            <w:tcW w:w="0" w:type="dxa"/>
            <w:vAlign w:val="bottom"/>
          </w:tcPr>
          <w:p>
            <w:pPr>
              <w:spacing w:after="0"/>
              <w:rPr>
                <w:sz w:val="1"/>
                <w:szCs w:val="1"/>
                <w:color w:val="auto"/>
              </w:rPr>
            </w:pPr>
          </w:p>
        </w:tc>
      </w:tr>
      <w:tr>
        <w:trPr>
          <w:trHeight w:val="118"/>
        </w:trPr>
        <w:tc>
          <w:tcPr>
            <w:tcW w:w="4320" w:type="dxa"/>
            <w:vAlign w:val="bottom"/>
            <w:vMerge w:val="restart"/>
          </w:tcPr>
          <w:p>
            <w:pPr>
              <w:ind w:left="20"/>
              <w:spacing w:after="0"/>
              <w:rPr>
                <w:sz w:val="20"/>
                <w:szCs w:val="20"/>
                <w:color w:val="auto"/>
              </w:rPr>
            </w:pPr>
            <w:r>
              <w:rPr>
                <w:rFonts w:ascii="Arial" w:cs="Arial" w:eastAsia="Arial" w:hAnsi="Arial"/>
                <w:sz w:val="16"/>
                <w:szCs w:val="16"/>
                <w:color w:val="auto"/>
              </w:rPr>
              <w:t>Chief Financial Officer</w:t>
            </w:r>
          </w:p>
        </w:tc>
        <w:tc>
          <w:tcPr>
            <w:tcW w:w="8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3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left="200" w:right="120" w:hanging="192"/>
        <w:spacing w:after="0" w:line="237" w:lineRule="auto"/>
        <w:tabs>
          <w:tab w:leader="none" w:pos="200" w:val="left"/>
        </w:tabs>
        <w:numPr>
          <w:ilvl w:val="0"/>
          <w:numId w:val="33"/>
        </w:numPr>
        <w:rPr>
          <w:rFonts w:ascii="Arial" w:cs="Arial" w:eastAsia="Arial" w:hAnsi="Arial"/>
          <w:sz w:val="16"/>
          <w:szCs w:val="16"/>
          <w:color w:val="auto"/>
          <w:vertAlign w:val="superscript"/>
        </w:rPr>
      </w:pPr>
      <w:r>
        <w:rPr>
          <w:rFonts w:ascii="Arial" w:cs="Arial" w:eastAsia="Arial" w:hAnsi="Arial"/>
          <w:sz w:val="13"/>
          <w:szCs w:val="13"/>
          <w:color w:val="auto"/>
        </w:rPr>
        <w:t>Officer position titles within this Proxy Statement reflect current roles and responsibilities as of the record date. On January 25, 2024, the Firm announced new responsibilities for certain executives: Ms. Piepszak, along with Troy Rohrbaugh, the Firm’s Co-Head of Markets and Securities Services, became Co-Chief Executive Officers of the expanded Commercial &amp; Investment Bank; Mr. Pinto continues as the Firm’s President and Chief Operating Officer but is no longer Chief Executive Officer of the former Corporate &amp; Investment Bank; and Ms. Lake became the sole Chief Executive Officer of Consumer &amp; Community Banking.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2024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5</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6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3: Approval of amended and restated long-term incentive plan effective May 21, 2024 - page 76</w:t>
      </w:r>
    </w:p>
    <w:p>
      <w:pPr>
        <w:spacing w:after="0" w:line="2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seeking approval of our Amended and Restated Long-Term Incentive Plan (the “2024 Plan”), to renew the term of the Amended and Restated Long-Term Incentive Plan approved by shareholders on May 18, 2021 (the “2021 Plan”) to a term date of May 31, 2028, and to authorize approximately 38.2 million additional shares, bringing the total number of shares authorized for awards under the 2024 Plan to 81 million shares (which is less than the total number of shares authorized under the 2021 Plan by 4 million shares). During our semi-annual shareholder outreach program and discussion of our equity compensation practices, our shareholders indicated a preference for more frequent requests for approval of a smaller quantity of shares, as opposed to requesting larger quantities less frequently. As a result, the Compensation &amp; Management Development Committee of the Board considered this feedback in determining the number of shares to request for authorization under the 2024 Plan.</w:t>
      </w:r>
    </w:p>
    <w:p>
      <w:pPr>
        <w:spacing w:after="0" w:line="7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2024 Plan would also continue to incorporate our compensation program for non-employee directors, with certain established retainers (both cash and equity) and certain limitations on future changes to those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65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4: Ratification of independent registered public accounting firm – page 86</w:t>
      </w:r>
    </w:p>
    <w:p>
      <w:pPr>
        <w:spacing w:after="0" w:line="27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Audit Committee has appointed PricewaterhouseCoopers LLP (“PwC”) as the Firm’s independent registered public accounting firm to audit the Consolidated Financial Statements of JPMorgan Chase and its subsidiaries for the year ending December 31, 2024. A resolution is being presented to our shareholders requesting ratification of PwC’s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257175</wp:posOffset>
            </wp:positionV>
            <wp:extent cx="274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  </w:t>
      </w:r>
      <w:r>
        <w:rPr>
          <w:sz w:val="1"/>
          <w:szCs w:val="1"/>
          <w:color w:val="auto"/>
        </w:rPr>
        <w:drawing>
          <wp:inline distT="0" distB="0" distL="0" distR="0">
            <wp:extent cx="2203450" cy="1543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43"/>
          <w:szCs w:val="43"/>
          <w:color w:val="074A7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9"/>
          <w:szCs w:val="29"/>
          <w:color w:val="074A75"/>
        </w:rPr>
        <w:t>Proposal 1: Election of directors</w:t>
      </w:r>
    </w:p>
    <w:p>
      <w:pPr>
        <w:spacing w:after="0" w:line="71" w:lineRule="exact"/>
        <w:rPr>
          <w:sz w:val="20"/>
          <w:szCs w:val="20"/>
          <w:color w:val="auto"/>
        </w:rPr>
      </w:pPr>
    </w:p>
    <w:p>
      <w:pPr>
        <w:ind w:left="20" w:right="960"/>
        <w:spacing w:after="0" w:line="268" w:lineRule="auto"/>
        <w:rPr>
          <w:sz w:val="20"/>
          <w:szCs w:val="20"/>
          <w:color w:val="auto"/>
        </w:rPr>
      </w:pPr>
      <w:r>
        <w:rPr>
          <w:rFonts w:ascii="Arial" w:cs="Arial" w:eastAsia="Arial" w:hAnsi="Arial"/>
          <w:sz w:val="18"/>
          <w:szCs w:val="18"/>
          <w:color w:val="auto"/>
        </w:rPr>
        <w:t>Our Board of Directors has nominated 10 directors, who, if elected by shareholders at our annual meeting, will be expected to serve until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-208915</wp:posOffset>
            </wp:positionV>
            <wp:extent cx="3128645" cy="5060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28645" cy="50609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FFFFFF"/>
        </w:rPr>
        <w:t>Vote FOR all nominees</w:t>
      </w:r>
    </w:p>
    <w:p>
      <w:pPr>
        <w:spacing w:after="0" w:line="272" w:lineRule="exact"/>
        <w:rPr>
          <w:sz w:val="20"/>
          <w:szCs w:val="20"/>
          <w:color w:val="auto"/>
        </w:rPr>
      </w:pPr>
    </w:p>
    <w:p>
      <w:pPr>
        <w:sectPr>
          <w:pgSz w:w="11900" w:h="16838" w:orient="portrait"/>
          <w:cols w:equalWidth="0" w:num="2">
            <w:col w:w="6260" w:space="720"/>
            <w:col w:w="426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2024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7</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43"/>
          <w:szCs w:val="43"/>
          <w:color w:val="074A75"/>
        </w:rPr>
        <w:t>Key factors for shareholder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32"/>
          <w:szCs w:val="32"/>
          <w:color w:val="074A75"/>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385445" cy="2451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544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Pages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3"/>
          <w:szCs w:val="13"/>
          <w:color w:val="074A75"/>
        </w:rPr>
        <w:t>9-18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6700"/>
        <w:spacing w:after="0" w:line="286" w:lineRule="auto"/>
        <w:rPr>
          <w:sz w:val="20"/>
          <w:szCs w:val="20"/>
          <w:color w:val="auto"/>
        </w:rPr>
      </w:pPr>
      <w:r>
        <w:rPr>
          <w:rFonts w:ascii="Arial" w:cs="Arial" w:eastAsia="Arial" w:hAnsi="Arial"/>
          <w:sz w:val="20"/>
          <w:szCs w:val="20"/>
          <w:color w:val="074A75"/>
        </w:rPr>
        <w:t>Director nominees, Director independence &amp; recruitment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-351155</wp:posOffset>
            </wp:positionV>
            <wp:extent cx="6746240" cy="27349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46240" cy="2734945"/>
                    </a:xfrm>
                    <a:prstGeom prst="rect">
                      <a:avLst/>
                    </a:prstGeom>
                    <a:noFill/>
                  </pic:spPr>
                </pic:pic>
              </a:graphicData>
            </a:graphic>
          </wp:anchor>
        </w:drawing>
      </w:r>
    </w:p>
    <w:p>
      <w:pPr>
        <w:spacing w:after="0" w:line="101" w:lineRule="exact"/>
        <w:rPr>
          <w:sz w:val="20"/>
          <w:szCs w:val="20"/>
          <w:color w:val="auto"/>
        </w:rPr>
      </w:pPr>
    </w:p>
    <w:p>
      <w:pPr>
        <w:ind w:left="200" w:right="5640" w:hanging="192"/>
        <w:spacing w:after="0" w:line="286" w:lineRule="auto"/>
        <w:tabs>
          <w:tab w:leader="none" w:pos="197" w:val="left"/>
        </w:tabs>
        <w:numPr>
          <w:ilvl w:val="0"/>
          <w:numId w:val="34"/>
        </w:numPr>
        <w:rPr>
          <w:rFonts w:ascii="Arial" w:cs="Arial" w:eastAsia="Arial" w:hAnsi="Arial"/>
          <w:sz w:val="16"/>
          <w:szCs w:val="16"/>
          <w:color w:val="074A75"/>
        </w:rPr>
      </w:pPr>
      <w:r>
        <w:rPr>
          <w:rFonts w:ascii="Arial" w:cs="Arial" w:eastAsia="Arial" w:hAnsi="Arial"/>
          <w:sz w:val="16"/>
          <w:szCs w:val="16"/>
          <w:color w:val="auto"/>
        </w:rPr>
        <w:t>Nominees have executive experience and skills aligned with the Firm’s business and strategy</w:t>
      </w:r>
    </w:p>
    <w:p>
      <w:pPr>
        <w:spacing w:after="0" w:line="20" w:lineRule="exact"/>
        <w:rPr>
          <w:rFonts w:ascii="Arial" w:cs="Arial" w:eastAsia="Arial" w:hAnsi="Arial"/>
          <w:sz w:val="16"/>
          <w:szCs w:val="16"/>
          <w:color w:val="074A75"/>
        </w:rPr>
      </w:pPr>
    </w:p>
    <w:p>
      <w:pPr>
        <w:ind w:left="200" w:right="5960" w:hanging="192"/>
        <w:spacing w:after="0" w:line="286" w:lineRule="auto"/>
        <w:tabs>
          <w:tab w:leader="none" w:pos="197" w:val="left"/>
        </w:tabs>
        <w:numPr>
          <w:ilvl w:val="0"/>
          <w:numId w:val="34"/>
        </w:numPr>
        <w:rPr>
          <w:rFonts w:ascii="Arial" w:cs="Arial" w:eastAsia="Arial" w:hAnsi="Arial"/>
          <w:sz w:val="16"/>
          <w:szCs w:val="16"/>
          <w:color w:val="074A75"/>
        </w:rPr>
      </w:pPr>
      <w:r>
        <w:rPr>
          <w:rFonts w:ascii="Arial" w:cs="Arial" w:eastAsia="Arial" w:hAnsi="Arial"/>
          <w:sz w:val="16"/>
          <w:szCs w:val="16"/>
          <w:color w:val="auto"/>
        </w:rPr>
        <w:t>Ongoing recruitment and refreshment promote a balance of experience and fresh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1702435</wp:posOffset>
            </wp:positionV>
            <wp:extent cx="3402965"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02965" cy="34290"/>
                    </a:xfrm>
                    <a:prstGeom prst="rect">
                      <a:avLst/>
                    </a:prstGeom>
                    <a:noFill/>
                  </pic:spPr>
                </pic:pic>
              </a:graphicData>
            </a:graphic>
          </wp:anchor>
        </w:drawing>
      </w:r>
    </w:p>
    <w:p>
      <w:pPr>
        <w:spacing w:after="0" w:line="2848" w:lineRule="exact"/>
        <w:rPr>
          <w:sz w:val="20"/>
          <w:szCs w:val="20"/>
          <w:color w:val="auto"/>
        </w:rPr>
      </w:pPr>
    </w:p>
    <w:p>
      <w:pPr>
        <w:sectPr>
          <w:pgSz w:w="11900" w:h="16838" w:orient="portrait"/>
          <w:cols w:equalWidth="0" w:num="2">
            <w:col w:w="600" w:space="220"/>
            <w:col w:w="10420"/>
          </w:cols>
          <w:pgMar w:left="320" w:top="157" w:right="339" w:bottom="1440" w:gutter="0" w:footer="0" w:header="0"/>
          <w:type w:val="continuous"/>
        </w:sectPr>
      </w:pP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620" w:type="dxa"/>
            <w:vAlign w:val="bottom"/>
            <w:tcBorders>
              <w:left w:val="single" w:sz="8" w:color="EEEFEF"/>
            </w:tcBorders>
            <w:shd w:val="clear" w:color="auto" w:fill="EEEFEF"/>
          </w:tcPr>
          <w:p>
            <w:pPr>
              <w:spacing w:after="0"/>
              <w:rPr>
                <w:sz w:val="12"/>
                <w:szCs w:val="12"/>
                <w:color w:val="auto"/>
              </w:rPr>
            </w:pPr>
          </w:p>
        </w:tc>
        <w:tc>
          <w:tcPr>
            <w:tcW w:w="5260" w:type="dxa"/>
            <w:vAlign w:val="bottom"/>
            <w:vMerge w:val="restart"/>
            <w:shd w:val="clear" w:color="auto" w:fill="EEEFEF"/>
          </w:tcPr>
          <w:p>
            <w:pPr>
              <w:ind w:left="220"/>
              <w:spacing w:after="0"/>
              <w:rPr>
                <w:sz w:val="20"/>
                <w:szCs w:val="20"/>
                <w:color w:val="auto"/>
              </w:rPr>
            </w:pPr>
            <w:r>
              <w:rPr>
                <w:rFonts w:ascii="Arial" w:cs="Arial" w:eastAsia="Arial" w:hAnsi="Arial"/>
                <w:sz w:val="20"/>
                <w:szCs w:val="20"/>
                <w:color w:val="074A75"/>
              </w:rPr>
              <w:t>Board governance</w:t>
            </w:r>
          </w:p>
        </w:tc>
        <w:tc>
          <w:tcPr>
            <w:tcW w:w="5360" w:type="dxa"/>
            <w:vAlign w:val="bottom"/>
            <w:shd w:val="clear" w:color="auto" w:fill="EEEFEF"/>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620" w:type="dxa"/>
            <w:vAlign w:val="bottom"/>
          </w:tcPr>
          <w:p>
            <w:pPr>
              <w:jc w:val="right"/>
              <w:spacing w:after="0"/>
              <w:rPr>
                <w:sz w:val="20"/>
                <w:szCs w:val="20"/>
                <w:color w:val="auto"/>
              </w:rPr>
            </w:pPr>
            <w:r>
              <w:rPr>
                <w:rFonts w:ascii="Arial" w:cs="Arial" w:eastAsia="Arial" w:hAnsi="Arial"/>
                <w:sz w:val="32"/>
                <w:szCs w:val="32"/>
                <w:color w:val="074A75"/>
              </w:rPr>
              <w:t>2</w:t>
            </w:r>
          </w:p>
        </w:tc>
        <w:tc>
          <w:tcPr>
            <w:tcW w:w="5260" w:type="dxa"/>
            <w:vAlign w:val="bottom"/>
            <w:vMerge w:val="continue"/>
            <w:shd w:val="clear" w:color="auto" w:fill="EEEFEF"/>
          </w:tcPr>
          <w:p>
            <w:pPr>
              <w:spacing w:after="0"/>
              <w:rPr>
                <w:sz w:val="24"/>
                <w:szCs w:val="24"/>
                <w:color w:val="auto"/>
              </w:rPr>
            </w:pPr>
          </w:p>
        </w:tc>
        <w:tc>
          <w:tcPr>
            <w:tcW w:w="5360" w:type="dxa"/>
            <w:vAlign w:val="bottom"/>
            <w:shd w:val="clear" w:color="auto" w:fill="EEEFE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5260" w:type="dxa"/>
            <w:vAlign w:val="bottom"/>
            <w:vMerge w:val="restart"/>
            <w:shd w:val="clear" w:color="auto" w:fill="EEEFEF"/>
          </w:tcPr>
          <w:p>
            <w:pPr>
              <w:ind w:left="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Lead Independent Director facilitates independent oversight of</w:t>
            </w:r>
          </w:p>
        </w:tc>
        <w:tc>
          <w:tcPr>
            <w:tcW w:w="536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carries out a significant portion of its oversight responsibilities</w:t>
            </w:r>
          </w:p>
        </w:tc>
        <w:tc>
          <w:tcPr>
            <w:tcW w:w="0" w:type="dxa"/>
            <w:vAlign w:val="bottom"/>
          </w:tcPr>
          <w:p>
            <w:pPr>
              <w:spacing w:after="0"/>
              <w:rPr>
                <w:sz w:val="1"/>
                <w:szCs w:val="1"/>
                <w:color w:val="auto"/>
              </w:rPr>
            </w:pPr>
          </w:p>
        </w:tc>
      </w:tr>
      <w:tr>
        <w:trPr>
          <w:trHeight w:val="148"/>
        </w:trPr>
        <w:tc>
          <w:tcPr>
            <w:tcW w:w="620" w:type="dxa"/>
            <w:vAlign w:val="bottom"/>
            <w:tcBorders>
              <w:left w:val="single" w:sz="8" w:color="EEEFEF"/>
            </w:tcBorders>
            <w:shd w:val="clear" w:color="auto" w:fill="EEEFEF"/>
          </w:tcPr>
          <w:p>
            <w:pPr>
              <w:spacing w:after="0"/>
              <w:rPr>
                <w:sz w:val="12"/>
                <w:szCs w:val="12"/>
                <w:color w:val="auto"/>
              </w:rPr>
            </w:pPr>
          </w:p>
        </w:tc>
        <w:tc>
          <w:tcPr>
            <w:tcW w:w="5260" w:type="dxa"/>
            <w:vAlign w:val="bottom"/>
            <w:vMerge w:val="continue"/>
            <w:shd w:val="clear" w:color="auto" w:fill="EEEFEF"/>
          </w:tcPr>
          <w:p>
            <w:pPr>
              <w:spacing w:after="0"/>
              <w:rPr>
                <w:sz w:val="12"/>
                <w:szCs w:val="12"/>
                <w:color w:val="auto"/>
              </w:rPr>
            </w:pPr>
          </w:p>
        </w:tc>
        <w:tc>
          <w:tcPr>
            <w:tcW w:w="5360" w:type="dxa"/>
            <w:vAlign w:val="bottom"/>
            <w:vMerge w:val="continue"/>
            <w:shd w:val="clear" w:color="auto" w:fill="EEEFE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0" w:type="dxa"/>
            <w:vAlign w:val="bottom"/>
            <w:tcBorders>
              <w:left w:val="single" w:sz="8" w:color="EEEFEF"/>
            </w:tcBorders>
            <w:shd w:val="clear" w:color="auto" w:fill="EEEFEF"/>
          </w:tcPr>
          <w:p>
            <w:pPr>
              <w:spacing w:after="0"/>
              <w:rPr>
                <w:sz w:val="17"/>
                <w:szCs w:val="17"/>
                <w:color w:val="auto"/>
              </w:rPr>
            </w:pPr>
          </w:p>
        </w:tc>
        <w:tc>
          <w:tcPr>
            <w:tcW w:w="5260" w:type="dxa"/>
            <w:vAlign w:val="bottom"/>
            <w:shd w:val="clear" w:color="auto" w:fill="EEEFEF"/>
          </w:tcPr>
          <w:p>
            <w:pPr>
              <w:ind w:left="420"/>
              <w:spacing w:after="0"/>
              <w:rPr>
                <w:sz w:val="20"/>
                <w:szCs w:val="20"/>
                <w:color w:val="auto"/>
              </w:rPr>
            </w:pPr>
            <w:r>
              <w:rPr>
                <w:rFonts w:ascii="Arial" w:cs="Arial" w:eastAsia="Arial" w:hAnsi="Arial"/>
                <w:sz w:val="16"/>
                <w:szCs w:val="16"/>
                <w:color w:val="auto"/>
              </w:rPr>
              <w:t>management</w:t>
            </w:r>
          </w:p>
        </w:tc>
        <w:tc>
          <w:tcPr>
            <w:tcW w:w="5360" w:type="dxa"/>
            <w:vAlign w:val="bottom"/>
            <w:shd w:val="clear" w:color="auto" w:fill="EEEFEF"/>
          </w:tcPr>
          <w:p>
            <w:pPr>
              <w:ind w:left="220"/>
              <w:spacing w:after="0"/>
              <w:rPr>
                <w:sz w:val="20"/>
                <w:szCs w:val="20"/>
                <w:color w:val="auto"/>
              </w:rPr>
            </w:pPr>
            <w:r>
              <w:rPr>
                <w:rFonts w:ascii="Arial" w:cs="Arial" w:eastAsia="Arial" w:hAnsi="Arial"/>
                <w:sz w:val="16"/>
                <w:szCs w:val="16"/>
                <w:color w:val="auto"/>
              </w:rPr>
              <w:t>through its principal standing committees, allowing more in-depth</w:t>
            </w:r>
          </w:p>
        </w:tc>
        <w:tc>
          <w:tcPr>
            <w:tcW w:w="0" w:type="dxa"/>
            <w:vAlign w:val="bottom"/>
          </w:tcPr>
          <w:p>
            <w:pPr>
              <w:spacing w:after="0"/>
              <w:rPr>
                <w:sz w:val="1"/>
                <w:szCs w:val="1"/>
                <w:color w:val="auto"/>
              </w:rPr>
            </w:pPr>
          </w:p>
        </w:tc>
      </w:tr>
      <w:tr>
        <w:trPr>
          <w:trHeight w:val="176"/>
        </w:trPr>
        <w:tc>
          <w:tcPr>
            <w:tcW w:w="620" w:type="dxa"/>
            <w:vAlign w:val="bottom"/>
            <w:tcBorders>
              <w:left w:val="single" w:sz="8" w:color="EEEFEF"/>
            </w:tcBorders>
            <w:shd w:val="clear" w:color="auto" w:fill="EEEFEF"/>
          </w:tcPr>
          <w:p>
            <w:pPr>
              <w:spacing w:after="0"/>
              <w:rPr>
                <w:sz w:val="15"/>
                <w:szCs w:val="15"/>
                <w:color w:val="auto"/>
              </w:rPr>
            </w:pPr>
          </w:p>
        </w:tc>
        <w:tc>
          <w:tcPr>
            <w:tcW w:w="5260" w:type="dxa"/>
            <w:vAlign w:val="bottom"/>
            <w:vMerge w:val="restart"/>
            <w:shd w:val="clear" w:color="auto" w:fill="EEEFEF"/>
          </w:tcPr>
          <w:p>
            <w:pPr>
              <w:ind w:left="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conducts an annual self-assessment and review of its</w:t>
            </w:r>
          </w:p>
        </w:tc>
        <w:tc>
          <w:tcPr>
            <w:tcW w:w="5360" w:type="dxa"/>
            <w:vAlign w:val="bottom"/>
            <w:shd w:val="clear" w:color="auto" w:fill="EEEFEF"/>
          </w:tcPr>
          <w:p>
            <w:pPr>
              <w:ind w:left="220"/>
              <w:spacing w:after="0" w:line="176" w:lineRule="exact"/>
              <w:rPr>
                <w:sz w:val="20"/>
                <w:szCs w:val="20"/>
                <w:color w:val="auto"/>
              </w:rPr>
            </w:pPr>
            <w:r>
              <w:rPr>
                <w:rFonts w:ascii="Arial" w:cs="Arial" w:eastAsia="Arial" w:hAnsi="Arial"/>
                <w:sz w:val="16"/>
                <w:szCs w:val="16"/>
                <w:color w:val="auto"/>
              </w:rPr>
              <w:t>attention devoted to overseeing key issues. Each of these</w:t>
            </w:r>
          </w:p>
        </w:tc>
        <w:tc>
          <w:tcPr>
            <w:tcW w:w="0" w:type="dxa"/>
            <w:vAlign w:val="bottom"/>
          </w:tcPr>
          <w:p>
            <w:pPr>
              <w:spacing w:after="0"/>
              <w:rPr>
                <w:sz w:val="1"/>
                <w:szCs w:val="1"/>
                <w:color w:val="auto"/>
              </w:rPr>
            </w:pPr>
          </w:p>
        </w:tc>
      </w:tr>
      <w:tr>
        <w:trPr>
          <w:trHeight w:val="80"/>
        </w:trPr>
        <w:tc>
          <w:tcPr>
            <w:tcW w:w="620" w:type="dxa"/>
            <w:vAlign w:val="bottom"/>
            <w:tcBorders>
              <w:left w:val="single" w:sz="8" w:color="EEEFEF"/>
            </w:tcBorders>
          </w:tcPr>
          <w:p>
            <w:pPr>
              <w:spacing w:after="0"/>
              <w:rPr>
                <w:sz w:val="6"/>
                <w:szCs w:val="6"/>
                <w:color w:val="auto"/>
              </w:rPr>
            </w:pPr>
          </w:p>
        </w:tc>
        <w:tc>
          <w:tcPr>
            <w:tcW w:w="5260" w:type="dxa"/>
            <w:vAlign w:val="bottom"/>
            <w:vMerge w:val="continue"/>
            <w:shd w:val="clear" w:color="auto" w:fill="EEEFEF"/>
          </w:tcPr>
          <w:p>
            <w:pPr>
              <w:spacing w:after="0"/>
              <w:rPr>
                <w:sz w:val="6"/>
                <w:szCs w:val="6"/>
                <w:color w:val="auto"/>
              </w:rPr>
            </w:pPr>
          </w:p>
        </w:tc>
        <w:tc>
          <w:tcPr>
            <w:tcW w:w="5360" w:type="dxa"/>
            <w:vAlign w:val="bottom"/>
            <w:vMerge w:val="restart"/>
            <w:shd w:val="clear" w:color="auto" w:fill="EEEFEF"/>
          </w:tcPr>
          <w:p>
            <w:pPr>
              <w:ind w:left="220"/>
              <w:spacing w:after="0"/>
              <w:rPr>
                <w:sz w:val="20"/>
                <w:szCs w:val="20"/>
                <w:color w:val="auto"/>
              </w:rPr>
            </w:pPr>
            <w:r>
              <w:rPr>
                <w:rFonts w:ascii="Arial" w:cs="Arial" w:eastAsia="Arial" w:hAnsi="Arial"/>
                <w:sz w:val="16"/>
                <w:szCs w:val="16"/>
                <w:color w:val="auto"/>
              </w:rPr>
              <w:t>committees consists solely of independent members of the Board</w:t>
            </w:r>
          </w:p>
        </w:tc>
        <w:tc>
          <w:tcPr>
            <w:tcW w:w="0" w:type="dxa"/>
            <w:vAlign w:val="bottom"/>
          </w:tcPr>
          <w:p>
            <w:pPr>
              <w:spacing w:after="0"/>
              <w:rPr>
                <w:sz w:val="1"/>
                <w:szCs w:val="1"/>
                <w:color w:val="auto"/>
              </w:rPr>
            </w:pPr>
          </w:p>
        </w:tc>
      </w:tr>
      <w:tr>
        <w:trPr>
          <w:trHeight w:val="147"/>
        </w:trPr>
        <w:tc>
          <w:tcPr>
            <w:tcW w:w="620" w:type="dxa"/>
            <w:vAlign w:val="bottom"/>
            <w:tcBorders>
              <w:left w:val="single" w:sz="8" w:color="EEEFEF"/>
            </w:tcBorders>
            <w:vMerge w:val="restart"/>
          </w:tcPr>
          <w:p>
            <w:pPr>
              <w:jc w:val="right"/>
              <w:spacing w:after="0"/>
              <w:rPr>
                <w:sz w:val="20"/>
                <w:szCs w:val="20"/>
                <w:color w:val="auto"/>
              </w:rPr>
            </w:pPr>
            <w:r>
              <w:rPr>
                <w:rFonts w:ascii="Arial" w:cs="Arial" w:eastAsia="Arial" w:hAnsi="Arial"/>
                <w:sz w:val="16"/>
                <w:szCs w:val="16"/>
                <w:color w:val="074A75"/>
              </w:rPr>
              <w:t>Pages</w:t>
            </w:r>
          </w:p>
        </w:tc>
        <w:tc>
          <w:tcPr>
            <w:tcW w:w="5260" w:type="dxa"/>
            <w:vAlign w:val="bottom"/>
            <w:vMerge w:val="restart"/>
            <w:shd w:val="clear" w:color="auto" w:fill="EEEFEF"/>
          </w:tcPr>
          <w:p>
            <w:pPr>
              <w:ind w:left="420"/>
              <w:spacing w:after="0"/>
              <w:rPr>
                <w:sz w:val="20"/>
                <w:szCs w:val="20"/>
                <w:color w:val="auto"/>
              </w:rPr>
            </w:pPr>
            <w:r>
              <w:rPr>
                <w:rFonts w:ascii="Arial" w:cs="Arial" w:eastAsia="Arial" w:hAnsi="Arial"/>
                <w:sz w:val="16"/>
                <w:szCs w:val="16"/>
                <w:color w:val="auto"/>
              </w:rPr>
              <w:t>leadership structure</w:t>
            </w:r>
          </w:p>
        </w:tc>
        <w:tc>
          <w:tcPr>
            <w:tcW w:w="5360" w:type="dxa"/>
            <w:vAlign w:val="bottom"/>
            <w:vMerge w:val="continue"/>
            <w:shd w:val="clear" w:color="auto" w:fill="EEEFEF"/>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620" w:type="dxa"/>
            <w:vAlign w:val="bottom"/>
            <w:tcBorders>
              <w:left w:val="single" w:sz="8" w:color="EEEFEF"/>
            </w:tcBorders>
            <w:vMerge w:val="continue"/>
          </w:tcPr>
          <w:p>
            <w:pPr>
              <w:spacing w:after="0"/>
              <w:rPr>
                <w:sz w:val="6"/>
                <w:szCs w:val="6"/>
                <w:color w:val="auto"/>
              </w:rPr>
            </w:pPr>
          </w:p>
        </w:tc>
        <w:tc>
          <w:tcPr>
            <w:tcW w:w="5260" w:type="dxa"/>
            <w:vAlign w:val="bottom"/>
            <w:vMerge w:val="continue"/>
            <w:shd w:val="clear" w:color="auto" w:fill="EEEFEF"/>
          </w:tcPr>
          <w:p>
            <w:pPr>
              <w:spacing w:after="0"/>
              <w:rPr>
                <w:sz w:val="6"/>
                <w:szCs w:val="6"/>
                <w:color w:val="auto"/>
              </w:rPr>
            </w:pPr>
          </w:p>
        </w:tc>
        <w:tc>
          <w:tcPr>
            <w:tcW w:w="5360" w:type="dxa"/>
            <w:vAlign w:val="bottom"/>
            <w:shd w:val="clear" w:color="auto" w:fill="EEEFE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620" w:type="dxa"/>
            <w:vAlign w:val="bottom"/>
            <w:tcBorders>
              <w:left w:val="single" w:sz="8" w:color="EEEFEF"/>
            </w:tcBorders>
          </w:tcPr>
          <w:p>
            <w:pPr>
              <w:jc w:val="right"/>
              <w:spacing w:after="0"/>
              <w:rPr>
                <w:sz w:val="20"/>
                <w:szCs w:val="20"/>
                <w:color w:val="auto"/>
              </w:rPr>
            </w:pPr>
            <w:r>
              <w:rPr>
                <w:rFonts w:ascii="Arial" w:cs="Arial" w:eastAsia="Arial" w:hAnsi="Arial"/>
                <w:sz w:val="13"/>
                <w:szCs w:val="13"/>
                <w:color w:val="074A75"/>
              </w:rPr>
              <w:t>19-24</w:t>
            </w:r>
          </w:p>
        </w:tc>
        <w:tc>
          <w:tcPr>
            <w:tcW w:w="5260" w:type="dxa"/>
            <w:vAlign w:val="bottom"/>
            <w:shd w:val="clear" w:color="auto" w:fill="EEEFEF"/>
          </w:tcPr>
          <w:p>
            <w:pPr>
              <w:spacing w:after="0"/>
              <w:rPr>
                <w:sz w:val="14"/>
                <w:szCs w:val="14"/>
                <w:color w:val="auto"/>
              </w:rPr>
            </w:pPr>
          </w:p>
        </w:tc>
        <w:tc>
          <w:tcPr>
            <w:tcW w:w="5360" w:type="dxa"/>
            <w:vAlign w:val="bottom"/>
            <w:shd w:val="clear" w:color="auto" w:fill="EEEFE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EEEFEF"/>
              <w:bottom w:val="single" w:sz="8" w:color="EEEFEF"/>
            </w:tcBorders>
          </w:tcPr>
          <w:p>
            <w:pPr>
              <w:spacing w:after="0"/>
              <w:rPr>
                <w:sz w:val="6"/>
                <w:szCs w:val="6"/>
                <w:color w:val="auto"/>
              </w:rPr>
            </w:pPr>
          </w:p>
        </w:tc>
        <w:tc>
          <w:tcPr>
            <w:tcW w:w="5260" w:type="dxa"/>
            <w:vAlign w:val="bottom"/>
            <w:tcBorders>
              <w:bottom w:val="single" w:sz="8" w:color="EEEFEF"/>
            </w:tcBorders>
            <w:shd w:val="clear" w:color="auto" w:fill="EEEFEF"/>
          </w:tcPr>
          <w:p>
            <w:pPr>
              <w:spacing w:after="0"/>
              <w:rPr>
                <w:sz w:val="6"/>
                <w:szCs w:val="6"/>
                <w:color w:val="auto"/>
              </w:rPr>
            </w:pPr>
          </w:p>
        </w:tc>
        <w:tc>
          <w:tcPr>
            <w:tcW w:w="5360" w:type="dxa"/>
            <w:vAlign w:val="bottom"/>
            <w:tcBorders>
              <w:bottom w:val="single" w:sz="8" w:color="EEEFEF"/>
            </w:tcBorders>
            <w:shd w:val="clear" w:color="auto" w:fill="EEEFE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20" w:type="dxa"/>
            <w:vAlign w:val="bottom"/>
            <w:tcBorders>
              <w:left w:val="single" w:sz="8" w:color="EEEFEF"/>
            </w:tcBorders>
            <w:shd w:val="clear" w:color="auto" w:fill="EEEFEF"/>
          </w:tcPr>
          <w:p>
            <w:pPr>
              <w:spacing w:after="0"/>
              <w:rPr>
                <w:sz w:val="12"/>
                <w:szCs w:val="12"/>
                <w:color w:val="auto"/>
              </w:rPr>
            </w:pPr>
          </w:p>
        </w:tc>
        <w:tc>
          <w:tcPr>
            <w:tcW w:w="5260" w:type="dxa"/>
            <w:vAlign w:val="bottom"/>
            <w:shd w:val="clear" w:color="auto" w:fill="EEEFEF"/>
          </w:tcPr>
          <w:p>
            <w:pPr>
              <w:spacing w:after="0"/>
              <w:rPr>
                <w:sz w:val="12"/>
                <w:szCs w:val="12"/>
                <w:color w:val="auto"/>
              </w:rPr>
            </w:pPr>
          </w:p>
        </w:tc>
        <w:tc>
          <w:tcPr>
            <w:tcW w:w="5360" w:type="dxa"/>
            <w:vAlign w:val="bottom"/>
            <w:shd w:val="clear" w:color="auto" w:fill="EEEFE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0</wp:posOffset>
            </wp:positionV>
            <wp:extent cx="6737985" cy="1329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7985" cy="1329055"/>
                    </a:xfrm>
                    <a:prstGeom prst="rect">
                      <a:avLst/>
                    </a:prstGeom>
                    <a:noFill/>
                  </pic:spPr>
                </pic:pic>
              </a:graphicData>
            </a:graphic>
          </wp:anchor>
        </w:drawing>
      </w:r>
    </w:p>
    <w:p>
      <w:pPr>
        <w:ind w:left="440"/>
        <w:spacing w:after="0"/>
        <w:tabs>
          <w:tab w:leader="none" w:pos="820" w:val="left"/>
        </w:tabs>
        <w:rPr>
          <w:sz w:val="20"/>
          <w:szCs w:val="20"/>
          <w:color w:val="auto"/>
        </w:rPr>
      </w:pPr>
      <w:r>
        <w:rPr>
          <w:rFonts w:ascii="Arial" w:cs="Arial" w:eastAsia="Arial" w:hAnsi="Arial"/>
          <w:sz w:val="49"/>
          <w:szCs w:val="49"/>
          <w:color w:val="074A75"/>
          <w:vertAlign w:val="subscript"/>
        </w:rPr>
        <w:t>3</w:t>
      </w:r>
      <w:r>
        <w:rPr>
          <w:sz w:val="20"/>
          <w:szCs w:val="20"/>
          <w:color w:val="auto"/>
        </w:rPr>
        <w:tab/>
      </w:r>
      <w:r>
        <w:rPr>
          <w:rFonts w:ascii="Arial" w:cs="Arial" w:eastAsia="Arial" w:hAnsi="Arial"/>
          <w:sz w:val="19"/>
          <w:szCs w:val="19"/>
          <w:color w:val="074A75"/>
        </w:rPr>
        <w:t>Board oversight of the business and affairs of the Firm</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620" w:type="dxa"/>
            <w:vAlign w:val="bottom"/>
            <w:tcBorders>
              <w:left w:val="single" w:sz="8" w:color="EEEFEF"/>
            </w:tcBorders>
            <w:shd w:val="clear" w:color="auto" w:fill="EEEFEF"/>
          </w:tcPr>
          <w:p>
            <w:pPr>
              <w:spacing w:after="0"/>
              <w:rPr>
                <w:sz w:val="20"/>
                <w:szCs w:val="20"/>
                <w:color w:val="auto"/>
              </w:rPr>
            </w:pPr>
          </w:p>
        </w:tc>
        <w:tc>
          <w:tcPr>
            <w:tcW w:w="5260" w:type="dxa"/>
            <w:vAlign w:val="bottom"/>
            <w:shd w:val="clear" w:color="auto" w:fill="EEEFEF"/>
          </w:tcPr>
          <w:p>
            <w:pPr>
              <w:ind w:left="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sets the cultural “tone at the top”</w:t>
            </w:r>
          </w:p>
        </w:tc>
        <w:tc>
          <w:tcPr>
            <w:tcW w:w="5360" w:type="dxa"/>
            <w:vAlign w:val="bottom"/>
          </w:tcPr>
          <w:p>
            <w:pPr>
              <w:ind w:left="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oversees the Firm’s financial performance and condition</w:t>
            </w:r>
          </w:p>
        </w:tc>
        <w:tc>
          <w:tcPr>
            <w:tcW w:w="0" w:type="dxa"/>
            <w:vAlign w:val="bottom"/>
          </w:tcPr>
          <w:p>
            <w:pPr>
              <w:spacing w:after="0"/>
              <w:rPr>
                <w:sz w:val="1"/>
                <w:szCs w:val="1"/>
                <w:color w:val="auto"/>
              </w:rPr>
            </w:pPr>
          </w:p>
        </w:tc>
      </w:tr>
      <w:tr>
        <w:trPr>
          <w:trHeight w:val="248"/>
        </w:trPr>
        <w:tc>
          <w:tcPr>
            <w:tcW w:w="620" w:type="dxa"/>
            <w:vAlign w:val="bottom"/>
            <w:tcBorders>
              <w:left w:val="single" w:sz="8" w:color="EEEFEF"/>
            </w:tcBorders>
            <w:shd w:val="clear" w:color="auto" w:fill="EEEFEF"/>
          </w:tcPr>
          <w:p>
            <w:pPr>
              <w:spacing w:after="0"/>
              <w:rPr>
                <w:sz w:val="21"/>
                <w:szCs w:val="21"/>
                <w:color w:val="auto"/>
              </w:rPr>
            </w:pPr>
          </w:p>
        </w:tc>
        <w:tc>
          <w:tcPr>
            <w:tcW w:w="5260" w:type="dxa"/>
            <w:vAlign w:val="bottom"/>
            <w:shd w:val="clear" w:color="auto" w:fill="EEEFEF"/>
          </w:tcPr>
          <w:p>
            <w:pPr>
              <w:ind w:left="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actively oversees the business and affairs of the Firm</w:t>
            </w:r>
          </w:p>
        </w:tc>
        <w:tc>
          <w:tcPr>
            <w:tcW w:w="5360" w:type="dxa"/>
            <w:vAlign w:val="bottom"/>
          </w:tcPr>
          <w:p>
            <w:pPr>
              <w:ind w:left="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oversees the Firm's risk management and internal control</w:t>
            </w:r>
          </w:p>
        </w:tc>
        <w:tc>
          <w:tcPr>
            <w:tcW w:w="0" w:type="dxa"/>
            <w:vAlign w:val="bottom"/>
          </w:tcPr>
          <w:p>
            <w:pPr>
              <w:spacing w:after="0"/>
              <w:rPr>
                <w:sz w:val="1"/>
                <w:szCs w:val="1"/>
                <w:color w:val="auto"/>
              </w:rPr>
            </w:pPr>
          </w:p>
        </w:tc>
      </w:tr>
      <w:tr>
        <w:trPr>
          <w:trHeight w:val="189"/>
        </w:trPr>
        <w:tc>
          <w:tcPr>
            <w:tcW w:w="620" w:type="dxa"/>
            <w:vAlign w:val="bottom"/>
            <w:tcBorders>
              <w:left w:val="single" w:sz="8" w:color="EEEFEF"/>
            </w:tcBorders>
            <w:shd w:val="clear" w:color="auto" w:fill="EEEFEF"/>
          </w:tcPr>
          <w:p>
            <w:pPr>
              <w:spacing w:after="0"/>
              <w:rPr>
                <w:sz w:val="16"/>
                <w:szCs w:val="16"/>
                <w:color w:val="auto"/>
              </w:rPr>
            </w:pPr>
          </w:p>
        </w:tc>
        <w:tc>
          <w:tcPr>
            <w:tcW w:w="5260" w:type="dxa"/>
            <w:vAlign w:val="bottom"/>
            <w:shd w:val="clear" w:color="auto" w:fill="EEEFEF"/>
          </w:tcPr>
          <w:p>
            <w:pPr>
              <w:ind w:left="420"/>
              <w:spacing w:after="0"/>
              <w:rPr>
                <w:sz w:val="20"/>
                <w:szCs w:val="20"/>
                <w:color w:val="auto"/>
              </w:rPr>
            </w:pPr>
            <w:r>
              <w:rPr>
                <w:rFonts w:ascii="Arial" w:cs="Arial" w:eastAsia="Arial" w:hAnsi="Arial"/>
                <w:sz w:val="16"/>
                <w:szCs w:val="16"/>
                <w:color w:val="auto"/>
              </w:rPr>
              <w:t>based on sound governance practices and effective leadership</w:t>
            </w:r>
          </w:p>
        </w:tc>
        <w:tc>
          <w:tcPr>
            <w:tcW w:w="5360" w:type="dxa"/>
            <w:vAlign w:val="bottom"/>
          </w:tcPr>
          <w:p>
            <w:pPr>
              <w:ind w:left="220"/>
              <w:spacing w:after="0"/>
              <w:rPr>
                <w:sz w:val="20"/>
                <w:szCs w:val="20"/>
                <w:color w:val="auto"/>
              </w:rPr>
            </w:pPr>
            <w:r>
              <w:rPr>
                <w:rFonts w:ascii="Arial" w:cs="Arial" w:eastAsia="Arial" w:hAnsi="Arial"/>
                <w:sz w:val="16"/>
                <w:szCs w:val="16"/>
                <w:color w:val="auto"/>
              </w:rPr>
              <w:t>frameworks</w:t>
            </w:r>
          </w:p>
        </w:tc>
        <w:tc>
          <w:tcPr>
            <w:tcW w:w="0" w:type="dxa"/>
            <w:vAlign w:val="bottom"/>
          </w:tcPr>
          <w:p>
            <w:pPr>
              <w:spacing w:after="0"/>
              <w:rPr>
                <w:sz w:val="1"/>
                <w:szCs w:val="1"/>
                <w:color w:val="auto"/>
              </w:rPr>
            </w:pPr>
          </w:p>
        </w:tc>
      </w:tr>
      <w:tr>
        <w:trPr>
          <w:trHeight w:val="215"/>
        </w:trPr>
        <w:tc>
          <w:tcPr>
            <w:tcW w:w="620" w:type="dxa"/>
            <w:vAlign w:val="bottom"/>
            <w:tcBorders>
              <w:left w:val="single" w:sz="8" w:color="EEEFEF"/>
            </w:tcBorders>
            <w:shd w:val="clear" w:color="auto" w:fill="EEEFEF"/>
          </w:tcPr>
          <w:p>
            <w:pPr>
              <w:spacing w:after="0"/>
              <w:rPr>
                <w:sz w:val="18"/>
                <w:szCs w:val="18"/>
                <w:color w:val="auto"/>
              </w:rPr>
            </w:pPr>
          </w:p>
        </w:tc>
        <w:tc>
          <w:tcPr>
            <w:tcW w:w="5260" w:type="dxa"/>
            <w:vAlign w:val="bottom"/>
            <w:shd w:val="clear" w:color="auto" w:fill="EEEFEF"/>
          </w:tcPr>
          <w:p>
            <w:pPr>
              <w:ind w:left="420"/>
              <w:spacing w:after="0"/>
              <w:rPr>
                <w:sz w:val="20"/>
                <w:szCs w:val="20"/>
                <w:color w:val="auto"/>
              </w:rPr>
            </w:pPr>
            <w:r>
              <w:rPr>
                <w:rFonts w:ascii="Arial" w:cs="Arial" w:eastAsia="Arial" w:hAnsi="Arial"/>
                <w:sz w:val="16"/>
                <w:szCs w:val="16"/>
                <w:color w:val="auto"/>
              </w:rPr>
              <w:t>structure</w:t>
            </w:r>
          </w:p>
        </w:tc>
        <w:tc>
          <w:tcPr>
            <w:tcW w:w="5360" w:type="dxa"/>
            <w:vAlign w:val="bottom"/>
            <w:vMerge w:val="restart"/>
          </w:tcPr>
          <w:p>
            <w:pPr>
              <w:ind w:left="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evaluates CEO performance and compensation and oversees</w:t>
            </w:r>
          </w:p>
        </w:tc>
        <w:tc>
          <w:tcPr>
            <w:tcW w:w="0" w:type="dxa"/>
            <w:vAlign w:val="bottom"/>
          </w:tcPr>
          <w:p>
            <w:pPr>
              <w:spacing w:after="0"/>
              <w:rPr>
                <w:sz w:val="1"/>
                <w:szCs w:val="1"/>
                <w:color w:val="auto"/>
              </w:rPr>
            </w:pPr>
          </w:p>
        </w:tc>
      </w:tr>
      <w:tr>
        <w:trPr>
          <w:trHeight w:val="55"/>
        </w:trPr>
        <w:tc>
          <w:tcPr>
            <w:tcW w:w="620" w:type="dxa"/>
            <w:vAlign w:val="bottom"/>
            <w:tcBorders>
              <w:left w:val="single" w:sz="8" w:color="EEEFEF"/>
            </w:tcBorders>
            <w:shd w:val="clear" w:color="auto" w:fill="EEEFEF"/>
          </w:tcPr>
          <w:p>
            <w:pPr>
              <w:spacing w:after="0"/>
              <w:rPr>
                <w:sz w:val="4"/>
                <w:szCs w:val="4"/>
                <w:color w:val="auto"/>
              </w:rPr>
            </w:pPr>
          </w:p>
        </w:tc>
        <w:tc>
          <w:tcPr>
            <w:tcW w:w="5260" w:type="dxa"/>
            <w:vAlign w:val="bottom"/>
            <w:shd w:val="clear" w:color="auto" w:fill="EEEFEF"/>
          </w:tcPr>
          <w:p>
            <w:pPr>
              <w:spacing w:after="0"/>
              <w:rPr>
                <w:sz w:val="4"/>
                <w:szCs w:val="4"/>
                <w:color w:val="auto"/>
              </w:rPr>
            </w:pPr>
          </w:p>
        </w:tc>
        <w:tc>
          <w:tcPr>
            <w:tcW w:w="5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620" w:type="dxa"/>
            <w:vAlign w:val="bottom"/>
            <w:tcBorders>
              <w:left w:val="single" w:sz="8" w:color="EEEFEF"/>
            </w:tcBorders>
            <w:shd w:val="clear" w:color="auto" w:fill="EEEFEF"/>
          </w:tcPr>
          <w:p>
            <w:pPr>
              <w:spacing w:after="0"/>
              <w:rPr>
                <w:sz w:val="16"/>
                <w:szCs w:val="16"/>
                <w:color w:val="auto"/>
              </w:rPr>
            </w:pPr>
          </w:p>
        </w:tc>
        <w:tc>
          <w:tcPr>
            <w:tcW w:w="5260" w:type="dxa"/>
            <w:vAlign w:val="bottom"/>
            <w:shd w:val="clear" w:color="auto" w:fill="EEEFEF"/>
          </w:tcPr>
          <w:p>
            <w:pPr>
              <w:ind w:left="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reviews and approves the Firm's annual strategic plan,</w:t>
            </w:r>
          </w:p>
        </w:tc>
        <w:tc>
          <w:tcPr>
            <w:tcW w:w="5360" w:type="dxa"/>
            <w:vAlign w:val="bottom"/>
          </w:tcPr>
          <w:p>
            <w:pPr>
              <w:ind w:left="220"/>
              <w:spacing w:after="0"/>
              <w:rPr>
                <w:sz w:val="20"/>
                <w:szCs w:val="20"/>
                <w:color w:val="auto"/>
              </w:rPr>
            </w:pPr>
            <w:r>
              <w:rPr>
                <w:rFonts w:ascii="Arial" w:cs="Arial" w:eastAsia="Arial" w:hAnsi="Arial"/>
                <w:sz w:val="16"/>
                <w:szCs w:val="16"/>
                <w:color w:val="auto"/>
              </w:rPr>
              <w:t>succession planning for the CEO and talent management for other</w:t>
            </w:r>
          </w:p>
        </w:tc>
        <w:tc>
          <w:tcPr>
            <w:tcW w:w="0" w:type="dxa"/>
            <w:vAlign w:val="bottom"/>
          </w:tcPr>
          <w:p>
            <w:pPr>
              <w:spacing w:after="0"/>
              <w:rPr>
                <w:sz w:val="1"/>
                <w:szCs w:val="1"/>
                <w:color w:val="auto"/>
              </w:rPr>
            </w:pPr>
          </w:p>
        </w:tc>
      </w:tr>
      <w:tr>
        <w:trPr>
          <w:trHeight w:val="215"/>
        </w:trPr>
        <w:tc>
          <w:tcPr>
            <w:tcW w:w="620" w:type="dxa"/>
            <w:vAlign w:val="bottom"/>
            <w:tcBorders>
              <w:left w:val="single" w:sz="8" w:color="EEEFEF"/>
            </w:tcBorders>
            <w:vMerge w:val="restart"/>
          </w:tcPr>
          <w:p>
            <w:pPr>
              <w:jc w:val="right"/>
              <w:spacing w:after="0"/>
              <w:rPr>
                <w:sz w:val="20"/>
                <w:szCs w:val="20"/>
                <w:color w:val="auto"/>
              </w:rPr>
            </w:pPr>
            <w:r>
              <w:rPr>
                <w:rFonts w:ascii="Arial" w:cs="Arial" w:eastAsia="Arial" w:hAnsi="Arial"/>
                <w:sz w:val="16"/>
                <w:szCs w:val="16"/>
                <w:color w:val="074A75"/>
              </w:rPr>
              <w:t>Pages</w:t>
            </w:r>
          </w:p>
        </w:tc>
        <w:tc>
          <w:tcPr>
            <w:tcW w:w="5260" w:type="dxa"/>
            <w:vAlign w:val="bottom"/>
            <w:shd w:val="clear" w:color="auto" w:fill="EEEFEF"/>
          </w:tcPr>
          <w:p>
            <w:pPr>
              <w:ind w:left="420"/>
              <w:spacing w:after="0"/>
              <w:rPr>
                <w:sz w:val="20"/>
                <w:szCs w:val="20"/>
                <w:color w:val="auto"/>
              </w:rPr>
            </w:pPr>
            <w:r>
              <w:rPr>
                <w:rFonts w:ascii="Arial" w:cs="Arial" w:eastAsia="Arial" w:hAnsi="Arial"/>
                <w:sz w:val="16"/>
                <w:szCs w:val="16"/>
                <w:color w:val="auto"/>
              </w:rPr>
              <w:t>and oversees strategic objectives</w:t>
            </w:r>
          </w:p>
        </w:tc>
        <w:tc>
          <w:tcPr>
            <w:tcW w:w="5360" w:type="dxa"/>
            <w:vAlign w:val="bottom"/>
          </w:tcPr>
          <w:p>
            <w:pPr>
              <w:ind w:left="220"/>
              <w:spacing w:after="0"/>
              <w:rPr>
                <w:sz w:val="20"/>
                <w:szCs w:val="20"/>
                <w:color w:val="auto"/>
              </w:rPr>
            </w:pPr>
            <w:r>
              <w:rPr>
                <w:rFonts w:ascii="Arial" w:cs="Arial" w:eastAsia="Arial" w:hAnsi="Arial"/>
                <w:sz w:val="16"/>
                <w:szCs w:val="16"/>
                <w:color w:val="auto"/>
              </w:rPr>
              <w:t>senior executives</w:t>
            </w:r>
          </w:p>
        </w:tc>
        <w:tc>
          <w:tcPr>
            <w:tcW w:w="0" w:type="dxa"/>
            <w:vAlign w:val="bottom"/>
          </w:tcPr>
          <w:p>
            <w:pPr>
              <w:spacing w:after="0"/>
              <w:rPr>
                <w:sz w:val="1"/>
                <w:szCs w:val="1"/>
                <w:color w:val="auto"/>
              </w:rPr>
            </w:pPr>
          </w:p>
        </w:tc>
      </w:tr>
      <w:tr>
        <w:trPr>
          <w:trHeight w:val="105"/>
        </w:trPr>
        <w:tc>
          <w:tcPr>
            <w:tcW w:w="620" w:type="dxa"/>
            <w:vAlign w:val="bottom"/>
            <w:tcBorders>
              <w:left w:val="single" w:sz="8" w:color="EEEFEF"/>
            </w:tcBorders>
            <w:vMerge w:val="continue"/>
          </w:tcPr>
          <w:p>
            <w:pPr>
              <w:spacing w:after="0"/>
              <w:rPr>
                <w:sz w:val="9"/>
                <w:szCs w:val="9"/>
                <w:color w:val="auto"/>
              </w:rPr>
            </w:pPr>
          </w:p>
        </w:tc>
        <w:tc>
          <w:tcPr>
            <w:tcW w:w="5260" w:type="dxa"/>
            <w:vAlign w:val="bottom"/>
            <w:shd w:val="clear" w:color="auto" w:fill="EEEFEF"/>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620" w:type="dxa"/>
            <w:vAlign w:val="bottom"/>
            <w:tcBorders>
              <w:left w:val="single" w:sz="8" w:color="EEEFEF"/>
            </w:tcBorders>
          </w:tcPr>
          <w:p>
            <w:pPr>
              <w:jc w:val="right"/>
              <w:spacing w:after="0"/>
              <w:rPr>
                <w:sz w:val="20"/>
                <w:szCs w:val="20"/>
                <w:color w:val="auto"/>
              </w:rPr>
            </w:pPr>
            <w:r>
              <w:rPr>
                <w:rFonts w:ascii="Arial" w:cs="Arial" w:eastAsia="Arial" w:hAnsi="Arial"/>
                <w:sz w:val="13"/>
                <w:szCs w:val="13"/>
                <w:color w:val="074A75"/>
              </w:rPr>
              <w:t>25-26</w:t>
            </w:r>
          </w:p>
        </w:tc>
        <w:tc>
          <w:tcPr>
            <w:tcW w:w="5260" w:type="dxa"/>
            <w:vAlign w:val="bottom"/>
            <w:shd w:val="clear" w:color="auto" w:fill="EEEFEF"/>
          </w:tcPr>
          <w:p>
            <w:pPr>
              <w:spacing w:after="0"/>
              <w:rPr>
                <w:sz w:val="14"/>
                <w:szCs w:val="14"/>
                <w:color w:val="auto"/>
              </w:rPr>
            </w:pPr>
          </w:p>
        </w:tc>
        <w:tc>
          <w:tcPr>
            <w:tcW w:w="5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20" w:type="dxa"/>
            <w:vAlign w:val="bottom"/>
            <w:tcBorders>
              <w:left w:val="single" w:sz="8" w:color="EEEFEF"/>
              <w:bottom w:val="single" w:sz="8" w:color="EEEFEF"/>
            </w:tcBorders>
          </w:tcPr>
          <w:p>
            <w:pPr>
              <w:spacing w:after="0"/>
              <w:rPr>
                <w:sz w:val="5"/>
                <w:szCs w:val="5"/>
                <w:color w:val="auto"/>
              </w:rPr>
            </w:pPr>
          </w:p>
        </w:tc>
        <w:tc>
          <w:tcPr>
            <w:tcW w:w="5260" w:type="dxa"/>
            <w:vAlign w:val="bottom"/>
            <w:tcBorders>
              <w:bottom w:val="single" w:sz="8" w:color="EEEFEF"/>
            </w:tcBorders>
            <w:shd w:val="clear" w:color="auto" w:fill="EEEFEF"/>
          </w:tcPr>
          <w:p>
            <w:pPr>
              <w:spacing w:after="0"/>
              <w:rPr>
                <w:sz w:val="5"/>
                <w:szCs w:val="5"/>
                <w:color w:val="auto"/>
              </w:rPr>
            </w:pPr>
          </w:p>
        </w:tc>
        <w:tc>
          <w:tcPr>
            <w:tcW w:w="5360" w:type="dxa"/>
            <w:vAlign w:val="bottom"/>
            <w:tcBorders>
              <w:bottom w:val="single" w:sz="8" w:color="EEEFEF"/>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620" w:type="dxa"/>
            <w:vAlign w:val="bottom"/>
            <w:tcBorders>
              <w:left w:val="single" w:sz="8" w:color="EEEFEF"/>
            </w:tcBorders>
            <w:shd w:val="clear" w:color="auto" w:fill="EEEFEF"/>
          </w:tcPr>
          <w:p>
            <w:pPr>
              <w:spacing w:after="0"/>
              <w:rPr>
                <w:sz w:val="12"/>
                <w:szCs w:val="12"/>
                <w:color w:val="auto"/>
              </w:rPr>
            </w:pPr>
          </w:p>
        </w:tc>
        <w:tc>
          <w:tcPr>
            <w:tcW w:w="5260" w:type="dxa"/>
            <w:vAlign w:val="bottom"/>
            <w:shd w:val="clear" w:color="auto" w:fill="EEEFEF"/>
          </w:tcPr>
          <w:p>
            <w:pPr>
              <w:spacing w:after="0"/>
              <w:rPr>
                <w:sz w:val="12"/>
                <w:szCs w:val="12"/>
                <w:color w:val="auto"/>
              </w:rPr>
            </w:pPr>
          </w:p>
        </w:tc>
        <w:tc>
          <w:tcPr>
            <w:tcW w:w="5360" w:type="dxa"/>
            <w:vAlign w:val="bottom"/>
            <w:shd w:val="clear" w:color="auto" w:fill="EEEFE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373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37310"/>
                    </a:xfrm>
                    <a:prstGeom prst="rect">
                      <a:avLst/>
                    </a:prstGeom>
                    <a:noFill/>
                  </pic:spPr>
                </pic:pic>
              </a:graphicData>
            </a:graphic>
          </wp:anchor>
        </w:drawing>
      </w:r>
    </w:p>
    <w:p>
      <w:pPr>
        <w:ind w:left="1060" w:hanging="413"/>
        <w:spacing w:after="0" w:line="185" w:lineRule="auto"/>
        <w:tabs>
          <w:tab w:leader="none" w:pos="1060" w:val="left"/>
        </w:tabs>
        <w:numPr>
          <w:ilvl w:val="0"/>
          <w:numId w:val="35"/>
        </w:numPr>
        <w:rPr>
          <w:rFonts w:ascii="Arial" w:cs="Arial" w:eastAsia="Arial" w:hAnsi="Arial"/>
          <w:sz w:val="30"/>
          <w:szCs w:val="30"/>
          <w:color w:val="074A75"/>
          <w:vertAlign w:val="subscript"/>
        </w:rPr>
      </w:pPr>
      <w:r>
        <w:rPr>
          <w:rFonts w:ascii="Arial" w:cs="Arial" w:eastAsia="Arial" w:hAnsi="Arial"/>
          <w:sz w:val="15"/>
          <w:szCs w:val="15"/>
          <w:color w:val="074A75"/>
        </w:rPr>
        <w:t>Board engagement with the Firm’s stakeholders</w:t>
      </w:r>
    </w:p>
    <w:p>
      <w:pPr>
        <w:spacing w:after="0" w:line="192" w:lineRule="exact"/>
        <w:rPr>
          <w:rFonts w:ascii="Arial" w:cs="Arial" w:eastAsia="Arial" w:hAnsi="Arial"/>
          <w:sz w:val="30"/>
          <w:szCs w:val="30"/>
          <w:color w:val="074A75"/>
          <w:vertAlign w:val="subscript"/>
        </w:rPr>
      </w:pPr>
    </w:p>
    <w:p>
      <w:pPr>
        <w:ind w:left="1260" w:right="440" w:hanging="203"/>
        <w:spacing w:after="0" w:line="261" w:lineRule="auto"/>
        <w:tabs>
          <w:tab w:leader="none" w:pos="1257" w:val="left"/>
        </w:tabs>
        <w:numPr>
          <w:ilvl w:val="1"/>
          <w:numId w:val="35"/>
        </w:numPr>
        <w:rPr>
          <w:rFonts w:ascii="Arial" w:cs="Arial" w:eastAsia="Arial" w:hAnsi="Arial"/>
          <w:sz w:val="16"/>
          <w:szCs w:val="16"/>
          <w:color w:val="074A75"/>
        </w:rPr>
      </w:pPr>
      <w:r>
        <w:rPr>
          <w:rFonts w:ascii="Arial" w:cs="Arial" w:eastAsia="Arial" w:hAnsi="Arial"/>
          <w:sz w:val="16"/>
          <w:szCs w:val="16"/>
          <w:color w:val="auto"/>
        </w:rPr>
        <w:t>In 2023, we solicited feedback through approximately 200 engagements with 120 shareholders that represented 50% of the Firm’s outstanding common stock, in addition to other key stakeholder listening and learning sessions. Our engagements with shareholders focused on board and management succession planning, executive compensation, technology, including artificial intelligence, cybersecurity and the Firm's sustainability efforts, including its climate strategy and progress, in addition to a variety of discussions on the Firm’s strategy and its financial and operating performance. We also conducted engagement sessions with leading proxy advisory firms. Our Lead Independent Director participated in a number of these discussions, as appropriate.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color w:val="074A75"/>
        </w:rPr>
        <w:t>Pages</w:t>
      </w:r>
      <w:r>
        <w:rPr>
          <w:rFonts w:ascii="Arial" w:cs="Arial" w:eastAsia="Arial" w:hAnsi="Arial"/>
          <w:sz w:val="12"/>
          <w:szCs w:val="12"/>
          <w:color w:val="074A75"/>
        </w:rPr>
        <w:t>27-28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706755</wp:posOffset>
            </wp:positionV>
            <wp:extent cx="274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  </w:t>
      </w:r>
      <w:r>
        <w:rPr>
          <w:sz w:val="1"/>
          <w:szCs w:val="1"/>
          <w:color w:val="auto"/>
        </w:rPr>
        <w:drawing>
          <wp:inline distT="0" distB="0" distL="0" distR="0">
            <wp:extent cx="2203450" cy="1543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43"/>
          <w:szCs w:val="43"/>
          <w:color w:val="074A75"/>
        </w:rPr>
        <w:t>1. Director nominees</w:t>
      </w:r>
    </w:p>
    <w:p>
      <w:pPr>
        <w:spacing w:after="0" w:line="69" w:lineRule="exact"/>
        <w:rPr>
          <w:sz w:val="20"/>
          <w:szCs w:val="20"/>
          <w:color w:val="auto"/>
        </w:rPr>
      </w:pPr>
    </w:p>
    <w:p>
      <w:pPr>
        <w:spacing w:after="0"/>
        <w:rPr>
          <w:sz w:val="20"/>
          <w:szCs w:val="20"/>
          <w:color w:val="auto"/>
        </w:rPr>
      </w:pPr>
      <w:r>
        <w:rPr>
          <w:rFonts w:ascii="Arial" w:cs="Arial" w:eastAsia="Arial" w:hAnsi="Arial"/>
          <w:sz w:val="29"/>
          <w:szCs w:val="29"/>
          <w:color w:val="074A75"/>
        </w:rPr>
        <w:t>Our directors</w:t>
      </w:r>
    </w:p>
    <w:p>
      <w:pPr>
        <w:spacing w:after="0" w:line="12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Board is responsible for overseeing management and promoting sound corporate governance on behalf of shareholders. JPMorgan Chase seeks director candidates who uphold the highest standards, are committed to the Firm’s values and are strong independent stewards of the long-term interests of shareholders, employees, customers, suppliers and communities in which we work. The Board, including the Corporate Governance &amp; Nominating Committee (“Governance Committee”), considers Board composition holistically, with a focus on recruiting directors who have the qualities required to effectively oversee the Firm, including its present and future strategy. The Board seeks directors with expertise in executive fields who will bring experienced and fresh perspectives and insight, and come together to effectively challenge and provide independent oversight of management. The Board looks for candidates with a diversity of experiences, backgrounds, perspectives and viewpoints.</w:t>
      </w:r>
    </w:p>
    <w:p>
      <w:pPr>
        <w:spacing w:after="0" w:line="23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individuals presented on the following pages have been nominated for election because they possess the skills, experience, personal attributes and tenure needed to guide the Firm’s strategy, and to effectively oversee the Firm’s risk management and internal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190" w:type="dxa"/>
        <w:tblCellMar>
          <w:top w:w="0" w:type="dxa"/>
          <w:left w:w="0" w:type="dxa"/>
          <w:bottom w:w="0" w:type="dxa"/>
          <w:right w:w="0" w:type="dxa"/>
        </w:tblCellMar>
      </w:tblPr>
      <w:tr>
        <w:trPr>
          <w:trHeight w:val="295"/>
        </w:trPr>
        <w:tc>
          <w:tcPr>
            <w:tcW w:w="2360" w:type="dxa"/>
            <w:vAlign w:val="bottom"/>
            <w:tcBorders>
              <w:top w:val="single" w:sz="8" w:color="E7E7E8"/>
              <w:left w:val="single" w:sz="8" w:color="E7E7E8"/>
              <w:right w:val="single" w:sz="8" w:color="E7E7E8"/>
            </w:tcBorders>
          </w:tcPr>
          <w:p>
            <w:pPr>
              <w:ind w:left="60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60" w:type="dxa"/>
            <w:vAlign w:val="bottom"/>
            <w:tcBorders>
              <w:left w:val="single" w:sz="8" w:color="E7E7E8"/>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-231140</wp:posOffset>
            </wp:positionV>
            <wp:extent cx="7747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-231140</wp:posOffset>
            </wp:positionV>
            <wp:extent cx="76835"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control frameworks, and management’s execution of its responsibilities.</w:t>
      </w:r>
    </w:p>
    <w:p>
      <w:pPr>
        <w:spacing w:after="0" w:line="73"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In the biographical information about our director nominees that follows, the ages indicated are as of May 21, 2024, and the other information is as of the date of this proxy statement. There are no family relationships among the director nominees or between any director nominee and any executive officer.</w:t>
      </w:r>
    </w:p>
    <w:p>
      <w:pPr>
        <w:spacing w:after="0" w:line="3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Timothy P. Flynn, who has served as a director of the Firm since 2012, and Michael A. Neal, who has served as a director of the Firm since 2014, have decided to retire from the Board and are not standing for re-election when their terms expire on the eve of this year's annual meeting.</w:t>
      </w:r>
    </w:p>
    <w:p>
      <w:pPr>
        <w:spacing w:after="0" w:line="29"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All of the nominees are currently directors of the Firm. Each nominee has agreed to be named in this proxy statement and, if elected, to serve a one-year term expiring at our 2025 annual meeting.</w:t>
      </w:r>
    </w:p>
    <w:p>
      <w:pPr>
        <w:spacing w:after="0" w:line="23"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Directors are expected to attend our annual shareholder meetings. All 12 directors serving on our Board at the time of the 2023 annual meeting attended the meeting.</w:t>
      </w:r>
    </w:p>
    <w:p>
      <w:pPr>
        <w:spacing w:after="0" w:line="573"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074A75"/>
        </w:rPr>
        <w:t>QUALIFICATIONS AND ATTRIBUTES</w:t>
      </w:r>
    </w:p>
    <w:p>
      <w:pPr>
        <w:spacing w:after="0" w:line="3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When recruiting and selecting candidates, the Board considers a wide range of attributes, executive experience and skills. Below are brief summaries of the key qualifications of our director nominees. The following page provides a matrix of Board qualifications and other attributes.</w:t>
      </w:r>
    </w:p>
    <w:p>
      <w:pPr>
        <w:spacing w:after="0" w:line="9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FFFFFF"/>
        </w:rPr>
        <w:t>All of our nominees possess: independent perspective, integrity, judgment, strong work ethic, strength of conviction, collaborative approach to engagement, inquisitiveness and willingness to appropriately challenge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2660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color w:val="FFFFFF"/>
        </w:rPr>
        <w:t>Finance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34440"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4440" cy="3429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FFFFFF"/>
        </w:rPr>
        <w:t>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234440" cy="342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34440" cy="342900"/>
                    </a:xfrm>
                    <a:prstGeom prst="rect">
                      <a:avLst/>
                    </a:prstGeom>
                    <a:noFill/>
                  </pic:spPr>
                </pic:pic>
              </a:graphicData>
            </a:graphic>
          </wp:anchor>
        </w:drawing>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6"/>
          <w:szCs w:val="16"/>
          <w:color w:val="FFFFFF"/>
        </w:rPr>
        <w:t>Financial Services</w:t>
      </w:r>
    </w:p>
    <w:p>
      <w:pPr>
        <w:spacing w:after="0" w:line="248" w:lineRule="exact"/>
        <w:rPr>
          <w:sz w:val="20"/>
          <w:szCs w:val="20"/>
          <w:color w:val="auto"/>
        </w:rPr>
      </w:pPr>
    </w:p>
    <w:p>
      <w:pPr>
        <w:jc w:val="right"/>
        <w:ind w:left="260"/>
        <w:spacing w:after="0" w:line="268" w:lineRule="auto"/>
        <w:rPr>
          <w:sz w:val="20"/>
          <w:szCs w:val="20"/>
          <w:color w:val="auto"/>
        </w:rPr>
      </w:pPr>
      <w:r>
        <w:rPr>
          <w:rFonts w:ascii="Arial" w:cs="Arial" w:eastAsia="Arial" w:hAnsi="Arial"/>
          <w:sz w:val="16"/>
          <w:szCs w:val="16"/>
          <w:color w:val="FFFFFF"/>
        </w:rPr>
        <w:t>International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234440" cy="257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34440" cy="257175"/>
                    </a:xfrm>
                    <a:prstGeom prst="rect">
                      <a:avLst/>
                    </a:prstGeom>
                    <a:noFill/>
                  </pic:spPr>
                </pic:pic>
              </a:graphicData>
            </a:graphic>
          </wp:anchor>
        </w:drawing>
      </w:r>
    </w:p>
    <w:p>
      <w:pPr>
        <w:spacing w:after="0" w:line="28" w:lineRule="exact"/>
        <w:rPr>
          <w:sz w:val="20"/>
          <w:szCs w:val="20"/>
          <w:color w:val="auto"/>
        </w:rPr>
      </w:pPr>
    </w:p>
    <w:p>
      <w:pPr>
        <w:ind w:left="260" w:hanging="17"/>
        <w:spacing w:after="0" w:line="268" w:lineRule="auto"/>
        <w:rPr>
          <w:sz w:val="20"/>
          <w:szCs w:val="20"/>
          <w:color w:val="auto"/>
        </w:rPr>
      </w:pPr>
      <w:r>
        <w:rPr>
          <w:rFonts w:ascii="Arial" w:cs="Arial" w:eastAsia="Arial" w:hAnsi="Arial"/>
          <w:sz w:val="16"/>
          <w:szCs w:val="16"/>
          <w:color w:val="FFFFFF"/>
        </w:rPr>
        <w:t>Leadership of a Large, Complex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234440" cy="6343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4440" cy="634365"/>
                    </a:xfrm>
                    <a:prstGeom prst="rect">
                      <a:avLst/>
                    </a:prstGeom>
                    <a:noFill/>
                  </pic:spPr>
                </pic:pic>
              </a:graphicData>
            </a:graphic>
          </wp:anchor>
        </w:drawing>
      </w:r>
    </w:p>
    <w:p>
      <w:pPr>
        <w:spacing w:after="0" w:line="96" w:lineRule="exact"/>
        <w:rPr>
          <w:sz w:val="20"/>
          <w:szCs w:val="20"/>
          <w:color w:val="auto"/>
        </w:rPr>
      </w:pPr>
    </w:p>
    <w:p>
      <w:pPr>
        <w:jc w:val="right"/>
        <w:ind w:left="780"/>
        <w:spacing w:after="0" w:line="268" w:lineRule="auto"/>
        <w:rPr>
          <w:sz w:val="20"/>
          <w:szCs w:val="20"/>
          <w:color w:val="auto"/>
        </w:rPr>
      </w:pPr>
      <w:r>
        <w:rPr>
          <w:rFonts w:ascii="Arial" w:cs="Arial" w:eastAsia="Arial" w:hAnsi="Arial"/>
          <w:sz w:val="16"/>
          <w:szCs w:val="16"/>
          <w:color w:val="FFFFFF"/>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1234440" cy="342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342900"/>
                    </a:xfrm>
                    <a:prstGeom prst="rect">
                      <a:avLst/>
                    </a:prstGeom>
                    <a:noFill/>
                  </pic:spPr>
                </pic:pic>
              </a:graphicData>
            </a:graphic>
          </wp:anchor>
        </w:drawing>
      </w:r>
    </w:p>
    <w:p>
      <w:pPr>
        <w:spacing w:after="0" w:line="163" w:lineRule="exact"/>
        <w:rPr>
          <w:sz w:val="20"/>
          <w:szCs w:val="20"/>
          <w:color w:val="auto"/>
        </w:rPr>
      </w:pPr>
    </w:p>
    <w:p>
      <w:pPr>
        <w:jc w:val="right"/>
        <w:ind w:left="680"/>
        <w:spacing w:after="0" w:line="268" w:lineRule="auto"/>
        <w:rPr>
          <w:sz w:val="20"/>
          <w:szCs w:val="20"/>
          <w:color w:val="auto"/>
        </w:rPr>
      </w:pPr>
      <w:r>
        <w:rPr>
          <w:rFonts w:ascii="Arial" w:cs="Arial" w:eastAsia="Arial" w:hAnsi="Arial"/>
          <w:sz w:val="16"/>
          <w:szCs w:val="16"/>
          <w:color w:val="FFFFFF"/>
        </w:rPr>
        <w:t>Public Company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1234440" cy="342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34440" cy="342900"/>
                    </a:xfrm>
                    <a:prstGeom prst="rect">
                      <a:avLst/>
                    </a:prstGeom>
                    <a:noFill/>
                  </pic:spPr>
                </pic:pic>
              </a:graphicData>
            </a:graphic>
          </wp:anchor>
        </w:drawing>
      </w:r>
    </w:p>
    <w:p>
      <w:pPr>
        <w:spacing w:after="0" w:line="258" w:lineRule="exact"/>
        <w:rPr>
          <w:sz w:val="20"/>
          <w:szCs w:val="20"/>
          <w:color w:val="auto"/>
        </w:rPr>
      </w:pPr>
    </w:p>
    <w:p>
      <w:pPr>
        <w:ind w:left="1040"/>
        <w:spacing w:after="0"/>
        <w:rPr>
          <w:sz w:val="20"/>
          <w:szCs w:val="20"/>
          <w:color w:val="auto"/>
        </w:rPr>
      </w:pPr>
      <w:r>
        <w:rPr>
          <w:rFonts w:ascii="Arial" w:cs="Arial" w:eastAsia="Arial" w:hAnsi="Arial"/>
          <w:sz w:val="15"/>
          <w:szCs w:val="15"/>
          <w:color w:val="FFFFFF"/>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23444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34440" cy="240030"/>
                    </a:xfrm>
                    <a:prstGeom prst="rect">
                      <a:avLst/>
                    </a:prstGeom>
                    <a:noFill/>
                  </pic:spPr>
                </pic:pic>
              </a:graphicData>
            </a:graphic>
          </wp:anchor>
        </w:drawing>
      </w:r>
    </w:p>
    <w:p>
      <w:pPr>
        <w:spacing w:after="0" w:line="307" w:lineRule="exact"/>
        <w:rPr>
          <w:sz w:val="20"/>
          <w:szCs w:val="20"/>
          <w:color w:val="auto"/>
        </w:rPr>
      </w:pPr>
    </w:p>
    <w:p>
      <w:pPr>
        <w:ind w:left="360"/>
        <w:spacing w:after="0"/>
        <w:rPr>
          <w:sz w:val="20"/>
          <w:szCs w:val="20"/>
          <w:color w:val="auto"/>
        </w:rPr>
      </w:pPr>
      <w:r>
        <w:rPr>
          <w:rFonts w:ascii="Arial" w:cs="Arial" w:eastAsia="Arial" w:hAnsi="Arial"/>
          <w:sz w:val="16"/>
          <w:szCs w:val="16"/>
          <w:color w:val="FFFFFF"/>
        </w:rPr>
        <w:t>Regulated Industries</w:t>
      </w:r>
    </w:p>
    <w:p>
      <w:pPr>
        <w:spacing w:after="0" w:line="181" w:lineRule="exact"/>
        <w:rPr>
          <w:sz w:val="20"/>
          <w:szCs w:val="20"/>
          <w:color w:val="auto"/>
        </w:rPr>
      </w:pPr>
    </w:p>
    <w:p>
      <w:pPr>
        <w:jc w:val="right"/>
        <w:ind w:left="540"/>
        <w:spacing w:after="0" w:line="268" w:lineRule="auto"/>
        <w:rPr>
          <w:sz w:val="20"/>
          <w:szCs w:val="20"/>
          <w:color w:val="auto"/>
        </w:rPr>
      </w:pPr>
      <w:r>
        <w:rPr>
          <w:rFonts w:ascii="Arial" w:cs="Arial" w:eastAsia="Arial" w:hAnsi="Arial"/>
          <w:sz w:val="16"/>
          <w:szCs w:val="16"/>
          <w:color w:val="FFFFFF"/>
        </w:rPr>
        <w:t>Risk Management and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234440" cy="6343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34440" cy="634365"/>
                    </a:xfrm>
                    <a:prstGeom prst="rect">
                      <a:avLst/>
                    </a:prstGeom>
                    <a:noFill/>
                  </pic:spPr>
                </pic:pic>
              </a:graphicData>
            </a:graphic>
          </wp:anchor>
        </w:drawing>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6"/>
          <w:szCs w:val="16"/>
          <w:color w:val="FFFFFF"/>
        </w:rPr>
        <w:t>ESG Matters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360"/>
        <w:spacing w:after="0" w:line="234" w:lineRule="auto"/>
        <w:rPr>
          <w:sz w:val="20"/>
          <w:szCs w:val="20"/>
          <w:color w:val="auto"/>
        </w:rPr>
      </w:pPr>
      <w:r>
        <w:rPr>
          <w:rFonts w:ascii="Arial" w:cs="Arial" w:eastAsia="Arial" w:hAnsi="Arial"/>
          <w:sz w:val="16"/>
          <w:szCs w:val="16"/>
          <w:color w:val="auto"/>
        </w:rPr>
        <w:t>Knowledge of or experience in accounting, financial reporting or auditing processes and standards is important to effectively oversee the Firm’s financial position and condition and the accurate reporting thereof, and to assess the Firm’s strategic objectives from a financial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897880" cy="342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36"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Experience in the financial services industry, including investment banking, asset management, global financial markets or consumer products and services, or work with the industry in an advisory or policy-making capacity, is important to evaluate the Firm’s business model, strategies and the industry in which we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897880" cy="6343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97880" cy="634365"/>
                    </a:xfrm>
                    <a:prstGeom prst="rect">
                      <a:avLst/>
                    </a:prstGeom>
                    <a:noFill/>
                  </pic:spPr>
                </pic:pic>
              </a:graphicData>
            </a:graphic>
          </wp:anchor>
        </w:drawing>
      </w:r>
    </w:p>
    <w:p>
      <w:pPr>
        <w:spacing w:after="0" w:line="4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Experience in diverse geographic, political and regulatory environments is important to effectively oversee the Firm as it serves customers and clients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38735</wp:posOffset>
            </wp:positionV>
            <wp:extent cx="5897880" cy="257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97880" cy="257175"/>
                    </a:xfrm>
                    <a:prstGeom prst="rect">
                      <a:avLst/>
                    </a:prstGeom>
                    <a:noFill/>
                  </pic:spPr>
                </pic:pic>
              </a:graphicData>
            </a:graphic>
          </wp:anchor>
        </w:drawing>
      </w:r>
    </w:p>
    <w:p>
      <w:pPr>
        <w:spacing w:after="0" w:line="54" w:lineRule="exact"/>
        <w:rPr>
          <w:sz w:val="20"/>
          <w:szCs w:val="20"/>
          <w:color w:val="auto"/>
        </w:rPr>
      </w:pPr>
    </w:p>
    <w:p>
      <w:pPr>
        <w:ind w:right="600"/>
        <w:spacing w:after="0" w:line="251" w:lineRule="auto"/>
        <w:rPr>
          <w:sz w:val="20"/>
          <w:szCs w:val="20"/>
          <w:color w:val="auto"/>
        </w:rPr>
      </w:pPr>
      <w:r>
        <w:rPr>
          <w:rFonts w:ascii="Arial" w:cs="Arial" w:eastAsia="Arial" w:hAnsi="Arial"/>
          <w:sz w:val="16"/>
          <w:szCs w:val="16"/>
          <w:color w:val="auto"/>
        </w:rPr>
        <w:t>Executive experience managing business operations and strategic planning is important to effectively oversee the Firm’s complex worldwide operations</w:t>
      </w:r>
    </w:p>
    <w:p>
      <w:pPr>
        <w:spacing w:after="0" w:line="61" w:lineRule="exact"/>
        <w:rPr>
          <w:sz w:val="20"/>
          <w:szCs w:val="20"/>
          <w:color w:val="auto"/>
        </w:rPr>
      </w:pPr>
    </w:p>
    <w:p>
      <w:pPr>
        <w:ind w:right="260"/>
        <w:spacing w:after="0" w:line="234" w:lineRule="auto"/>
        <w:rPr>
          <w:sz w:val="20"/>
          <w:szCs w:val="20"/>
          <w:color w:val="auto"/>
        </w:rPr>
      </w:pPr>
      <w:r>
        <w:rPr>
          <w:rFonts w:ascii="Arial" w:cs="Arial" w:eastAsia="Arial" w:hAnsi="Arial"/>
          <w:sz w:val="16"/>
          <w:szCs w:val="16"/>
          <w:color w:val="auto"/>
        </w:rPr>
        <w:t>Experience in human capital management, including senior executive development, succession planning and compensation matters, helps the Board to effectively oversee the Firm’s efforts to recruit, retain and develop key talent and provide valuable insight in determining compensation of the CEO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897880" cy="342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36" w:lineRule="exact"/>
        <w:rPr>
          <w:sz w:val="20"/>
          <w:szCs w:val="20"/>
          <w:color w:val="auto"/>
        </w:rPr>
      </w:pPr>
    </w:p>
    <w:p>
      <w:pPr>
        <w:jc w:val="both"/>
        <w:ind w:right="280"/>
        <w:spacing w:after="0" w:line="234" w:lineRule="auto"/>
        <w:rPr>
          <w:sz w:val="20"/>
          <w:szCs w:val="20"/>
          <w:color w:val="auto"/>
        </w:rPr>
      </w:pPr>
      <w:r>
        <w:rPr>
          <w:rFonts w:ascii="Arial" w:cs="Arial" w:eastAsia="Arial" w:hAnsi="Arial"/>
          <w:sz w:val="16"/>
          <w:szCs w:val="16"/>
          <w:color w:val="auto"/>
        </w:rPr>
        <w:t>Knowledge of public company governance matters, policies and best practices assists the Board in considering and adopting applicable corporate governance practices, interacting with stakeholders and understanding the impact of various policies on the Firm’s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897880" cy="342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36" w:lineRule="exact"/>
        <w:rPr>
          <w:sz w:val="20"/>
          <w:szCs w:val="20"/>
          <w:color w:val="auto"/>
        </w:rPr>
      </w:pPr>
    </w:p>
    <w:p>
      <w:pPr>
        <w:ind w:right="320"/>
        <w:spacing w:after="0" w:line="234" w:lineRule="auto"/>
        <w:rPr>
          <w:sz w:val="20"/>
          <w:szCs w:val="20"/>
          <w:color w:val="auto"/>
        </w:rPr>
      </w:pPr>
      <w:r>
        <w:rPr>
          <w:rFonts w:ascii="Arial" w:cs="Arial" w:eastAsia="Arial" w:hAnsi="Arial"/>
          <w:sz w:val="16"/>
          <w:szCs w:val="16"/>
          <w:color w:val="auto"/>
        </w:rPr>
        <w:t>Experience with or oversight of innovative technology, cybersecurity, information systems/data management, information security, fintech or privacy is important in overseeing the security of the Firm’s operations, assets and systems as well as the Firm’s ongoing investment in and development of innovative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897880" cy="3429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36"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Experience with regulated businesses, regulatory requirements and relationships with global regulators is important because the Firm operates in a heavily regulated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-243205</wp:posOffset>
            </wp:positionV>
            <wp:extent cx="5897880" cy="531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97880" cy="531495"/>
                    </a:xfrm>
                    <a:prstGeom prst="rect">
                      <a:avLst/>
                    </a:prstGeom>
                    <a:noFill/>
                  </pic:spPr>
                </pic:pic>
              </a:graphicData>
            </a:graphic>
          </wp:anchor>
        </w:drawing>
      </w:r>
    </w:p>
    <w:p>
      <w:pPr>
        <w:spacing w:after="0" w:line="4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Skills and experience in assessment and management of business and financial risk factors is important to effectively oversee risk management and understand the most significant risks facing the Firm</w:t>
      </w:r>
    </w:p>
    <w:p>
      <w:pPr>
        <w:spacing w:after="0" w:line="61" w:lineRule="exact"/>
        <w:rPr>
          <w:sz w:val="20"/>
          <w:szCs w:val="20"/>
          <w:color w:val="auto"/>
        </w:rPr>
      </w:pPr>
    </w:p>
    <w:p>
      <w:pPr>
        <w:jc w:val="both"/>
        <w:ind w:right="140"/>
        <w:spacing w:after="0" w:line="234" w:lineRule="auto"/>
        <w:rPr>
          <w:sz w:val="20"/>
          <w:szCs w:val="20"/>
          <w:color w:val="auto"/>
        </w:rPr>
      </w:pPr>
      <w:r>
        <w:rPr>
          <w:rFonts w:ascii="Arial" w:cs="Arial" w:eastAsia="Arial" w:hAnsi="Arial"/>
          <w:sz w:val="16"/>
          <w:szCs w:val="16"/>
          <w:color w:val="auto"/>
        </w:rPr>
        <w:t>Experience with ESG-related matters is important to provide effective oversight of efforts to assess and manage potential risks and opportunities in relation to our ESG-related business strategy, including advancing inclusive growth, promoting sustainable development and supporting our clients with their transition to a low-carbon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897880" cy="3429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200"/>
            <w:col w:w="9200"/>
          </w:cols>
          <w:pgMar w:left="320" w:top="157" w:right="319" w:bottom="1440" w:gutter="0" w:footer="0" w:header="0"/>
          <w:type w:val="continuous"/>
        </w:sect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2024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9</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074A75"/>
        </w:rPr>
        <w:t>BOARD DIVERSITY AND EXPERIENCE MATRIX</w:t>
      </w:r>
      <w:r>
        <w:rPr>
          <w:rFonts w:ascii="Arial" w:cs="Arial" w:eastAsia="Arial" w:hAnsi="Arial"/>
          <w:sz w:val="25"/>
          <w:szCs w:val="25"/>
          <w:color w:val="074A7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173990</wp:posOffset>
            </wp:positionV>
            <wp:extent cx="94615" cy="2139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21399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165735</wp:posOffset>
            </wp:positionV>
            <wp:extent cx="94615"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615" cy="24003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182880</wp:posOffset>
            </wp:positionV>
            <wp:extent cx="93980" cy="196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165735</wp:posOffset>
            </wp:positionV>
            <wp:extent cx="93980" cy="2317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23177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156845</wp:posOffset>
            </wp:positionV>
            <wp:extent cx="94615"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615" cy="25717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139700</wp:posOffset>
            </wp:positionV>
            <wp:extent cx="93980" cy="2825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28257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97155</wp:posOffset>
            </wp:positionV>
            <wp:extent cx="94615" cy="3771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615" cy="3771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131445</wp:posOffset>
            </wp:positionV>
            <wp:extent cx="94615" cy="308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308610"/>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71120</wp:posOffset>
            </wp:positionV>
            <wp:extent cx="93980" cy="428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10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15175" cy="21088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15175" cy="210883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and Accounting</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Financial Services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International Business Operations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Leadership of a Large,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Complex Organization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Human Capital Management</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Public Company Governance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Technology</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Regulated Industries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Risk Management and Controls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15175"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15175" cy="7200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5175" cy="72009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Male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Female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Non-binary</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Race/Ethnicity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15175" cy="13373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15175" cy="133731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American Indian or Alaska Native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Asian</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Black or African American</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Hispanic or Latino</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Native Hawaiian or other Pacific Islander</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White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Two or more races or ethnicities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LGBTQ+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15175" cy="514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15175" cy="51435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Heterosexual</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LGBTQ+</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Military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15175" cy="514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15175" cy="5143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Reservist and/or National Guard</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Veteran/Prior Military Service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Age/Tenure</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Age</w:t>
            </w:r>
          </w:p>
        </w:tc>
        <w:tc>
          <w:tcPr>
            <w:tcW w:w="840" w:type="dxa"/>
            <w:vAlign w:val="bottom"/>
            <w:tcBorders>
              <w:top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65</w:t>
            </w:r>
          </w:p>
        </w:tc>
        <w:tc>
          <w:tcPr>
            <w:tcW w:w="840" w:type="dxa"/>
            <w:vAlign w:val="bottom"/>
            <w:tcBorders>
              <w:top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68</w:t>
            </w:r>
          </w:p>
        </w:tc>
        <w:tc>
          <w:tcPr>
            <w:tcW w:w="840" w:type="dxa"/>
            <w:vAlign w:val="bottom"/>
            <w:tcBorders>
              <w:top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53</w:t>
            </w:r>
          </w:p>
        </w:tc>
        <w:tc>
          <w:tcPr>
            <w:tcW w:w="840" w:type="dxa"/>
            <w:vAlign w:val="bottom"/>
            <w:tcBorders>
              <w:top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55</w:t>
            </w:r>
          </w:p>
        </w:tc>
        <w:tc>
          <w:tcPr>
            <w:tcW w:w="820" w:type="dxa"/>
            <w:vAlign w:val="bottom"/>
            <w:tcBorders>
              <w:top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68</w:t>
            </w:r>
          </w:p>
        </w:tc>
        <w:tc>
          <w:tcPr>
            <w:tcW w:w="840" w:type="dxa"/>
            <w:vAlign w:val="bottom"/>
            <w:tcBorders>
              <w:top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63</w:t>
            </w:r>
          </w:p>
        </w:tc>
        <w:tc>
          <w:tcPr>
            <w:tcW w:w="840" w:type="dxa"/>
            <w:vAlign w:val="bottom"/>
            <w:tcBorders>
              <w:top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55</w:t>
            </w:r>
          </w:p>
        </w:tc>
        <w:tc>
          <w:tcPr>
            <w:tcW w:w="840" w:type="dxa"/>
            <w:vAlign w:val="bottom"/>
            <w:tcBorders>
              <w:top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66</w:t>
            </w:r>
          </w:p>
        </w:tc>
        <w:tc>
          <w:tcPr>
            <w:tcW w:w="840" w:type="dxa"/>
            <w:vAlign w:val="bottom"/>
            <w:tcBorders>
              <w:top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66</w:t>
            </w:r>
          </w:p>
        </w:tc>
        <w:tc>
          <w:tcPr>
            <w:tcW w:w="8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62</w:t>
            </w:r>
          </w:p>
        </w:tc>
      </w:tr>
      <w:tr>
        <w:trPr>
          <w:trHeight w:val="21"/>
        </w:trPr>
        <w:tc>
          <w:tcPr>
            <w:tcW w:w="2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1"/>
        </w:trPr>
        <w:tc>
          <w:tcPr>
            <w:tcW w:w="2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Years on the Board</w:t>
            </w:r>
          </w:p>
        </w:tc>
        <w:tc>
          <w:tcPr>
            <w:tcW w:w="84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20</w:t>
            </w:r>
          </w:p>
        </w:tc>
        <w:tc>
          <w:tcPr>
            <w:tcW w:w="84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11</w:t>
            </w:r>
          </w:p>
        </w:tc>
        <w:tc>
          <w:tcPr>
            <w:tcW w:w="840" w:type="dxa"/>
            <w:vAlign w:val="bottom"/>
            <w:tcBorders>
              <w:right w:val="single" w:sz="8" w:color="auto"/>
            </w:tcBorders>
          </w:tcPr>
          <w:p>
            <w:pPr>
              <w:jc w:val="right"/>
              <w:ind w:right="328"/>
              <w:spacing w:after="0"/>
              <w:rPr>
                <w:sz w:val="20"/>
                <w:szCs w:val="20"/>
                <w:color w:val="auto"/>
              </w:rPr>
            </w:pPr>
            <w:r>
              <w:rPr>
                <w:rFonts w:ascii="Arial" w:cs="Arial" w:eastAsia="Arial" w:hAnsi="Arial"/>
                <w:sz w:val="14"/>
                <w:szCs w:val="14"/>
                <w:color w:val="auto"/>
              </w:rPr>
              <w:t>8</w:t>
            </w:r>
          </w:p>
        </w:tc>
        <w:tc>
          <w:tcPr>
            <w:tcW w:w="840" w:type="dxa"/>
            <w:vAlign w:val="bottom"/>
            <w:tcBorders>
              <w:right w:val="single" w:sz="8" w:color="auto"/>
            </w:tcBorders>
          </w:tcPr>
          <w:p>
            <w:pPr>
              <w:jc w:val="right"/>
              <w:ind w:right="328"/>
              <w:spacing w:after="0"/>
              <w:rPr>
                <w:sz w:val="20"/>
                <w:szCs w:val="20"/>
                <w:color w:val="auto"/>
              </w:rPr>
            </w:pPr>
            <w:r>
              <w:rPr>
                <w:rFonts w:ascii="Arial" w:cs="Arial" w:eastAsia="Arial" w:hAnsi="Arial"/>
                <w:sz w:val="14"/>
                <w:szCs w:val="14"/>
                <w:color w:val="auto"/>
              </w:rPr>
              <w:t>2</w:t>
            </w:r>
          </w:p>
        </w:tc>
        <w:tc>
          <w:tcPr>
            <w:tcW w:w="82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20</w:t>
            </w:r>
          </w:p>
        </w:tc>
        <w:tc>
          <w:tcPr>
            <w:tcW w:w="840" w:type="dxa"/>
            <w:vAlign w:val="bottom"/>
            <w:tcBorders>
              <w:right w:val="single" w:sz="8" w:color="auto"/>
            </w:tcBorders>
          </w:tcPr>
          <w:p>
            <w:pPr>
              <w:jc w:val="right"/>
              <w:ind w:right="308"/>
              <w:spacing w:after="0"/>
              <w:rPr>
                <w:sz w:val="20"/>
                <w:szCs w:val="20"/>
                <w:color w:val="auto"/>
              </w:rPr>
            </w:pPr>
            <w:r>
              <w:rPr>
                <w:rFonts w:ascii="Arial" w:cs="Arial" w:eastAsia="Arial" w:hAnsi="Arial"/>
                <w:sz w:val="14"/>
                <w:szCs w:val="14"/>
                <w:color w:val="auto"/>
              </w:rPr>
              <w:t>2</w:t>
            </w:r>
          </w:p>
        </w:tc>
        <w:tc>
          <w:tcPr>
            <w:tcW w:w="840" w:type="dxa"/>
            <w:vAlign w:val="bottom"/>
            <w:tcBorders>
              <w:right w:val="single" w:sz="8" w:color="auto"/>
            </w:tcBorders>
          </w:tcPr>
          <w:p>
            <w:pPr>
              <w:jc w:val="right"/>
              <w:ind w:right="308"/>
              <w:spacing w:after="0"/>
              <w:rPr>
                <w:sz w:val="20"/>
                <w:szCs w:val="20"/>
                <w:color w:val="auto"/>
              </w:rPr>
            </w:pPr>
            <w:r>
              <w:rPr>
                <w:rFonts w:ascii="Arial" w:cs="Arial" w:eastAsia="Arial" w:hAnsi="Arial"/>
                <w:sz w:val="14"/>
                <w:szCs w:val="14"/>
                <w:color w:val="auto"/>
              </w:rPr>
              <w:t>6</w:t>
            </w:r>
          </w:p>
        </w:tc>
        <w:tc>
          <w:tcPr>
            <w:tcW w:w="840" w:type="dxa"/>
            <w:vAlign w:val="bottom"/>
            <w:tcBorders>
              <w:right w:val="single" w:sz="8" w:color="auto"/>
            </w:tcBorders>
          </w:tcPr>
          <w:p>
            <w:pPr>
              <w:jc w:val="right"/>
              <w:ind w:right="328"/>
              <w:spacing w:after="0"/>
              <w:rPr>
                <w:sz w:val="20"/>
                <w:szCs w:val="20"/>
                <w:color w:val="auto"/>
              </w:rPr>
            </w:pPr>
            <w:r>
              <w:rPr>
                <w:rFonts w:ascii="Arial" w:cs="Arial" w:eastAsia="Arial" w:hAnsi="Arial"/>
                <w:sz w:val="14"/>
                <w:szCs w:val="14"/>
                <w:color w:val="auto"/>
              </w:rPr>
              <w:t>4</w:t>
            </w:r>
          </w:p>
        </w:tc>
        <w:tc>
          <w:tcPr>
            <w:tcW w:w="840" w:type="dxa"/>
            <w:vAlign w:val="bottom"/>
            <w:tcBorders>
              <w:right w:val="single" w:sz="8" w:color="auto"/>
            </w:tcBorders>
          </w:tcPr>
          <w:p>
            <w:pPr>
              <w:jc w:val="right"/>
              <w:ind w:right="328"/>
              <w:spacing w:after="0"/>
              <w:rPr>
                <w:sz w:val="20"/>
                <w:szCs w:val="20"/>
                <w:color w:val="auto"/>
              </w:rPr>
            </w:pPr>
            <w:r>
              <w:rPr>
                <w:rFonts w:ascii="Arial" w:cs="Arial" w:eastAsia="Arial" w:hAnsi="Arial"/>
                <w:sz w:val="14"/>
                <w:szCs w:val="14"/>
                <w:color w:val="auto"/>
              </w:rPr>
              <w:t>4</w:t>
            </w: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1</w:t>
            </w:r>
          </w:p>
        </w:tc>
      </w:tr>
      <w:tr>
        <w:trPr>
          <w:trHeight w:val="21"/>
        </w:trPr>
        <w:tc>
          <w:tcPr>
            <w:tcW w:w="2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200" w:right="440" w:hanging="192"/>
        <w:spacing w:after="0" w:line="226" w:lineRule="auto"/>
        <w:tabs>
          <w:tab w:leader="none" w:pos="200"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The information in the Board Diversity and Experience Matrix was provided by the nominees. The race and ethnicity information is based on U.S. Equal Employment Opportunity race/ethnicity categories.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-230505</wp:posOffset>
            </wp:positionV>
            <wp:extent cx="7683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-230505</wp:posOffset>
            </wp:positionV>
            <wp:extent cx="7747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-230505</wp:posOffset>
            </wp:positionV>
            <wp:extent cx="76835"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218" w:lineRule="exact"/>
        <w:rPr>
          <w:sz w:val="20"/>
          <w:szCs w:val="20"/>
          <w:color w:val="auto"/>
        </w:rPr>
      </w:pPr>
    </w:p>
    <w:p>
      <w:pPr>
        <w:ind w:left="1680"/>
        <w:spacing w:after="0"/>
        <w:rPr>
          <w:sz w:val="20"/>
          <w:szCs w:val="20"/>
          <w:color w:val="auto"/>
        </w:rPr>
      </w:pPr>
      <w:r>
        <w:rPr>
          <w:rFonts w:ascii="Arial" w:cs="Arial" w:eastAsia="Arial" w:hAnsi="Arial"/>
          <w:sz w:val="40"/>
          <w:szCs w:val="40"/>
          <w:color w:val="074A75"/>
        </w:rPr>
        <w:t>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-202565</wp:posOffset>
            </wp:positionV>
            <wp:extent cx="737235" cy="8997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7235" cy="899795"/>
                    </a:xfrm>
                    <a:prstGeom prst="rect">
                      <a:avLst/>
                    </a:prstGeom>
                    <a:noFill/>
                  </pic:spPr>
                </pic:pic>
              </a:graphicData>
            </a:graphic>
          </wp:anchor>
        </w:drawing>
      </w:r>
    </w:p>
    <w:p>
      <w:pPr>
        <w:spacing w:after="0" w:line="44" w:lineRule="exact"/>
        <w:rPr>
          <w:sz w:val="20"/>
          <w:szCs w:val="20"/>
          <w:color w:val="auto"/>
        </w:rPr>
      </w:pPr>
    </w:p>
    <w:p>
      <w:pPr>
        <w:ind w:left="1680"/>
        <w:spacing w:after="0"/>
        <w:rPr>
          <w:sz w:val="20"/>
          <w:szCs w:val="20"/>
          <w:color w:val="auto"/>
        </w:rPr>
      </w:pPr>
      <w:r>
        <w:rPr>
          <w:rFonts w:ascii="Arial" w:cs="Arial" w:eastAsia="Arial" w:hAnsi="Arial"/>
          <w:sz w:val="20"/>
          <w:szCs w:val="20"/>
          <w:i w:val="1"/>
          <w:iCs w:val="1"/>
          <w:color w:val="074A75"/>
        </w:rPr>
        <w:t>Retired Chairman and Chief Executive Officer of NBCUniversal, LLC</w:t>
      </w:r>
    </w:p>
    <w:p>
      <w:pPr>
        <w:spacing w:after="0" w:line="71" w:lineRule="exact"/>
        <w:rPr>
          <w:sz w:val="20"/>
          <w:szCs w:val="20"/>
          <w:color w:val="auto"/>
        </w:rPr>
      </w:pPr>
    </w:p>
    <w:p>
      <w:pPr>
        <w:ind w:left="1680"/>
        <w:spacing w:after="0"/>
        <w:rPr>
          <w:sz w:val="20"/>
          <w:szCs w:val="20"/>
          <w:color w:val="auto"/>
        </w:rPr>
      </w:pPr>
      <w:r>
        <w:rPr>
          <w:rFonts w:ascii="Arial" w:cs="Arial" w:eastAsia="Arial" w:hAnsi="Arial"/>
          <w:sz w:val="18"/>
          <w:szCs w:val="18"/>
          <w:i w:val="1"/>
          <w:iCs w:val="1"/>
          <w:color w:val="074A75"/>
        </w:rPr>
        <w:t>Lead Independent Director since 2021</w:t>
      </w:r>
    </w:p>
    <w:p>
      <w:pPr>
        <w:spacing w:after="0" w:line="146" w:lineRule="exact"/>
        <w:rPr>
          <w:sz w:val="20"/>
          <w:szCs w:val="20"/>
          <w:color w:val="auto"/>
        </w:rPr>
      </w:pPr>
    </w:p>
    <w:tbl>
      <w:tblPr>
        <w:tblLayout w:type="fixed"/>
        <w:tblInd w:w="168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Arial" w:cs="Arial" w:eastAsia="Arial" w:hAnsi="Arial"/>
                <w:sz w:val="15"/>
                <w:szCs w:val="15"/>
                <w:b w:val="1"/>
                <w:bCs w:val="1"/>
                <w:color w:val="074A75"/>
              </w:rPr>
              <w:t xml:space="preserve">Age: </w:t>
            </w:r>
            <w:r>
              <w:rPr>
                <w:rFonts w:ascii="Arial" w:cs="Arial" w:eastAsia="Arial" w:hAnsi="Arial"/>
                <w:sz w:val="15"/>
                <w:szCs w:val="15"/>
                <w:color w:val="000000"/>
              </w:rPr>
              <w:t>65</w:t>
            </w:r>
          </w:p>
        </w:tc>
        <w:tc>
          <w:tcPr>
            <w:tcW w:w="4940" w:type="dxa"/>
            <w:vAlign w:val="bottom"/>
            <w:gridSpan w:val="2"/>
          </w:tcPr>
          <w:p>
            <w:pPr>
              <w:ind w:left="440"/>
              <w:spacing w:after="0"/>
              <w:rPr>
                <w:sz w:val="20"/>
                <w:szCs w:val="20"/>
                <w:color w:val="auto"/>
              </w:rPr>
            </w:pPr>
            <w:r>
              <w:rPr>
                <w:rFonts w:ascii="Arial" w:cs="Arial" w:eastAsia="Arial" w:hAnsi="Arial"/>
                <w:sz w:val="15"/>
                <w:szCs w:val="15"/>
                <w:b w:val="1"/>
                <w:bCs w:val="1"/>
                <w:color w:val="074A75"/>
              </w:rPr>
              <w:t>Committees:</w:t>
            </w:r>
          </w:p>
        </w:tc>
      </w:tr>
      <w:tr>
        <w:trPr>
          <w:trHeight w:val="203"/>
        </w:trPr>
        <w:tc>
          <w:tcPr>
            <w:tcW w:w="1920" w:type="dxa"/>
            <w:vAlign w:val="bottom"/>
          </w:tcPr>
          <w:p>
            <w:pPr>
              <w:spacing w:after="0"/>
              <w:rPr>
                <w:sz w:val="20"/>
                <w:szCs w:val="20"/>
                <w:color w:val="auto"/>
              </w:rPr>
            </w:pPr>
            <w:r>
              <w:rPr>
                <w:rFonts w:ascii="Arial" w:cs="Arial" w:eastAsia="Arial" w:hAnsi="Arial"/>
                <w:sz w:val="15"/>
                <w:szCs w:val="15"/>
                <w:b w:val="1"/>
                <w:bCs w:val="1"/>
                <w:color w:val="074A75"/>
              </w:rPr>
              <w:t xml:space="preserve">Director since: </w:t>
            </w:r>
            <w:r>
              <w:rPr>
                <w:rFonts w:ascii="Arial" w:cs="Arial" w:eastAsia="Arial" w:hAnsi="Arial"/>
                <w:sz w:val="15"/>
                <w:szCs w:val="15"/>
                <w:color w:val="000000"/>
              </w:rPr>
              <w:t>2004</w:t>
            </w:r>
          </w:p>
        </w:tc>
        <w:tc>
          <w:tcPr>
            <w:tcW w:w="560" w:type="dxa"/>
            <w:vAlign w:val="bottom"/>
          </w:tcPr>
          <w:p>
            <w:pPr>
              <w:ind w:left="440"/>
              <w:spacing w:after="0"/>
              <w:rPr>
                <w:sz w:val="20"/>
                <w:szCs w:val="20"/>
                <w:color w:val="auto"/>
              </w:rPr>
            </w:pPr>
            <w:r>
              <w:rPr>
                <w:rFonts w:ascii="Arial" w:cs="Arial" w:eastAsia="Arial" w:hAnsi="Arial"/>
                <w:sz w:val="15"/>
                <w:szCs w:val="15"/>
                <w:color w:val="074A75"/>
              </w:rPr>
              <w:t>•</w:t>
            </w:r>
          </w:p>
        </w:tc>
        <w:tc>
          <w:tcPr>
            <w:tcW w:w="4380" w:type="dxa"/>
            <w:vAlign w:val="bottom"/>
          </w:tcPr>
          <w:p>
            <w:pPr>
              <w:ind w:left="80"/>
              <w:spacing w:after="0"/>
              <w:rPr>
                <w:sz w:val="20"/>
                <w:szCs w:val="20"/>
                <w:color w:val="auto"/>
              </w:rPr>
            </w:pPr>
            <w:r>
              <w:rPr>
                <w:rFonts w:ascii="Arial" w:cs="Arial" w:eastAsia="Arial" w:hAnsi="Arial"/>
                <w:sz w:val="15"/>
                <w:szCs w:val="15"/>
                <w:color w:val="auto"/>
              </w:rPr>
              <w:t>Compensation &amp; Management Development Committee (Chair)</w:t>
            </w:r>
          </w:p>
        </w:tc>
      </w:tr>
      <w:tr>
        <w:trPr>
          <w:trHeight w:val="200"/>
        </w:trPr>
        <w:tc>
          <w:tcPr>
            <w:tcW w:w="1920" w:type="dxa"/>
            <w:vAlign w:val="bottom"/>
          </w:tcPr>
          <w:p>
            <w:pPr>
              <w:spacing w:after="0"/>
              <w:rPr>
                <w:sz w:val="17"/>
                <w:szCs w:val="17"/>
                <w:color w:val="auto"/>
              </w:rPr>
            </w:pPr>
          </w:p>
        </w:tc>
        <w:tc>
          <w:tcPr>
            <w:tcW w:w="560" w:type="dxa"/>
            <w:vAlign w:val="bottom"/>
          </w:tcPr>
          <w:p>
            <w:pPr>
              <w:ind w:left="440"/>
              <w:spacing w:after="0"/>
              <w:rPr>
                <w:sz w:val="20"/>
                <w:szCs w:val="20"/>
                <w:color w:val="auto"/>
              </w:rPr>
            </w:pPr>
            <w:r>
              <w:rPr>
                <w:rFonts w:ascii="Arial" w:cs="Arial" w:eastAsia="Arial" w:hAnsi="Arial"/>
                <w:sz w:val="15"/>
                <w:szCs w:val="15"/>
                <w:color w:val="064A75"/>
              </w:rPr>
              <w:t>•</w:t>
            </w:r>
          </w:p>
        </w:tc>
        <w:tc>
          <w:tcPr>
            <w:tcW w:w="4380" w:type="dxa"/>
            <w:vAlign w:val="bottom"/>
          </w:tcPr>
          <w:p>
            <w:pPr>
              <w:ind w:left="80"/>
              <w:spacing w:after="0"/>
              <w:rPr>
                <w:sz w:val="20"/>
                <w:szCs w:val="20"/>
                <w:color w:val="auto"/>
              </w:rPr>
            </w:pPr>
            <w:r>
              <w:rPr>
                <w:rFonts w:ascii="Arial" w:cs="Arial" w:eastAsia="Arial" w:hAnsi="Arial"/>
                <w:sz w:val="15"/>
                <w:szCs w:val="15"/>
                <w:color w:val="auto"/>
              </w:rPr>
              <w:t>Corporate Governance &amp; Nominating Committee</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Qualification Highlights</w:t>
      </w:r>
    </w:p>
    <w:p>
      <w:pPr>
        <w:spacing w:after="0" w:line="57" w:lineRule="exact"/>
        <w:rPr>
          <w:sz w:val="20"/>
          <w:szCs w:val="20"/>
          <w:color w:val="auto"/>
        </w:rPr>
      </w:pPr>
    </w:p>
    <w:p>
      <w:pPr>
        <w:ind w:left="200" w:right="320" w:hanging="192"/>
        <w:spacing w:after="0" w:line="272" w:lineRule="auto"/>
        <w:tabs>
          <w:tab w:leader="none" w:pos="194" w:val="left"/>
        </w:tabs>
        <w:numPr>
          <w:ilvl w:val="0"/>
          <w:numId w:val="37"/>
        </w:numPr>
        <w:rPr>
          <w:rFonts w:ascii="Arial" w:cs="Arial" w:eastAsia="Arial" w:hAnsi="Arial"/>
          <w:sz w:val="15"/>
          <w:szCs w:val="15"/>
          <w:color w:val="074A75"/>
        </w:rPr>
      </w:pPr>
      <w:r>
        <w:rPr>
          <w:rFonts w:ascii="Arial" w:cs="Arial" w:eastAsia="Arial" w:hAnsi="Arial"/>
          <w:sz w:val="15"/>
          <w:szCs w:val="15"/>
          <w:b w:val="1"/>
          <w:bCs w:val="1"/>
          <w:color w:val="auto"/>
        </w:rPr>
        <w:t xml:space="preserve">Public Company Governance: </w:t>
      </w:r>
      <w:r>
        <w:rPr>
          <w:rFonts w:ascii="Arial" w:cs="Arial" w:eastAsia="Arial" w:hAnsi="Arial"/>
          <w:sz w:val="15"/>
          <w:szCs w:val="15"/>
          <w:color w:val="auto"/>
        </w:rPr>
        <w:t>As an experienced board member and executive, brings valuable insight on corporate governance best practices and effective</w:t>
      </w:r>
      <w:r>
        <w:rPr>
          <w:rFonts w:ascii="Arial" w:cs="Arial" w:eastAsia="Arial" w:hAnsi="Arial"/>
          <w:sz w:val="15"/>
          <w:szCs w:val="15"/>
          <w:b w:val="1"/>
          <w:bCs w:val="1"/>
          <w:color w:val="auto"/>
        </w:rPr>
        <w:t xml:space="preserve"> </w:t>
      </w:r>
      <w:r>
        <w:rPr>
          <w:rFonts w:ascii="Arial" w:cs="Arial" w:eastAsia="Arial" w:hAnsi="Arial"/>
          <w:sz w:val="15"/>
          <w:szCs w:val="15"/>
          <w:color w:val="auto"/>
        </w:rPr>
        <w:t>engagement with diverse stakeholders</w:t>
      </w:r>
    </w:p>
    <w:p>
      <w:pPr>
        <w:ind w:left="200" w:hanging="192"/>
        <w:spacing w:after="0"/>
        <w:tabs>
          <w:tab w:leader="none" w:pos="200" w:val="left"/>
        </w:tabs>
        <w:numPr>
          <w:ilvl w:val="0"/>
          <w:numId w:val="37"/>
        </w:numPr>
        <w:rPr>
          <w:rFonts w:ascii="Arial" w:cs="Arial" w:eastAsia="Arial" w:hAnsi="Arial"/>
          <w:sz w:val="15"/>
          <w:szCs w:val="15"/>
          <w:color w:val="074A75"/>
        </w:rPr>
      </w:pPr>
      <w:r>
        <w:rPr>
          <w:rFonts w:ascii="Arial" w:cs="Arial" w:eastAsia="Arial" w:hAnsi="Arial"/>
          <w:sz w:val="15"/>
          <w:szCs w:val="15"/>
          <w:b w:val="1"/>
          <w:bCs w:val="1"/>
          <w:color w:val="auto"/>
        </w:rPr>
        <w:t xml:space="preserve">Human Capital Management: </w:t>
      </w:r>
      <w:r>
        <w:rPr>
          <w:rFonts w:ascii="Arial" w:cs="Arial" w:eastAsia="Arial" w:hAnsi="Arial"/>
          <w:sz w:val="15"/>
          <w:szCs w:val="15"/>
          <w:color w:val="auto"/>
        </w:rPr>
        <w:t>Brings a balanced perspective on executive development, succession planning and compensation matters</w:t>
      </w:r>
    </w:p>
    <w:p>
      <w:pPr>
        <w:spacing w:after="0" w:line="57" w:lineRule="exact"/>
        <w:rPr>
          <w:rFonts w:ascii="Arial" w:cs="Arial" w:eastAsia="Arial" w:hAnsi="Arial"/>
          <w:sz w:val="15"/>
          <w:szCs w:val="15"/>
          <w:color w:val="074A75"/>
        </w:rPr>
      </w:pPr>
    </w:p>
    <w:p>
      <w:pPr>
        <w:ind w:left="200" w:hanging="192"/>
        <w:spacing w:after="0"/>
        <w:tabs>
          <w:tab w:leader="none" w:pos="200" w:val="left"/>
        </w:tabs>
        <w:numPr>
          <w:ilvl w:val="0"/>
          <w:numId w:val="37"/>
        </w:numPr>
        <w:rPr>
          <w:rFonts w:ascii="Arial" w:cs="Arial" w:eastAsia="Arial" w:hAnsi="Arial"/>
          <w:sz w:val="15"/>
          <w:szCs w:val="15"/>
          <w:color w:val="074A75"/>
        </w:rPr>
      </w:pPr>
      <w:r>
        <w:rPr>
          <w:rFonts w:ascii="Arial" w:cs="Arial" w:eastAsia="Arial" w:hAnsi="Arial"/>
          <w:sz w:val="15"/>
          <w:szCs w:val="15"/>
          <w:b w:val="1"/>
          <w:bCs w:val="1"/>
          <w:color w:val="auto"/>
        </w:rPr>
        <w:t xml:space="preserve">Leadership of a Large, Complex Organization: </w:t>
      </w:r>
      <w:r>
        <w:rPr>
          <w:rFonts w:ascii="Arial" w:cs="Arial" w:eastAsia="Arial" w:hAnsi="Arial"/>
          <w:sz w:val="15"/>
          <w:szCs w:val="15"/>
          <w:color w:val="auto"/>
        </w:rPr>
        <w:t>Experience managing a complex, global business, including setting and executing long-term strategic direction</w:t>
      </w:r>
    </w:p>
    <w:p>
      <w:pPr>
        <w:spacing w:after="0" w:line="43" w:lineRule="exact"/>
        <w:rPr>
          <w:rFonts w:ascii="Arial" w:cs="Arial" w:eastAsia="Arial" w:hAnsi="Arial"/>
          <w:sz w:val="15"/>
          <w:szCs w:val="15"/>
          <w:color w:val="074A75"/>
        </w:rPr>
      </w:pPr>
    </w:p>
    <w:p>
      <w:pPr>
        <w:ind w:left="200" w:hanging="192"/>
        <w:spacing w:after="0"/>
        <w:tabs>
          <w:tab w:leader="none" w:pos="200" w:val="left"/>
        </w:tabs>
        <w:numPr>
          <w:ilvl w:val="0"/>
          <w:numId w:val="37"/>
        </w:numPr>
        <w:rPr>
          <w:rFonts w:ascii="Arial" w:cs="Arial" w:eastAsia="Arial" w:hAnsi="Arial"/>
          <w:sz w:val="15"/>
          <w:szCs w:val="15"/>
          <w:color w:val="074A75"/>
        </w:rPr>
      </w:pPr>
      <w:r>
        <w:rPr>
          <w:rFonts w:ascii="Arial" w:cs="Arial" w:eastAsia="Arial" w:hAnsi="Arial"/>
          <w:sz w:val="15"/>
          <w:szCs w:val="15"/>
          <w:b w:val="1"/>
          <w:bCs w:val="1"/>
          <w:color w:val="auto"/>
        </w:rPr>
        <w:t xml:space="preserve">Finance and Accounting: </w:t>
      </w:r>
      <w:r>
        <w:rPr>
          <w:rFonts w:ascii="Arial" w:cs="Arial" w:eastAsia="Arial" w:hAnsi="Arial"/>
          <w:sz w:val="15"/>
          <w:szCs w:val="15"/>
          <w:color w:val="auto"/>
        </w:rPr>
        <w:t>Strong financial acumen gained through executive roles</w:t>
      </w:r>
    </w:p>
    <w:p>
      <w:pPr>
        <w:sectPr>
          <w:pgSz w:w="11900" w:h="16838" w:orient="portrait"/>
          <w:cols w:equalWidth="0" w:num="1">
            <w:col w:w="11260"/>
          </w:cols>
          <w:pgMar w:left="320" w:top="157" w:right="31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Career Highlights</w:t>
      </w:r>
    </w:p>
    <w:p>
      <w:pPr>
        <w:spacing w:after="0" w:line="38" w:lineRule="exact"/>
        <w:rPr>
          <w:sz w:val="20"/>
          <w:szCs w:val="20"/>
          <w:color w:val="auto"/>
        </w:rPr>
      </w:pPr>
    </w:p>
    <w:p>
      <w:pPr>
        <w:ind w:right="499"/>
        <w:spacing w:after="0" w:line="256" w:lineRule="auto"/>
        <w:rPr>
          <w:sz w:val="20"/>
          <w:szCs w:val="20"/>
          <w:color w:val="auto"/>
        </w:rPr>
      </w:pPr>
      <w:r>
        <w:rPr>
          <w:rFonts w:ascii="Arial" w:cs="Arial" w:eastAsia="Arial" w:hAnsi="Arial"/>
          <w:sz w:val="15"/>
          <w:szCs w:val="15"/>
          <w:color w:val="auto"/>
        </w:rPr>
        <w:t>Comcast Corporation/NBCUniversal, LLC, leading providers of entertainment, information and communication products and services</w:t>
      </w:r>
    </w:p>
    <w:p>
      <w:pPr>
        <w:spacing w:after="0" w:line="18"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5"/>
          <w:szCs w:val="15"/>
          <w:color w:val="074A75"/>
        </w:rPr>
      </w:pPr>
      <w:r>
        <w:rPr>
          <w:rFonts w:ascii="Arial" w:cs="Arial" w:eastAsia="Arial" w:hAnsi="Arial"/>
          <w:sz w:val="15"/>
          <w:szCs w:val="15"/>
          <w:color w:val="auto"/>
        </w:rPr>
        <w:t>Senior Advisor, Comcast Corporation (since 2021)</w:t>
      </w:r>
    </w:p>
    <w:p>
      <w:pPr>
        <w:spacing w:after="0" w:line="43" w:lineRule="exact"/>
        <w:rPr>
          <w:rFonts w:ascii="Arial" w:cs="Arial" w:eastAsia="Arial" w:hAnsi="Arial"/>
          <w:sz w:val="15"/>
          <w:szCs w:val="15"/>
          <w:color w:val="074A75"/>
        </w:rPr>
      </w:pPr>
    </w:p>
    <w:p>
      <w:pPr>
        <w:ind w:left="200" w:hanging="192"/>
        <w:spacing w:after="0"/>
        <w:tabs>
          <w:tab w:leader="none" w:pos="200" w:val="left"/>
        </w:tabs>
        <w:numPr>
          <w:ilvl w:val="0"/>
          <w:numId w:val="38"/>
        </w:numPr>
        <w:rPr>
          <w:rFonts w:ascii="Arial" w:cs="Arial" w:eastAsia="Arial" w:hAnsi="Arial"/>
          <w:sz w:val="15"/>
          <w:szCs w:val="15"/>
          <w:color w:val="074A75"/>
        </w:rPr>
      </w:pPr>
      <w:r>
        <w:rPr>
          <w:rFonts w:ascii="Arial" w:cs="Arial" w:eastAsia="Arial" w:hAnsi="Arial"/>
          <w:sz w:val="15"/>
          <w:szCs w:val="15"/>
          <w:color w:val="auto"/>
        </w:rPr>
        <w:t>Chairman of NBCUniversal, LLC and NBCUniversal Media, LLC (2020)</w:t>
      </w:r>
    </w:p>
    <w:p>
      <w:pPr>
        <w:spacing w:after="0" w:line="57" w:lineRule="exact"/>
        <w:rPr>
          <w:rFonts w:ascii="Arial" w:cs="Arial" w:eastAsia="Arial" w:hAnsi="Arial"/>
          <w:sz w:val="15"/>
          <w:szCs w:val="15"/>
          <w:color w:val="074A75"/>
        </w:rPr>
      </w:pPr>
    </w:p>
    <w:p>
      <w:pPr>
        <w:ind w:left="200" w:hanging="192"/>
        <w:spacing w:after="0"/>
        <w:tabs>
          <w:tab w:leader="none" w:pos="200" w:val="left"/>
        </w:tabs>
        <w:numPr>
          <w:ilvl w:val="0"/>
          <w:numId w:val="38"/>
        </w:numPr>
        <w:rPr>
          <w:rFonts w:ascii="Arial" w:cs="Arial" w:eastAsia="Arial" w:hAnsi="Arial"/>
          <w:sz w:val="15"/>
          <w:szCs w:val="15"/>
          <w:color w:val="074A75"/>
        </w:rPr>
      </w:pPr>
      <w:r>
        <w:rPr>
          <w:rFonts w:ascii="Arial" w:cs="Arial" w:eastAsia="Arial" w:hAnsi="Arial"/>
          <w:sz w:val="15"/>
          <w:szCs w:val="15"/>
          <w:color w:val="auto"/>
        </w:rPr>
        <w:t>Senior executive officer of Comcast Corporation (2011-2020)</w:t>
      </w:r>
    </w:p>
    <w:p>
      <w:pPr>
        <w:spacing w:after="0" w:line="43" w:lineRule="exact"/>
        <w:rPr>
          <w:rFonts w:ascii="Arial" w:cs="Arial" w:eastAsia="Arial" w:hAnsi="Arial"/>
          <w:sz w:val="15"/>
          <w:szCs w:val="15"/>
          <w:color w:val="074A75"/>
        </w:rPr>
      </w:pPr>
    </w:p>
    <w:p>
      <w:pPr>
        <w:ind w:left="200" w:right="599" w:hanging="192"/>
        <w:spacing w:after="0" w:line="272" w:lineRule="auto"/>
        <w:tabs>
          <w:tab w:leader="none" w:pos="194" w:val="left"/>
        </w:tabs>
        <w:numPr>
          <w:ilvl w:val="0"/>
          <w:numId w:val="38"/>
        </w:numPr>
        <w:rPr>
          <w:rFonts w:ascii="Arial" w:cs="Arial" w:eastAsia="Arial" w:hAnsi="Arial"/>
          <w:sz w:val="15"/>
          <w:szCs w:val="15"/>
          <w:color w:val="074A75"/>
        </w:rPr>
      </w:pPr>
      <w:r>
        <w:rPr>
          <w:rFonts w:ascii="Arial" w:cs="Arial" w:eastAsia="Arial" w:hAnsi="Arial"/>
          <w:sz w:val="15"/>
          <w:szCs w:val="15"/>
          <w:color w:val="auto"/>
        </w:rPr>
        <w:t>Chief Executive Officer and President of NBCUniversal, LLC and NBCUniversal Media, LLC (2011-2019)</w:t>
      </w:r>
    </w:p>
    <w:p>
      <w:pPr>
        <w:ind w:left="200" w:hanging="192"/>
        <w:spacing w:after="0"/>
        <w:tabs>
          <w:tab w:leader="none" w:pos="200" w:val="left"/>
        </w:tabs>
        <w:numPr>
          <w:ilvl w:val="0"/>
          <w:numId w:val="38"/>
        </w:numPr>
        <w:rPr>
          <w:rFonts w:ascii="Arial" w:cs="Arial" w:eastAsia="Arial" w:hAnsi="Arial"/>
          <w:sz w:val="15"/>
          <w:szCs w:val="15"/>
          <w:color w:val="074A75"/>
        </w:rPr>
      </w:pPr>
      <w:r>
        <w:rPr>
          <w:rFonts w:ascii="Arial" w:cs="Arial" w:eastAsia="Arial" w:hAnsi="Arial"/>
          <w:sz w:val="15"/>
          <w:szCs w:val="15"/>
          <w:color w:val="auto"/>
        </w:rPr>
        <w:t>Chief Operating Officer, Comcast (2004–2011)</w:t>
      </w:r>
    </w:p>
    <w:p>
      <w:pPr>
        <w:spacing w:after="0" w:line="57" w:lineRule="exact"/>
        <w:rPr>
          <w:rFonts w:ascii="Arial" w:cs="Arial" w:eastAsia="Arial" w:hAnsi="Arial"/>
          <w:sz w:val="15"/>
          <w:szCs w:val="15"/>
          <w:color w:val="074A75"/>
        </w:rPr>
      </w:pPr>
    </w:p>
    <w:p>
      <w:pPr>
        <w:ind w:left="200" w:hanging="192"/>
        <w:spacing w:after="0"/>
        <w:tabs>
          <w:tab w:leader="none" w:pos="200" w:val="left"/>
        </w:tabs>
        <w:numPr>
          <w:ilvl w:val="0"/>
          <w:numId w:val="38"/>
        </w:numPr>
        <w:rPr>
          <w:rFonts w:ascii="Arial" w:cs="Arial" w:eastAsia="Arial" w:hAnsi="Arial"/>
          <w:sz w:val="15"/>
          <w:szCs w:val="15"/>
          <w:color w:val="074A75"/>
        </w:rPr>
      </w:pPr>
      <w:r>
        <w:rPr>
          <w:rFonts w:ascii="Arial" w:cs="Arial" w:eastAsia="Arial" w:hAnsi="Arial"/>
          <w:sz w:val="15"/>
          <w:szCs w:val="15"/>
          <w:color w:val="auto"/>
        </w:rPr>
        <w:t>President, Comcast Cable Communications Inc. (1998–2010)</w:t>
      </w:r>
    </w:p>
    <w:p>
      <w:pPr>
        <w:spacing w:after="0" w:line="55" w:lineRule="exact"/>
        <w:rPr>
          <w:rFonts w:ascii="Arial" w:cs="Arial" w:eastAsia="Arial" w:hAnsi="Arial"/>
          <w:sz w:val="15"/>
          <w:szCs w:val="15"/>
          <w:color w:val="074A75"/>
        </w:rPr>
      </w:pPr>
    </w:p>
    <w:p>
      <w:pPr>
        <w:spacing w:after="0"/>
        <w:rPr>
          <w:rFonts w:ascii="Arial" w:cs="Arial" w:eastAsia="Arial" w:hAnsi="Arial"/>
          <w:sz w:val="15"/>
          <w:szCs w:val="15"/>
          <w:color w:val="074A75"/>
        </w:rPr>
      </w:pPr>
      <w:r>
        <w:rPr>
          <w:rFonts w:ascii="Arial" w:cs="Arial" w:eastAsia="Arial" w:hAnsi="Arial"/>
          <w:sz w:val="15"/>
          <w:szCs w:val="15"/>
          <w:b w:val="1"/>
          <w:bCs w:val="1"/>
          <w:color w:val="074A75"/>
        </w:rPr>
        <w:t>Education</w:t>
      </w:r>
    </w:p>
    <w:p>
      <w:pPr>
        <w:spacing w:after="0" w:line="37" w:lineRule="exact"/>
        <w:rPr>
          <w:rFonts w:ascii="Arial" w:cs="Arial" w:eastAsia="Arial" w:hAnsi="Arial"/>
          <w:sz w:val="15"/>
          <w:szCs w:val="15"/>
          <w:color w:val="074A75"/>
        </w:rPr>
      </w:pPr>
    </w:p>
    <w:p>
      <w:pPr>
        <w:ind w:left="200" w:hanging="192"/>
        <w:spacing w:after="0"/>
        <w:tabs>
          <w:tab w:leader="none" w:pos="200" w:val="left"/>
        </w:tabs>
        <w:numPr>
          <w:ilvl w:val="0"/>
          <w:numId w:val="38"/>
        </w:numPr>
        <w:rPr>
          <w:rFonts w:ascii="Arial" w:cs="Arial" w:eastAsia="Arial" w:hAnsi="Arial"/>
          <w:sz w:val="15"/>
          <w:szCs w:val="15"/>
          <w:color w:val="074A75"/>
        </w:rPr>
      </w:pPr>
      <w:r>
        <w:rPr>
          <w:rFonts w:ascii="Arial" w:cs="Arial" w:eastAsia="Arial" w:hAnsi="Arial"/>
          <w:sz w:val="15"/>
          <w:szCs w:val="15"/>
          <w:color w:val="auto"/>
        </w:rPr>
        <w:t>Graduate of Colgate University</w:t>
      </w:r>
    </w:p>
    <w:p>
      <w:pPr>
        <w:spacing w:after="0" w:line="37" w:lineRule="exact"/>
        <w:rPr>
          <w:rFonts w:ascii="Arial" w:cs="Arial" w:eastAsia="Arial" w:hAnsi="Arial"/>
          <w:sz w:val="15"/>
          <w:szCs w:val="15"/>
          <w:color w:val="074A75"/>
        </w:rPr>
      </w:pPr>
    </w:p>
    <w:p>
      <w:pPr>
        <w:ind w:left="200" w:hanging="192"/>
        <w:spacing w:after="0"/>
        <w:tabs>
          <w:tab w:leader="none" w:pos="200" w:val="left"/>
        </w:tabs>
        <w:numPr>
          <w:ilvl w:val="0"/>
          <w:numId w:val="38"/>
        </w:numPr>
        <w:rPr>
          <w:rFonts w:ascii="Arial" w:cs="Arial" w:eastAsia="Arial" w:hAnsi="Arial"/>
          <w:sz w:val="15"/>
          <w:szCs w:val="15"/>
          <w:color w:val="074A75"/>
        </w:rPr>
      </w:pPr>
      <w:r>
        <w:rPr>
          <w:rFonts w:ascii="Arial" w:cs="Arial" w:eastAsia="Arial" w:hAnsi="Arial"/>
          <w:sz w:val="15"/>
          <w:szCs w:val="15"/>
          <w:color w:val="auto"/>
        </w:rPr>
        <w:t>M.B.A., Harvard Business School</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 w:right="700"/>
        <w:spacing w:after="0" w:line="278" w:lineRule="auto"/>
        <w:rPr>
          <w:sz w:val="20"/>
          <w:szCs w:val="20"/>
          <w:color w:val="auto"/>
        </w:rPr>
      </w:pPr>
      <w:r>
        <w:rPr>
          <w:rFonts w:ascii="Arial" w:cs="Arial" w:eastAsia="Arial" w:hAnsi="Arial"/>
          <w:sz w:val="15"/>
          <w:szCs w:val="15"/>
          <w:b w:val="1"/>
          <w:bCs w:val="1"/>
          <w:color w:val="074A75"/>
        </w:rPr>
        <w:t>Other U.S.-Listed Public Company Directorships Within the Past Five Years</w:t>
      </w:r>
    </w:p>
    <w:p>
      <w:pPr>
        <w:spacing w:after="0" w:line="7" w:lineRule="exact"/>
        <w:rPr>
          <w:sz w:val="20"/>
          <w:szCs w:val="20"/>
          <w:color w:val="auto"/>
        </w:rPr>
      </w:pPr>
    </w:p>
    <w:p>
      <w:pPr>
        <w:ind w:left="181" w:hanging="181"/>
        <w:spacing w:after="0"/>
        <w:tabs>
          <w:tab w:leader="none" w:pos="181" w:val="left"/>
        </w:tabs>
        <w:numPr>
          <w:ilvl w:val="0"/>
          <w:numId w:val="39"/>
        </w:numPr>
        <w:rPr>
          <w:rFonts w:ascii="Arial" w:cs="Arial" w:eastAsia="Arial" w:hAnsi="Arial"/>
          <w:sz w:val="15"/>
          <w:szCs w:val="15"/>
          <w:color w:val="074A75"/>
        </w:rPr>
      </w:pPr>
      <w:r>
        <w:rPr>
          <w:rFonts w:ascii="Arial" w:cs="Arial" w:eastAsia="Arial" w:hAnsi="Arial"/>
          <w:sz w:val="15"/>
          <w:szCs w:val="15"/>
          <w:color w:val="auto"/>
        </w:rPr>
        <w:t>Snowflake Inc. (since 2023)</w:t>
      </w:r>
    </w:p>
    <w:p>
      <w:pPr>
        <w:spacing w:after="0" w:line="57" w:lineRule="exact"/>
        <w:rPr>
          <w:rFonts w:ascii="Arial" w:cs="Arial" w:eastAsia="Arial" w:hAnsi="Arial"/>
          <w:sz w:val="15"/>
          <w:szCs w:val="15"/>
          <w:color w:val="074A75"/>
        </w:rPr>
      </w:pPr>
    </w:p>
    <w:p>
      <w:pPr>
        <w:ind w:left="181" w:hanging="181"/>
        <w:spacing w:after="0"/>
        <w:tabs>
          <w:tab w:leader="none" w:pos="181" w:val="left"/>
        </w:tabs>
        <w:numPr>
          <w:ilvl w:val="0"/>
          <w:numId w:val="39"/>
        </w:numPr>
        <w:rPr>
          <w:rFonts w:ascii="Arial" w:cs="Arial" w:eastAsia="Arial" w:hAnsi="Arial"/>
          <w:sz w:val="15"/>
          <w:szCs w:val="15"/>
          <w:color w:val="074A75"/>
        </w:rPr>
      </w:pPr>
      <w:r>
        <w:rPr>
          <w:rFonts w:ascii="Arial" w:cs="Arial" w:eastAsia="Arial" w:hAnsi="Arial"/>
          <w:sz w:val="15"/>
          <w:szCs w:val="15"/>
          <w:color w:val="auto"/>
        </w:rPr>
        <w:t>Berkshire Hathaway Inc. (since 2009)</w:t>
      </w:r>
    </w:p>
    <w:p>
      <w:pPr>
        <w:spacing w:after="0" w:line="55" w:lineRule="exact"/>
        <w:rPr>
          <w:rFonts w:ascii="Arial" w:cs="Arial" w:eastAsia="Arial" w:hAnsi="Arial"/>
          <w:sz w:val="15"/>
          <w:szCs w:val="15"/>
          <w:color w:val="074A75"/>
        </w:rPr>
      </w:pPr>
    </w:p>
    <w:p>
      <w:pPr>
        <w:ind w:left="1"/>
        <w:spacing w:after="0"/>
        <w:rPr>
          <w:rFonts w:ascii="Arial" w:cs="Arial" w:eastAsia="Arial" w:hAnsi="Arial"/>
          <w:sz w:val="15"/>
          <w:szCs w:val="15"/>
          <w:color w:val="074A75"/>
        </w:rPr>
      </w:pPr>
      <w:r>
        <w:rPr>
          <w:rFonts w:ascii="Arial" w:cs="Arial" w:eastAsia="Arial" w:hAnsi="Arial"/>
          <w:sz w:val="15"/>
          <w:szCs w:val="15"/>
          <w:b w:val="1"/>
          <w:bCs w:val="1"/>
          <w:color w:val="074A75"/>
        </w:rPr>
        <w:t>Other Experience</w:t>
      </w:r>
    </w:p>
    <w:p>
      <w:pPr>
        <w:spacing w:after="0" w:line="59" w:lineRule="exact"/>
        <w:rPr>
          <w:rFonts w:ascii="Arial" w:cs="Arial" w:eastAsia="Arial" w:hAnsi="Arial"/>
          <w:sz w:val="15"/>
          <w:szCs w:val="15"/>
          <w:color w:val="074A75"/>
        </w:rPr>
      </w:pPr>
    </w:p>
    <w:p>
      <w:pPr>
        <w:ind w:left="181" w:hanging="181"/>
        <w:spacing w:after="0"/>
        <w:tabs>
          <w:tab w:leader="none" w:pos="181" w:val="left"/>
        </w:tabs>
        <w:numPr>
          <w:ilvl w:val="0"/>
          <w:numId w:val="39"/>
        </w:numPr>
        <w:rPr>
          <w:rFonts w:ascii="Arial" w:cs="Arial" w:eastAsia="Arial" w:hAnsi="Arial"/>
          <w:sz w:val="15"/>
          <w:szCs w:val="15"/>
          <w:color w:val="074A75"/>
        </w:rPr>
      </w:pPr>
      <w:r>
        <w:rPr>
          <w:rFonts w:ascii="Arial" w:cs="Arial" w:eastAsia="Arial" w:hAnsi="Arial"/>
          <w:sz w:val="15"/>
          <w:szCs w:val="15"/>
          <w:color w:val="auto"/>
        </w:rPr>
        <w:t>Chairman, Children's Hospital of Philadelphia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1161415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1" w:lineRule="exact"/>
        <w:rPr>
          <w:sz w:val="20"/>
          <w:szCs w:val="20"/>
          <w:color w:val="auto"/>
        </w:rPr>
      </w:pPr>
    </w:p>
    <w:p>
      <w:pPr>
        <w:sectPr>
          <w:pgSz w:w="11900" w:h="16838" w:orient="portrait"/>
          <w:cols w:equalWidth="0" w:num="2">
            <w:col w:w="5179" w:space="720"/>
            <w:col w:w="5361"/>
          </w:cols>
          <w:pgMar w:left="320" w:top="157" w:right="31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ind w:left="1680"/>
        <w:spacing w:after="0"/>
        <w:rPr>
          <w:sz w:val="20"/>
          <w:szCs w:val="20"/>
          <w:color w:val="auto"/>
        </w:rPr>
      </w:pPr>
      <w:r>
        <w:rPr>
          <w:rFonts w:ascii="Arial" w:cs="Arial" w:eastAsia="Arial" w:hAnsi="Arial"/>
          <w:sz w:val="40"/>
          <w:szCs w:val="40"/>
          <w:color w:val="074A75"/>
        </w:rPr>
        <w:t>Linda B. Bammann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-228600</wp:posOffset>
            </wp:positionV>
            <wp:extent cx="737235" cy="908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pacing w:after="0" w:line="97" w:lineRule="exact"/>
        <w:rPr>
          <w:sz w:val="20"/>
          <w:szCs w:val="20"/>
          <w:color w:val="auto"/>
        </w:rPr>
      </w:pPr>
    </w:p>
    <w:p>
      <w:pPr>
        <w:ind w:left="1680"/>
        <w:spacing w:after="0"/>
        <w:rPr>
          <w:sz w:val="20"/>
          <w:szCs w:val="20"/>
          <w:color w:val="auto"/>
        </w:rPr>
      </w:pPr>
      <w:r>
        <w:rPr>
          <w:rFonts w:ascii="Arial" w:cs="Arial" w:eastAsia="Arial" w:hAnsi="Arial"/>
          <w:sz w:val="20"/>
          <w:szCs w:val="20"/>
          <w:i w:val="1"/>
          <w:iCs w:val="1"/>
          <w:color w:val="074A75"/>
        </w:rPr>
        <w:t>Retired Deputy Head of Risk Management of JPMorgan Chase &amp; Co.</w:t>
      </w:r>
    </w:p>
    <w:p>
      <w:pPr>
        <w:spacing w:after="0" w:line="204" w:lineRule="exact"/>
        <w:rPr>
          <w:sz w:val="20"/>
          <w:szCs w:val="20"/>
          <w:color w:val="auto"/>
        </w:rPr>
      </w:pPr>
    </w:p>
    <w:p>
      <w:pPr>
        <w:ind w:left="1680"/>
        <w:spacing w:after="0"/>
        <w:tabs>
          <w:tab w:leader="none" w:pos="4040" w:val="left"/>
        </w:tabs>
        <w:rPr>
          <w:sz w:val="20"/>
          <w:szCs w:val="20"/>
          <w:color w:val="auto"/>
        </w:rPr>
      </w:pPr>
      <w:r>
        <w:rPr>
          <w:rFonts w:ascii="Arial" w:cs="Arial" w:eastAsia="Arial" w:hAnsi="Arial"/>
          <w:sz w:val="15"/>
          <w:szCs w:val="15"/>
          <w:b w:val="1"/>
          <w:bCs w:val="1"/>
          <w:color w:val="074A75"/>
        </w:rPr>
        <w:t xml:space="preserve">Age: </w:t>
      </w:r>
      <w:r>
        <w:rPr>
          <w:rFonts w:ascii="Arial" w:cs="Arial" w:eastAsia="Arial" w:hAnsi="Arial"/>
          <w:sz w:val="15"/>
          <w:szCs w:val="15"/>
          <w:color w:val="000000"/>
        </w:rPr>
        <w:t>68</w:t>
      </w:r>
      <w:r>
        <w:rPr>
          <w:sz w:val="20"/>
          <w:szCs w:val="20"/>
          <w:color w:val="auto"/>
        </w:rPr>
        <w:tab/>
      </w:r>
      <w:r>
        <w:rPr>
          <w:rFonts w:ascii="Arial" w:cs="Arial" w:eastAsia="Arial" w:hAnsi="Arial"/>
          <w:sz w:val="15"/>
          <w:szCs w:val="15"/>
          <w:b w:val="1"/>
          <w:bCs w:val="1"/>
          <w:color w:val="074A75"/>
        </w:rPr>
        <w:t>Committees:</w:t>
      </w:r>
    </w:p>
    <w:p>
      <w:pPr>
        <w:spacing w:after="0" w:line="19" w:lineRule="exact"/>
        <w:rPr>
          <w:sz w:val="20"/>
          <w:szCs w:val="20"/>
          <w:color w:val="auto"/>
        </w:rPr>
      </w:pPr>
    </w:p>
    <w:p>
      <w:pPr>
        <w:ind w:left="1680"/>
        <w:spacing w:after="0"/>
        <w:tabs>
          <w:tab w:leader="none" w:pos="4040" w:val="left"/>
          <w:tab w:leader="none" w:pos="4240" w:val="left"/>
        </w:tabs>
        <w:rPr>
          <w:sz w:val="20"/>
          <w:szCs w:val="20"/>
          <w:color w:val="auto"/>
        </w:rPr>
      </w:pPr>
      <w:r>
        <w:rPr>
          <w:rFonts w:ascii="Arial" w:cs="Arial" w:eastAsia="Arial" w:hAnsi="Arial"/>
          <w:sz w:val="15"/>
          <w:szCs w:val="15"/>
          <w:b w:val="1"/>
          <w:bCs w:val="1"/>
          <w:color w:val="074A75"/>
        </w:rPr>
        <w:t xml:space="preserve">Director since: </w:t>
      </w:r>
      <w:r>
        <w:rPr>
          <w:rFonts w:ascii="Arial" w:cs="Arial" w:eastAsia="Arial" w:hAnsi="Arial"/>
          <w:sz w:val="15"/>
          <w:szCs w:val="15"/>
          <w:color w:val="000000"/>
        </w:rPr>
        <w:t>2013</w:t>
      </w:r>
      <w:r>
        <w:rPr>
          <w:sz w:val="20"/>
          <w:szCs w:val="20"/>
          <w:color w:val="auto"/>
        </w:rPr>
        <w:tab/>
      </w:r>
      <w:r>
        <w:rPr>
          <w:rFonts w:ascii="Arial" w:cs="Arial" w:eastAsia="Arial" w:hAnsi="Arial"/>
          <w:sz w:val="15"/>
          <w:szCs w:val="15"/>
          <w:color w:val="074A75"/>
        </w:rPr>
        <w:t>•</w:t>
      </w:r>
      <w:r>
        <w:rPr>
          <w:rFonts w:ascii="Arial" w:cs="Arial" w:eastAsia="Arial" w:hAnsi="Arial"/>
          <w:sz w:val="15"/>
          <w:szCs w:val="15"/>
          <w:color w:val="auto"/>
        </w:rPr>
        <w:tab/>
        <w:t>Risk Committee (Chair)</w:t>
      </w:r>
    </w:p>
    <w:p>
      <w:pPr>
        <w:spacing w:after="0" w:line="22" w:lineRule="exact"/>
        <w:rPr>
          <w:sz w:val="20"/>
          <w:szCs w:val="20"/>
          <w:color w:val="auto"/>
        </w:rPr>
      </w:pPr>
    </w:p>
    <w:p>
      <w:pPr>
        <w:ind w:left="4060"/>
        <w:spacing w:after="0"/>
        <w:tabs>
          <w:tab w:leader="none" w:pos="4240" w:val="left"/>
        </w:tabs>
        <w:rPr>
          <w:sz w:val="20"/>
          <w:szCs w:val="20"/>
          <w:color w:val="auto"/>
        </w:rPr>
      </w:pPr>
      <w:r>
        <w:rPr>
          <w:rFonts w:ascii="Arial" w:cs="Arial" w:eastAsia="Arial" w:hAnsi="Arial"/>
          <w:sz w:val="15"/>
          <w:szCs w:val="15"/>
          <w:color w:val="074A75"/>
        </w:rPr>
        <w:t>•</w:t>
      </w:r>
      <w:r>
        <w:rPr>
          <w:rFonts w:ascii="Arial" w:cs="Arial" w:eastAsia="Arial" w:hAnsi="Arial"/>
          <w:sz w:val="15"/>
          <w:szCs w:val="15"/>
          <w:color w:val="auto"/>
        </w:rPr>
        <w:tab/>
        <w:t>Compensation &amp; Management Development Committee</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064A75"/>
        </w:rPr>
        <w:t>Qualification Highlights</w:t>
      </w:r>
    </w:p>
    <w:p>
      <w:pPr>
        <w:spacing w:after="0" w:line="71"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5"/>
          <w:szCs w:val="15"/>
          <w:color w:val="074A75"/>
        </w:rPr>
      </w:pPr>
      <w:r>
        <w:rPr>
          <w:rFonts w:ascii="Arial" w:cs="Arial" w:eastAsia="Arial" w:hAnsi="Arial"/>
          <w:sz w:val="15"/>
          <w:szCs w:val="15"/>
          <w:b w:val="1"/>
          <w:bCs w:val="1"/>
          <w:color w:val="auto"/>
        </w:rPr>
        <w:t xml:space="preserve">Risk Management and Controls: </w:t>
      </w:r>
      <w:r>
        <w:rPr>
          <w:rFonts w:ascii="Arial" w:cs="Arial" w:eastAsia="Arial" w:hAnsi="Arial"/>
          <w:sz w:val="15"/>
          <w:szCs w:val="15"/>
          <w:color w:val="auto"/>
        </w:rPr>
        <w:t>Retired risk management executive with deep experience in assessing and managing financial risk</w:t>
      </w:r>
    </w:p>
    <w:p>
      <w:pPr>
        <w:spacing w:after="0" w:line="57" w:lineRule="exact"/>
        <w:rPr>
          <w:rFonts w:ascii="Arial" w:cs="Arial" w:eastAsia="Arial" w:hAnsi="Arial"/>
          <w:sz w:val="15"/>
          <w:szCs w:val="15"/>
          <w:color w:val="074A75"/>
        </w:rPr>
      </w:pPr>
    </w:p>
    <w:p>
      <w:pPr>
        <w:ind w:left="200" w:hanging="192"/>
        <w:spacing w:after="0"/>
        <w:tabs>
          <w:tab w:leader="none" w:pos="200" w:val="left"/>
        </w:tabs>
        <w:numPr>
          <w:ilvl w:val="0"/>
          <w:numId w:val="40"/>
        </w:numPr>
        <w:rPr>
          <w:rFonts w:ascii="Arial" w:cs="Arial" w:eastAsia="Arial" w:hAnsi="Arial"/>
          <w:sz w:val="15"/>
          <w:szCs w:val="15"/>
          <w:color w:val="074A75"/>
        </w:rPr>
      </w:pPr>
      <w:r>
        <w:rPr>
          <w:rFonts w:ascii="Arial" w:cs="Arial" w:eastAsia="Arial" w:hAnsi="Arial"/>
          <w:sz w:val="15"/>
          <w:szCs w:val="15"/>
          <w:b w:val="1"/>
          <w:bCs w:val="1"/>
          <w:color w:val="auto"/>
        </w:rPr>
        <w:t xml:space="preserve">Financial Services: </w:t>
      </w:r>
      <w:r>
        <w:rPr>
          <w:rFonts w:ascii="Arial" w:cs="Arial" w:eastAsia="Arial" w:hAnsi="Arial"/>
          <w:sz w:val="15"/>
          <w:szCs w:val="15"/>
          <w:color w:val="auto"/>
        </w:rPr>
        <w:t>Wide-ranging experience in the financial services sector, including with respect to capital markets and consumer financial products</w:t>
      </w:r>
    </w:p>
    <w:p>
      <w:pPr>
        <w:spacing w:after="0" w:line="70" w:lineRule="exact"/>
        <w:rPr>
          <w:rFonts w:ascii="Arial" w:cs="Arial" w:eastAsia="Arial" w:hAnsi="Arial"/>
          <w:sz w:val="15"/>
          <w:szCs w:val="15"/>
          <w:color w:val="074A75"/>
        </w:rPr>
      </w:pPr>
    </w:p>
    <w:p>
      <w:pPr>
        <w:ind w:left="200" w:hanging="192"/>
        <w:spacing w:after="0"/>
        <w:tabs>
          <w:tab w:leader="none" w:pos="200" w:val="left"/>
        </w:tabs>
        <w:numPr>
          <w:ilvl w:val="0"/>
          <w:numId w:val="40"/>
        </w:numPr>
        <w:rPr>
          <w:rFonts w:ascii="Arial" w:cs="Arial" w:eastAsia="Arial" w:hAnsi="Arial"/>
          <w:sz w:val="15"/>
          <w:szCs w:val="15"/>
          <w:color w:val="074A75"/>
        </w:rPr>
      </w:pPr>
      <w:r>
        <w:rPr>
          <w:rFonts w:ascii="Arial" w:cs="Arial" w:eastAsia="Arial" w:hAnsi="Arial"/>
          <w:sz w:val="15"/>
          <w:szCs w:val="15"/>
          <w:b w:val="1"/>
          <w:bCs w:val="1"/>
          <w:color w:val="auto"/>
        </w:rPr>
        <w:t xml:space="preserve">Regulated Industries: </w:t>
      </w:r>
      <w:r>
        <w:rPr>
          <w:rFonts w:ascii="Arial" w:cs="Arial" w:eastAsia="Arial" w:hAnsi="Arial"/>
          <w:sz w:val="15"/>
          <w:szCs w:val="15"/>
          <w:color w:val="auto"/>
        </w:rPr>
        <w:t>Significant experience navigating the financial services regulatory landscape and engaging with regulators</w:t>
      </w:r>
    </w:p>
    <w:p>
      <w:pPr>
        <w:spacing w:after="0" w:line="70" w:lineRule="exact"/>
        <w:rPr>
          <w:rFonts w:ascii="Arial" w:cs="Arial" w:eastAsia="Arial" w:hAnsi="Arial"/>
          <w:sz w:val="15"/>
          <w:szCs w:val="15"/>
          <w:color w:val="074A75"/>
        </w:rPr>
      </w:pPr>
    </w:p>
    <w:p>
      <w:pPr>
        <w:ind w:left="200" w:hanging="192"/>
        <w:spacing w:after="0"/>
        <w:tabs>
          <w:tab w:leader="none" w:pos="200" w:val="left"/>
        </w:tabs>
        <w:numPr>
          <w:ilvl w:val="0"/>
          <w:numId w:val="40"/>
        </w:numPr>
        <w:rPr>
          <w:rFonts w:ascii="Arial" w:cs="Arial" w:eastAsia="Arial" w:hAnsi="Arial"/>
          <w:sz w:val="15"/>
          <w:szCs w:val="15"/>
          <w:color w:val="074A75"/>
        </w:rPr>
      </w:pPr>
      <w:r>
        <w:rPr>
          <w:rFonts w:ascii="Arial" w:cs="Arial" w:eastAsia="Arial" w:hAnsi="Arial"/>
          <w:sz w:val="15"/>
          <w:szCs w:val="15"/>
          <w:b w:val="1"/>
          <w:bCs w:val="1"/>
          <w:color w:val="auto"/>
        </w:rPr>
        <w:t xml:space="preserve">Human Capital Management: </w:t>
      </w:r>
      <w:r>
        <w:rPr>
          <w:rFonts w:ascii="Arial" w:cs="Arial" w:eastAsia="Arial" w:hAnsi="Arial"/>
          <w:sz w:val="15"/>
          <w:szCs w:val="15"/>
          <w:color w:val="auto"/>
        </w:rPr>
        <w:t>Brings valuable insight on succession planning and senior executive development matters</w:t>
      </w:r>
    </w:p>
    <w:p>
      <w:pPr>
        <w:sectPr>
          <w:pgSz w:w="11900" w:h="16838" w:orient="portrait"/>
          <w:cols w:equalWidth="0" w:num="1">
            <w:col w:w="11260"/>
          </w:cols>
          <w:pgMar w:left="320" w:top="157" w:right="31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Career Highlights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JPMorgan Chase &amp; Co. (merged with Bank One Corporation in 2004)</w:t>
      </w:r>
    </w:p>
    <w:p>
      <w:pPr>
        <w:spacing w:after="0" w:line="38"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5"/>
          <w:szCs w:val="15"/>
          <w:color w:val="074A75"/>
        </w:rPr>
      </w:pPr>
      <w:r>
        <w:rPr>
          <w:rFonts w:ascii="Arial" w:cs="Arial" w:eastAsia="Arial" w:hAnsi="Arial"/>
          <w:sz w:val="15"/>
          <w:szCs w:val="15"/>
          <w:color w:val="auto"/>
        </w:rPr>
        <w:t>Deputy Head of Risk Management (2004–2005)</w:t>
      </w:r>
    </w:p>
    <w:p>
      <w:pPr>
        <w:spacing w:after="0" w:line="57" w:lineRule="exact"/>
        <w:rPr>
          <w:rFonts w:ascii="Arial" w:cs="Arial" w:eastAsia="Arial" w:hAnsi="Arial"/>
          <w:sz w:val="15"/>
          <w:szCs w:val="15"/>
          <w:color w:val="074A75"/>
        </w:rPr>
      </w:pPr>
    </w:p>
    <w:p>
      <w:pPr>
        <w:ind w:left="200" w:right="59" w:hanging="192"/>
        <w:spacing w:after="0" w:line="264" w:lineRule="auto"/>
        <w:tabs>
          <w:tab w:leader="none" w:pos="194" w:val="left"/>
        </w:tabs>
        <w:numPr>
          <w:ilvl w:val="0"/>
          <w:numId w:val="41"/>
        </w:numPr>
        <w:rPr>
          <w:rFonts w:ascii="Arial" w:cs="Arial" w:eastAsia="Arial" w:hAnsi="Arial"/>
          <w:sz w:val="15"/>
          <w:szCs w:val="15"/>
          <w:color w:val="074A75"/>
        </w:rPr>
      </w:pPr>
      <w:r>
        <w:rPr>
          <w:rFonts w:ascii="Arial" w:cs="Arial" w:eastAsia="Arial" w:hAnsi="Arial"/>
          <w:sz w:val="15"/>
          <w:szCs w:val="15"/>
          <w:color w:val="auto"/>
        </w:rPr>
        <w:t>Chief Risk Management Officer and Executive Vice President, Bank One Corporation (2001–2004)</w:t>
      </w:r>
    </w:p>
    <w:p>
      <w:pPr>
        <w:spacing w:after="0" w:line="12" w:lineRule="exact"/>
        <w:rPr>
          <w:rFonts w:ascii="Arial" w:cs="Arial" w:eastAsia="Arial" w:hAnsi="Arial"/>
          <w:sz w:val="15"/>
          <w:szCs w:val="15"/>
          <w:color w:val="074A75"/>
        </w:rPr>
      </w:pPr>
    </w:p>
    <w:p>
      <w:pPr>
        <w:ind w:left="200" w:hanging="192"/>
        <w:spacing w:after="0"/>
        <w:tabs>
          <w:tab w:leader="none" w:pos="200" w:val="left"/>
        </w:tabs>
        <w:numPr>
          <w:ilvl w:val="0"/>
          <w:numId w:val="41"/>
        </w:numPr>
        <w:rPr>
          <w:rFonts w:ascii="Arial" w:cs="Arial" w:eastAsia="Arial" w:hAnsi="Arial"/>
          <w:sz w:val="15"/>
          <w:szCs w:val="15"/>
          <w:color w:val="074A75"/>
        </w:rPr>
      </w:pPr>
      <w:r>
        <w:rPr>
          <w:rFonts w:ascii="Arial" w:cs="Arial" w:eastAsia="Arial" w:hAnsi="Arial"/>
          <w:sz w:val="15"/>
          <w:szCs w:val="15"/>
          <w:color w:val="auto"/>
        </w:rPr>
        <w:t>Senior Managing Director, Bank One Capital Markets (2000–2001)</w:t>
      </w:r>
    </w:p>
    <w:p>
      <w:pPr>
        <w:spacing w:after="0" w:line="55" w:lineRule="exact"/>
        <w:rPr>
          <w:rFonts w:ascii="Arial" w:cs="Arial" w:eastAsia="Arial" w:hAnsi="Arial"/>
          <w:sz w:val="15"/>
          <w:szCs w:val="15"/>
          <w:color w:val="074A75"/>
        </w:rPr>
      </w:pPr>
    </w:p>
    <w:p>
      <w:pPr>
        <w:spacing w:after="0"/>
        <w:rPr>
          <w:rFonts w:ascii="Arial" w:cs="Arial" w:eastAsia="Arial" w:hAnsi="Arial"/>
          <w:sz w:val="15"/>
          <w:szCs w:val="15"/>
          <w:color w:val="074A75"/>
        </w:rPr>
      </w:pPr>
      <w:r>
        <w:rPr>
          <w:rFonts w:ascii="Arial" w:cs="Arial" w:eastAsia="Arial" w:hAnsi="Arial"/>
          <w:sz w:val="15"/>
          <w:szCs w:val="15"/>
          <w:b w:val="1"/>
          <w:bCs w:val="1"/>
          <w:color w:val="074A75"/>
        </w:rPr>
        <w:t>Education</w:t>
      </w:r>
    </w:p>
    <w:p>
      <w:pPr>
        <w:spacing w:after="0" w:line="59" w:lineRule="exact"/>
        <w:rPr>
          <w:rFonts w:ascii="Arial" w:cs="Arial" w:eastAsia="Arial" w:hAnsi="Arial"/>
          <w:sz w:val="15"/>
          <w:szCs w:val="15"/>
          <w:color w:val="074A75"/>
        </w:rPr>
      </w:pPr>
    </w:p>
    <w:p>
      <w:pPr>
        <w:ind w:left="200" w:hanging="192"/>
        <w:spacing w:after="0"/>
        <w:tabs>
          <w:tab w:leader="none" w:pos="200" w:val="left"/>
        </w:tabs>
        <w:numPr>
          <w:ilvl w:val="0"/>
          <w:numId w:val="41"/>
        </w:numPr>
        <w:rPr>
          <w:rFonts w:ascii="Arial" w:cs="Arial" w:eastAsia="Arial" w:hAnsi="Arial"/>
          <w:sz w:val="15"/>
          <w:szCs w:val="15"/>
          <w:color w:val="074A75"/>
        </w:rPr>
      </w:pPr>
      <w:r>
        <w:rPr>
          <w:rFonts w:ascii="Arial" w:cs="Arial" w:eastAsia="Arial" w:hAnsi="Arial"/>
          <w:sz w:val="15"/>
          <w:szCs w:val="15"/>
          <w:color w:val="auto"/>
        </w:rPr>
        <w:t>Graduate of Stanford University</w:t>
      </w:r>
    </w:p>
    <w:p>
      <w:pPr>
        <w:spacing w:after="0" w:line="43" w:lineRule="exact"/>
        <w:rPr>
          <w:rFonts w:ascii="Arial" w:cs="Arial" w:eastAsia="Arial" w:hAnsi="Arial"/>
          <w:sz w:val="15"/>
          <w:szCs w:val="15"/>
          <w:color w:val="074A75"/>
        </w:rPr>
      </w:pPr>
    </w:p>
    <w:p>
      <w:pPr>
        <w:ind w:left="200" w:hanging="192"/>
        <w:spacing w:after="0"/>
        <w:tabs>
          <w:tab w:leader="none" w:pos="200" w:val="left"/>
        </w:tabs>
        <w:numPr>
          <w:ilvl w:val="0"/>
          <w:numId w:val="41"/>
        </w:numPr>
        <w:rPr>
          <w:rFonts w:ascii="Arial" w:cs="Arial" w:eastAsia="Arial" w:hAnsi="Arial"/>
          <w:sz w:val="15"/>
          <w:szCs w:val="15"/>
          <w:color w:val="074A75"/>
        </w:rPr>
      </w:pPr>
      <w:r>
        <w:rPr>
          <w:rFonts w:ascii="Arial" w:cs="Arial" w:eastAsia="Arial" w:hAnsi="Arial"/>
          <w:sz w:val="15"/>
          <w:szCs w:val="15"/>
          <w:color w:val="auto"/>
        </w:rPr>
        <w:t>M.A., Public Policy, University of Michigan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 w:right="700"/>
        <w:spacing w:after="0" w:line="273" w:lineRule="auto"/>
        <w:rPr>
          <w:sz w:val="20"/>
          <w:szCs w:val="20"/>
          <w:color w:val="auto"/>
        </w:rPr>
      </w:pPr>
      <w:r>
        <w:rPr>
          <w:rFonts w:ascii="Arial" w:cs="Arial" w:eastAsia="Arial" w:hAnsi="Arial"/>
          <w:sz w:val="15"/>
          <w:szCs w:val="15"/>
          <w:b w:val="1"/>
          <w:bCs w:val="1"/>
          <w:color w:val="074A75"/>
        </w:rPr>
        <w:t>Other U.S.-Listed Public Company Directorships Within the Past Five Years</w:t>
      </w:r>
    </w:p>
    <w:p>
      <w:pPr>
        <w:spacing w:after="0" w:line="1" w:lineRule="exact"/>
        <w:rPr>
          <w:sz w:val="20"/>
          <w:szCs w:val="20"/>
          <w:color w:val="auto"/>
        </w:rPr>
      </w:pPr>
    </w:p>
    <w:p>
      <w:pPr>
        <w:ind w:left="181" w:hanging="181"/>
        <w:spacing w:after="0"/>
        <w:tabs>
          <w:tab w:leader="none" w:pos="181" w:val="left"/>
        </w:tabs>
        <w:numPr>
          <w:ilvl w:val="0"/>
          <w:numId w:val="42"/>
        </w:numPr>
        <w:rPr>
          <w:rFonts w:ascii="Arial" w:cs="Arial" w:eastAsia="Arial" w:hAnsi="Arial"/>
          <w:sz w:val="15"/>
          <w:szCs w:val="15"/>
          <w:color w:val="074A75"/>
        </w:rPr>
      </w:pPr>
      <w:r>
        <w:rPr>
          <w:rFonts w:ascii="Arial" w:cs="Arial" w:eastAsia="Arial" w:hAnsi="Arial"/>
          <w:sz w:val="15"/>
          <w:szCs w:val="15"/>
          <w:color w:val="auto"/>
        </w:rPr>
        <w:t>None</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074A75"/>
        </w:rPr>
        <w:t>Other Experience</w:t>
      </w:r>
    </w:p>
    <w:p>
      <w:pPr>
        <w:spacing w:after="0" w:line="59" w:lineRule="exact"/>
        <w:rPr>
          <w:sz w:val="20"/>
          <w:szCs w:val="20"/>
          <w:color w:val="auto"/>
        </w:rPr>
      </w:pPr>
    </w:p>
    <w:p>
      <w:pPr>
        <w:ind w:left="181" w:hanging="181"/>
        <w:spacing w:after="0"/>
        <w:tabs>
          <w:tab w:leader="none" w:pos="181" w:val="left"/>
        </w:tabs>
        <w:numPr>
          <w:ilvl w:val="0"/>
          <w:numId w:val="43"/>
        </w:numPr>
        <w:rPr>
          <w:rFonts w:ascii="Arial" w:cs="Arial" w:eastAsia="Arial" w:hAnsi="Arial"/>
          <w:sz w:val="15"/>
          <w:szCs w:val="15"/>
          <w:color w:val="074A75"/>
        </w:rPr>
      </w:pPr>
      <w:r>
        <w:rPr>
          <w:rFonts w:ascii="Arial" w:cs="Arial" w:eastAsia="Arial" w:hAnsi="Arial"/>
          <w:sz w:val="15"/>
          <w:szCs w:val="15"/>
          <w:color w:val="auto"/>
        </w:rPr>
        <w:t>Former Board Member, Risk Management Association</w:t>
      </w:r>
    </w:p>
    <w:p>
      <w:pPr>
        <w:spacing w:after="0" w:line="43" w:lineRule="exact"/>
        <w:rPr>
          <w:rFonts w:ascii="Arial" w:cs="Arial" w:eastAsia="Arial" w:hAnsi="Arial"/>
          <w:sz w:val="15"/>
          <w:szCs w:val="15"/>
          <w:color w:val="074A75"/>
        </w:rPr>
      </w:pPr>
    </w:p>
    <w:p>
      <w:pPr>
        <w:ind w:left="181" w:hanging="181"/>
        <w:spacing w:after="0"/>
        <w:tabs>
          <w:tab w:leader="none" w:pos="181" w:val="left"/>
        </w:tabs>
        <w:numPr>
          <w:ilvl w:val="0"/>
          <w:numId w:val="43"/>
        </w:numPr>
        <w:rPr>
          <w:rFonts w:ascii="Arial" w:cs="Arial" w:eastAsia="Arial" w:hAnsi="Arial"/>
          <w:sz w:val="15"/>
          <w:szCs w:val="15"/>
          <w:color w:val="074A75"/>
        </w:rPr>
      </w:pPr>
      <w:r>
        <w:rPr>
          <w:rFonts w:ascii="Arial" w:cs="Arial" w:eastAsia="Arial" w:hAnsi="Arial"/>
          <w:sz w:val="15"/>
          <w:szCs w:val="15"/>
          <w:color w:val="auto"/>
        </w:rPr>
        <w:t>Former Chair, Loan Syndications and Trading Association</w:t>
      </w:r>
    </w:p>
    <w:p>
      <w:pPr>
        <w:spacing w:after="0" w:line="57" w:lineRule="exact"/>
        <w:rPr>
          <w:rFonts w:ascii="Arial" w:cs="Arial" w:eastAsia="Arial" w:hAnsi="Arial"/>
          <w:sz w:val="15"/>
          <w:szCs w:val="15"/>
          <w:color w:val="074A75"/>
        </w:rPr>
      </w:pPr>
    </w:p>
    <w:p>
      <w:pPr>
        <w:ind w:left="181" w:hanging="181"/>
        <w:spacing w:after="0"/>
        <w:tabs>
          <w:tab w:leader="none" w:pos="181" w:val="left"/>
        </w:tabs>
        <w:numPr>
          <w:ilvl w:val="0"/>
          <w:numId w:val="43"/>
        </w:numPr>
        <w:rPr>
          <w:rFonts w:ascii="Arial" w:cs="Arial" w:eastAsia="Arial" w:hAnsi="Arial"/>
          <w:sz w:val="15"/>
          <w:szCs w:val="15"/>
          <w:color w:val="074A75"/>
        </w:rPr>
      </w:pPr>
      <w:r>
        <w:rPr>
          <w:rFonts w:ascii="Arial" w:cs="Arial" w:eastAsia="Arial" w:hAnsi="Arial"/>
          <w:sz w:val="15"/>
          <w:szCs w:val="15"/>
          <w:color w:val="auto"/>
        </w:rPr>
        <w:t>Board Member, Travis Mills Foundation</w:t>
      </w:r>
    </w:p>
    <w:p>
      <w:pPr>
        <w:spacing w:after="0" w:line="43" w:lineRule="exact"/>
        <w:rPr>
          <w:rFonts w:ascii="Arial" w:cs="Arial" w:eastAsia="Arial" w:hAnsi="Arial"/>
          <w:sz w:val="15"/>
          <w:szCs w:val="15"/>
          <w:color w:val="074A75"/>
        </w:rPr>
      </w:pPr>
    </w:p>
    <w:p>
      <w:pPr>
        <w:ind w:left="181" w:hanging="181"/>
        <w:spacing w:after="0"/>
        <w:tabs>
          <w:tab w:leader="none" w:pos="181" w:val="left"/>
        </w:tabs>
        <w:numPr>
          <w:ilvl w:val="0"/>
          <w:numId w:val="43"/>
        </w:numPr>
        <w:rPr>
          <w:rFonts w:ascii="Arial" w:cs="Arial" w:eastAsia="Arial" w:hAnsi="Arial"/>
          <w:sz w:val="15"/>
          <w:szCs w:val="15"/>
          <w:color w:val="074A75"/>
        </w:rPr>
      </w:pPr>
      <w:r>
        <w:rPr>
          <w:rFonts w:ascii="Arial" w:cs="Arial" w:eastAsia="Arial" w:hAnsi="Arial"/>
          <w:sz w:val="15"/>
          <w:szCs w:val="15"/>
          <w:color w:val="auto"/>
        </w:rPr>
        <w:t>Senior Advisor, The Brydon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681355</wp:posOffset>
            </wp:positionV>
            <wp:extent cx="274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48" w:lineRule="exact"/>
        <w:rPr>
          <w:sz w:val="20"/>
          <w:szCs w:val="20"/>
          <w:color w:val="auto"/>
        </w:rPr>
      </w:pPr>
    </w:p>
    <w:p>
      <w:pPr>
        <w:sectPr>
          <w:pgSz w:w="11900" w:h="16838" w:orient="portrait"/>
          <w:cols w:equalWidth="0" w:num="2">
            <w:col w:w="5179" w:space="720"/>
            <w:col w:w="5361"/>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  </w:t>
      </w:r>
      <w:r>
        <w:rPr>
          <w:sz w:val="1"/>
          <w:szCs w:val="1"/>
          <w:color w:val="auto"/>
        </w:rPr>
        <w:drawing>
          <wp:inline distT="0" distB="0" distL="0" distR="0">
            <wp:extent cx="2203450" cy="15430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-230505</wp:posOffset>
            </wp:positionV>
            <wp:extent cx="7683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-230505</wp:posOffset>
            </wp:positionV>
            <wp:extent cx="7747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-230505</wp:posOffset>
            </wp:positionV>
            <wp:extent cx="76835"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205" w:lineRule="exact"/>
        <w:rPr>
          <w:sz w:val="20"/>
          <w:szCs w:val="20"/>
          <w:color w:val="auto"/>
        </w:rPr>
      </w:pPr>
    </w:p>
    <w:p>
      <w:pPr>
        <w:ind w:left="1680"/>
        <w:spacing w:after="0"/>
        <w:rPr>
          <w:sz w:val="20"/>
          <w:szCs w:val="20"/>
          <w:color w:val="auto"/>
        </w:rPr>
      </w:pPr>
      <w:r>
        <w:rPr>
          <w:rFonts w:ascii="Arial" w:cs="Arial" w:eastAsia="Arial" w:hAnsi="Arial"/>
          <w:sz w:val="40"/>
          <w:szCs w:val="40"/>
          <w:color w:val="074A75"/>
        </w:rPr>
        <w:t>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-211455</wp:posOffset>
            </wp:positionV>
            <wp:extent cx="737235" cy="908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pacing w:after="0" w:line="44" w:lineRule="exact"/>
        <w:rPr>
          <w:sz w:val="20"/>
          <w:szCs w:val="20"/>
          <w:color w:val="auto"/>
        </w:rPr>
      </w:pPr>
    </w:p>
    <w:p>
      <w:pPr>
        <w:ind w:left="1680" w:right="4020"/>
        <w:spacing w:after="0" w:line="284" w:lineRule="auto"/>
        <w:rPr>
          <w:sz w:val="20"/>
          <w:szCs w:val="20"/>
          <w:color w:val="auto"/>
        </w:rPr>
      </w:pPr>
      <w:r>
        <w:rPr>
          <w:rFonts w:ascii="Arial" w:cs="Arial" w:eastAsia="Arial" w:hAnsi="Arial"/>
          <w:sz w:val="20"/>
          <w:szCs w:val="20"/>
          <w:i w:val="1"/>
          <w:iCs w:val="1"/>
          <w:color w:val="074A75"/>
        </w:rPr>
        <w:t>Chairman, President and Chief Executive Officer of GEICO and Investment Officer at Berkshire Hathaway Inc.</w:t>
      </w:r>
    </w:p>
    <w:p>
      <w:pPr>
        <w:spacing w:after="0" w:line="78" w:lineRule="exact"/>
        <w:rPr>
          <w:sz w:val="20"/>
          <w:szCs w:val="20"/>
          <w:color w:val="auto"/>
        </w:rPr>
      </w:pPr>
    </w:p>
    <w:tbl>
      <w:tblPr>
        <w:tblLayout w:type="fixed"/>
        <w:tblInd w:w="1680" w:type="dxa"/>
        <w:tblCellMar>
          <w:top w:w="0" w:type="dxa"/>
          <w:left w:w="0" w:type="dxa"/>
          <w:bottom w:w="0" w:type="dxa"/>
          <w:right w:w="0" w:type="dxa"/>
        </w:tblCellMar>
      </w:tblPr>
      <w:tr>
        <w:trPr>
          <w:trHeight w:val="176"/>
        </w:trPr>
        <w:tc>
          <w:tcPr>
            <w:tcW w:w="1880" w:type="dxa"/>
            <w:vAlign w:val="bottom"/>
          </w:tcPr>
          <w:p>
            <w:pPr>
              <w:spacing w:after="0"/>
              <w:rPr>
                <w:sz w:val="20"/>
                <w:szCs w:val="20"/>
                <w:color w:val="auto"/>
              </w:rPr>
            </w:pPr>
            <w:r>
              <w:rPr>
                <w:rFonts w:ascii="Arial" w:cs="Arial" w:eastAsia="Arial" w:hAnsi="Arial"/>
                <w:sz w:val="15"/>
                <w:szCs w:val="15"/>
                <w:b w:val="1"/>
                <w:bCs w:val="1"/>
                <w:color w:val="074A75"/>
              </w:rPr>
              <w:t xml:space="preserve">Age: </w:t>
            </w:r>
            <w:r>
              <w:rPr>
                <w:rFonts w:ascii="Arial" w:cs="Arial" w:eastAsia="Arial" w:hAnsi="Arial"/>
                <w:sz w:val="15"/>
                <w:szCs w:val="15"/>
                <w:color w:val="000000"/>
              </w:rPr>
              <w:t>53</w:t>
            </w:r>
          </w:p>
        </w:tc>
        <w:tc>
          <w:tcPr>
            <w:tcW w:w="4420" w:type="dxa"/>
            <w:vAlign w:val="bottom"/>
            <w:gridSpan w:val="2"/>
          </w:tcPr>
          <w:p>
            <w:pPr>
              <w:ind w:left="420"/>
              <w:spacing w:after="0"/>
              <w:rPr>
                <w:sz w:val="20"/>
                <w:szCs w:val="20"/>
                <w:color w:val="auto"/>
              </w:rPr>
            </w:pPr>
            <w:r>
              <w:rPr>
                <w:rFonts w:ascii="Arial" w:cs="Arial" w:eastAsia="Arial" w:hAnsi="Arial"/>
                <w:sz w:val="15"/>
                <w:szCs w:val="15"/>
                <w:b w:val="1"/>
                <w:bCs w:val="1"/>
                <w:color w:val="074A75"/>
              </w:rPr>
              <w:t>Committees:</w:t>
            </w:r>
          </w:p>
        </w:tc>
      </w:tr>
      <w:tr>
        <w:trPr>
          <w:trHeight w:val="217"/>
        </w:trPr>
        <w:tc>
          <w:tcPr>
            <w:tcW w:w="1880" w:type="dxa"/>
            <w:vAlign w:val="bottom"/>
          </w:tcPr>
          <w:p>
            <w:pPr>
              <w:spacing w:after="0"/>
              <w:rPr>
                <w:sz w:val="20"/>
                <w:szCs w:val="20"/>
                <w:color w:val="auto"/>
              </w:rPr>
            </w:pPr>
            <w:r>
              <w:rPr>
                <w:rFonts w:ascii="Arial" w:cs="Arial" w:eastAsia="Arial" w:hAnsi="Arial"/>
                <w:sz w:val="15"/>
                <w:szCs w:val="15"/>
                <w:b w:val="1"/>
                <w:bCs w:val="1"/>
                <w:color w:val="074A75"/>
              </w:rPr>
              <w:t xml:space="preserve">Director since: </w:t>
            </w:r>
            <w:r>
              <w:rPr>
                <w:rFonts w:ascii="Arial" w:cs="Arial" w:eastAsia="Arial" w:hAnsi="Arial"/>
                <w:sz w:val="15"/>
                <w:szCs w:val="15"/>
                <w:color w:val="000000"/>
              </w:rPr>
              <w:t>2016</w:t>
            </w:r>
          </w:p>
        </w:tc>
        <w:tc>
          <w:tcPr>
            <w:tcW w:w="560" w:type="dxa"/>
            <w:vAlign w:val="bottom"/>
          </w:tcPr>
          <w:p>
            <w:pPr>
              <w:ind w:left="420"/>
              <w:spacing w:after="0"/>
              <w:rPr>
                <w:sz w:val="20"/>
                <w:szCs w:val="20"/>
                <w:color w:val="auto"/>
              </w:rPr>
            </w:pPr>
            <w:r>
              <w:rPr>
                <w:rFonts w:ascii="Arial" w:cs="Arial" w:eastAsia="Arial" w:hAnsi="Arial"/>
                <w:sz w:val="18"/>
                <w:szCs w:val="18"/>
                <w:color w:val="074A75"/>
              </w:rPr>
              <w:t>•</w:t>
            </w:r>
          </w:p>
        </w:tc>
        <w:tc>
          <w:tcPr>
            <w:tcW w:w="3860" w:type="dxa"/>
            <w:vAlign w:val="bottom"/>
          </w:tcPr>
          <w:p>
            <w:pPr>
              <w:ind w:left="60"/>
              <w:spacing w:after="0"/>
              <w:rPr>
                <w:sz w:val="20"/>
                <w:szCs w:val="20"/>
                <w:color w:val="auto"/>
              </w:rPr>
            </w:pPr>
            <w:r>
              <w:rPr>
                <w:rFonts w:ascii="Arial" w:cs="Arial" w:eastAsia="Arial" w:hAnsi="Arial"/>
                <w:sz w:val="15"/>
                <w:szCs w:val="15"/>
                <w:color w:val="auto"/>
              </w:rPr>
              <w:t>Corporate Governance &amp; Nominating Committee (Chair)</w:t>
            </w:r>
          </w:p>
        </w:tc>
      </w:tr>
      <w:tr>
        <w:trPr>
          <w:trHeight w:val="239"/>
        </w:trPr>
        <w:tc>
          <w:tcPr>
            <w:tcW w:w="1880" w:type="dxa"/>
            <w:vAlign w:val="bottom"/>
          </w:tcPr>
          <w:p>
            <w:pPr>
              <w:spacing w:after="0"/>
              <w:rPr>
                <w:sz w:val="20"/>
                <w:szCs w:val="20"/>
                <w:color w:val="auto"/>
              </w:rPr>
            </w:pPr>
          </w:p>
        </w:tc>
        <w:tc>
          <w:tcPr>
            <w:tcW w:w="560" w:type="dxa"/>
            <w:vAlign w:val="bottom"/>
          </w:tcPr>
          <w:p>
            <w:pPr>
              <w:ind w:left="420"/>
              <w:spacing w:after="0"/>
              <w:rPr>
                <w:sz w:val="20"/>
                <w:szCs w:val="20"/>
                <w:color w:val="auto"/>
              </w:rPr>
            </w:pPr>
            <w:r>
              <w:rPr>
                <w:rFonts w:ascii="Arial" w:cs="Arial" w:eastAsia="Arial" w:hAnsi="Arial"/>
                <w:sz w:val="18"/>
                <w:szCs w:val="18"/>
                <w:color w:val="074A75"/>
              </w:rPr>
              <w:t>•</w:t>
            </w:r>
          </w:p>
        </w:tc>
        <w:tc>
          <w:tcPr>
            <w:tcW w:w="3860" w:type="dxa"/>
            <w:vAlign w:val="bottom"/>
          </w:tcPr>
          <w:p>
            <w:pPr>
              <w:ind w:left="60"/>
              <w:spacing w:after="0"/>
              <w:rPr>
                <w:sz w:val="20"/>
                <w:szCs w:val="20"/>
                <w:color w:val="auto"/>
              </w:rPr>
            </w:pPr>
            <w:r>
              <w:rPr>
                <w:rFonts w:ascii="Arial" w:cs="Arial" w:eastAsia="Arial" w:hAnsi="Arial"/>
                <w:sz w:val="15"/>
                <w:szCs w:val="15"/>
                <w:color w:val="auto"/>
              </w:rPr>
              <w:t>Compensation &amp; Management Development Committee</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064A75"/>
        </w:rPr>
        <w:t>Qualification Highlights</w:t>
      </w:r>
    </w:p>
    <w:p>
      <w:pPr>
        <w:spacing w:after="0" w:line="44" w:lineRule="exact"/>
        <w:rPr>
          <w:sz w:val="20"/>
          <w:szCs w:val="20"/>
          <w:color w:val="auto"/>
        </w:rPr>
      </w:pPr>
    </w:p>
    <w:p>
      <w:pPr>
        <w:ind w:left="200" w:right="120" w:hanging="192"/>
        <w:spacing w:after="0" w:line="272" w:lineRule="auto"/>
        <w:tabs>
          <w:tab w:leader="none" w:pos="194" w:val="left"/>
        </w:tabs>
        <w:numPr>
          <w:ilvl w:val="0"/>
          <w:numId w:val="44"/>
        </w:numPr>
        <w:rPr>
          <w:rFonts w:ascii="Arial" w:cs="Arial" w:eastAsia="Arial" w:hAnsi="Arial"/>
          <w:sz w:val="15"/>
          <w:szCs w:val="15"/>
          <w:color w:val="074A75"/>
        </w:rPr>
      </w:pPr>
      <w:r>
        <w:rPr>
          <w:rFonts w:ascii="Arial" w:cs="Arial" w:eastAsia="Arial" w:hAnsi="Arial"/>
          <w:sz w:val="15"/>
          <w:szCs w:val="15"/>
          <w:b w:val="1"/>
          <w:bCs w:val="1"/>
          <w:color w:val="auto"/>
        </w:rPr>
        <w:t xml:space="preserve">Public Company Governance: </w:t>
      </w:r>
      <w:r>
        <w:rPr>
          <w:rFonts w:ascii="Arial" w:cs="Arial" w:eastAsia="Arial" w:hAnsi="Arial"/>
          <w:sz w:val="15"/>
          <w:szCs w:val="15"/>
          <w:color w:val="auto"/>
        </w:rPr>
        <w:t>As Investment Officer at Berkshire Hathaway, brings a rigorous investor perspective to public company governance practices and</w:t>
      </w:r>
      <w:r>
        <w:rPr>
          <w:rFonts w:ascii="Arial" w:cs="Arial" w:eastAsia="Arial" w:hAnsi="Arial"/>
          <w:sz w:val="15"/>
          <w:szCs w:val="15"/>
          <w:b w:val="1"/>
          <w:bCs w:val="1"/>
          <w:color w:val="auto"/>
        </w:rPr>
        <w:t xml:space="preserve"> </w:t>
      </w:r>
      <w:r>
        <w:rPr>
          <w:rFonts w:ascii="Arial" w:cs="Arial" w:eastAsia="Arial" w:hAnsi="Arial"/>
          <w:sz w:val="15"/>
          <w:szCs w:val="15"/>
          <w:color w:val="auto"/>
        </w:rPr>
        <w:t>their effect on shareholder interests</w:t>
      </w:r>
    </w:p>
    <w:p>
      <w:pPr>
        <w:ind w:left="200" w:right="220" w:hanging="192"/>
        <w:spacing w:after="0" w:line="281" w:lineRule="auto"/>
        <w:tabs>
          <w:tab w:leader="none" w:pos="194" w:val="left"/>
        </w:tabs>
        <w:numPr>
          <w:ilvl w:val="0"/>
          <w:numId w:val="44"/>
        </w:numPr>
        <w:rPr>
          <w:rFonts w:ascii="Arial" w:cs="Arial" w:eastAsia="Arial" w:hAnsi="Arial"/>
          <w:sz w:val="15"/>
          <w:szCs w:val="15"/>
          <w:color w:val="074A75"/>
        </w:rPr>
      </w:pPr>
      <w:r>
        <w:rPr>
          <w:rFonts w:ascii="Arial" w:cs="Arial" w:eastAsia="Arial" w:hAnsi="Arial"/>
          <w:sz w:val="15"/>
          <w:szCs w:val="15"/>
          <w:b w:val="1"/>
          <w:bCs w:val="1"/>
          <w:color w:val="auto"/>
        </w:rPr>
        <w:t xml:space="preserve">Human Capital Management: </w:t>
      </w:r>
      <w:r>
        <w:rPr>
          <w:rFonts w:ascii="Arial" w:cs="Arial" w:eastAsia="Arial" w:hAnsi="Arial"/>
          <w:sz w:val="15"/>
          <w:szCs w:val="15"/>
          <w:color w:val="auto"/>
        </w:rPr>
        <w:t>Deep experience and insight into management succession planning and compensation matters as President and CEO of GEICO</w:t>
      </w:r>
      <w:r>
        <w:rPr>
          <w:rFonts w:ascii="Arial" w:cs="Arial" w:eastAsia="Arial" w:hAnsi="Arial"/>
          <w:sz w:val="15"/>
          <w:szCs w:val="15"/>
          <w:b w:val="1"/>
          <w:bCs w:val="1"/>
          <w:color w:val="auto"/>
        </w:rPr>
        <w:t xml:space="preserve"> </w:t>
      </w:r>
      <w:r>
        <w:rPr>
          <w:rFonts w:ascii="Arial" w:cs="Arial" w:eastAsia="Arial" w:hAnsi="Arial"/>
          <w:sz w:val="15"/>
          <w:szCs w:val="15"/>
          <w:color w:val="auto"/>
        </w:rPr>
        <w:t>and through service on Berkshire Hathaway subsidiary boards</w:t>
      </w:r>
    </w:p>
    <w:p>
      <w:pPr>
        <w:spacing w:after="0" w:line="1" w:lineRule="exact"/>
        <w:rPr>
          <w:rFonts w:ascii="Arial" w:cs="Arial" w:eastAsia="Arial" w:hAnsi="Arial"/>
          <w:sz w:val="15"/>
          <w:szCs w:val="15"/>
          <w:color w:val="074A75"/>
        </w:rPr>
      </w:pPr>
    </w:p>
    <w:p>
      <w:pPr>
        <w:ind w:left="200" w:hanging="192"/>
        <w:spacing w:after="0"/>
        <w:tabs>
          <w:tab w:leader="none" w:pos="200" w:val="left"/>
        </w:tabs>
        <w:numPr>
          <w:ilvl w:val="0"/>
          <w:numId w:val="44"/>
        </w:numPr>
        <w:rPr>
          <w:rFonts w:ascii="Arial" w:cs="Arial" w:eastAsia="Arial" w:hAnsi="Arial"/>
          <w:sz w:val="15"/>
          <w:szCs w:val="15"/>
          <w:color w:val="074A75"/>
        </w:rPr>
      </w:pPr>
      <w:r>
        <w:rPr>
          <w:rFonts w:ascii="Arial" w:cs="Arial" w:eastAsia="Arial" w:hAnsi="Arial"/>
          <w:sz w:val="15"/>
          <w:szCs w:val="15"/>
          <w:b w:val="1"/>
          <w:bCs w:val="1"/>
          <w:color w:val="auto"/>
        </w:rPr>
        <w:t xml:space="preserve">Financial Services: </w:t>
      </w:r>
      <w:r>
        <w:rPr>
          <w:rFonts w:ascii="Arial" w:cs="Arial" w:eastAsia="Arial" w:hAnsi="Arial"/>
          <w:sz w:val="15"/>
          <w:szCs w:val="15"/>
          <w:color w:val="auto"/>
        </w:rPr>
        <w:t>Investment management and financial markets expertise through more than two decades of executive experience</w:t>
      </w:r>
    </w:p>
    <w:p>
      <w:pPr>
        <w:spacing w:after="0" w:line="43" w:lineRule="exact"/>
        <w:rPr>
          <w:rFonts w:ascii="Arial" w:cs="Arial" w:eastAsia="Arial" w:hAnsi="Arial"/>
          <w:sz w:val="15"/>
          <w:szCs w:val="15"/>
          <w:color w:val="074A75"/>
        </w:rPr>
      </w:pPr>
    </w:p>
    <w:p>
      <w:pPr>
        <w:ind w:left="200" w:hanging="192"/>
        <w:spacing w:after="0"/>
        <w:tabs>
          <w:tab w:leader="none" w:pos="200" w:val="left"/>
        </w:tabs>
        <w:numPr>
          <w:ilvl w:val="0"/>
          <w:numId w:val="44"/>
        </w:numPr>
        <w:rPr>
          <w:rFonts w:ascii="Arial" w:cs="Arial" w:eastAsia="Arial" w:hAnsi="Arial"/>
          <w:sz w:val="15"/>
          <w:szCs w:val="15"/>
          <w:color w:val="074A75"/>
        </w:rPr>
      </w:pPr>
      <w:r>
        <w:rPr>
          <w:rFonts w:ascii="Arial" w:cs="Arial" w:eastAsia="Arial" w:hAnsi="Arial"/>
          <w:sz w:val="15"/>
          <w:szCs w:val="15"/>
          <w:b w:val="1"/>
          <w:bCs w:val="1"/>
          <w:color w:val="auto"/>
        </w:rPr>
        <w:t xml:space="preserve">Regulated Industries: </w:t>
      </w:r>
      <w:r>
        <w:rPr>
          <w:rFonts w:ascii="Arial" w:cs="Arial" w:eastAsia="Arial" w:hAnsi="Arial"/>
          <w:sz w:val="15"/>
          <w:szCs w:val="15"/>
          <w:color w:val="auto"/>
        </w:rPr>
        <w:t>Experience managing complex governmental and regulatory matters as the CEO of a business in the highly regulated insurance industry</w:t>
      </w:r>
    </w:p>
    <w:p>
      <w:pPr>
        <w:sectPr>
          <w:pgSz w:w="11900" w:h="16838" w:orient="portrait"/>
          <w:cols w:equalWidth="0" w:num="1">
            <w:col w:w="11260"/>
          </w:cols>
          <w:pgMar w:left="320" w:top="157" w:right="31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Career Highlights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Berkshire Hathaway Inc., a holding company whose subsidiaries engage in</w:t>
      </w:r>
    </w:p>
    <w:p>
      <w:pPr>
        <w:spacing w:after="0" w:line="11" w:lineRule="exact"/>
        <w:rPr>
          <w:sz w:val="20"/>
          <w:szCs w:val="20"/>
          <w:color w:val="auto"/>
        </w:rPr>
      </w:pPr>
    </w:p>
    <w:p>
      <w:pPr>
        <w:ind w:right="319"/>
        <w:spacing w:after="0" w:line="243" w:lineRule="auto"/>
        <w:rPr>
          <w:sz w:val="20"/>
          <w:szCs w:val="20"/>
          <w:color w:val="auto"/>
        </w:rPr>
      </w:pPr>
      <w:r>
        <w:rPr>
          <w:rFonts w:ascii="Arial" w:cs="Arial" w:eastAsia="Arial" w:hAnsi="Arial"/>
          <w:sz w:val="15"/>
          <w:szCs w:val="15"/>
          <w:color w:val="auto"/>
        </w:rPr>
        <w:t>a number of diverse business activities including finance, insurance and reinsurance, and utilities and energy</w:t>
      </w:r>
    </w:p>
    <w:p>
      <w:pPr>
        <w:spacing w:after="0" w:line="1" w:lineRule="exact"/>
        <w:rPr>
          <w:sz w:val="20"/>
          <w:szCs w:val="20"/>
          <w:color w:val="auto"/>
        </w:rPr>
      </w:pPr>
    </w:p>
    <w:p>
      <w:pPr>
        <w:ind w:left="200" w:right="219" w:hanging="192"/>
        <w:spacing w:after="0" w:line="262" w:lineRule="auto"/>
        <w:tabs>
          <w:tab w:leader="none" w:pos="194" w:val="left"/>
        </w:tabs>
        <w:numPr>
          <w:ilvl w:val="0"/>
          <w:numId w:val="45"/>
        </w:numPr>
        <w:rPr>
          <w:rFonts w:ascii="Arial" w:cs="Arial" w:eastAsia="Arial" w:hAnsi="Arial"/>
          <w:sz w:val="15"/>
          <w:szCs w:val="15"/>
          <w:color w:val="074A75"/>
        </w:rPr>
      </w:pPr>
      <w:r>
        <w:rPr>
          <w:rFonts w:ascii="Arial" w:cs="Arial" w:eastAsia="Arial" w:hAnsi="Arial"/>
          <w:sz w:val="15"/>
          <w:szCs w:val="15"/>
          <w:color w:val="auto"/>
        </w:rPr>
        <w:t>Chairman, President and Chief Executive Officer, GEICO, a subsidiary of Berkshire Hathaway (since 2020)</w:t>
      </w:r>
    </w:p>
    <w:p>
      <w:pPr>
        <w:spacing w:after="0" w:line="1" w:lineRule="exact"/>
        <w:rPr>
          <w:rFonts w:ascii="Arial" w:cs="Arial" w:eastAsia="Arial" w:hAnsi="Arial"/>
          <w:sz w:val="15"/>
          <w:szCs w:val="15"/>
          <w:color w:val="074A75"/>
        </w:rPr>
      </w:pPr>
    </w:p>
    <w:p>
      <w:pPr>
        <w:ind w:left="200" w:hanging="192"/>
        <w:spacing w:after="0"/>
        <w:tabs>
          <w:tab w:leader="none" w:pos="200" w:val="left"/>
        </w:tabs>
        <w:numPr>
          <w:ilvl w:val="0"/>
          <w:numId w:val="45"/>
        </w:numPr>
        <w:rPr>
          <w:rFonts w:ascii="Arial" w:cs="Arial" w:eastAsia="Arial" w:hAnsi="Arial"/>
          <w:sz w:val="15"/>
          <w:szCs w:val="15"/>
          <w:color w:val="074A75"/>
        </w:rPr>
      </w:pPr>
      <w:r>
        <w:rPr>
          <w:rFonts w:ascii="Arial" w:cs="Arial" w:eastAsia="Arial" w:hAnsi="Arial"/>
          <w:sz w:val="15"/>
          <w:szCs w:val="15"/>
          <w:color w:val="auto"/>
        </w:rPr>
        <w:t>Investment Officer (since 2010)</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Castle Point Capital Management, an investment management firm</w:t>
      </w:r>
    </w:p>
    <w:p>
      <w:pPr>
        <w:spacing w:after="0" w:line="30"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5"/>
          <w:szCs w:val="15"/>
          <w:color w:val="074A75"/>
        </w:rPr>
      </w:pPr>
      <w:r>
        <w:rPr>
          <w:rFonts w:ascii="Arial" w:cs="Arial" w:eastAsia="Arial" w:hAnsi="Arial"/>
          <w:sz w:val="15"/>
          <w:szCs w:val="15"/>
          <w:color w:val="auto"/>
        </w:rPr>
        <w:t>Chief Executive Officer and Managing Member (2005–2010)</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Education</w:t>
      </w:r>
    </w:p>
    <w:p>
      <w:pPr>
        <w:spacing w:after="0" w:line="38"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5"/>
          <w:szCs w:val="15"/>
          <w:color w:val="074A75"/>
        </w:rPr>
      </w:pPr>
      <w:r>
        <w:rPr>
          <w:rFonts w:ascii="Arial" w:cs="Arial" w:eastAsia="Arial" w:hAnsi="Arial"/>
          <w:sz w:val="15"/>
          <w:szCs w:val="15"/>
          <w:color w:val="auto"/>
        </w:rPr>
        <w:t>Graduate of Florida State University</w:t>
      </w:r>
    </w:p>
    <w:p>
      <w:pPr>
        <w:spacing w:after="0" w:line="24" w:lineRule="exact"/>
        <w:rPr>
          <w:rFonts w:ascii="Arial" w:cs="Arial" w:eastAsia="Arial" w:hAnsi="Arial"/>
          <w:sz w:val="15"/>
          <w:szCs w:val="15"/>
          <w:color w:val="074A75"/>
        </w:rPr>
      </w:pPr>
    </w:p>
    <w:p>
      <w:pPr>
        <w:ind w:left="200" w:hanging="192"/>
        <w:spacing w:after="0"/>
        <w:tabs>
          <w:tab w:leader="none" w:pos="200" w:val="left"/>
        </w:tabs>
        <w:numPr>
          <w:ilvl w:val="0"/>
          <w:numId w:val="47"/>
        </w:numPr>
        <w:rPr>
          <w:rFonts w:ascii="Arial" w:cs="Arial" w:eastAsia="Arial" w:hAnsi="Arial"/>
          <w:sz w:val="15"/>
          <w:szCs w:val="15"/>
          <w:color w:val="074A75"/>
        </w:rPr>
      </w:pPr>
      <w:r>
        <w:rPr>
          <w:rFonts w:ascii="Arial" w:cs="Arial" w:eastAsia="Arial" w:hAnsi="Arial"/>
          <w:sz w:val="15"/>
          <w:szCs w:val="15"/>
          <w:color w:val="auto"/>
        </w:rPr>
        <w:t>M.B.A., Columbia Business School</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 w:right="700"/>
        <w:spacing w:after="0" w:line="268" w:lineRule="auto"/>
        <w:rPr>
          <w:sz w:val="20"/>
          <w:szCs w:val="20"/>
          <w:color w:val="auto"/>
        </w:rPr>
      </w:pPr>
      <w:r>
        <w:rPr>
          <w:rFonts w:ascii="Arial" w:cs="Arial" w:eastAsia="Arial" w:hAnsi="Arial"/>
          <w:sz w:val="15"/>
          <w:szCs w:val="15"/>
          <w:b w:val="1"/>
          <w:bCs w:val="1"/>
          <w:color w:val="074A75"/>
        </w:rPr>
        <w:t>Other U.S.-Listed Public Company Directorships Within the Past Five Years</w:t>
      </w:r>
    </w:p>
    <w:p>
      <w:pPr>
        <w:spacing w:after="0" w:line="1" w:lineRule="exact"/>
        <w:rPr>
          <w:sz w:val="20"/>
          <w:szCs w:val="20"/>
          <w:color w:val="auto"/>
        </w:rPr>
      </w:pPr>
    </w:p>
    <w:p>
      <w:pPr>
        <w:ind w:left="181" w:hanging="181"/>
        <w:spacing w:after="0"/>
        <w:tabs>
          <w:tab w:leader="none" w:pos="181" w:val="left"/>
        </w:tabs>
        <w:numPr>
          <w:ilvl w:val="0"/>
          <w:numId w:val="48"/>
        </w:numPr>
        <w:rPr>
          <w:rFonts w:ascii="Arial" w:cs="Arial" w:eastAsia="Arial" w:hAnsi="Arial"/>
          <w:sz w:val="15"/>
          <w:szCs w:val="15"/>
          <w:color w:val="074A75"/>
        </w:rPr>
      </w:pPr>
      <w:r>
        <w:rPr>
          <w:rFonts w:ascii="Arial" w:cs="Arial" w:eastAsia="Arial" w:hAnsi="Arial"/>
          <w:sz w:val="15"/>
          <w:szCs w:val="15"/>
          <w:color w:val="auto"/>
        </w:rPr>
        <w:t>None</w:t>
      </w:r>
    </w:p>
    <w:p>
      <w:pPr>
        <w:spacing w:after="0" w:line="63"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074A75"/>
        </w:rPr>
        <w:t>Other Experience</w:t>
      </w:r>
    </w:p>
    <w:p>
      <w:pPr>
        <w:spacing w:after="0" w:line="38" w:lineRule="exact"/>
        <w:rPr>
          <w:sz w:val="20"/>
          <w:szCs w:val="20"/>
          <w:color w:val="auto"/>
        </w:rPr>
      </w:pPr>
    </w:p>
    <w:p>
      <w:pPr>
        <w:ind w:left="181" w:hanging="181"/>
        <w:spacing w:after="0"/>
        <w:tabs>
          <w:tab w:leader="none" w:pos="181" w:val="left"/>
        </w:tabs>
        <w:numPr>
          <w:ilvl w:val="0"/>
          <w:numId w:val="49"/>
        </w:numPr>
        <w:rPr>
          <w:rFonts w:ascii="Arial" w:cs="Arial" w:eastAsia="Arial" w:hAnsi="Arial"/>
          <w:sz w:val="15"/>
          <w:szCs w:val="15"/>
          <w:color w:val="074A75"/>
        </w:rPr>
      </w:pPr>
      <w:r>
        <w:rPr>
          <w:rFonts w:ascii="Arial" w:cs="Arial" w:eastAsia="Arial" w:hAnsi="Arial"/>
          <w:sz w:val="15"/>
          <w:szCs w:val="15"/>
          <w:color w:val="auto"/>
        </w:rPr>
        <w:t>Board Member, Precision Castparts Corp.</w:t>
      </w:r>
    </w:p>
    <w:p>
      <w:pPr>
        <w:spacing w:after="0" w:line="24" w:lineRule="exact"/>
        <w:rPr>
          <w:rFonts w:ascii="Arial" w:cs="Arial" w:eastAsia="Arial" w:hAnsi="Arial"/>
          <w:sz w:val="15"/>
          <w:szCs w:val="15"/>
          <w:color w:val="074A75"/>
        </w:rPr>
      </w:pPr>
    </w:p>
    <w:p>
      <w:pPr>
        <w:ind w:left="181" w:hanging="181"/>
        <w:spacing w:after="0"/>
        <w:tabs>
          <w:tab w:leader="none" w:pos="181" w:val="left"/>
        </w:tabs>
        <w:numPr>
          <w:ilvl w:val="0"/>
          <w:numId w:val="49"/>
        </w:numPr>
        <w:rPr>
          <w:rFonts w:ascii="Arial" w:cs="Arial" w:eastAsia="Arial" w:hAnsi="Arial"/>
          <w:sz w:val="15"/>
          <w:szCs w:val="15"/>
          <w:color w:val="074A75"/>
        </w:rPr>
      </w:pPr>
      <w:r>
        <w:rPr>
          <w:rFonts w:ascii="Arial" w:cs="Arial" w:eastAsia="Arial" w:hAnsi="Arial"/>
          <w:sz w:val="15"/>
          <w:szCs w:val="15"/>
          <w:color w:val="auto"/>
        </w:rPr>
        <w:t>Board Member, Duracell Inc.</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49"/>
        </w:numPr>
        <w:rPr>
          <w:rFonts w:ascii="Arial" w:cs="Arial" w:eastAsia="Arial" w:hAnsi="Arial"/>
          <w:sz w:val="15"/>
          <w:szCs w:val="15"/>
          <w:color w:val="074A75"/>
        </w:rPr>
      </w:pPr>
      <w:r>
        <w:rPr>
          <w:rFonts w:ascii="Arial" w:cs="Arial" w:eastAsia="Arial" w:hAnsi="Arial"/>
          <w:sz w:val="15"/>
          <w:szCs w:val="15"/>
          <w:color w:val="auto"/>
        </w:rPr>
        <w:t>Board Member, Charter Brokerage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775970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5" w:lineRule="exact"/>
        <w:rPr>
          <w:sz w:val="20"/>
          <w:szCs w:val="20"/>
          <w:color w:val="auto"/>
        </w:rPr>
      </w:pPr>
    </w:p>
    <w:p>
      <w:pPr>
        <w:sectPr>
          <w:pgSz w:w="11900" w:h="16838" w:orient="portrait"/>
          <w:cols w:equalWidth="0" w:num="2">
            <w:col w:w="5179" w:space="720"/>
            <w:col w:w="5361"/>
          </w:cols>
          <w:pgMar w:left="320" w:top="157" w:right="319" w:bottom="1440" w:gutter="0" w:footer="0" w:header="0"/>
          <w:type w:val="continuous"/>
        </w:sectPr>
      </w:pPr>
    </w:p>
    <w:p>
      <w:pPr>
        <w:spacing w:after="0" w:line="342" w:lineRule="exact"/>
        <w:rPr>
          <w:sz w:val="20"/>
          <w:szCs w:val="20"/>
          <w:color w:val="auto"/>
        </w:rPr>
      </w:pPr>
    </w:p>
    <w:p>
      <w:pPr>
        <w:ind w:left="1680"/>
        <w:spacing w:after="0"/>
        <w:rPr>
          <w:sz w:val="20"/>
          <w:szCs w:val="20"/>
          <w:color w:val="auto"/>
        </w:rPr>
      </w:pPr>
      <w:r>
        <w:rPr>
          <w:rFonts w:ascii="Arial" w:cs="Arial" w:eastAsia="Arial" w:hAnsi="Arial"/>
          <w:sz w:val="40"/>
          <w:szCs w:val="40"/>
          <w:color w:val="074A75"/>
        </w:rPr>
        <w:t>Alicia Boler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-245745</wp:posOffset>
            </wp:positionV>
            <wp:extent cx="728345" cy="900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345" cy="900430"/>
                    </a:xfrm>
                    <a:prstGeom prst="rect">
                      <a:avLst/>
                    </a:prstGeom>
                    <a:noFill/>
                  </pic:spPr>
                </pic:pic>
              </a:graphicData>
            </a:graphic>
          </wp:anchor>
        </w:drawing>
      </w:r>
    </w:p>
    <w:p>
      <w:pPr>
        <w:spacing w:after="0" w:line="57" w:lineRule="exact"/>
        <w:rPr>
          <w:sz w:val="20"/>
          <w:szCs w:val="20"/>
          <w:color w:val="auto"/>
        </w:rPr>
      </w:pPr>
    </w:p>
    <w:p>
      <w:pPr>
        <w:ind w:left="1680"/>
        <w:spacing w:after="0"/>
        <w:rPr>
          <w:sz w:val="20"/>
          <w:szCs w:val="20"/>
          <w:color w:val="auto"/>
        </w:rPr>
      </w:pPr>
      <w:r>
        <w:rPr>
          <w:rFonts w:ascii="Arial" w:cs="Arial" w:eastAsia="Arial" w:hAnsi="Arial"/>
          <w:sz w:val="20"/>
          <w:szCs w:val="20"/>
          <w:i w:val="1"/>
          <w:iCs w:val="1"/>
          <w:color w:val="074A75"/>
        </w:rPr>
        <w:t>Chief Executive Officer of Alto Pharmacy, LLC</w:t>
      </w:r>
    </w:p>
    <w:p>
      <w:pPr>
        <w:spacing w:after="0" w:line="146" w:lineRule="exact"/>
        <w:rPr>
          <w:sz w:val="20"/>
          <w:szCs w:val="20"/>
          <w:color w:val="auto"/>
        </w:rPr>
      </w:pPr>
    </w:p>
    <w:tbl>
      <w:tblPr>
        <w:tblLayout w:type="fixed"/>
        <w:tblInd w:w="168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5"/>
                <w:szCs w:val="15"/>
                <w:b w:val="1"/>
                <w:bCs w:val="1"/>
                <w:color w:val="074A75"/>
              </w:rPr>
              <w:t xml:space="preserve">Age: </w:t>
            </w:r>
            <w:r>
              <w:rPr>
                <w:rFonts w:ascii="Arial" w:cs="Arial" w:eastAsia="Arial" w:hAnsi="Arial"/>
                <w:sz w:val="15"/>
                <w:szCs w:val="15"/>
                <w:color w:val="000000"/>
              </w:rPr>
              <w:t>55</w:t>
            </w:r>
          </w:p>
        </w:tc>
        <w:tc>
          <w:tcPr>
            <w:tcW w:w="1760" w:type="dxa"/>
            <w:vAlign w:val="bottom"/>
          </w:tcPr>
          <w:p>
            <w:pPr>
              <w:ind w:left="480"/>
              <w:spacing w:after="0"/>
              <w:rPr>
                <w:sz w:val="20"/>
                <w:szCs w:val="20"/>
                <w:color w:val="auto"/>
              </w:rPr>
            </w:pPr>
            <w:r>
              <w:rPr>
                <w:rFonts w:ascii="Arial" w:cs="Arial" w:eastAsia="Arial" w:hAnsi="Arial"/>
                <w:sz w:val="15"/>
                <w:szCs w:val="15"/>
                <w:b w:val="1"/>
                <w:bCs w:val="1"/>
                <w:color w:val="074A75"/>
              </w:rPr>
              <w:t>Committees:</w:t>
            </w:r>
          </w:p>
        </w:tc>
      </w:tr>
      <w:tr>
        <w:trPr>
          <w:trHeight w:val="245"/>
        </w:trPr>
        <w:tc>
          <w:tcPr>
            <w:tcW w:w="1940" w:type="dxa"/>
            <w:vAlign w:val="bottom"/>
          </w:tcPr>
          <w:p>
            <w:pPr>
              <w:spacing w:after="0"/>
              <w:rPr>
                <w:sz w:val="20"/>
                <w:szCs w:val="20"/>
                <w:color w:val="auto"/>
              </w:rPr>
            </w:pPr>
            <w:r>
              <w:rPr>
                <w:rFonts w:ascii="Arial" w:cs="Arial" w:eastAsia="Arial" w:hAnsi="Arial"/>
                <w:sz w:val="15"/>
                <w:szCs w:val="15"/>
                <w:b w:val="1"/>
                <w:bCs w:val="1"/>
                <w:color w:val="074A75"/>
              </w:rPr>
              <w:t xml:space="preserve">Director since: </w:t>
            </w:r>
            <w:r>
              <w:rPr>
                <w:rFonts w:ascii="Arial" w:cs="Arial" w:eastAsia="Arial" w:hAnsi="Arial"/>
                <w:sz w:val="15"/>
                <w:szCs w:val="15"/>
                <w:color w:val="000000"/>
              </w:rPr>
              <w:t>2023</w:t>
            </w:r>
          </w:p>
        </w:tc>
        <w:tc>
          <w:tcPr>
            <w:tcW w:w="1760" w:type="dxa"/>
            <w:vAlign w:val="bottom"/>
          </w:tcPr>
          <w:p>
            <w:pPr>
              <w:ind w:left="48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5"/>
                <w:szCs w:val="15"/>
                <w:color w:val="000000"/>
              </w:rPr>
              <w:t>Risk Committee</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064A75"/>
        </w:rPr>
        <w:t>Qualification Highlights</w:t>
      </w:r>
    </w:p>
    <w:p>
      <w:pPr>
        <w:spacing w:after="0" w:line="44"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5"/>
          <w:szCs w:val="15"/>
          <w:color w:val="074A75"/>
        </w:rPr>
      </w:pPr>
      <w:r>
        <w:rPr>
          <w:rFonts w:ascii="Arial" w:cs="Arial" w:eastAsia="Arial" w:hAnsi="Arial"/>
          <w:sz w:val="15"/>
          <w:szCs w:val="15"/>
          <w:b w:val="1"/>
          <w:bCs w:val="1"/>
          <w:color w:val="auto"/>
        </w:rPr>
        <w:t xml:space="preserve">Risk Management and Controls: </w:t>
      </w:r>
      <w:r>
        <w:rPr>
          <w:rFonts w:ascii="Arial" w:cs="Arial" w:eastAsia="Arial" w:hAnsi="Arial"/>
          <w:sz w:val="15"/>
          <w:szCs w:val="15"/>
          <w:color w:val="auto"/>
        </w:rPr>
        <w:t>Expertise in risk management and controls matters gained from experience in senior executive roles</w:t>
      </w:r>
    </w:p>
    <w:p>
      <w:pPr>
        <w:spacing w:after="0" w:line="57" w:lineRule="exact"/>
        <w:rPr>
          <w:rFonts w:ascii="Arial" w:cs="Arial" w:eastAsia="Arial" w:hAnsi="Arial"/>
          <w:sz w:val="15"/>
          <w:szCs w:val="15"/>
          <w:color w:val="074A75"/>
        </w:rPr>
      </w:pPr>
    </w:p>
    <w:p>
      <w:pPr>
        <w:ind w:left="200" w:right="420" w:hanging="192"/>
        <w:spacing w:after="0" w:line="267" w:lineRule="auto"/>
        <w:tabs>
          <w:tab w:leader="none" w:pos="194" w:val="left"/>
        </w:tabs>
        <w:numPr>
          <w:ilvl w:val="0"/>
          <w:numId w:val="50"/>
        </w:numPr>
        <w:rPr>
          <w:rFonts w:ascii="Arial" w:cs="Arial" w:eastAsia="Arial" w:hAnsi="Arial"/>
          <w:sz w:val="15"/>
          <w:szCs w:val="15"/>
          <w:color w:val="074A75"/>
        </w:rPr>
      </w:pPr>
      <w:r>
        <w:rPr>
          <w:rFonts w:ascii="Arial" w:cs="Arial" w:eastAsia="Arial" w:hAnsi="Arial"/>
          <w:sz w:val="15"/>
          <w:szCs w:val="15"/>
          <w:b w:val="1"/>
          <w:bCs w:val="1"/>
          <w:color w:val="auto"/>
        </w:rPr>
        <w:t xml:space="preserve">Technology: </w:t>
      </w:r>
      <w:r>
        <w:rPr>
          <w:rFonts w:ascii="Arial" w:cs="Arial" w:eastAsia="Arial" w:hAnsi="Arial"/>
          <w:sz w:val="15"/>
          <w:szCs w:val="15"/>
          <w:color w:val="auto"/>
        </w:rPr>
        <w:t>Insight into the development and deployment of innovative technology including through her experience leading Amazon’s worldwide network of</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 service operations, and robotics and technology</w:t>
      </w:r>
    </w:p>
    <w:p>
      <w:pPr>
        <w:spacing w:after="0" w:line="7" w:lineRule="exact"/>
        <w:rPr>
          <w:rFonts w:ascii="Arial" w:cs="Arial" w:eastAsia="Arial" w:hAnsi="Arial"/>
          <w:sz w:val="15"/>
          <w:szCs w:val="15"/>
          <w:color w:val="074A75"/>
        </w:rPr>
      </w:pPr>
    </w:p>
    <w:p>
      <w:pPr>
        <w:ind w:left="200" w:right="340" w:hanging="192"/>
        <w:spacing w:after="0" w:line="267" w:lineRule="auto"/>
        <w:tabs>
          <w:tab w:leader="none" w:pos="194" w:val="left"/>
        </w:tabs>
        <w:numPr>
          <w:ilvl w:val="0"/>
          <w:numId w:val="50"/>
        </w:numPr>
        <w:rPr>
          <w:rFonts w:ascii="Arial" w:cs="Arial" w:eastAsia="Arial" w:hAnsi="Arial"/>
          <w:sz w:val="15"/>
          <w:szCs w:val="15"/>
          <w:color w:val="074A75"/>
        </w:rPr>
      </w:pPr>
      <w:r>
        <w:rPr>
          <w:rFonts w:ascii="Arial" w:cs="Arial" w:eastAsia="Arial" w:hAnsi="Arial"/>
          <w:sz w:val="15"/>
          <w:szCs w:val="15"/>
          <w:b w:val="1"/>
          <w:bCs w:val="1"/>
          <w:color w:val="auto"/>
        </w:rPr>
        <w:t xml:space="preserve">Regulated Industries: </w:t>
      </w:r>
      <w:r>
        <w:rPr>
          <w:rFonts w:ascii="Arial" w:cs="Arial" w:eastAsia="Arial" w:hAnsi="Arial"/>
          <w:sz w:val="15"/>
          <w:szCs w:val="15"/>
          <w:color w:val="auto"/>
        </w:rPr>
        <w:t>Strong understanding of regulatory processes and the ability to effectively navigate the regulatory landscape as CEO of a business in a</w:t>
      </w:r>
      <w:r>
        <w:rPr>
          <w:rFonts w:ascii="Arial" w:cs="Arial" w:eastAsia="Arial" w:hAnsi="Arial"/>
          <w:sz w:val="15"/>
          <w:szCs w:val="15"/>
          <w:b w:val="1"/>
          <w:bCs w:val="1"/>
          <w:color w:val="auto"/>
        </w:rPr>
        <w:t xml:space="preserve"> </w:t>
      </w:r>
      <w:r>
        <w:rPr>
          <w:rFonts w:ascii="Arial" w:cs="Arial" w:eastAsia="Arial" w:hAnsi="Arial"/>
          <w:sz w:val="15"/>
          <w:szCs w:val="15"/>
          <w:color w:val="auto"/>
        </w:rPr>
        <w:t>highly regulated industry</w:t>
      </w:r>
    </w:p>
    <w:p>
      <w:pPr>
        <w:spacing w:after="0" w:line="7" w:lineRule="exact"/>
        <w:rPr>
          <w:rFonts w:ascii="Arial" w:cs="Arial" w:eastAsia="Arial" w:hAnsi="Arial"/>
          <w:sz w:val="15"/>
          <w:szCs w:val="15"/>
          <w:color w:val="074A75"/>
        </w:rPr>
      </w:pPr>
    </w:p>
    <w:p>
      <w:pPr>
        <w:ind w:left="200" w:hanging="192"/>
        <w:spacing w:after="0"/>
        <w:tabs>
          <w:tab w:leader="none" w:pos="200" w:val="left"/>
        </w:tabs>
        <w:numPr>
          <w:ilvl w:val="0"/>
          <w:numId w:val="50"/>
        </w:numPr>
        <w:rPr>
          <w:rFonts w:ascii="Arial" w:cs="Arial" w:eastAsia="Arial" w:hAnsi="Arial"/>
          <w:sz w:val="15"/>
          <w:szCs w:val="15"/>
          <w:color w:val="074A75"/>
        </w:rPr>
      </w:pPr>
      <w:r>
        <w:rPr>
          <w:rFonts w:ascii="Arial" w:cs="Arial" w:eastAsia="Arial" w:hAnsi="Arial"/>
          <w:sz w:val="15"/>
          <w:szCs w:val="15"/>
          <w:b w:val="1"/>
          <w:bCs w:val="1"/>
          <w:color w:val="auto"/>
        </w:rPr>
        <w:t xml:space="preserve">International Business Operations: </w:t>
      </w:r>
      <w:r>
        <w:rPr>
          <w:rFonts w:ascii="Arial" w:cs="Arial" w:eastAsia="Arial" w:hAnsi="Arial"/>
          <w:sz w:val="15"/>
          <w:szCs w:val="15"/>
          <w:color w:val="auto"/>
        </w:rPr>
        <w:t>Wide-ranging experience in overseeing businesses with global operations, customers and stakeholders</w:t>
      </w:r>
    </w:p>
    <w:p>
      <w:pPr>
        <w:sectPr>
          <w:pgSz w:w="11900" w:h="16838" w:orient="portrait"/>
          <w:cols w:equalWidth="0" w:num="1">
            <w:col w:w="11260"/>
          </w:cols>
          <w:pgMar w:left="320" w:top="157" w:right="31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Career Highlights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Alto Pharmacy, LLC, a digital pharmacy</w:t>
      </w:r>
    </w:p>
    <w:p>
      <w:pPr>
        <w:spacing w:after="0" w:line="30" w:lineRule="exact"/>
        <w:rPr>
          <w:sz w:val="20"/>
          <w:szCs w:val="20"/>
          <w:color w:val="auto"/>
        </w:rPr>
      </w:pPr>
    </w:p>
    <w:p>
      <w:pPr>
        <w:ind w:right="1779" w:firstLine="8"/>
        <w:spacing w:after="0" w:line="281" w:lineRule="auto"/>
        <w:tabs>
          <w:tab w:leader="none" w:pos="188" w:val="left"/>
        </w:tabs>
        <w:numPr>
          <w:ilvl w:val="0"/>
          <w:numId w:val="51"/>
        </w:numPr>
        <w:rPr>
          <w:rFonts w:ascii="Arial" w:cs="Arial" w:eastAsia="Arial" w:hAnsi="Arial"/>
          <w:sz w:val="15"/>
          <w:szCs w:val="15"/>
          <w:color w:val="074A75"/>
        </w:rPr>
      </w:pPr>
      <w:r>
        <w:rPr>
          <w:rFonts w:ascii="Arial" w:cs="Arial" w:eastAsia="Arial" w:hAnsi="Arial"/>
          <w:sz w:val="15"/>
          <w:szCs w:val="15"/>
          <w:color w:val="auto"/>
        </w:rPr>
        <w:t>Chief Executive Officer (since 2022) Amazon.com, Inc., a global e-commerce company</w:t>
      </w:r>
    </w:p>
    <w:p>
      <w:pPr>
        <w:spacing w:after="0" w:line="1" w:lineRule="exact"/>
        <w:rPr>
          <w:rFonts w:ascii="Arial" w:cs="Arial" w:eastAsia="Arial" w:hAnsi="Arial"/>
          <w:sz w:val="15"/>
          <w:szCs w:val="15"/>
          <w:color w:val="074A75"/>
        </w:rPr>
      </w:pPr>
    </w:p>
    <w:p>
      <w:pPr>
        <w:ind w:left="200" w:hanging="192"/>
        <w:spacing w:after="0"/>
        <w:tabs>
          <w:tab w:leader="none" w:pos="200" w:val="left"/>
        </w:tabs>
        <w:numPr>
          <w:ilvl w:val="0"/>
          <w:numId w:val="51"/>
        </w:numPr>
        <w:rPr>
          <w:rFonts w:ascii="Arial" w:cs="Arial" w:eastAsia="Arial" w:hAnsi="Arial"/>
          <w:sz w:val="15"/>
          <w:szCs w:val="15"/>
          <w:color w:val="074A75"/>
        </w:rPr>
      </w:pPr>
      <w:r>
        <w:rPr>
          <w:rFonts w:ascii="Arial" w:cs="Arial" w:eastAsia="Arial" w:hAnsi="Arial"/>
          <w:sz w:val="15"/>
          <w:szCs w:val="15"/>
          <w:color w:val="auto"/>
        </w:rPr>
        <w:t>Senior Vice President, Global Customer Fulfillment (2021-2022)</w:t>
      </w:r>
    </w:p>
    <w:p>
      <w:pPr>
        <w:spacing w:after="0" w:line="30" w:lineRule="exact"/>
        <w:rPr>
          <w:rFonts w:ascii="Arial" w:cs="Arial" w:eastAsia="Arial" w:hAnsi="Arial"/>
          <w:sz w:val="15"/>
          <w:szCs w:val="15"/>
          <w:color w:val="074A75"/>
        </w:rPr>
      </w:pPr>
    </w:p>
    <w:p>
      <w:pPr>
        <w:ind w:left="200" w:hanging="192"/>
        <w:spacing w:after="0"/>
        <w:tabs>
          <w:tab w:leader="none" w:pos="200" w:val="left"/>
        </w:tabs>
        <w:numPr>
          <w:ilvl w:val="0"/>
          <w:numId w:val="51"/>
        </w:numPr>
        <w:rPr>
          <w:rFonts w:ascii="Arial" w:cs="Arial" w:eastAsia="Arial" w:hAnsi="Arial"/>
          <w:sz w:val="15"/>
          <w:szCs w:val="15"/>
          <w:color w:val="074A75"/>
        </w:rPr>
      </w:pPr>
      <w:r>
        <w:rPr>
          <w:rFonts w:ascii="Arial" w:cs="Arial" w:eastAsia="Arial" w:hAnsi="Arial"/>
          <w:sz w:val="15"/>
          <w:szCs w:val="15"/>
          <w:color w:val="auto"/>
        </w:rPr>
        <w:t>Senior Team Member (2020-2022)</w:t>
      </w:r>
    </w:p>
    <w:p>
      <w:pPr>
        <w:spacing w:after="0" w:line="30" w:lineRule="exact"/>
        <w:rPr>
          <w:rFonts w:ascii="Arial" w:cs="Arial" w:eastAsia="Arial" w:hAnsi="Arial"/>
          <w:sz w:val="15"/>
          <w:szCs w:val="15"/>
          <w:color w:val="074A75"/>
        </w:rPr>
      </w:pPr>
    </w:p>
    <w:p>
      <w:pPr>
        <w:ind w:left="200" w:hanging="192"/>
        <w:spacing w:after="0"/>
        <w:tabs>
          <w:tab w:leader="none" w:pos="200" w:val="left"/>
        </w:tabs>
        <w:numPr>
          <w:ilvl w:val="0"/>
          <w:numId w:val="51"/>
        </w:numPr>
        <w:rPr>
          <w:rFonts w:ascii="Arial" w:cs="Arial" w:eastAsia="Arial" w:hAnsi="Arial"/>
          <w:sz w:val="15"/>
          <w:szCs w:val="15"/>
          <w:color w:val="074A75"/>
        </w:rPr>
      </w:pPr>
      <w:r>
        <w:rPr>
          <w:rFonts w:ascii="Arial" w:cs="Arial" w:eastAsia="Arial" w:hAnsi="Arial"/>
          <w:sz w:val="15"/>
          <w:szCs w:val="15"/>
          <w:color w:val="auto"/>
        </w:rPr>
        <w:t>Vice President, Global Customer Fulfillment (2019-2021)</w:t>
      </w:r>
    </w:p>
    <w:p>
      <w:pPr>
        <w:spacing w:after="0" w:line="30" w:lineRule="exact"/>
        <w:rPr>
          <w:sz w:val="20"/>
          <w:szCs w:val="20"/>
          <w:color w:val="auto"/>
        </w:rPr>
      </w:pPr>
    </w:p>
    <w:p>
      <w:pPr>
        <w:ind w:right="1259"/>
        <w:spacing w:after="0" w:line="262" w:lineRule="auto"/>
        <w:rPr>
          <w:sz w:val="20"/>
          <w:szCs w:val="20"/>
          <w:color w:val="auto"/>
        </w:rPr>
      </w:pPr>
      <w:r>
        <w:rPr>
          <w:rFonts w:ascii="Arial" w:cs="Arial" w:eastAsia="Arial" w:hAnsi="Arial"/>
          <w:sz w:val="15"/>
          <w:szCs w:val="15"/>
          <w:color w:val="auto"/>
        </w:rPr>
        <w:t>The General Motors Company, a multinational automotive manufacturing company</w:t>
      </w:r>
    </w:p>
    <w:p>
      <w:pPr>
        <w:spacing w:after="0" w:line="1" w:lineRule="exact"/>
        <w:rPr>
          <w:sz w:val="20"/>
          <w:szCs w:val="20"/>
          <w:color w:val="auto"/>
        </w:rPr>
      </w:pPr>
    </w:p>
    <w:p>
      <w:pPr>
        <w:ind w:left="200" w:right="339" w:hanging="192"/>
        <w:spacing w:after="0" w:line="264" w:lineRule="auto"/>
        <w:tabs>
          <w:tab w:leader="none" w:pos="194" w:val="left"/>
        </w:tabs>
        <w:numPr>
          <w:ilvl w:val="0"/>
          <w:numId w:val="52"/>
        </w:numPr>
        <w:rPr>
          <w:rFonts w:ascii="Arial" w:cs="Arial" w:eastAsia="Arial" w:hAnsi="Arial"/>
          <w:sz w:val="15"/>
          <w:szCs w:val="15"/>
          <w:color w:val="074A75"/>
        </w:rPr>
      </w:pPr>
      <w:r>
        <w:rPr>
          <w:rFonts w:ascii="Arial" w:cs="Arial" w:eastAsia="Arial" w:hAnsi="Arial"/>
          <w:sz w:val="15"/>
          <w:szCs w:val="15"/>
          <w:color w:val="auto"/>
        </w:rPr>
        <w:t>Executive Vice President, Global Manufacturing and Labor Relations (2016-2019)</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1" w:right="700"/>
        <w:spacing w:after="0" w:line="268" w:lineRule="auto"/>
        <w:rPr>
          <w:sz w:val="20"/>
          <w:szCs w:val="20"/>
          <w:color w:val="auto"/>
        </w:rPr>
      </w:pPr>
      <w:r>
        <w:rPr>
          <w:rFonts w:ascii="Arial" w:cs="Arial" w:eastAsia="Arial" w:hAnsi="Arial"/>
          <w:sz w:val="15"/>
          <w:szCs w:val="15"/>
          <w:b w:val="1"/>
          <w:bCs w:val="1"/>
          <w:color w:val="064A75"/>
        </w:rPr>
        <w:t xml:space="preserve">Other </w:t>
      </w:r>
      <w:r>
        <w:rPr>
          <w:rFonts w:ascii="Arial" w:cs="Arial" w:eastAsia="Arial" w:hAnsi="Arial"/>
          <w:sz w:val="15"/>
          <w:szCs w:val="15"/>
          <w:b w:val="1"/>
          <w:bCs w:val="1"/>
          <w:color w:val="074A75"/>
        </w:rPr>
        <w:t>U.S.-Listed</w:t>
      </w:r>
      <w:r>
        <w:rPr>
          <w:rFonts w:ascii="Arial" w:cs="Arial" w:eastAsia="Arial" w:hAnsi="Arial"/>
          <w:sz w:val="15"/>
          <w:szCs w:val="15"/>
          <w:b w:val="1"/>
          <w:bCs w:val="1"/>
          <w:color w:val="064A75"/>
        </w:rPr>
        <w:t xml:space="preserve"> Public Company Directorships Within the Past Five Years</w:t>
      </w:r>
    </w:p>
    <w:p>
      <w:pPr>
        <w:spacing w:after="0" w:line="1" w:lineRule="exact"/>
        <w:rPr>
          <w:sz w:val="20"/>
          <w:szCs w:val="20"/>
          <w:color w:val="auto"/>
        </w:rPr>
      </w:pPr>
    </w:p>
    <w:p>
      <w:pPr>
        <w:ind w:left="181" w:hanging="181"/>
        <w:spacing w:after="0"/>
        <w:tabs>
          <w:tab w:leader="none" w:pos="181" w:val="left"/>
        </w:tabs>
        <w:numPr>
          <w:ilvl w:val="0"/>
          <w:numId w:val="53"/>
        </w:numPr>
        <w:rPr>
          <w:rFonts w:ascii="Arial" w:cs="Arial" w:eastAsia="Arial" w:hAnsi="Arial"/>
          <w:sz w:val="15"/>
          <w:szCs w:val="15"/>
          <w:color w:val="074A75"/>
        </w:rPr>
      </w:pPr>
      <w:r>
        <w:rPr>
          <w:rFonts w:ascii="Arial" w:cs="Arial" w:eastAsia="Arial" w:hAnsi="Arial"/>
          <w:sz w:val="15"/>
          <w:szCs w:val="15"/>
          <w:color w:val="auto"/>
        </w:rPr>
        <w:t>General Mills, Inc. (2016 - 2019)</w:t>
      </w:r>
    </w:p>
    <w:p>
      <w:pPr>
        <w:spacing w:after="0" w:line="63"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064A75"/>
        </w:rPr>
        <w:t>Other Experience</w:t>
      </w:r>
    </w:p>
    <w:p>
      <w:pPr>
        <w:spacing w:after="0" w:line="38" w:lineRule="exact"/>
        <w:rPr>
          <w:sz w:val="20"/>
          <w:szCs w:val="20"/>
          <w:color w:val="auto"/>
        </w:rPr>
      </w:pPr>
    </w:p>
    <w:p>
      <w:pPr>
        <w:ind w:left="181" w:hanging="181"/>
        <w:spacing w:after="0"/>
        <w:tabs>
          <w:tab w:leader="none" w:pos="181" w:val="left"/>
        </w:tabs>
        <w:numPr>
          <w:ilvl w:val="0"/>
          <w:numId w:val="54"/>
        </w:numPr>
        <w:rPr>
          <w:rFonts w:ascii="Arial" w:cs="Arial" w:eastAsia="Arial" w:hAnsi="Arial"/>
          <w:sz w:val="15"/>
          <w:szCs w:val="15"/>
          <w:color w:val="074A75"/>
        </w:rPr>
      </w:pPr>
      <w:r>
        <w:rPr>
          <w:rFonts w:ascii="Arial" w:cs="Arial" w:eastAsia="Arial" w:hAnsi="Arial"/>
          <w:sz w:val="15"/>
          <w:szCs w:val="15"/>
          <w:color w:val="auto"/>
        </w:rPr>
        <w:t>Trustee, Northwestern University</w:t>
      </w:r>
    </w:p>
    <w:p>
      <w:pPr>
        <w:spacing w:after="0" w:line="24" w:lineRule="exact"/>
        <w:rPr>
          <w:rFonts w:ascii="Arial" w:cs="Arial" w:eastAsia="Arial" w:hAnsi="Arial"/>
          <w:sz w:val="15"/>
          <w:szCs w:val="15"/>
          <w:color w:val="074A75"/>
        </w:rPr>
      </w:pPr>
    </w:p>
    <w:p>
      <w:pPr>
        <w:ind w:left="181" w:hanging="181"/>
        <w:spacing w:after="0"/>
        <w:tabs>
          <w:tab w:leader="none" w:pos="181" w:val="left"/>
        </w:tabs>
        <w:numPr>
          <w:ilvl w:val="0"/>
          <w:numId w:val="54"/>
        </w:numPr>
        <w:rPr>
          <w:rFonts w:ascii="Arial" w:cs="Arial" w:eastAsia="Arial" w:hAnsi="Arial"/>
          <w:sz w:val="15"/>
          <w:szCs w:val="15"/>
          <w:color w:val="074A75"/>
        </w:rPr>
      </w:pPr>
      <w:r>
        <w:rPr>
          <w:rFonts w:ascii="Arial" w:cs="Arial" w:eastAsia="Arial" w:hAnsi="Arial"/>
          <w:sz w:val="15"/>
          <w:szCs w:val="15"/>
          <w:color w:val="auto"/>
        </w:rPr>
        <w:t>Former Board Member, Beaumont Health Systems</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54"/>
        </w:numPr>
        <w:rPr>
          <w:rFonts w:ascii="Arial" w:cs="Arial" w:eastAsia="Arial" w:hAnsi="Arial"/>
          <w:sz w:val="15"/>
          <w:szCs w:val="15"/>
          <w:color w:val="074A75"/>
        </w:rPr>
      </w:pPr>
      <w:r>
        <w:rPr>
          <w:rFonts w:ascii="Arial" w:cs="Arial" w:eastAsia="Arial" w:hAnsi="Arial"/>
          <w:sz w:val="15"/>
          <w:szCs w:val="15"/>
          <w:color w:val="auto"/>
        </w:rPr>
        <w:t>Former Board Member, CARE House of Oakland County</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064A75"/>
        </w:rPr>
        <w:t>Education</w:t>
      </w:r>
    </w:p>
    <w:p>
      <w:pPr>
        <w:spacing w:after="0" w:line="38" w:lineRule="exact"/>
        <w:rPr>
          <w:sz w:val="20"/>
          <w:szCs w:val="20"/>
          <w:color w:val="auto"/>
        </w:rPr>
      </w:pPr>
    </w:p>
    <w:p>
      <w:pPr>
        <w:ind w:left="181" w:hanging="181"/>
        <w:spacing w:after="0"/>
        <w:tabs>
          <w:tab w:leader="none" w:pos="181" w:val="left"/>
        </w:tabs>
        <w:numPr>
          <w:ilvl w:val="0"/>
          <w:numId w:val="55"/>
        </w:numPr>
        <w:rPr>
          <w:rFonts w:ascii="Arial" w:cs="Arial" w:eastAsia="Arial" w:hAnsi="Arial"/>
          <w:sz w:val="15"/>
          <w:szCs w:val="15"/>
          <w:color w:val="074A75"/>
        </w:rPr>
      </w:pPr>
      <w:r>
        <w:rPr>
          <w:rFonts w:ascii="Arial" w:cs="Arial" w:eastAsia="Arial" w:hAnsi="Arial"/>
          <w:sz w:val="15"/>
          <w:szCs w:val="15"/>
          <w:color w:val="auto"/>
        </w:rPr>
        <w:t>Graduate of Northwestern University</w:t>
      </w:r>
    </w:p>
    <w:p>
      <w:pPr>
        <w:spacing w:after="0" w:line="24" w:lineRule="exact"/>
        <w:rPr>
          <w:rFonts w:ascii="Arial" w:cs="Arial" w:eastAsia="Arial" w:hAnsi="Arial"/>
          <w:sz w:val="15"/>
          <w:szCs w:val="15"/>
          <w:color w:val="074A75"/>
        </w:rPr>
      </w:pPr>
    </w:p>
    <w:p>
      <w:pPr>
        <w:ind w:left="201" w:right="600" w:hanging="201"/>
        <w:spacing w:after="0" w:line="262" w:lineRule="auto"/>
        <w:tabs>
          <w:tab w:leader="none" w:pos="195" w:val="left"/>
        </w:tabs>
        <w:numPr>
          <w:ilvl w:val="0"/>
          <w:numId w:val="55"/>
        </w:numPr>
        <w:rPr>
          <w:rFonts w:ascii="Arial" w:cs="Arial" w:eastAsia="Arial" w:hAnsi="Arial"/>
          <w:sz w:val="15"/>
          <w:szCs w:val="15"/>
          <w:color w:val="074A75"/>
        </w:rPr>
      </w:pPr>
      <w:r>
        <w:rPr>
          <w:rFonts w:ascii="Arial" w:cs="Arial" w:eastAsia="Arial" w:hAnsi="Arial"/>
          <w:sz w:val="15"/>
          <w:szCs w:val="15"/>
          <w:color w:val="auto"/>
        </w:rPr>
        <w:t>Master of Science and Honorary Doctor of Engineering, Rensselaer Polytechnic Institute</w:t>
      </w:r>
    </w:p>
    <w:p>
      <w:pPr>
        <w:spacing w:after="0" w:line="1" w:lineRule="exact"/>
        <w:rPr>
          <w:rFonts w:ascii="Arial" w:cs="Arial" w:eastAsia="Arial" w:hAnsi="Arial"/>
          <w:sz w:val="15"/>
          <w:szCs w:val="15"/>
          <w:color w:val="074A75"/>
        </w:rPr>
      </w:pPr>
    </w:p>
    <w:p>
      <w:pPr>
        <w:ind w:left="181" w:hanging="181"/>
        <w:spacing w:after="0"/>
        <w:tabs>
          <w:tab w:leader="none" w:pos="181" w:val="left"/>
        </w:tabs>
        <w:numPr>
          <w:ilvl w:val="0"/>
          <w:numId w:val="55"/>
        </w:numPr>
        <w:rPr>
          <w:rFonts w:ascii="Arial" w:cs="Arial" w:eastAsia="Arial" w:hAnsi="Arial"/>
          <w:sz w:val="15"/>
          <w:szCs w:val="15"/>
          <w:color w:val="074A75"/>
        </w:rPr>
      </w:pPr>
      <w:r>
        <w:rPr>
          <w:rFonts w:ascii="Arial" w:cs="Arial" w:eastAsia="Arial" w:hAnsi="Arial"/>
          <w:sz w:val="15"/>
          <w:szCs w:val="15"/>
          <w:color w:val="auto"/>
        </w:rPr>
        <w:t>M.B.A., Indiana University</w:t>
      </w:r>
    </w:p>
    <w:p>
      <w:pPr>
        <w:spacing w:after="0" w:line="200" w:lineRule="exact"/>
        <w:rPr>
          <w:sz w:val="20"/>
          <w:szCs w:val="20"/>
          <w:color w:val="auto"/>
        </w:rPr>
      </w:pPr>
    </w:p>
    <w:p>
      <w:pPr>
        <w:sectPr>
          <w:pgSz w:w="11900" w:h="16838" w:orient="portrait"/>
          <w:cols w:equalWidth="0" w:num="2">
            <w:col w:w="5179" w:space="720"/>
            <w:col w:w="5361"/>
          </w:cols>
          <w:pgMar w:left="320" w:top="157" w:right="31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205" w:lineRule="exact"/>
        <w:rPr>
          <w:sz w:val="20"/>
          <w:szCs w:val="20"/>
          <w:color w:val="auto"/>
        </w:rPr>
      </w:pPr>
    </w:p>
    <w:p>
      <w:pPr>
        <w:ind w:left="1680"/>
        <w:spacing w:after="0"/>
        <w:rPr>
          <w:sz w:val="20"/>
          <w:szCs w:val="20"/>
          <w:color w:val="auto"/>
        </w:rPr>
      </w:pPr>
      <w:r>
        <w:rPr>
          <w:rFonts w:ascii="Arial" w:cs="Arial" w:eastAsia="Arial" w:hAnsi="Arial"/>
          <w:sz w:val="40"/>
          <w:szCs w:val="40"/>
          <w:color w:val="074A75"/>
        </w:rPr>
        <w:t>James Dimon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-245745</wp:posOffset>
            </wp:positionV>
            <wp:extent cx="737235" cy="900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7235" cy="900430"/>
                    </a:xfrm>
                    <a:prstGeom prst="rect">
                      <a:avLst/>
                    </a:prstGeom>
                    <a:noFill/>
                  </pic:spPr>
                </pic:pic>
              </a:graphicData>
            </a:graphic>
          </wp:anchor>
        </w:drawing>
      </w:r>
    </w:p>
    <w:p>
      <w:pPr>
        <w:spacing w:after="0" w:line="57" w:lineRule="exact"/>
        <w:rPr>
          <w:sz w:val="20"/>
          <w:szCs w:val="20"/>
          <w:color w:val="auto"/>
        </w:rPr>
      </w:pPr>
    </w:p>
    <w:p>
      <w:pPr>
        <w:ind w:left="1680"/>
        <w:spacing w:after="0"/>
        <w:rPr>
          <w:sz w:val="20"/>
          <w:szCs w:val="20"/>
          <w:color w:val="auto"/>
        </w:rPr>
      </w:pPr>
      <w:r>
        <w:rPr>
          <w:rFonts w:ascii="Arial" w:cs="Arial" w:eastAsia="Arial" w:hAnsi="Arial"/>
          <w:sz w:val="20"/>
          <w:szCs w:val="20"/>
          <w:i w:val="1"/>
          <w:iCs w:val="1"/>
          <w:color w:val="074A75"/>
        </w:rPr>
        <w:t>Chairman and Chief Executive Officer of JPMorgan Chase &amp; Co.</w:t>
      </w:r>
    </w:p>
    <w:p>
      <w:pPr>
        <w:spacing w:after="0" w:line="164"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74A75"/>
        </w:rPr>
        <w:t xml:space="preserve">Age: </w:t>
      </w:r>
      <w:r>
        <w:rPr>
          <w:rFonts w:ascii="Arial" w:cs="Arial" w:eastAsia="Arial" w:hAnsi="Arial"/>
          <w:sz w:val="15"/>
          <w:szCs w:val="15"/>
          <w:color w:val="000000"/>
        </w:rPr>
        <w:t>68</w:t>
      </w:r>
    </w:p>
    <w:p>
      <w:pPr>
        <w:spacing w:after="0" w:line="19"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74A75"/>
        </w:rPr>
        <w:t xml:space="preserve">Director since: </w:t>
      </w:r>
      <w:r>
        <w:rPr>
          <w:rFonts w:ascii="Arial" w:cs="Arial" w:eastAsia="Arial" w:hAnsi="Arial"/>
          <w:sz w:val="15"/>
          <w:szCs w:val="15"/>
          <w:color w:val="000000"/>
        </w:rPr>
        <w:t>2004 and Chairman of the Board since 2006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Qualification Highlights</w:t>
      </w:r>
    </w:p>
    <w:p>
      <w:pPr>
        <w:spacing w:after="0" w:line="38"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5"/>
          <w:szCs w:val="15"/>
          <w:color w:val="074A75"/>
        </w:rPr>
      </w:pPr>
      <w:r>
        <w:rPr>
          <w:rFonts w:ascii="Arial" w:cs="Arial" w:eastAsia="Arial" w:hAnsi="Arial"/>
          <w:sz w:val="15"/>
          <w:szCs w:val="15"/>
          <w:b w:val="1"/>
          <w:bCs w:val="1"/>
          <w:color w:val="auto"/>
        </w:rPr>
        <w:t xml:space="preserve">Financial Services: </w:t>
      </w:r>
      <w:r>
        <w:rPr>
          <w:rFonts w:ascii="Arial" w:cs="Arial" w:eastAsia="Arial" w:hAnsi="Arial"/>
          <w:sz w:val="15"/>
          <w:szCs w:val="15"/>
          <w:color w:val="auto"/>
        </w:rPr>
        <w:t>Experienced leader in the financial services industry with deep knowledge of all aspects of the Firm’s business activities</w:t>
      </w:r>
    </w:p>
    <w:p>
      <w:pPr>
        <w:spacing w:after="0" w:line="35" w:lineRule="exact"/>
        <w:rPr>
          <w:rFonts w:ascii="Arial" w:cs="Arial" w:eastAsia="Arial" w:hAnsi="Arial"/>
          <w:sz w:val="15"/>
          <w:szCs w:val="15"/>
          <w:color w:val="074A75"/>
        </w:rPr>
      </w:pPr>
    </w:p>
    <w:p>
      <w:pPr>
        <w:ind w:left="200" w:right="160" w:hanging="192"/>
        <w:spacing w:after="0" w:line="253" w:lineRule="auto"/>
        <w:tabs>
          <w:tab w:leader="none" w:pos="194" w:val="left"/>
        </w:tabs>
        <w:numPr>
          <w:ilvl w:val="0"/>
          <w:numId w:val="56"/>
        </w:numPr>
        <w:rPr>
          <w:rFonts w:ascii="Arial" w:cs="Arial" w:eastAsia="Arial" w:hAnsi="Arial"/>
          <w:sz w:val="15"/>
          <w:szCs w:val="15"/>
          <w:color w:val="074A75"/>
        </w:rPr>
      </w:pPr>
      <w:r>
        <w:rPr>
          <w:rFonts w:ascii="Arial" w:cs="Arial" w:eastAsia="Arial" w:hAnsi="Arial"/>
          <w:sz w:val="15"/>
          <w:szCs w:val="15"/>
          <w:b w:val="1"/>
          <w:bCs w:val="1"/>
          <w:color w:val="auto"/>
        </w:rPr>
        <w:t xml:space="preserve">Leadership of a Large, Complex Organization: </w:t>
      </w:r>
      <w:r>
        <w:rPr>
          <w:rFonts w:ascii="Arial" w:cs="Arial" w:eastAsia="Arial" w:hAnsi="Arial"/>
          <w:sz w:val="15"/>
          <w:szCs w:val="15"/>
          <w:color w:val="auto"/>
        </w:rPr>
        <w:t>Leadership of JPMorgan Chase and its predecessors for more than two decades, with a track record of growth,</w:t>
      </w:r>
      <w:r>
        <w:rPr>
          <w:rFonts w:ascii="Arial" w:cs="Arial" w:eastAsia="Arial" w:hAnsi="Arial"/>
          <w:sz w:val="15"/>
          <w:szCs w:val="15"/>
          <w:b w:val="1"/>
          <w:bCs w:val="1"/>
          <w:color w:val="auto"/>
        </w:rPr>
        <w:t xml:space="preserve"> </w:t>
      </w:r>
      <w:r>
        <w:rPr>
          <w:rFonts w:ascii="Arial" w:cs="Arial" w:eastAsia="Arial" w:hAnsi="Arial"/>
          <w:sz w:val="15"/>
          <w:szCs w:val="15"/>
          <w:color w:val="auto"/>
        </w:rPr>
        <w:t>market leadership, and focus on the Firm’s clients</w:t>
      </w:r>
    </w:p>
    <w:p>
      <w:pPr>
        <w:ind w:left="200" w:right="1180" w:hanging="192"/>
        <w:spacing w:after="0" w:line="262" w:lineRule="auto"/>
        <w:tabs>
          <w:tab w:leader="none" w:pos="194" w:val="left"/>
        </w:tabs>
        <w:numPr>
          <w:ilvl w:val="0"/>
          <w:numId w:val="56"/>
        </w:numPr>
        <w:rPr>
          <w:rFonts w:ascii="Arial" w:cs="Arial" w:eastAsia="Arial" w:hAnsi="Arial"/>
          <w:sz w:val="15"/>
          <w:szCs w:val="15"/>
          <w:color w:val="074A75"/>
        </w:rPr>
      </w:pPr>
      <w:r>
        <w:rPr>
          <w:rFonts w:ascii="Arial" w:cs="Arial" w:eastAsia="Arial" w:hAnsi="Arial"/>
          <w:sz w:val="15"/>
          <w:szCs w:val="15"/>
          <w:b w:val="1"/>
          <w:bCs w:val="1"/>
          <w:color w:val="auto"/>
        </w:rPr>
        <w:t xml:space="preserve">Human Capital Management: </w:t>
      </w:r>
      <w:r>
        <w:rPr>
          <w:rFonts w:ascii="Arial" w:cs="Arial" w:eastAsia="Arial" w:hAnsi="Arial"/>
          <w:sz w:val="15"/>
          <w:szCs w:val="15"/>
          <w:color w:val="auto"/>
        </w:rPr>
        <w:t>Unique insight into all aspects of recruitment, retention, and development of key talent and succession planning for</w:t>
      </w:r>
      <w:r>
        <w:rPr>
          <w:rFonts w:ascii="Arial" w:cs="Arial" w:eastAsia="Arial" w:hAnsi="Arial"/>
          <w:sz w:val="15"/>
          <w:szCs w:val="15"/>
          <w:b w:val="1"/>
          <w:bCs w:val="1"/>
          <w:color w:val="auto"/>
        </w:rPr>
        <w:t xml:space="preserve"> </w:t>
      </w:r>
      <w:r>
        <w:rPr>
          <w:rFonts w:ascii="Arial" w:cs="Arial" w:eastAsia="Arial" w:hAnsi="Arial"/>
          <w:sz w:val="15"/>
          <w:szCs w:val="15"/>
          <w:color w:val="auto"/>
        </w:rPr>
        <w:t>senior executives</w:t>
      </w:r>
    </w:p>
    <w:p>
      <w:pPr>
        <w:spacing w:after="0" w:line="1" w:lineRule="exact"/>
        <w:rPr>
          <w:rFonts w:ascii="Arial" w:cs="Arial" w:eastAsia="Arial" w:hAnsi="Arial"/>
          <w:sz w:val="15"/>
          <w:szCs w:val="15"/>
          <w:color w:val="074A75"/>
        </w:rPr>
      </w:pPr>
    </w:p>
    <w:p>
      <w:pPr>
        <w:ind w:left="200" w:right="580" w:hanging="192"/>
        <w:spacing w:after="0" w:line="253" w:lineRule="auto"/>
        <w:tabs>
          <w:tab w:leader="none" w:pos="194" w:val="left"/>
        </w:tabs>
        <w:numPr>
          <w:ilvl w:val="0"/>
          <w:numId w:val="56"/>
        </w:numPr>
        <w:rPr>
          <w:rFonts w:ascii="Arial" w:cs="Arial" w:eastAsia="Arial" w:hAnsi="Arial"/>
          <w:sz w:val="15"/>
          <w:szCs w:val="15"/>
          <w:color w:val="074A75"/>
        </w:rPr>
      </w:pPr>
      <w:r>
        <w:rPr>
          <w:rFonts w:ascii="Arial" w:cs="Arial" w:eastAsia="Arial" w:hAnsi="Arial"/>
          <w:sz w:val="15"/>
          <w:szCs w:val="15"/>
          <w:b w:val="1"/>
          <w:bCs w:val="1"/>
          <w:color w:val="auto"/>
        </w:rPr>
        <w:t xml:space="preserve">Regulated Industries: </w:t>
      </w:r>
      <w:r>
        <w:rPr>
          <w:rFonts w:ascii="Arial" w:cs="Arial" w:eastAsia="Arial" w:hAnsi="Arial"/>
          <w:sz w:val="15"/>
          <w:szCs w:val="15"/>
          <w:color w:val="auto"/>
        </w:rPr>
        <w:t>In-depth experience in responding to an evolving regulatory landscape and cultivating constructive relationships with regulators and</w:t>
      </w:r>
      <w:r>
        <w:rPr>
          <w:rFonts w:ascii="Arial" w:cs="Arial" w:eastAsia="Arial" w:hAnsi="Arial"/>
          <w:sz w:val="15"/>
          <w:szCs w:val="15"/>
          <w:b w:val="1"/>
          <w:bCs w:val="1"/>
          <w:color w:val="auto"/>
        </w:rPr>
        <w:t xml:space="preserve"> </w:t>
      </w:r>
      <w:r>
        <w:rPr>
          <w:rFonts w:ascii="Arial" w:cs="Arial" w:eastAsia="Arial" w:hAnsi="Arial"/>
          <w:sz w:val="15"/>
          <w:szCs w:val="15"/>
          <w:color w:val="auto"/>
        </w:rPr>
        <w:t>government leaders around the world</w:t>
      </w:r>
    </w:p>
    <w:p>
      <w:pPr>
        <w:ind w:left="200" w:right="160" w:hanging="192"/>
        <w:spacing w:after="0" w:line="285" w:lineRule="auto"/>
        <w:tabs>
          <w:tab w:leader="none" w:pos="194" w:val="left"/>
        </w:tabs>
        <w:numPr>
          <w:ilvl w:val="0"/>
          <w:numId w:val="56"/>
        </w:numPr>
        <w:rPr>
          <w:rFonts w:ascii="Arial" w:cs="Arial" w:eastAsia="Arial" w:hAnsi="Arial"/>
          <w:sz w:val="15"/>
          <w:szCs w:val="15"/>
          <w:color w:val="074A75"/>
        </w:rPr>
      </w:pPr>
      <w:r>
        <w:rPr>
          <w:rFonts w:ascii="Arial" w:cs="Arial" w:eastAsia="Arial" w:hAnsi="Arial"/>
          <w:sz w:val="15"/>
          <w:szCs w:val="15"/>
          <w:b w:val="1"/>
          <w:bCs w:val="1"/>
          <w:color w:val="auto"/>
        </w:rPr>
        <w:t xml:space="preserve">International Business Operations: </w:t>
      </w:r>
      <w:r>
        <w:rPr>
          <w:rFonts w:ascii="Arial" w:cs="Arial" w:eastAsia="Arial" w:hAnsi="Arial"/>
          <w:sz w:val="15"/>
          <w:szCs w:val="15"/>
          <w:color w:val="auto"/>
        </w:rPr>
        <w:t>Executive management of business operations that serve customers and clients in 100+ global markets and across diverse</w:t>
      </w:r>
      <w:r>
        <w:rPr>
          <w:rFonts w:ascii="Arial" w:cs="Arial" w:eastAsia="Arial" w:hAnsi="Arial"/>
          <w:sz w:val="15"/>
          <w:szCs w:val="15"/>
          <w:b w:val="1"/>
          <w:bCs w:val="1"/>
          <w:color w:val="auto"/>
        </w:rPr>
        <w:t xml:space="preserve"> </w:t>
      </w:r>
      <w:r>
        <w:rPr>
          <w:rFonts w:ascii="Arial" w:cs="Arial" w:eastAsia="Arial" w:hAnsi="Arial"/>
          <w:sz w:val="15"/>
          <w:szCs w:val="15"/>
          <w:color w:val="auto"/>
        </w:rPr>
        <w:t>geographic, political and regulatory environments</w:t>
      </w:r>
    </w:p>
    <w:p>
      <w:pPr>
        <w:sectPr>
          <w:pgSz w:w="11900" w:h="16838" w:orient="portrait"/>
          <w:cols w:equalWidth="0" w:num="1">
            <w:col w:w="11260"/>
          </w:cols>
          <w:pgMar w:left="320" w:top="157" w:right="31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Career Highlights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JPMorgan Chase &amp; Co. (merged with Bank One Corporation in 2004)</w:t>
      </w:r>
    </w:p>
    <w:p>
      <w:pPr>
        <w:spacing w:after="0" w:line="24" w:lineRule="exact"/>
        <w:rPr>
          <w:sz w:val="20"/>
          <w:szCs w:val="20"/>
          <w:color w:val="auto"/>
        </w:rPr>
      </w:pPr>
    </w:p>
    <w:p>
      <w:pPr>
        <w:ind w:left="200" w:right="359" w:hanging="192"/>
        <w:spacing w:after="0" w:line="262" w:lineRule="auto"/>
        <w:tabs>
          <w:tab w:leader="none" w:pos="194" w:val="left"/>
        </w:tabs>
        <w:numPr>
          <w:ilvl w:val="0"/>
          <w:numId w:val="57"/>
        </w:numPr>
        <w:rPr>
          <w:rFonts w:ascii="Arial" w:cs="Arial" w:eastAsia="Arial" w:hAnsi="Arial"/>
          <w:sz w:val="15"/>
          <w:szCs w:val="15"/>
          <w:color w:val="074A75"/>
        </w:rPr>
      </w:pPr>
      <w:r>
        <w:rPr>
          <w:rFonts w:ascii="Arial" w:cs="Arial" w:eastAsia="Arial" w:hAnsi="Arial"/>
          <w:sz w:val="15"/>
          <w:szCs w:val="15"/>
          <w:color w:val="auto"/>
        </w:rPr>
        <w:t>Chairman of the Board (since 2006) and Director (since 2004); Chief Executive Officer (since 2005)</w:t>
      </w:r>
    </w:p>
    <w:p>
      <w:pPr>
        <w:spacing w:after="0" w:line="1" w:lineRule="exact"/>
        <w:rPr>
          <w:rFonts w:ascii="Arial" w:cs="Arial" w:eastAsia="Arial" w:hAnsi="Arial"/>
          <w:sz w:val="15"/>
          <w:szCs w:val="15"/>
          <w:color w:val="074A75"/>
        </w:rPr>
      </w:pPr>
    </w:p>
    <w:p>
      <w:pPr>
        <w:ind w:left="200" w:hanging="192"/>
        <w:spacing w:after="0"/>
        <w:tabs>
          <w:tab w:leader="none" w:pos="200" w:val="left"/>
        </w:tabs>
        <w:numPr>
          <w:ilvl w:val="0"/>
          <w:numId w:val="57"/>
        </w:numPr>
        <w:rPr>
          <w:rFonts w:ascii="Arial" w:cs="Arial" w:eastAsia="Arial" w:hAnsi="Arial"/>
          <w:sz w:val="15"/>
          <w:szCs w:val="15"/>
          <w:color w:val="074A75"/>
        </w:rPr>
      </w:pPr>
      <w:r>
        <w:rPr>
          <w:rFonts w:ascii="Arial" w:cs="Arial" w:eastAsia="Arial" w:hAnsi="Arial"/>
          <w:sz w:val="15"/>
          <w:szCs w:val="15"/>
          <w:color w:val="auto"/>
        </w:rPr>
        <w:t>President (2004–2018)</w:t>
      </w:r>
    </w:p>
    <w:p>
      <w:pPr>
        <w:spacing w:after="0" w:line="30" w:lineRule="exact"/>
        <w:rPr>
          <w:rFonts w:ascii="Arial" w:cs="Arial" w:eastAsia="Arial" w:hAnsi="Arial"/>
          <w:sz w:val="15"/>
          <w:szCs w:val="15"/>
          <w:color w:val="074A75"/>
        </w:rPr>
      </w:pPr>
    </w:p>
    <w:p>
      <w:pPr>
        <w:ind w:left="200" w:hanging="192"/>
        <w:spacing w:after="0"/>
        <w:tabs>
          <w:tab w:leader="none" w:pos="200" w:val="left"/>
        </w:tabs>
        <w:numPr>
          <w:ilvl w:val="0"/>
          <w:numId w:val="57"/>
        </w:numPr>
        <w:rPr>
          <w:rFonts w:ascii="Arial" w:cs="Arial" w:eastAsia="Arial" w:hAnsi="Arial"/>
          <w:sz w:val="15"/>
          <w:szCs w:val="15"/>
          <w:color w:val="074A75"/>
        </w:rPr>
      </w:pPr>
      <w:r>
        <w:rPr>
          <w:rFonts w:ascii="Arial" w:cs="Arial" w:eastAsia="Arial" w:hAnsi="Arial"/>
          <w:sz w:val="15"/>
          <w:szCs w:val="15"/>
          <w:color w:val="auto"/>
        </w:rPr>
        <w:t>Chief Operating Officer (2004–2005)</w:t>
      </w:r>
    </w:p>
    <w:p>
      <w:pPr>
        <w:spacing w:after="0" w:line="30" w:lineRule="exact"/>
        <w:rPr>
          <w:rFonts w:ascii="Arial" w:cs="Arial" w:eastAsia="Arial" w:hAnsi="Arial"/>
          <w:sz w:val="15"/>
          <w:szCs w:val="15"/>
          <w:color w:val="074A75"/>
        </w:rPr>
      </w:pPr>
    </w:p>
    <w:p>
      <w:pPr>
        <w:ind w:left="200" w:right="179" w:hanging="192"/>
        <w:spacing w:after="0" w:line="264" w:lineRule="auto"/>
        <w:tabs>
          <w:tab w:leader="none" w:pos="194" w:val="left"/>
        </w:tabs>
        <w:numPr>
          <w:ilvl w:val="0"/>
          <w:numId w:val="57"/>
        </w:numPr>
        <w:rPr>
          <w:rFonts w:ascii="Arial" w:cs="Arial" w:eastAsia="Arial" w:hAnsi="Arial"/>
          <w:sz w:val="15"/>
          <w:szCs w:val="15"/>
          <w:color w:val="074A75"/>
        </w:rPr>
      </w:pPr>
      <w:r>
        <w:rPr>
          <w:rFonts w:ascii="Arial" w:cs="Arial" w:eastAsia="Arial" w:hAnsi="Arial"/>
          <w:sz w:val="15"/>
          <w:szCs w:val="15"/>
          <w:color w:val="auto"/>
        </w:rPr>
        <w:t>Chairman and Chief Executive Officer at Bank One Corporation (2000– 2004)</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Education</w:t>
      </w:r>
    </w:p>
    <w:p>
      <w:pPr>
        <w:spacing w:after="0" w:line="38" w:lineRule="exact"/>
        <w:rPr>
          <w:sz w:val="20"/>
          <w:szCs w:val="20"/>
          <w:color w:val="auto"/>
        </w:rPr>
      </w:pPr>
    </w:p>
    <w:p>
      <w:pPr>
        <w:ind w:left="200" w:hanging="192"/>
        <w:spacing w:after="0"/>
        <w:tabs>
          <w:tab w:leader="none" w:pos="200" w:val="left"/>
        </w:tabs>
        <w:numPr>
          <w:ilvl w:val="0"/>
          <w:numId w:val="58"/>
        </w:numPr>
        <w:rPr>
          <w:rFonts w:ascii="Arial" w:cs="Arial" w:eastAsia="Arial" w:hAnsi="Arial"/>
          <w:sz w:val="15"/>
          <w:szCs w:val="15"/>
          <w:color w:val="074A75"/>
        </w:rPr>
      </w:pPr>
      <w:r>
        <w:rPr>
          <w:rFonts w:ascii="Arial" w:cs="Arial" w:eastAsia="Arial" w:hAnsi="Arial"/>
          <w:sz w:val="15"/>
          <w:szCs w:val="15"/>
          <w:color w:val="auto"/>
        </w:rPr>
        <w:t>Graduate of Tufts University</w:t>
      </w:r>
    </w:p>
    <w:p>
      <w:pPr>
        <w:spacing w:after="0" w:line="24" w:lineRule="exact"/>
        <w:rPr>
          <w:rFonts w:ascii="Arial" w:cs="Arial" w:eastAsia="Arial" w:hAnsi="Arial"/>
          <w:sz w:val="15"/>
          <w:szCs w:val="15"/>
          <w:color w:val="074A75"/>
        </w:rPr>
      </w:pPr>
    </w:p>
    <w:p>
      <w:pPr>
        <w:ind w:left="200" w:hanging="192"/>
        <w:spacing w:after="0"/>
        <w:tabs>
          <w:tab w:leader="none" w:pos="200" w:val="left"/>
        </w:tabs>
        <w:numPr>
          <w:ilvl w:val="0"/>
          <w:numId w:val="58"/>
        </w:numPr>
        <w:rPr>
          <w:rFonts w:ascii="Arial" w:cs="Arial" w:eastAsia="Arial" w:hAnsi="Arial"/>
          <w:sz w:val="15"/>
          <w:szCs w:val="15"/>
          <w:color w:val="074A75"/>
        </w:rPr>
      </w:pPr>
      <w:r>
        <w:rPr>
          <w:rFonts w:ascii="Arial" w:cs="Arial" w:eastAsia="Arial" w:hAnsi="Arial"/>
          <w:sz w:val="15"/>
          <w:szCs w:val="15"/>
          <w:color w:val="auto"/>
        </w:rPr>
        <w:t>M.B.A., Harvard Business School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 w:right="340"/>
        <w:spacing w:after="0" w:line="268" w:lineRule="auto"/>
        <w:rPr>
          <w:sz w:val="20"/>
          <w:szCs w:val="20"/>
          <w:color w:val="auto"/>
        </w:rPr>
      </w:pPr>
      <w:r>
        <w:rPr>
          <w:rFonts w:ascii="Arial" w:cs="Arial" w:eastAsia="Arial" w:hAnsi="Arial"/>
          <w:sz w:val="15"/>
          <w:szCs w:val="15"/>
          <w:b w:val="1"/>
          <w:bCs w:val="1"/>
          <w:color w:val="074A75"/>
        </w:rPr>
        <w:t>Other U.S.-Listed Public Company Directorships Within the Past Five Years</w:t>
      </w:r>
    </w:p>
    <w:p>
      <w:pPr>
        <w:spacing w:after="0" w:line="1" w:lineRule="exact"/>
        <w:rPr>
          <w:sz w:val="20"/>
          <w:szCs w:val="20"/>
          <w:color w:val="auto"/>
        </w:rPr>
      </w:pPr>
    </w:p>
    <w:p>
      <w:pPr>
        <w:ind w:left="181" w:hanging="181"/>
        <w:spacing w:after="0"/>
        <w:tabs>
          <w:tab w:leader="none" w:pos="181" w:val="left"/>
        </w:tabs>
        <w:numPr>
          <w:ilvl w:val="0"/>
          <w:numId w:val="59"/>
        </w:numPr>
        <w:rPr>
          <w:rFonts w:ascii="Arial" w:cs="Arial" w:eastAsia="Arial" w:hAnsi="Arial"/>
          <w:sz w:val="15"/>
          <w:szCs w:val="15"/>
          <w:color w:val="074A75"/>
        </w:rPr>
      </w:pPr>
      <w:r>
        <w:rPr>
          <w:rFonts w:ascii="Arial" w:cs="Arial" w:eastAsia="Arial" w:hAnsi="Arial"/>
          <w:sz w:val="15"/>
          <w:szCs w:val="15"/>
          <w:color w:val="auto"/>
        </w:rPr>
        <w:t>None</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074A75"/>
        </w:rPr>
        <w:t>Other Experience</w:t>
      </w:r>
    </w:p>
    <w:p>
      <w:pPr>
        <w:spacing w:after="0" w:line="46" w:lineRule="exact"/>
        <w:rPr>
          <w:sz w:val="20"/>
          <w:szCs w:val="20"/>
          <w:color w:val="auto"/>
        </w:rPr>
      </w:pPr>
    </w:p>
    <w:p>
      <w:pPr>
        <w:ind w:left="181" w:hanging="181"/>
        <w:spacing w:after="0"/>
        <w:tabs>
          <w:tab w:leader="none" w:pos="181" w:val="left"/>
        </w:tabs>
        <w:numPr>
          <w:ilvl w:val="0"/>
          <w:numId w:val="60"/>
        </w:numPr>
        <w:rPr>
          <w:rFonts w:ascii="Arial" w:cs="Arial" w:eastAsia="Arial" w:hAnsi="Arial"/>
          <w:sz w:val="15"/>
          <w:szCs w:val="15"/>
          <w:color w:val="074A75"/>
        </w:rPr>
      </w:pPr>
      <w:r>
        <w:rPr>
          <w:rFonts w:ascii="Arial" w:cs="Arial" w:eastAsia="Arial" w:hAnsi="Arial"/>
          <w:sz w:val="15"/>
          <w:szCs w:val="15"/>
          <w:color w:val="auto"/>
        </w:rPr>
        <w:t>Member of Board of Deans, Harvard Business School</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60"/>
        </w:numPr>
        <w:rPr>
          <w:rFonts w:ascii="Arial" w:cs="Arial" w:eastAsia="Arial" w:hAnsi="Arial"/>
          <w:sz w:val="15"/>
          <w:szCs w:val="15"/>
          <w:color w:val="074A75"/>
        </w:rPr>
      </w:pPr>
      <w:r>
        <w:rPr>
          <w:rFonts w:ascii="Arial" w:cs="Arial" w:eastAsia="Arial" w:hAnsi="Arial"/>
          <w:sz w:val="15"/>
          <w:szCs w:val="15"/>
          <w:color w:val="auto"/>
        </w:rPr>
        <w:t>Director, Catalyst</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60"/>
        </w:numPr>
        <w:rPr>
          <w:rFonts w:ascii="Arial" w:cs="Arial" w:eastAsia="Arial" w:hAnsi="Arial"/>
          <w:sz w:val="15"/>
          <w:szCs w:val="15"/>
          <w:color w:val="074A75"/>
        </w:rPr>
      </w:pPr>
      <w:r>
        <w:rPr>
          <w:rFonts w:ascii="Arial" w:cs="Arial" w:eastAsia="Arial" w:hAnsi="Arial"/>
          <w:sz w:val="15"/>
          <w:szCs w:val="15"/>
          <w:color w:val="auto"/>
        </w:rPr>
        <w:t>Member, Business Roundtable</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60"/>
        </w:numPr>
        <w:rPr>
          <w:rFonts w:ascii="Arial" w:cs="Arial" w:eastAsia="Arial" w:hAnsi="Arial"/>
          <w:sz w:val="15"/>
          <w:szCs w:val="15"/>
          <w:color w:val="074A75"/>
        </w:rPr>
      </w:pPr>
      <w:r>
        <w:rPr>
          <w:rFonts w:ascii="Arial" w:cs="Arial" w:eastAsia="Arial" w:hAnsi="Arial"/>
          <w:sz w:val="15"/>
          <w:szCs w:val="15"/>
          <w:color w:val="auto"/>
        </w:rPr>
        <w:t>Member, Business Council</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60"/>
        </w:numPr>
        <w:rPr>
          <w:rFonts w:ascii="Arial" w:cs="Arial" w:eastAsia="Arial" w:hAnsi="Arial"/>
          <w:sz w:val="15"/>
          <w:szCs w:val="15"/>
          <w:color w:val="074A75"/>
        </w:rPr>
      </w:pPr>
      <w:r>
        <w:rPr>
          <w:rFonts w:ascii="Arial" w:cs="Arial" w:eastAsia="Arial" w:hAnsi="Arial"/>
          <w:sz w:val="15"/>
          <w:szCs w:val="15"/>
          <w:color w:val="auto"/>
        </w:rPr>
        <w:t>Trustee, New York University School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338455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05" w:lineRule="exact"/>
        <w:rPr>
          <w:sz w:val="20"/>
          <w:szCs w:val="20"/>
          <w:color w:val="auto"/>
        </w:rPr>
      </w:pPr>
    </w:p>
    <w:p>
      <w:pPr>
        <w:sectPr>
          <w:pgSz w:w="11900" w:h="16838" w:orient="portrait"/>
          <w:cols w:equalWidth="0" w:num="2">
            <w:col w:w="5179" w:space="720"/>
            <w:col w:w="5361"/>
          </w:cols>
          <w:pgMar w:left="320" w:top="157" w:right="319" w:bottom="1440" w:gutter="0" w:footer="0" w:header="0"/>
          <w:type w:val="continuous"/>
        </w:sectPr>
      </w:pPr>
    </w:p>
    <w:p>
      <w:pPr>
        <w:spacing w:after="0" w:line="221" w:lineRule="exact"/>
        <w:rPr>
          <w:sz w:val="20"/>
          <w:szCs w:val="20"/>
          <w:color w:val="auto"/>
        </w:rPr>
      </w:pPr>
    </w:p>
    <w:p>
      <w:pPr>
        <w:ind w:left="1680"/>
        <w:spacing w:after="0"/>
        <w:rPr>
          <w:sz w:val="20"/>
          <w:szCs w:val="20"/>
          <w:color w:val="auto"/>
        </w:rPr>
      </w:pPr>
      <w:r>
        <w:rPr>
          <w:rFonts w:ascii="Arial" w:cs="Arial" w:eastAsia="Arial" w:hAnsi="Arial"/>
          <w:sz w:val="40"/>
          <w:szCs w:val="40"/>
          <w:color w:val="074A75"/>
        </w:rPr>
        <w:t>Alex Gorsky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-228600</wp:posOffset>
            </wp:positionV>
            <wp:extent cx="728345" cy="908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345" cy="908685"/>
                    </a:xfrm>
                    <a:prstGeom prst="rect">
                      <a:avLst/>
                    </a:prstGeom>
                    <a:noFill/>
                  </pic:spPr>
                </pic:pic>
              </a:graphicData>
            </a:graphic>
          </wp:anchor>
        </w:drawing>
      </w:r>
    </w:p>
    <w:p>
      <w:pPr>
        <w:spacing w:after="0" w:line="84" w:lineRule="exact"/>
        <w:rPr>
          <w:sz w:val="20"/>
          <w:szCs w:val="20"/>
          <w:color w:val="auto"/>
        </w:rPr>
      </w:pPr>
    </w:p>
    <w:p>
      <w:pPr>
        <w:ind w:left="1680"/>
        <w:spacing w:after="0"/>
        <w:rPr>
          <w:sz w:val="20"/>
          <w:szCs w:val="20"/>
          <w:color w:val="auto"/>
        </w:rPr>
      </w:pPr>
      <w:r>
        <w:rPr>
          <w:rFonts w:ascii="Arial" w:cs="Arial" w:eastAsia="Arial" w:hAnsi="Arial"/>
          <w:sz w:val="20"/>
          <w:szCs w:val="20"/>
          <w:i w:val="1"/>
          <w:iCs w:val="1"/>
          <w:color w:val="074A75"/>
        </w:rPr>
        <w:t>Retired Chairman and Chief Executive Officer of Johnson &amp; Johnson</w:t>
      </w:r>
    </w:p>
    <w:p>
      <w:pPr>
        <w:spacing w:after="0" w:line="185" w:lineRule="exact"/>
        <w:rPr>
          <w:sz w:val="20"/>
          <w:szCs w:val="20"/>
          <w:color w:val="auto"/>
        </w:rPr>
      </w:pPr>
    </w:p>
    <w:p>
      <w:pPr>
        <w:ind w:left="1680"/>
        <w:spacing w:after="0"/>
        <w:tabs>
          <w:tab w:leader="none" w:pos="4080" w:val="left"/>
        </w:tabs>
        <w:rPr>
          <w:sz w:val="20"/>
          <w:szCs w:val="20"/>
          <w:color w:val="auto"/>
        </w:rPr>
      </w:pPr>
      <w:r>
        <w:rPr>
          <w:rFonts w:ascii="Arial" w:cs="Arial" w:eastAsia="Arial" w:hAnsi="Arial"/>
          <w:sz w:val="15"/>
          <w:szCs w:val="15"/>
          <w:b w:val="1"/>
          <w:bCs w:val="1"/>
          <w:color w:val="074A75"/>
        </w:rPr>
        <w:t xml:space="preserve">Age: </w:t>
      </w:r>
      <w:r>
        <w:rPr>
          <w:rFonts w:ascii="Arial" w:cs="Arial" w:eastAsia="Arial" w:hAnsi="Arial"/>
          <w:sz w:val="15"/>
          <w:szCs w:val="15"/>
          <w:color w:val="000000"/>
        </w:rPr>
        <w:t>63</w:t>
      </w:r>
      <w:r>
        <w:rPr>
          <w:sz w:val="20"/>
          <w:szCs w:val="20"/>
          <w:color w:val="auto"/>
        </w:rPr>
        <w:tab/>
      </w:r>
      <w:r>
        <w:rPr>
          <w:rFonts w:ascii="Arial" w:cs="Arial" w:eastAsia="Arial" w:hAnsi="Arial"/>
          <w:sz w:val="15"/>
          <w:szCs w:val="15"/>
          <w:b w:val="1"/>
          <w:bCs w:val="1"/>
          <w:color w:val="074A75"/>
        </w:rPr>
        <w:t>Committees:</w:t>
      </w:r>
    </w:p>
    <w:p>
      <w:pPr>
        <w:ind w:left="1680"/>
        <w:spacing w:after="0"/>
        <w:tabs>
          <w:tab w:leader="none" w:pos="4080" w:val="left"/>
        </w:tabs>
        <w:rPr>
          <w:sz w:val="20"/>
          <w:szCs w:val="20"/>
          <w:color w:val="auto"/>
        </w:rPr>
      </w:pPr>
      <w:r>
        <w:rPr>
          <w:rFonts w:ascii="Arial" w:cs="Arial" w:eastAsia="Arial" w:hAnsi="Arial"/>
          <w:sz w:val="15"/>
          <w:szCs w:val="15"/>
          <w:b w:val="1"/>
          <w:bCs w:val="1"/>
          <w:color w:val="074A75"/>
        </w:rPr>
        <w:t xml:space="preserve">Director since: </w:t>
      </w:r>
      <w:r>
        <w:rPr>
          <w:rFonts w:ascii="Arial" w:cs="Arial" w:eastAsia="Arial" w:hAnsi="Arial"/>
          <w:sz w:val="15"/>
          <w:szCs w:val="15"/>
          <w:color w:val="000000"/>
        </w:rPr>
        <w:t>2022</w:t>
      </w:r>
      <w:r>
        <w:rPr>
          <w:sz w:val="20"/>
          <w:szCs w:val="20"/>
          <w:color w:val="auto"/>
        </w:rPr>
        <w:tab/>
      </w:r>
      <w:r>
        <w:rPr>
          <w:rFonts w:ascii="Arial" w:cs="Arial" w:eastAsia="Arial" w:hAnsi="Arial"/>
          <w:sz w:val="18"/>
          <w:szCs w:val="18"/>
          <w:color w:val="074A75"/>
        </w:rPr>
        <w:t xml:space="preserve">•  </w:t>
      </w:r>
      <w:r>
        <w:rPr>
          <w:rFonts w:ascii="Arial" w:cs="Arial" w:eastAsia="Arial" w:hAnsi="Arial"/>
          <w:sz w:val="15"/>
          <w:szCs w:val="15"/>
          <w:color w:val="000000"/>
        </w:rPr>
        <w:t>Risk Committee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Qualification Highlights</w:t>
      </w:r>
    </w:p>
    <w:p>
      <w:pPr>
        <w:spacing w:after="0" w:line="38" w:lineRule="exact"/>
        <w:rPr>
          <w:sz w:val="20"/>
          <w:szCs w:val="20"/>
          <w:color w:val="auto"/>
        </w:rPr>
      </w:pPr>
    </w:p>
    <w:p>
      <w:pPr>
        <w:ind w:left="200" w:right="680" w:hanging="192"/>
        <w:spacing w:after="0" w:line="248" w:lineRule="auto"/>
        <w:tabs>
          <w:tab w:leader="none" w:pos="194" w:val="left"/>
        </w:tabs>
        <w:numPr>
          <w:ilvl w:val="0"/>
          <w:numId w:val="61"/>
        </w:numPr>
        <w:rPr>
          <w:rFonts w:ascii="Arial" w:cs="Arial" w:eastAsia="Arial" w:hAnsi="Arial"/>
          <w:sz w:val="15"/>
          <w:szCs w:val="15"/>
          <w:color w:val="074A75"/>
        </w:rPr>
      </w:pPr>
      <w:r>
        <w:rPr>
          <w:rFonts w:ascii="Arial" w:cs="Arial" w:eastAsia="Arial" w:hAnsi="Arial"/>
          <w:sz w:val="15"/>
          <w:szCs w:val="15"/>
          <w:b w:val="1"/>
          <w:bCs w:val="1"/>
          <w:color w:val="auto"/>
        </w:rPr>
        <w:t xml:space="preserve">Finance and Accounting: </w:t>
      </w:r>
      <w:r>
        <w:rPr>
          <w:rFonts w:ascii="Arial" w:cs="Arial" w:eastAsia="Arial" w:hAnsi="Arial"/>
          <w:sz w:val="15"/>
          <w:szCs w:val="15"/>
          <w:color w:val="auto"/>
        </w:rPr>
        <w:t>Deep understanding of financial reporting standards and oversight of enterprise financial condition from experience as CEO of</w:t>
      </w:r>
      <w:r>
        <w:rPr>
          <w:rFonts w:ascii="Arial" w:cs="Arial" w:eastAsia="Arial" w:hAnsi="Arial"/>
          <w:sz w:val="15"/>
          <w:szCs w:val="15"/>
          <w:b w:val="1"/>
          <w:bCs w:val="1"/>
          <w:color w:val="auto"/>
        </w:rPr>
        <w:t xml:space="preserve"> </w:t>
      </w:r>
      <w:r>
        <w:rPr>
          <w:rFonts w:ascii="Arial" w:cs="Arial" w:eastAsia="Arial" w:hAnsi="Arial"/>
          <w:sz w:val="15"/>
          <w:szCs w:val="15"/>
          <w:color w:val="auto"/>
        </w:rPr>
        <w:t>Johnson &amp; Johnson</w:t>
      </w:r>
    </w:p>
    <w:p>
      <w:pPr>
        <w:ind w:left="200" w:hanging="192"/>
        <w:spacing w:after="0"/>
        <w:tabs>
          <w:tab w:leader="none" w:pos="200" w:val="left"/>
        </w:tabs>
        <w:numPr>
          <w:ilvl w:val="0"/>
          <w:numId w:val="61"/>
        </w:numPr>
        <w:rPr>
          <w:rFonts w:ascii="Arial" w:cs="Arial" w:eastAsia="Arial" w:hAnsi="Arial"/>
          <w:sz w:val="15"/>
          <w:szCs w:val="15"/>
          <w:color w:val="074A75"/>
        </w:rPr>
      </w:pPr>
      <w:r>
        <w:rPr>
          <w:rFonts w:ascii="Arial" w:cs="Arial" w:eastAsia="Arial" w:hAnsi="Arial"/>
          <w:sz w:val="15"/>
          <w:szCs w:val="15"/>
          <w:b w:val="1"/>
          <w:bCs w:val="1"/>
          <w:color w:val="auto"/>
        </w:rPr>
        <w:t xml:space="preserve">Technology: </w:t>
      </w:r>
      <w:r>
        <w:rPr>
          <w:rFonts w:ascii="Arial" w:cs="Arial" w:eastAsia="Arial" w:hAnsi="Arial"/>
          <w:sz w:val="15"/>
          <w:szCs w:val="15"/>
          <w:color w:val="auto"/>
        </w:rPr>
        <w:t>Expertise in overseeing innovative technologies, information security, and privacy issues through executive and board positions</w:t>
      </w:r>
    </w:p>
    <w:p>
      <w:pPr>
        <w:spacing w:after="0" w:line="43" w:lineRule="exact"/>
        <w:rPr>
          <w:rFonts w:ascii="Arial" w:cs="Arial" w:eastAsia="Arial" w:hAnsi="Arial"/>
          <w:sz w:val="15"/>
          <w:szCs w:val="15"/>
          <w:color w:val="074A75"/>
        </w:rPr>
      </w:pPr>
    </w:p>
    <w:p>
      <w:pPr>
        <w:ind w:left="200" w:hanging="192"/>
        <w:spacing w:after="0"/>
        <w:tabs>
          <w:tab w:leader="none" w:pos="200" w:val="left"/>
        </w:tabs>
        <w:numPr>
          <w:ilvl w:val="0"/>
          <w:numId w:val="61"/>
        </w:numPr>
        <w:rPr>
          <w:rFonts w:ascii="Arial" w:cs="Arial" w:eastAsia="Arial" w:hAnsi="Arial"/>
          <w:sz w:val="15"/>
          <w:szCs w:val="15"/>
          <w:color w:val="074A75"/>
        </w:rPr>
      </w:pPr>
      <w:r>
        <w:rPr>
          <w:rFonts w:ascii="Arial" w:cs="Arial" w:eastAsia="Arial" w:hAnsi="Arial"/>
          <w:sz w:val="15"/>
          <w:szCs w:val="15"/>
          <w:b w:val="1"/>
          <w:bCs w:val="1"/>
          <w:color w:val="auto"/>
        </w:rPr>
        <w:t xml:space="preserve">International Business Operations: </w:t>
      </w:r>
      <w:r>
        <w:rPr>
          <w:rFonts w:ascii="Arial" w:cs="Arial" w:eastAsia="Arial" w:hAnsi="Arial"/>
          <w:sz w:val="15"/>
          <w:szCs w:val="15"/>
          <w:color w:val="auto"/>
        </w:rPr>
        <w:t>Seasoned executive experience operating in diverse geographic, political and regulatory environments</w:t>
      </w:r>
    </w:p>
    <w:p>
      <w:pPr>
        <w:spacing w:after="0" w:line="37" w:lineRule="exact"/>
        <w:rPr>
          <w:rFonts w:ascii="Arial" w:cs="Arial" w:eastAsia="Arial" w:hAnsi="Arial"/>
          <w:sz w:val="15"/>
          <w:szCs w:val="15"/>
          <w:color w:val="074A75"/>
        </w:rPr>
      </w:pPr>
    </w:p>
    <w:p>
      <w:pPr>
        <w:ind w:left="200" w:right="180" w:hanging="192"/>
        <w:spacing w:after="0" w:line="256" w:lineRule="auto"/>
        <w:tabs>
          <w:tab w:leader="none" w:pos="194" w:val="left"/>
        </w:tabs>
        <w:numPr>
          <w:ilvl w:val="0"/>
          <w:numId w:val="61"/>
        </w:numPr>
        <w:rPr>
          <w:rFonts w:ascii="Arial" w:cs="Arial" w:eastAsia="Arial" w:hAnsi="Arial"/>
          <w:sz w:val="15"/>
          <w:szCs w:val="15"/>
          <w:color w:val="074A75"/>
        </w:rPr>
      </w:pPr>
      <w:r>
        <w:rPr>
          <w:rFonts w:ascii="Arial" w:cs="Arial" w:eastAsia="Arial" w:hAnsi="Arial"/>
          <w:sz w:val="15"/>
          <w:szCs w:val="15"/>
          <w:b w:val="1"/>
          <w:bCs w:val="1"/>
          <w:color w:val="auto"/>
        </w:rPr>
        <w:t>Public Company Governance</w:t>
      </w:r>
      <w:r>
        <w:rPr>
          <w:rFonts w:ascii="Arial" w:cs="Arial" w:eastAsia="Arial" w:hAnsi="Arial"/>
          <w:sz w:val="15"/>
          <w:szCs w:val="15"/>
          <w:color w:val="auto"/>
        </w:rPr>
        <w:t>: Broad governance expertise through public company board service and as former Chair of the Business Roundtable's Corporate</w:t>
      </w:r>
      <w:r>
        <w:rPr>
          <w:rFonts w:ascii="Arial" w:cs="Arial" w:eastAsia="Arial" w:hAnsi="Arial"/>
          <w:sz w:val="15"/>
          <w:szCs w:val="15"/>
          <w:b w:val="1"/>
          <w:bCs w:val="1"/>
          <w:color w:val="auto"/>
        </w:rPr>
        <w:t xml:space="preserve"> </w:t>
      </w:r>
      <w:r>
        <w:rPr>
          <w:rFonts w:ascii="Arial" w:cs="Arial" w:eastAsia="Arial" w:hAnsi="Arial"/>
          <w:sz w:val="15"/>
          <w:szCs w:val="15"/>
          <w:color w:val="auto"/>
        </w:rPr>
        <w:t>Governance Committee</w:t>
      </w:r>
    </w:p>
    <w:p>
      <w:pPr>
        <w:sectPr>
          <w:pgSz w:w="11900" w:h="16838" w:orient="portrait"/>
          <w:cols w:equalWidth="0" w:num="1">
            <w:col w:w="11260"/>
          </w:cols>
          <w:pgMar w:left="320" w:top="157" w:right="31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Career Highlights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Johnson &amp; Johnson, a global healthcare company</w:t>
      </w:r>
    </w:p>
    <w:p>
      <w:pPr>
        <w:spacing w:after="0" w:line="24" w:lineRule="exact"/>
        <w:rPr>
          <w:sz w:val="20"/>
          <w:szCs w:val="20"/>
          <w:color w:val="auto"/>
        </w:rPr>
      </w:pPr>
    </w:p>
    <w:p>
      <w:pPr>
        <w:ind w:left="200" w:hanging="192"/>
        <w:spacing w:after="0"/>
        <w:tabs>
          <w:tab w:leader="none" w:pos="200" w:val="left"/>
        </w:tabs>
        <w:numPr>
          <w:ilvl w:val="0"/>
          <w:numId w:val="62"/>
        </w:numPr>
        <w:rPr>
          <w:rFonts w:ascii="Arial" w:cs="Arial" w:eastAsia="Arial" w:hAnsi="Arial"/>
          <w:sz w:val="15"/>
          <w:szCs w:val="15"/>
          <w:color w:val="074A75"/>
        </w:rPr>
      </w:pPr>
      <w:r>
        <w:rPr>
          <w:rFonts w:ascii="Arial" w:cs="Arial" w:eastAsia="Arial" w:hAnsi="Arial"/>
          <w:sz w:val="15"/>
          <w:szCs w:val="15"/>
          <w:color w:val="auto"/>
        </w:rPr>
        <w:t>Executive Chairman (2022)</w:t>
      </w:r>
    </w:p>
    <w:p>
      <w:pPr>
        <w:spacing w:after="0" w:line="30" w:lineRule="exact"/>
        <w:rPr>
          <w:rFonts w:ascii="Arial" w:cs="Arial" w:eastAsia="Arial" w:hAnsi="Arial"/>
          <w:sz w:val="15"/>
          <w:szCs w:val="15"/>
          <w:color w:val="074A75"/>
        </w:rPr>
      </w:pPr>
    </w:p>
    <w:p>
      <w:pPr>
        <w:ind w:left="200" w:right="819" w:hanging="192"/>
        <w:spacing w:after="0" w:line="262" w:lineRule="auto"/>
        <w:tabs>
          <w:tab w:leader="none" w:pos="194" w:val="left"/>
        </w:tabs>
        <w:numPr>
          <w:ilvl w:val="0"/>
          <w:numId w:val="62"/>
        </w:numPr>
        <w:rPr>
          <w:rFonts w:ascii="Arial" w:cs="Arial" w:eastAsia="Arial" w:hAnsi="Arial"/>
          <w:sz w:val="15"/>
          <w:szCs w:val="15"/>
          <w:color w:val="074A75"/>
        </w:rPr>
      </w:pPr>
      <w:r>
        <w:rPr>
          <w:rFonts w:ascii="Arial" w:cs="Arial" w:eastAsia="Arial" w:hAnsi="Arial"/>
          <w:sz w:val="15"/>
          <w:szCs w:val="15"/>
          <w:color w:val="auto"/>
        </w:rPr>
        <w:t>Chairman, Chief Executive Officer, Chairman of the Executive Committee (2012-2021)</w:t>
      </w:r>
    </w:p>
    <w:p>
      <w:pPr>
        <w:spacing w:after="0" w:line="1" w:lineRule="exact"/>
        <w:rPr>
          <w:rFonts w:ascii="Arial" w:cs="Arial" w:eastAsia="Arial" w:hAnsi="Arial"/>
          <w:sz w:val="15"/>
          <w:szCs w:val="15"/>
          <w:color w:val="074A75"/>
        </w:rPr>
      </w:pPr>
    </w:p>
    <w:p>
      <w:pPr>
        <w:ind w:left="200" w:right="579" w:hanging="192"/>
        <w:spacing w:after="0" w:line="250" w:lineRule="auto"/>
        <w:tabs>
          <w:tab w:leader="none" w:pos="194" w:val="left"/>
        </w:tabs>
        <w:numPr>
          <w:ilvl w:val="0"/>
          <w:numId w:val="62"/>
        </w:numPr>
        <w:rPr>
          <w:rFonts w:ascii="Arial" w:cs="Arial" w:eastAsia="Arial" w:hAnsi="Arial"/>
          <w:sz w:val="15"/>
          <w:szCs w:val="15"/>
          <w:color w:val="074A75"/>
        </w:rPr>
      </w:pPr>
      <w:r>
        <w:rPr>
          <w:rFonts w:ascii="Arial" w:cs="Arial" w:eastAsia="Arial" w:hAnsi="Arial"/>
          <w:sz w:val="15"/>
          <w:szCs w:val="15"/>
          <w:color w:val="auto"/>
        </w:rPr>
        <w:t>Worldwide Chairman of the Surgical Care Group and the Medical Devices and Diagnostics Group and member of the Executive Committee (2009)</w:t>
      </w:r>
    </w:p>
    <w:p>
      <w:pPr>
        <w:ind w:left="200" w:hanging="192"/>
        <w:spacing w:after="0"/>
        <w:tabs>
          <w:tab w:leader="none" w:pos="200" w:val="left"/>
        </w:tabs>
        <w:numPr>
          <w:ilvl w:val="0"/>
          <w:numId w:val="62"/>
        </w:numPr>
        <w:rPr>
          <w:rFonts w:ascii="Arial" w:cs="Arial" w:eastAsia="Arial" w:hAnsi="Arial"/>
          <w:sz w:val="15"/>
          <w:szCs w:val="15"/>
          <w:color w:val="074A75"/>
        </w:rPr>
      </w:pPr>
      <w:r>
        <w:rPr>
          <w:rFonts w:ascii="Arial" w:cs="Arial" w:eastAsia="Arial" w:hAnsi="Arial"/>
          <w:sz w:val="15"/>
          <w:szCs w:val="15"/>
          <w:color w:val="auto"/>
        </w:rPr>
        <w:t>Company Group Chairman, Ehticon (2008-2009)</w:t>
      </w:r>
    </w:p>
    <w:p>
      <w:pPr>
        <w:spacing w:after="0" w:line="30" w:lineRule="exact"/>
        <w:rPr>
          <w:sz w:val="20"/>
          <w:szCs w:val="20"/>
          <w:color w:val="auto"/>
        </w:rPr>
      </w:pPr>
    </w:p>
    <w:p>
      <w:pPr>
        <w:ind w:right="799"/>
        <w:spacing w:after="0" w:line="253" w:lineRule="auto"/>
        <w:rPr>
          <w:sz w:val="20"/>
          <w:szCs w:val="20"/>
          <w:color w:val="auto"/>
        </w:rPr>
      </w:pPr>
      <w:r>
        <w:rPr>
          <w:rFonts w:ascii="Arial" w:cs="Arial" w:eastAsia="Arial" w:hAnsi="Arial"/>
          <w:sz w:val="15"/>
          <w:szCs w:val="15"/>
          <w:color w:val="auto"/>
        </w:rPr>
        <w:t>Novartis Pharmaceuticals Corporation, a multinational medicines company</w:t>
      </w:r>
    </w:p>
    <w:p>
      <w:pPr>
        <w:spacing w:after="0" w:line="1" w:lineRule="exact"/>
        <w:rPr>
          <w:sz w:val="20"/>
          <w:szCs w:val="20"/>
          <w:color w:val="auto"/>
        </w:rPr>
      </w:pPr>
    </w:p>
    <w:p>
      <w:pPr>
        <w:ind w:left="200" w:hanging="192"/>
        <w:spacing w:after="0"/>
        <w:tabs>
          <w:tab w:leader="none" w:pos="200" w:val="left"/>
        </w:tabs>
        <w:numPr>
          <w:ilvl w:val="0"/>
          <w:numId w:val="63"/>
        </w:numPr>
        <w:rPr>
          <w:rFonts w:ascii="Arial" w:cs="Arial" w:eastAsia="Arial" w:hAnsi="Arial"/>
          <w:sz w:val="15"/>
          <w:szCs w:val="15"/>
          <w:color w:val="074A75"/>
        </w:rPr>
      </w:pPr>
      <w:r>
        <w:rPr>
          <w:rFonts w:ascii="Arial" w:cs="Arial" w:eastAsia="Arial" w:hAnsi="Arial"/>
          <w:sz w:val="15"/>
          <w:szCs w:val="15"/>
          <w:color w:val="auto"/>
        </w:rPr>
        <w:t>Head of North America pharmaceutical business (2004-2008)</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Education</w:t>
      </w:r>
    </w:p>
    <w:p>
      <w:pPr>
        <w:spacing w:after="0" w:line="38" w:lineRule="exact"/>
        <w:rPr>
          <w:sz w:val="20"/>
          <w:szCs w:val="20"/>
          <w:color w:val="auto"/>
        </w:rPr>
      </w:pPr>
    </w:p>
    <w:p>
      <w:pPr>
        <w:ind w:left="200" w:hanging="192"/>
        <w:spacing w:after="0"/>
        <w:tabs>
          <w:tab w:leader="none" w:pos="200" w:val="left"/>
        </w:tabs>
        <w:numPr>
          <w:ilvl w:val="0"/>
          <w:numId w:val="64"/>
        </w:numPr>
        <w:rPr>
          <w:rFonts w:ascii="Arial" w:cs="Arial" w:eastAsia="Arial" w:hAnsi="Arial"/>
          <w:sz w:val="15"/>
          <w:szCs w:val="15"/>
          <w:color w:val="074A75"/>
        </w:rPr>
      </w:pPr>
      <w:r>
        <w:rPr>
          <w:rFonts w:ascii="Arial" w:cs="Arial" w:eastAsia="Arial" w:hAnsi="Arial"/>
          <w:sz w:val="15"/>
          <w:szCs w:val="15"/>
          <w:color w:val="auto"/>
        </w:rPr>
        <w:t>Graduate of the U.S. Military Academy at West Point</w:t>
      </w:r>
    </w:p>
    <w:p>
      <w:pPr>
        <w:spacing w:after="0" w:line="24" w:lineRule="exact"/>
        <w:rPr>
          <w:rFonts w:ascii="Arial" w:cs="Arial" w:eastAsia="Arial" w:hAnsi="Arial"/>
          <w:sz w:val="15"/>
          <w:szCs w:val="15"/>
          <w:color w:val="074A75"/>
        </w:rPr>
      </w:pPr>
    </w:p>
    <w:p>
      <w:pPr>
        <w:ind w:left="200" w:hanging="192"/>
        <w:spacing w:after="0"/>
        <w:tabs>
          <w:tab w:leader="none" w:pos="200" w:val="left"/>
        </w:tabs>
        <w:numPr>
          <w:ilvl w:val="0"/>
          <w:numId w:val="64"/>
        </w:numPr>
        <w:rPr>
          <w:rFonts w:ascii="Arial" w:cs="Arial" w:eastAsia="Arial" w:hAnsi="Arial"/>
          <w:sz w:val="15"/>
          <w:szCs w:val="15"/>
          <w:color w:val="074A75"/>
        </w:rPr>
      </w:pPr>
      <w:r>
        <w:rPr>
          <w:rFonts w:ascii="Arial" w:cs="Arial" w:eastAsia="Arial" w:hAnsi="Arial"/>
          <w:sz w:val="15"/>
          <w:szCs w:val="15"/>
          <w:color w:val="auto"/>
        </w:rPr>
        <w:t>M.B.A., The Wharton School of the University of Pennsylvania</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1" w:right="700"/>
        <w:spacing w:after="0" w:line="259" w:lineRule="auto"/>
        <w:rPr>
          <w:sz w:val="20"/>
          <w:szCs w:val="20"/>
          <w:color w:val="auto"/>
        </w:rPr>
      </w:pPr>
      <w:r>
        <w:rPr>
          <w:rFonts w:ascii="Arial" w:cs="Arial" w:eastAsia="Arial" w:hAnsi="Arial"/>
          <w:sz w:val="15"/>
          <w:szCs w:val="15"/>
          <w:b w:val="1"/>
          <w:bCs w:val="1"/>
          <w:color w:val="074A75"/>
        </w:rPr>
        <w:t>Other U.S.-Listed Public Company Directorships Within the Past Five Years</w:t>
      </w:r>
    </w:p>
    <w:p>
      <w:pPr>
        <w:ind w:left="181" w:hanging="181"/>
        <w:spacing w:after="0"/>
        <w:tabs>
          <w:tab w:leader="none" w:pos="181" w:val="left"/>
        </w:tabs>
        <w:numPr>
          <w:ilvl w:val="0"/>
          <w:numId w:val="65"/>
        </w:numPr>
        <w:rPr>
          <w:rFonts w:ascii="Arial" w:cs="Arial" w:eastAsia="Arial" w:hAnsi="Arial"/>
          <w:sz w:val="15"/>
          <w:szCs w:val="15"/>
          <w:color w:val="074A75"/>
        </w:rPr>
      </w:pPr>
      <w:r>
        <w:rPr>
          <w:rFonts w:ascii="Arial" w:cs="Arial" w:eastAsia="Arial" w:hAnsi="Arial"/>
          <w:sz w:val="15"/>
          <w:szCs w:val="15"/>
          <w:color w:val="auto"/>
        </w:rPr>
        <w:t>Apple Inc. (since 2021)</w:t>
      </w:r>
    </w:p>
    <w:p>
      <w:pPr>
        <w:spacing w:after="0" w:line="37" w:lineRule="exact"/>
        <w:rPr>
          <w:rFonts w:ascii="Arial" w:cs="Arial" w:eastAsia="Arial" w:hAnsi="Arial"/>
          <w:sz w:val="15"/>
          <w:szCs w:val="15"/>
          <w:color w:val="074A75"/>
        </w:rPr>
      </w:pPr>
    </w:p>
    <w:p>
      <w:pPr>
        <w:ind w:left="181" w:hanging="181"/>
        <w:spacing w:after="0"/>
        <w:tabs>
          <w:tab w:leader="none" w:pos="181" w:val="left"/>
        </w:tabs>
        <w:numPr>
          <w:ilvl w:val="0"/>
          <w:numId w:val="65"/>
        </w:numPr>
        <w:rPr>
          <w:rFonts w:ascii="Arial" w:cs="Arial" w:eastAsia="Arial" w:hAnsi="Arial"/>
          <w:sz w:val="15"/>
          <w:szCs w:val="15"/>
          <w:color w:val="074A75"/>
        </w:rPr>
      </w:pPr>
      <w:r>
        <w:rPr>
          <w:rFonts w:ascii="Arial" w:cs="Arial" w:eastAsia="Arial" w:hAnsi="Arial"/>
          <w:sz w:val="15"/>
          <w:szCs w:val="15"/>
          <w:color w:val="auto"/>
        </w:rPr>
        <w:t>IBM (since 2014)</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65"/>
        </w:numPr>
        <w:rPr>
          <w:rFonts w:ascii="Arial" w:cs="Arial" w:eastAsia="Arial" w:hAnsi="Arial"/>
          <w:sz w:val="15"/>
          <w:szCs w:val="15"/>
          <w:color w:val="074A75"/>
        </w:rPr>
      </w:pPr>
      <w:r>
        <w:rPr>
          <w:rFonts w:ascii="Arial" w:cs="Arial" w:eastAsia="Arial" w:hAnsi="Arial"/>
          <w:sz w:val="15"/>
          <w:szCs w:val="15"/>
          <w:color w:val="auto"/>
        </w:rPr>
        <w:t>Johnson &amp; Johnson (2012-2022)</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074A75"/>
        </w:rPr>
        <w:t>Other Experience</w:t>
      </w:r>
    </w:p>
    <w:p>
      <w:pPr>
        <w:spacing w:after="0" w:line="46" w:lineRule="exact"/>
        <w:rPr>
          <w:sz w:val="20"/>
          <w:szCs w:val="20"/>
          <w:color w:val="auto"/>
        </w:rPr>
      </w:pPr>
    </w:p>
    <w:p>
      <w:pPr>
        <w:ind w:left="181" w:hanging="181"/>
        <w:spacing w:after="0"/>
        <w:tabs>
          <w:tab w:leader="none" w:pos="181" w:val="left"/>
        </w:tabs>
        <w:numPr>
          <w:ilvl w:val="0"/>
          <w:numId w:val="66"/>
        </w:numPr>
        <w:rPr>
          <w:rFonts w:ascii="Arial" w:cs="Arial" w:eastAsia="Arial" w:hAnsi="Arial"/>
          <w:sz w:val="15"/>
          <w:szCs w:val="15"/>
          <w:color w:val="074A75"/>
        </w:rPr>
      </w:pPr>
      <w:r>
        <w:rPr>
          <w:rFonts w:ascii="Arial" w:cs="Arial" w:eastAsia="Arial" w:hAnsi="Arial"/>
          <w:sz w:val="15"/>
          <w:szCs w:val="15"/>
          <w:color w:val="auto"/>
        </w:rPr>
        <w:t>Board Member, Neurotech Pharmaceuticals, Inc.</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66"/>
        </w:numPr>
        <w:rPr>
          <w:rFonts w:ascii="Arial" w:cs="Arial" w:eastAsia="Arial" w:hAnsi="Arial"/>
          <w:sz w:val="15"/>
          <w:szCs w:val="15"/>
          <w:color w:val="074A75"/>
        </w:rPr>
      </w:pPr>
      <w:r>
        <w:rPr>
          <w:rFonts w:ascii="Arial" w:cs="Arial" w:eastAsia="Arial" w:hAnsi="Arial"/>
          <w:sz w:val="15"/>
          <w:szCs w:val="15"/>
          <w:color w:val="auto"/>
        </w:rPr>
        <w:t>Board Member, Travis Manion Foundation</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66"/>
        </w:numPr>
        <w:rPr>
          <w:rFonts w:ascii="Arial" w:cs="Arial" w:eastAsia="Arial" w:hAnsi="Arial"/>
          <w:sz w:val="15"/>
          <w:szCs w:val="15"/>
          <w:color w:val="074A75"/>
        </w:rPr>
      </w:pPr>
      <w:r>
        <w:rPr>
          <w:rFonts w:ascii="Arial" w:cs="Arial" w:eastAsia="Arial" w:hAnsi="Arial"/>
          <w:sz w:val="15"/>
          <w:szCs w:val="15"/>
          <w:color w:val="auto"/>
        </w:rPr>
        <w:t>Board Member, National Academy Foundation</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66"/>
        </w:numPr>
        <w:rPr>
          <w:rFonts w:ascii="Arial" w:cs="Arial" w:eastAsia="Arial" w:hAnsi="Arial"/>
          <w:sz w:val="15"/>
          <w:szCs w:val="15"/>
          <w:color w:val="074A75"/>
        </w:rPr>
      </w:pPr>
      <w:r>
        <w:rPr>
          <w:rFonts w:ascii="Arial" w:cs="Arial" w:eastAsia="Arial" w:hAnsi="Arial"/>
          <w:sz w:val="15"/>
          <w:szCs w:val="15"/>
          <w:color w:val="auto"/>
        </w:rPr>
        <w:t>Board Member, Wharton Board of Overseers</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66"/>
        </w:numPr>
        <w:rPr>
          <w:rFonts w:ascii="Arial" w:cs="Arial" w:eastAsia="Arial" w:hAnsi="Arial"/>
          <w:sz w:val="15"/>
          <w:szCs w:val="15"/>
          <w:color w:val="074A75"/>
        </w:rPr>
      </w:pPr>
      <w:r>
        <w:rPr>
          <w:rFonts w:ascii="Arial" w:cs="Arial" w:eastAsia="Arial" w:hAnsi="Arial"/>
          <w:sz w:val="15"/>
          <w:szCs w:val="15"/>
          <w:color w:val="auto"/>
        </w:rPr>
        <w:t>Former Trustee, NewYork-Presbyterian Hospital</w:t>
      </w:r>
    </w:p>
    <w:p>
      <w:pPr>
        <w:spacing w:after="0" w:line="30" w:lineRule="exact"/>
        <w:rPr>
          <w:rFonts w:ascii="Arial" w:cs="Arial" w:eastAsia="Arial" w:hAnsi="Arial"/>
          <w:sz w:val="15"/>
          <w:szCs w:val="15"/>
          <w:color w:val="074A75"/>
        </w:rPr>
      </w:pPr>
    </w:p>
    <w:p>
      <w:pPr>
        <w:ind w:left="201" w:right="260" w:hanging="201"/>
        <w:spacing w:after="0" w:line="283" w:lineRule="auto"/>
        <w:tabs>
          <w:tab w:leader="none" w:pos="195" w:val="left"/>
        </w:tabs>
        <w:numPr>
          <w:ilvl w:val="0"/>
          <w:numId w:val="66"/>
        </w:numPr>
        <w:rPr>
          <w:rFonts w:ascii="Arial" w:cs="Arial" w:eastAsia="Arial" w:hAnsi="Arial"/>
          <w:sz w:val="15"/>
          <w:szCs w:val="15"/>
          <w:color w:val="074A75"/>
        </w:rPr>
      </w:pPr>
      <w:r>
        <w:rPr>
          <w:rFonts w:ascii="Arial" w:cs="Arial" w:eastAsia="Arial" w:hAnsi="Arial"/>
          <w:sz w:val="15"/>
          <w:szCs w:val="15"/>
          <w:color w:val="auto"/>
        </w:rPr>
        <w:t>Former Member and Chairman of the Corporate Governance Committee of the Board of Business Roundtable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404495</wp:posOffset>
            </wp:positionV>
            <wp:extent cx="274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5179" w:space="720"/>
            <w:col w:w="5361"/>
          </w:cols>
          <w:pgMar w:left="320" w:top="157" w:right="319" w:bottom="1440" w:gutter="0" w:footer="0" w:header="0"/>
          <w:type w:val="continuous"/>
        </w:sectPr>
      </w:pPr>
    </w:p>
    <w:p>
      <w:pPr>
        <w:spacing w:after="0" w:line="1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13  </w:t>
      </w:r>
      <w:r>
        <w:rPr>
          <w:sz w:val="1"/>
          <w:szCs w:val="1"/>
          <w:color w:val="auto"/>
        </w:rPr>
        <w:drawing>
          <wp:inline distT="0" distB="0" distL="0" distR="0">
            <wp:extent cx="2203450" cy="15430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205" w:lineRule="exact"/>
        <w:rPr>
          <w:sz w:val="20"/>
          <w:szCs w:val="20"/>
          <w:color w:val="auto"/>
        </w:rPr>
      </w:pPr>
    </w:p>
    <w:p>
      <w:pPr>
        <w:ind w:left="1680"/>
        <w:spacing w:after="0"/>
        <w:rPr>
          <w:sz w:val="20"/>
          <w:szCs w:val="20"/>
          <w:color w:val="auto"/>
        </w:rPr>
      </w:pPr>
      <w:r>
        <w:rPr>
          <w:rFonts w:ascii="Arial" w:cs="Arial" w:eastAsia="Arial" w:hAnsi="Arial"/>
          <w:sz w:val="40"/>
          <w:szCs w:val="40"/>
          <w:color w:val="074A75"/>
        </w:rPr>
        <w:t>Mellody Hobson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-228600</wp:posOffset>
            </wp:positionV>
            <wp:extent cx="728980" cy="9086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908685"/>
                    </a:xfrm>
                    <a:prstGeom prst="rect">
                      <a:avLst/>
                    </a:prstGeom>
                    <a:noFill/>
                  </pic:spPr>
                </pic:pic>
              </a:graphicData>
            </a:graphic>
          </wp:anchor>
        </w:drawing>
      </w:r>
    </w:p>
    <w:p>
      <w:pPr>
        <w:spacing w:after="0" w:line="70" w:lineRule="exact"/>
        <w:rPr>
          <w:sz w:val="20"/>
          <w:szCs w:val="20"/>
          <w:color w:val="auto"/>
        </w:rPr>
      </w:pPr>
    </w:p>
    <w:p>
      <w:pPr>
        <w:ind w:left="1680"/>
        <w:spacing w:after="0"/>
        <w:rPr>
          <w:sz w:val="20"/>
          <w:szCs w:val="20"/>
          <w:color w:val="auto"/>
        </w:rPr>
      </w:pPr>
      <w:r>
        <w:rPr>
          <w:rFonts w:ascii="Arial" w:cs="Arial" w:eastAsia="Arial" w:hAnsi="Arial"/>
          <w:sz w:val="20"/>
          <w:szCs w:val="20"/>
          <w:i w:val="1"/>
          <w:iCs w:val="1"/>
          <w:color w:val="074A75"/>
        </w:rPr>
        <w:t>Co-Chief Executive Officer and President of Ariel Investments, LLC</w:t>
      </w:r>
    </w:p>
    <w:p>
      <w:pPr>
        <w:spacing w:after="0" w:line="204" w:lineRule="exact"/>
        <w:rPr>
          <w:sz w:val="20"/>
          <w:szCs w:val="20"/>
          <w:color w:val="auto"/>
        </w:rPr>
      </w:pPr>
    </w:p>
    <w:tbl>
      <w:tblPr>
        <w:tblLayout w:type="fixed"/>
        <w:tblInd w:w="1680" w:type="dxa"/>
        <w:tblCellMar>
          <w:top w:w="0" w:type="dxa"/>
          <w:left w:w="0" w:type="dxa"/>
          <w:bottom w:w="0" w:type="dxa"/>
          <w:right w:w="0" w:type="dxa"/>
        </w:tblCellMar>
      </w:tblPr>
      <w:tr>
        <w:trPr>
          <w:trHeight w:val="189"/>
        </w:trPr>
        <w:tc>
          <w:tcPr>
            <w:tcW w:w="1940" w:type="dxa"/>
            <w:vAlign w:val="bottom"/>
          </w:tcPr>
          <w:p>
            <w:pPr>
              <w:spacing w:after="0"/>
              <w:rPr>
                <w:sz w:val="20"/>
                <w:szCs w:val="20"/>
                <w:color w:val="auto"/>
              </w:rPr>
            </w:pPr>
            <w:r>
              <w:rPr>
                <w:rFonts w:ascii="Arial" w:cs="Arial" w:eastAsia="Arial" w:hAnsi="Arial"/>
                <w:sz w:val="15"/>
                <w:szCs w:val="15"/>
                <w:b w:val="1"/>
                <w:bCs w:val="1"/>
                <w:color w:val="074A75"/>
              </w:rPr>
              <w:t xml:space="preserve">Age: </w:t>
            </w:r>
            <w:r>
              <w:rPr>
                <w:rFonts w:ascii="Arial" w:cs="Arial" w:eastAsia="Arial" w:hAnsi="Arial"/>
                <w:sz w:val="15"/>
                <w:szCs w:val="15"/>
                <w:color w:val="000000"/>
              </w:rPr>
              <w:t>55</w:t>
            </w:r>
          </w:p>
        </w:tc>
        <w:tc>
          <w:tcPr>
            <w:tcW w:w="3380" w:type="dxa"/>
            <w:vAlign w:val="bottom"/>
            <w:gridSpan w:val="2"/>
          </w:tcPr>
          <w:p>
            <w:pPr>
              <w:ind w:left="480"/>
              <w:spacing w:after="0"/>
              <w:rPr>
                <w:sz w:val="20"/>
                <w:szCs w:val="20"/>
                <w:color w:val="auto"/>
              </w:rPr>
            </w:pPr>
            <w:r>
              <w:rPr>
                <w:rFonts w:ascii="Arial" w:cs="Arial" w:eastAsia="Arial" w:hAnsi="Arial"/>
                <w:sz w:val="15"/>
                <w:szCs w:val="15"/>
                <w:b w:val="1"/>
                <w:bCs w:val="1"/>
                <w:color w:val="074A75"/>
              </w:rPr>
              <w:t>Committees:</w:t>
            </w:r>
          </w:p>
        </w:tc>
      </w:tr>
      <w:tr>
        <w:trPr>
          <w:trHeight w:val="230"/>
        </w:trPr>
        <w:tc>
          <w:tcPr>
            <w:tcW w:w="1940" w:type="dxa"/>
            <w:vAlign w:val="bottom"/>
          </w:tcPr>
          <w:p>
            <w:pPr>
              <w:spacing w:after="0"/>
              <w:rPr>
                <w:sz w:val="20"/>
                <w:szCs w:val="20"/>
                <w:color w:val="auto"/>
              </w:rPr>
            </w:pPr>
            <w:r>
              <w:rPr>
                <w:rFonts w:ascii="Arial" w:cs="Arial" w:eastAsia="Arial" w:hAnsi="Arial"/>
                <w:sz w:val="15"/>
                <w:szCs w:val="15"/>
                <w:b w:val="1"/>
                <w:bCs w:val="1"/>
                <w:color w:val="074A75"/>
              </w:rPr>
              <w:t xml:space="preserve">Director since: </w:t>
            </w:r>
            <w:r>
              <w:rPr>
                <w:rFonts w:ascii="Arial" w:cs="Arial" w:eastAsia="Arial" w:hAnsi="Arial"/>
                <w:sz w:val="15"/>
                <w:szCs w:val="15"/>
                <w:color w:val="000000"/>
              </w:rPr>
              <w:t>2018</w:t>
            </w:r>
          </w:p>
        </w:tc>
        <w:tc>
          <w:tcPr>
            <w:tcW w:w="620" w:type="dxa"/>
            <w:vAlign w:val="bottom"/>
          </w:tcPr>
          <w:p>
            <w:pPr>
              <w:ind w:left="480"/>
              <w:spacing w:after="0"/>
              <w:rPr>
                <w:sz w:val="20"/>
                <w:szCs w:val="20"/>
                <w:color w:val="auto"/>
              </w:rPr>
            </w:pPr>
            <w:r>
              <w:rPr>
                <w:rFonts w:ascii="Arial" w:cs="Arial" w:eastAsia="Arial" w:hAnsi="Arial"/>
                <w:sz w:val="18"/>
                <w:szCs w:val="18"/>
                <w:color w:val="064A75"/>
              </w:rPr>
              <w:t>•</w:t>
            </w:r>
          </w:p>
        </w:tc>
        <w:tc>
          <w:tcPr>
            <w:tcW w:w="2760" w:type="dxa"/>
            <w:vAlign w:val="bottom"/>
          </w:tcPr>
          <w:p>
            <w:pPr>
              <w:ind w:left="60"/>
              <w:spacing w:after="0"/>
              <w:rPr>
                <w:sz w:val="20"/>
                <w:szCs w:val="20"/>
                <w:color w:val="auto"/>
              </w:rPr>
            </w:pPr>
            <w:r>
              <w:rPr>
                <w:rFonts w:ascii="Arial" w:cs="Arial" w:eastAsia="Arial" w:hAnsi="Arial"/>
                <w:sz w:val="15"/>
                <w:szCs w:val="15"/>
                <w:color w:val="auto"/>
              </w:rPr>
              <w:t>Public Responsibility Committee (Chair)</w:t>
            </w:r>
          </w:p>
        </w:tc>
      </w:tr>
      <w:tr>
        <w:trPr>
          <w:trHeight w:val="239"/>
        </w:trPr>
        <w:tc>
          <w:tcPr>
            <w:tcW w:w="1940" w:type="dxa"/>
            <w:vAlign w:val="bottom"/>
          </w:tcPr>
          <w:p>
            <w:pPr>
              <w:spacing w:after="0"/>
              <w:rPr>
                <w:sz w:val="20"/>
                <w:szCs w:val="20"/>
                <w:color w:val="auto"/>
              </w:rPr>
            </w:pPr>
          </w:p>
        </w:tc>
        <w:tc>
          <w:tcPr>
            <w:tcW w:w="620" w:type="dxa"/>
            <w:vAlign w:val="bottom"/>
          </w:tcPr>
          <w:p>
            <w:pPr>
              <w:ind w:left="480"/>
              <w:spacing w:after="0"/>
              <w:rPr>
                <w:sz w:val="20"/>
                <w:szCs w:val="20"/>
                <w:color w:val="auto"/>
              </w:rPr>
            </w:pPr>
            <w:r>
              <w:rPr>
                <w:rFonts w:ascii="Arial" w:cs="Arial" w:eastAsia="Arial" w:hAnsi="Arial"/>
                <w:sz w:val="18"/>
                <w:szCs w:val="18"/>
                <w:color w:val="064A75"/>
              </w:rPr>
              <w:t>•</w:t>
            </w:r>
          </w:p>
        </w:tc>
        <w:tc>
          <w:tcPr>
            <w:tcW w:w="2760" w:type="dxa"/>
            <w:vAlign w:val="bottom"/>
          </w:tcPr>
          <w:p>
            <w:pPr>
              <w:ind w:left="60"/>
              <w:spacing w:after="0"/>
              <w:rPr>
                <w:sz w:val="20"/>
                <w:szCs w:val="20"/>
                <w:color w:val="auto"/>
              </w:rPr>
            </w:pPr>
            <w:r>
              <w:rPr>
                <w:rFonts w:ascii="Arial" w:cs="Arial" w:eastAsia="Arial" w:hAnsi="Arial"/>
                <w:sz w:val="15"/>
                <w:szCs w:val="15"/>
                <w:color w:val="auto"/>
              </w:rPr>
              <w:t>Risk Committee</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Qualification Highlights</w:t>
      </w:r>
    </w:p>
    <w:p>
      <w:pPr>
        <w:spacing w:after="0" w:line="44" w:lineRule="exact"/>
        <w:rPr>
          <w:sz w:val="20"/>
          <w:szCs w:val="20"/>
          <w:color w:val="auto"/>
        </w:rPr>
      </w:pPr>
    </w:p>
    <w:p>
      <w:pPr>
        <w:ind w:left="200" w:hanging="192"/>
        <w:spacing w:after="0"/>
        <w:tabs>
          <w:tab w:leader="none" w:pos="200" w:val="left"/>
        </w:tabs>
        <w:numPr>
          <w:ilvl w:val="0"/>
          <w:numId w:val="67"/>
        </w:numPr>
        <w:rPr>
          <w:rFonts w:ascii="Arial" w:cs="Arial" w:eastAsia="Arial" w:hAnsi="Arial"/>
          <w:sz w:val="15"/>
          <w:szCs w:val="15"/>
          <w:color w:val="074A75"/>
        </w:rPr>
      </w:pPr>
      <w:r>
        <w:rPr>
          <w:rFonts w:ascii="Arial" w:cs="Arial" w:eastAsia="Arial" w:hAnsi="Arial"/>
          <w:sz w:val="15"/>
          <w:szCs w:val="15"/>
          <w:b w:val="1"/>
          <w:bCs w:val="1"/>
          <w:color w:val="auto"/>
        </w:rPr>
        <w:t xml:space="preserve">Financial Services: </w:t>
      </w:r>
      <w:r>
        <w:rPr>
          <w:rFonts w:ascii="Arial" w:cs="Arial" w:eastAsia="Arial" w:hAnsi="Arial"/>
          <w:sz w:val="15"/>
          <w:szCs w:val="15"/>
          <w:color w:val="auto"/>
        </w:rPr>
        <w:t>Co-CEO and President of Ariel Investments, LLC with over three decades of experience in asset management</w:t>
      </w:r>
    </w:p>
    <w:p>
      <w:pPr>
        <w:spacing w:after="0" w:line="37" w:lineRule="exact"/>
        <w:rPr>
          <w:rFonts w:ascii="Arial" w:cs="Arial" w:eastAsia="Arial" w:hAnsi="Arial"/>
          <w:sz w:val="15"/>
          <w:szCs w:val="15"/>
          <w:color w:val="074A75"/>
        </w:rPr>
      </w:pPr>
    </w:p>
    <w:p>
      <w:pPr>
        <w:ind w:left="200" w:right="280" w:hanging="192"/>
        <w:spacing w:after="0" w:line="248" w:lineRule="auto"/>
        <w:tabs>
          <w:tab w:leader="none" w:pos="194" w:val="left"/>
        </w:tabs>
        <w:numPr>
          <w:ilvl w:val="0"/>
          <w:numId w:val="67"/>
        </w:numPr>
        <w:rPr>
          <w:rFonts w:ascii="Arial" w:cs="Arial" w:eastAsia="Arial" w:hAnsi="Arial"/>
          <w:sz w:val="15"/>
          <w:szCs w:val="15"/>
          <w:color w:val="074A75"/>
        </w:rPr>
      </w:pPr>
      <w:r>
        <w:rPr>
          <w:rFonts w:ascii="Arial" w:cs="Arial" w:eastAsia="Arial" w:hAnsi="Arial"/>
          <w:sz w:val="15"/>
          <w:szCs w:val="15"/>
          <w:b w:val="1"/>
          <w:bCs w:val="1"/>
          <w:color w:val="auto"/>
        </w:rPr>
        <w:t xml:space="preserve">Risk Management and Controls: </w:t>
      </w:r>
      <w:r>
        <w:rPr>
          <w:rFonts w:ascii="Arial" w:cs="Arial" w:eastAsia="Arial" w:hAnsi="Arial"/>
          <w:sz w:val="15"/>
          <w:szCs w:val="15"/>
          <w:color w:val="auto"/>
        </w:rPr>
        <w:t>Deep understanding of risk management developed through C-suite positions at Ariel and current and prior service on public</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boards</w:t>
      </w:r>
    </w:p>
    <w:p>
      <w:pPr>
        <w:ind w:left="200" w:hanging="192"/>
        <w:spacing w:after="0"/>
        <w:tabs>
          <w:tab w:leader="none" w:pos="200" w:val="left"/>
        </w:tabs>
        <w:numPr>
          <w:ilvl w:val="0"/>
          <w:numId w:val="67"/>
        </w:numPr>
        <w:rPr>
          <w:rFonts w:ascii="Arial" w:cs="Arial" w:eastAsia="Arial" w:hAnsi="Arial"/>
          <w:sz w:val="15"/>
          <w:szCs w:val="15"/>
          <w:color w:val="074A75"/>
        </w:rPr>
      </w:pPr>
      <w:r>
        <w:rPr>
          <w:rFonts w:ascii="Arial" w:cs="Arial" w:eastAsia="Arial" w:hAnsi="Arial"/>
          <w:sz w:val="15"/>
          <w:szCs w:val="15"/>
          <w:b w:val="1"/>
          <w:bCs w:val="1"/>
          <w:color w:val="auto"/>
        </w:rPr>
        <w:t xml:space="preserve">ESG Matters: </w:t>
      </w:r>
      <w:r>
        <w:rPr>
          <w:rFonts w:ascii="Arial" w:cs="Arial" w:eastAsia="Arial" w:hAnsi="Arial"/>
          <w:sz w:val="15"/>
          <w:szCs w:val="15"/>
          <w:color w:val="auto"/>
        </w:rPr>
        <w:t>A recognized leader in civic and industry associations with focus on financial education and inclusive economic growth</w:t>
      </w:r>
    </w:p>
    <w:p>
      <w:pPr>
        <w:spacing w:after="0" w:line="37" w:lineRule="exact"/>
        <w:rPr>
          <w:rFonts w:ascii="Arial" w:cs="Arial" w:eastAsia="Arial" w:hAnsi="Arial"/>
          <w:sz w:val="15"/>
          <w:szCs w:val="15"/>
          <w:color w:val="074A75"/>
        </w:rPr>
      </w:pPr>
    </w:p>
    <w:p>
      <w:pPr>
        <w:ind w:left="200" w:right="380" w:hanging="192"/>
        <w:spacing w:after="0" w:line="274" w:lineRule="auto"/>
        <w:tabs>
          <w:tab w:leader="none" w:pos="194" w:val="left"/>
        </w:tabs>
        <w:numPr>
          <w:ilvl w:val="0"/>
          <w:numId w:val="67"/>
        </w:numPr>
        <w:rPr>
          <w:rFonts w:ascii="Arial" w:cs="Arial" w:eastAsia="Arial" w:hAnsi="Arial"/>
          <w:sz w:val="15"/>
          <w:szCs w:val="15"/>
          <w:color w:val="074A75"/>
        </w:rPr>
      </w:pPr>
      <w:r>
        <w:rPr>
          <w:rFonts w:ascii="Arial" w:cs="Arial" w:eastAsia="Arial" w:hAnsi="Arial"/>
          <w:sz w:val="15"/>
          <w:szCs w:val="15"/>
          <w:b w:val="1"/>
          <w:bCs w:val="1"/>
          <w:color w:val="auto"/>
        </w:rPr>
        <w:t xml:space="preserve">Public Company Governance: </w:t>
      </w:r>
      <w:r>
        <w:rPr>
          <w:rFonts w:ascii="Arial" w:cs="Arial" w:eastAsia="Arial" w:hAnsi="Arial"/>
          <w:sz w:val="15"/>
          <w:szCs w:val="15"/>
          <w:color w:val="auto"/>
        </w:rPr>
        <w:t>Significant corporate governance experience and insights gained from roles at Ariel Investments, LLC and through service on</w:t>
      </w:r>
      <w:r>
        <w:rPr>
          <w:rFonts w:ascii="Arial" w:cs="Arial" w:eastAsia="Arial" w:hAnsi="Arial"/>
          <w:sz w:val="15"/>
          <w:szCs w:val="15"/>
          <w:b w:val="1"/>
          <w:bCs w:val="1"/>
          <w:color w:val="auto"/>
        </w:rPr>
        <w:t xml:space="preserve"> </w:t>
      </w:r>
      <w:r>
        <w:rPr>
          <w:rFonts w:ascii="Arial" w:cs="Arial" w:eastAsia="Arial" w:hAnsi="Arial"/>
          <w:sz w:val="15"/>
          <w:szCs w:val="15"/>
          <w:color w:val="auto"/>
        </w:rPr>
        <w:t>other public company boards</w:t>
      </w:r>
    </w:p>
    <w:p>
      <w:pPr>
        <w:sectPr>
          <w:pgSz w:w="11900" w:h="16838" w:orient="portrait"/>
          <w:cols w:equalWidth="0" w:num="1">
            <w:col w:w="11260"/>
          </w:cols>
          <w:pgMar w:left="320" w:top="157" w:right="31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Career Highlights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Ariel Investments, LLC, a private global asset management firm</w:t>
      </w:r>
    </w:p>
    <w:p>
      <w:pPr>
        <w:spacing w:after="0" w:line="24" w:lineRule="exact"/>
        <w:rPr>
          <w:sz w:val="20"/>
          <w:szCs w:val="20"/>
          <w:color w:val="auto"/>
        </w:rPr>
      </w:pPr>
    </w:p>
    <w:p>
      <w:pPr>
        <w:ind w:left="200" w:hanging="192"/>
        <w:spacing w:after="0"/>
        <w:tabs>
          <w:tab w:leader="none" w:pos="200" w:val="left"/>
        </w:tabs>
        <w:numPr>
          <w:ilvl w:val="0"/>
          <w:numId w:val="68"/>
        </w:numPr>
        <w:rPr>
          <w:rFonts w:ascii="Arial" w:cs="Arial" w:eastAsia="Arial" w:hAnsi="Arial"/>
          <w:sz w:val="15"/>
          <w:szCs w:val="15"/>
          <w:color w:val="074A75"/>
        </w:rPr>
      </w:pPr>
      <w:r>
        <w:rPr>
          <w:rFonts w:ascii="Arial" w:cs="Arial" w:eastAsia="Arial" w:hAnsi="Arial"/>
          <w:sz w:val="15"/>
          <w:szCs w:val="15"/>
          <w:color w:val="auto"/>
        </w:rPr>
        <w:t>Co-Chief Executive Officer (since 2019)</w:t>
      </w:r>
    </w:p>
    <w:p>
      <w:pPr>
        <w:spacing w:after="0" w:line="27" w:lineRule="exact"/>
        <w:rPr>
          <w:rFonts w:ascii="Arial" w:cs="Arial" w:eastAsia="Arial" w:hAnsi="Arial"/>
          <w:sz w:val="15"/>
          <w:szCs w:val="15"/>
          <w:color w:val="074A75"/>
        </w:rPr>
      </w:pPr>
    </w:p>
    <w:p>
      <w:pPr>
        <w:ind w:left="200" w:hanging="192"/>
        <w:spacing w:after="0"/>
        <w:tabs>
          <w:tab w:leader="none" w:pos="200" w:val="left"/>
        </w:tabs>
        <w:numPr>
          <w:ilvl w:val="0"/>
          <w:numId w:val="68"/>
        </w:numPr>
        <w:rPr>
          <w:rFonts w:ascii="Arial" w:cs="Arial" w:eastAsia="Arial" w:hAnsi="Arial"/>
          <w:sz w:val="15"/>
          <w:szCs w:val="15"/>
          <w:color w:val="074A75"/>
        </w:rPr>
      </w:pPr>
      <w:r>
        <w:rPr>
          <w:rFonts w:ascii="Arial" w:cs="Arial" w:eastAsia="Arial" w:hAnsi="Arial"/>
          <w:sz w:val="15"/>
          <w:szCs w:val="15"/>
          <w:color w:val="auto"/>
        </w:rPr>
        <w:t>President and Director (since 2000)</w:t>
      </w:r>
    </w:p>
    <w:p>
      <w:pPr>
        <w:spacing w:after="0" w:line="16" w:lineRule="exact"/>
        <w:rPr>
          <w:rFonts w:ascii="Arial" w:cs="Arial" w:eastAsia="Arial" w:hAnsi="Arial"/>
          <w:sz w:val="15"/>
          <w:szCs w:val="15"/>
          <w:color w:val="074A75"/>
        </w:rPr>
      </w:pPr>
    </w:p>
    <w:p>
      <w:pPr>
        <w:ind w:left="200" w:right="59" w:hanging="192"/>
        <w:spacing w:after="0" w:line="248" w:lineRule="auto"/>
        <w:tabs>
          <w:tab w:leader="none" w:pos="194" w:val="left"/>
        </w:tabs>
        <w:numPr>
          <w:ilvl w:val="0"/>
          <w:numId w:val="68"/>
        </w:numPr>
        <w:rPr>
          <w:rFonts w:ascii="Arial" w:cs="Arial" w:eastAsia="Arial" w:hAnsi="Arial"/>
          <w:sz w:val="15"/>
          <w:szCs w:val="15"/>
          <w:color w:val="074A75"/>
        </w:rPr>
      </w:pPr>
      <w:r>
        <w:rPr>
          <w:rFonts w:ascii="Arial" w:cs="Arial" w:eastAsia="Arial" w:hAnsi="Arial"/>
          <w:sz w:val="15"/>
          <w:szCs w:val="15"/>
          <w:color w:val="auto"/>
        </w:rPr>
        <w:t>Chairman of the Board of Trustees of Ariel Investment Trust, a registered investment company (since 2006)</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Education</w:t>
      </w:r>
    </w:p>
    <w:p>
      <w:pPr>
        <w:spacing w:after="0" w:line="38" w:lineRule="exact"/>
        <w:rPr>
          <w:sz w:val="20"/>
          <w:szCs w:val="20"/>
          <w:color w:val="auto"/>
        </w:rPr>
      </w:pPr>
    </w:p>
    <w:p>
      <w:pPr>
        <w:ind w:left="200" w:right="959" w:hanging="192"/>
        <w:spacing w:after="0" w:line="274" w:lineRule="auto"/>
        <w:tabs>
          <w:tab w:leader="none" w:pos="194" w:val="left"/>
        </w:tabs>
        <w:numPr>
          <w:ilvl w:val="0"/>
          <w:numId w:val="69"/>
        </w:numPr>
        <w:rPr>
          <w:rFonts w:ascii="Arial" w:cs="Arial" w:eastAsia="Arial" w:hAnsi="Arial"/>
          <w:sz w:val="15"/>
          <w:szCs w:val="15"/>
          <w:color w:val="074A75"/>
        </w:rPr>
      </w:pPr>
      <w:r>
        <w:rPr>
          <w:rFonts w:ascii="Arial" w:cs="Arial" w:eastAsia="Arial" w:hAnsi="Arial"/>
          <w:sz w:val="15"/>
          <w:szCs w:val="15"/>
          <w:color w:val="auto"/>
        </w:rPr>
        <w:t>Graduate of the School of Public and International Affairs at Princeton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725805</wp:posOffset>
            </wp:positionV>
            <wp:extent cx="728345" cy="908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345"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 w:right="700"/>
        <w:spacing w:after="0" w:line="259" w:lineRule="auto"/>
        <w:rPr>
          <w:sz w:val="20"/>
          <w:szCs w:val="20"/>
          <w:color w:val="auto"/>
        </w:rPr>
      </w:pPr>
      <w:r>
        <w:rPr>
          <w:rFonts w:ascii="Arial" w:cs="Arial" w:eastAsia="Arial" w:hAnsi="Arial"/>
          <w:sz w:val="15"/>
          <w:szCs w:val="15"/>
          <w:b w:val="1"/>
          <w:bCs w:val="1"/>
          <w:color w:val="074A75"/>
        </w:rPr>
        <w:t>Other U.S.-Listed Public Company Directorships Within the Past Five Years</w:t>
      </w:r>
    </w:p>
    <w:p>
      <w:pPr>
        <w:ind w:left="201" w:right="460" w:hanging="201"/>
        <w:spacing w:after="0" w:line="274" w:lineRule="auto"/>
        <w:tabs>
          <w:tab w:leader="none" w:pos="195" w:val="left"/>
        </w:tabs>
        <w:numPr>
          <w:ilvl w:val="0"/>
          <w:numId w:val="70"/>
        </w:numPr>
        <w:rPr>
          <w:rFonts w:ascii="Arial" w:cs="Arial" w:eastAsia="Arial" w:hAnsi="Arial"/>
          <w:sz w:val="15"/>
          <w:szCs w:val="15"/>
          <w:color w:val="074A75"/>
        </w:rPr>
      </w:pPr>
      <w:r>
        <w:rPr>
          <w:rFonts w:ascii="Arial" w:cs="Arial" w:eastAsia="Arial" w:hAnsi="Arial"/>
          <w:sz w:val="15"/>
          <w:szCs w:val="15"/>
          <w:color w:val="auto"/>
        </w:rPr>
        <w:t>Starbucks Corporation — Chair (since 2021); Vice Chair (2018-2021); member (since 2005)</w:t>
      </w:r>
    </w:p>
    <w:p>
      <w:pPr>
        <w:spacing w:after="0" w:line="3"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074A75"/>
        </w:rPr>
        <w:t>Other Experience</w:t>
      </w:r>
    </w:p>
    <w:p>
      <w:pPr>
        <w:spacing w:after="0" w:line="38" w:lineRule="exact"/>
        <w:rPr>
          <w:sz w:val="20"/>
          <w:szCs w:val="20"/>
          <w:color w:val="auto"/>
        </w:rPr>
      </w:pPr>
    </w:p>
    <w:p>
      <w:pPr>
        <w:ind w:left="181" w:hanging="181"/>
        <w:spacing w:after="0"/>
        <w:tabs>
          <w:tab w:leader="none" w:pos="181" w:val="left"/>
        </w:tabs>
        <w:numPr>
          <w:ilvl w:val="0"/>
          <w:numId w:val="71"/>
        </w:numPr>
        <w:rPr>
          <w:rFonts w:ascii="Arial" w:cs="Arial" w:eastAsia="Arial" w:hAnsi="Arial"/>
          <w:sz w:val="15"/>
          <w:szCs w:val="15"/>
          <w:color w:val="074A75"/>
        </w:rPr>
      </w:pPr>
      <w:r>
        <w:rPr>
          <w:rFonts w:ascii="Arial" w:cs="Arial" w:eastAsia="Arial" w:hAnsi="Arial"/>
          <w:sz w:val="15"/>
          <w:szCs w:val="15"/>
          <w:color w:val="auto"/>
        </w:rPr>
        <w:t>Chair, After School Matters</w:t>
      </w:r>
    </w:p>
    <w:p>
      <w:pPr>
        <w:spacing w:after="0" w:line="22" w:lineRule="exact"/>
        <w:rPr>
          <w:rFonts w:ascii="Arial" w:cs="Arial" w:eastAsia="Arial" w:hAnsi="Arial"/>
          <w:sz w:val="15"/>
          <w:szCs w:val="15"/>
          <w:color w:val="074A75"/>
        </w:rPr>
      </w:pPr>
    </w:p>
    <w:p>
      <w:pPr>
        <w:ind w:left="201" w:right="520" w:hanging="201"/>
        <w:spacing w:after="0" w:line="245" w:lineRule="auto"/>
        <w:tabs>
          <w:tab w:leader="none" w:pos="195" w:val="left"/>
        </w:tabs>
        <w:numPr>
          <w:ilvl w:val="0"/>
          <w:numId w:val="71"/>
        </w:numPr>
        <w:rPr>
          <w:rFonts w:ascii="Arial" w:cs="Arial" w:eastAsia="Arial" w:hAnsi="Arial"/>
          <w:sz w:val="15"/>
          <w:szCs w:val="15"/>
          <w:color w:val="074A75"/>
        </w:rPr>
      </w:pPr>
      <w:r>
        <w:rPr>
          <w:rFonts w:ascii="Arial" w:cs="Arial" w:eastAsia="Arial" w:hAnsi="Arial"/>
          <w:sz w:val="15"/>
          <w:szCs w:val="15"/>
          <w:color w:val="auto"/>
        </w:rPr>
        <w:t>Board of Governors and Executive Committee, Investment Company Institute</w:t>
      </w:r>
    </w:p>
    <w:p>
      <w:pPr>
        <w:spacing w:after="0" w:line="1" w:lineRule="exact"/>
        <w:rPr>
          <w:rFonts w:ascii="Arial" w:cs="Arial" w:eastAsia="Arial" w:hAnsi="Arial"/>
          <w:sz w:val="15"/>
          <w:szCs w:val="15"/>
          <w:color w:val="074A75"/>
        </w:rPr>
      </w:pPr>
    </w:p>
    <w:p>
      <w:pPr>
        <w:ind w:left="181" w:hanging="181"/>
        <w:spacing w:after="0"/>
        <w:tabs>
          <w:tab w:leader="none" w:pos="181" w:val="left"/>
        </w:tabs>
        <w:numPr>
          <w:ilvl w:val="0"/>
          <w:numId w:val="71"/>
        </w:numPr>
        <w:rPr>
          <w:rFonts w:ascii="Arial" w:cs="Arial" w:eastAsia="Arial" w:hAnsi="Arial"/>
          <w:sz w:val="15"/>
          <w:szCs w:val="15"/>
          <w:color w:val="074A75"/>
        </w:rPr>
      </w:pPr>
      <w:r>
        <w:rPr>
          <w:rFonts w:ascii="Arial" w:cs="Arial" w:eastAsia="Arial" w:hAnsi="Arial"/>
          <w:sz w:val="15"/>
          <w:szCs w:val="15"/>
          <w:color w:val="auto"/>
        </w:rPr>
        <w:t>Ex Officio/Former Chair, The Economic Club of Chicago</w:t>
      </w:r>
    </w:p>
    <w:p>
      <w:pPr>
        <w:spacing w:after="0" w:line="13" w:lineRule="exact"/>
        <w:rPr>
          <w:rFonts w:ascii="Arial" w:cs="Arial" w:eastAsia="Arial" w:hAnsi="Arial"/>
          <w:sz w:val="15"/>
          <w:szCs w:val="15"/>
          <w:color w:val="074A75"/>
        </w:rPr>
      </w:pPr>
    </w:p>
    <w:p>
      <w:pPr>
        <w:ind w:left="181" w:hanging="181"/>
        <w:spacing w:after="0"/>
        <w:tabs>
          <w:tab w:leader="none" w:pos="181" w:val="left"/>
        </w:tabs>
        <w:numPr>
          <w:ilvl w:val="0"/>
          <w:numId w:val="71"/>
        </w:numPr>
        <w:rPr>
          <w:rFonts w:ascii="Arial" w:cs="Arial" w:eastAsia="Arial" w:hAnsi="Arial"/>
          <w:sz w:val="15"/>
          <w:szCs w:val="15"/>
          <w:color w:val="074A75"/>
        </w:rPr>
      </w:pPr>
      <w:r>
        <w:rPr>
          <w:rFonts w:ascii="Arial" w:cs="Arial" w:eastAsia="Arial" w:hAnsi="Arial"/>
          <w:sz w:val="15"/>
          <w:szCs w:val="15"/>
          <w:color w:val="auto"/>
        </w:rPr>
        <w:t>Former Vice Chair, World Business Chicago</w:t>
      </w:r>
    </w:p>
    <w:p>
      <w:pPr>
        <w:spacing w:after="0" w:line="16" w:lineRule="exact"/>
        <w:rPr>
          <w:rFonts w:ascii="Arial" w:cs="Arial" w:eastAsia="Arial" w:hAnsi="Arial"/>
          <w:sz w:val="15"/>
          <w:szCs w:val="15"/>
          <w:color w:val="074A75"/>
        </w:rPr>
      </w:pPr>
    </w:p>
    <w:p>
      <w:pPr>
        <w:ind w:left="201" w:right="640" w:hanging="201"/>
        <w:spacing w:after="0" w:line="248" w:lineRule="auto"/>
        <w:tabs>
          <w:tab w:leader="none" w:pos="195" w:val="left"/>
        </w:tabs>
        <w:numPr>
          <w:ilvl w:val="0"/>
          <w:numId w:val="71"/>
        </w:numPr>
        <w:rPr>
          <w:rFonts w:ascii="Arial" w:cs="Arial" w:eastAsia="Arial" w:hAnsi="Arial"/>
          <w:sz w:val="15"/>
          <w:szCs w:val="15"/>
          <w:color w:val="074A75"/>
        </w:rPr>
      </w:pPr>
      <w:r>
        <w:rPr>
          <w:rFonts w:ascii="Arial" w:cs="Arial" w:eastAsia="Arial" w:hAnsi="Arial"/>
          <w:sz w:val="15"/>
          <w:szCs w:val="15"/>
          <w:color w:val="auto"/>
        </w:rPr>
        <w:t>Former regular contributor and analyst on finance, the markets and economic trends for CBS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189230</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79" w:space="720"/>
            <w:col w:w="5361"/>
          </w:cols>
          <w:pgMar w:left="320" w:top="157" w:right="31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1680"/>
        <w:spacing w:after="0"/>
        <w:rPr>
          <w:sz w:val="20"/>
          <w:szCs w:val="20"/>
          <w:color w:val="auto"/>
        </w:rPr>
      </w:pPr>
      <w:r>
        <w:rPr>
          <w:rFonts w:ascii="Arial" w:cs="Arial" w:eastAsia="Arial" w:hAnsi="Arial"/>
          <w:sz w:val="40"/>
          <w:szCs w:val="40"/>
          <w:color w:val="074A75"/>
        </w:rPr>
        <w:t>Phebe N. Novakovic</w:t>
      </w:r>
    </w:p>
    <w:p>
      <w:pPr>
        <w:spacing w:after="0" w:line="77" w:lineRule="exact"/>
        <w:rPr>
          <w:sz w:val="20"/>
          <w:szCs w:val="20"/>
          <w:color w:val="auto"/>
        </w:rPr>
      </w:pPr>
    </w:p>
    <w:p>
      <w:pPr>
        <w:ind w:left="1680"/>
        <w:spacing w:after="0"/>
        <w:rPr>
          <w:sz w:val="20"/>
          <w:szCs w:val="20"/>
          <w:color w:val="auto"/>
        </w:rPr>
      </w:pPr>
      <w:r>
        <w:rPr>
          <w:rFonts w:ascii="Arial" w:cs="Arial" w:eastAsia="Arial" w:hAnsi="Arial"/>
          <w:sz w:val="20"/>
          <w:szCs w:val="20"/>
          <w:i w:val="1"/>
          <w:iCs w:val="1"/>
          <w:color w:val="074A75"/>
        </w:rPr>
        <w:t>Chairman and Chief Executive Officer of General Dynamics Corporation</w:t>
      </w:r>
    </w:p>
    <w:p>
      <w:pPr>
        <w:spacing w:after="0" w:line="140" w:lineRule="exact"/>
        <w:rPr>
          <w:sz w:val="20"/>
          <w:szCs w:val="20"/>
          <w:color w:val="auto"/>
        </w:rPr>
      </w:pPr>
    </w:p>
    <w:tbl>
      <w:tblPr>
        <w:tblLayout w:type="fixed"/>
        <w:tblInd w:w="168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5"/>
                <w:szCs w:val="15"/>
                <w:b w:val="1"/>
                <w:bCs w:val="1"/>
                <w:color w:val="074A75"/>
              </w:rPr>
              <w:t xml:space="preserve">Age: </w:t>
            </w:r>
            <w:r>
              <w:rPr>
                <w:rFonts w:ascii="Arial" w:cs="Arial" w:eastAsia="Arial" w:hAnsi="Arial"/>
                <w:sz w:val="15"/>
                <w:szCs w:val="15"/>
                <w:color w:val="000000"/>
              </w:rPr>
              <w:t>66</w:t>
            </w:r>
          </w:p>
        </w:tc>
        <w:tc>
          <w:tcPr>
            <w:tcW w:w="2860" w:type="dxa"/>
            <w:vAlign w:val="bottom"/>
            <w:gridSpan w:val="2"/>
          </w:tcPr>
          <w:p>
            <w:pPr>
              <w:ind w:left="480"/>
              <w:spacing w:after="0"/>
              <w:rPr>
                <w:sz w:val="20"/>
                <w:szCs w:val="20"/>
                <w:color w:val="auto"/>
              </w:rPr>
            </w:pPr>
            <w:r>
              <w:rPr>
                <w:rFonts w:ascii="Arial" w:cs="Arial" w:eastAsia="Arial" w:hAnsi="Arial"/>
                <w:sz w:val="15"/>
                <w:szCs w:val="15"/>
                <w:b w:val="1"/>
                <w:bCs w:val="1"/>
                <w:color w:val="074A75"/>
              </w:rPr>
              <w:t>Committees:</w:t>
            </w:r>
          </w:p>
        </w:tc>
      </w:tr>
      <w:tr>
        <w:trPr>
          <w:trHeight w:val="217"/>
        </w:trPr>
        <w:tc>
          <w:tcPr>
            <w:tcW w:w="1940" w:type="dxa"/>
            <w:vAlign w:val="bottom"/>
          </w:tcPr>
          <w:p>
            <w:pPr>
              <w:spacing w:after="0"/>
              <w:rPr>
                <w:sz w:val="20"/>
                <w:szCs w:val="20"/>
                <w:color w:val="auto"/>
              </w:rPr>
            </w:pPr>
            <w:r>
              <w:rPr>
                <w:rFonts w:ascii="Arial" w:cs="Arial" w:eastAsia="Arial" w:hAnsi="Arial"/>
                <w:sz w:val="15"/>
                <w:szCs w:val="15"/>
                <w:b w:val="1"/>
                <w:bCs w:val="1"/>
                <w:color w:val="074A75"/>
              </w:rPr>
              <w:t xml:space="preserve">Director since: </w:t>
            </w:r>
            <w:r>
              <w:rPr>
                <w:rFonts w:ascii="Arial" w:cs="Arial" w:eastAsia="Arial" w:hAnsi="Arial"/>
                <w:sz w:val="15"/>
                <w:szCs w:val="15"/>
                <w:color w:val="000000"/>
              </w:rPr>
              <w:t>2020</w:t>
            </w:r>
          </w:p>
        </w:tc>
        <w:tc>
          <w:tcPr>
            <w:tcW w:w="620" w:type="dxa"/>
            <w:vAlign w:val="bottom"/>
          </w:tcPr>
          <w:p>
            <w:pPr>
              <w:ind w:left="480"/>
              <w:spacing w:after="0"/>
              <w:rPr>
                <w:sz w:val="20"/>
                <w:szCs w:val="20"/>
                <w:color w:val="auto"/>
              </w:rPr>
            </w:pPr>
            <w:r>
              <w:rPr>
                <w:rFonts w:ascii="Arial" w:cs="Arial" w:eastAsia="Arial" w:hAnsi="Arial"/>
                <w:sz w:val="18"/>
                <w:szCs w:val="18"/>
                <w:color w:val="074A75"/>
              </w:rPr>
              <w:t>•</w:t>
            </w:r>
          </w:p>
        </w:tc>
        <w:tc>
          <w:tcPr>
            <w:tcW w:w="2240" w:type="dxa"/>
            <w:vAlign w:val="bottom"/>
          </w:tcPr>
          <w:p>
            <w:pPr>
              <w:ind w:left="60"/>
              <w:spacing w:after="0"/>
              <w:rPr>
                <w:sz w:val="20"/>
                <w:szCs w:val="20"/>
                <w:color w:val="auto"/>
              </w:rPr>
            </w:pPr>
            <w:r>
              <w:rPr>
                <w:rFonts w:ascii="Arial" w:cs="Arial" w:eastAsia="Arial" w:hAnsi="Arial"/>
                <w:sz w:val="15"/>
                <w:szCs w:val="15"/>
                <w:color w:val="auto"/>
              </w:rPr>
              <w:t>Audit Committee</w:t>
            </w:r>
          </w:p>
        </w:tc>
      </w:tr>
      <w:tr>
        <w:trPr>
          <w:trHeight w:val="239"/>
        </w:trPr>
        <w:tc>
          <w:tcPr>
            <w:tcW w:w="1940" w:type="dxa"/>
            <w:vAlign w:val="bottom"/>
          </w:tcPr>
          <w:p>
            <w:pPr>
              <w:spacing w:after="0"/>
              <w:rPr>
                <w:sz w:val="20"/>
                <w:szCs w:val="20"/>
                <w:color w:val="auto"/>
              </w:rPr>
            </w:pPr>
          </w:p>
        </w:tc>
        <w:tc>
          <w:tcPr>
            <w:tcW w:w="620" w:type="dxa"/>
            <w:vAlign w:val="bottom"/>
          </w:tcPr>
          <w:p>
            <w:pPr>
              <w:ind w:left="480"/>
              <w:spacing w:after="0"/>
              <w:rPr>
                <w:sz w:val="20"/>
                <w:szCs w:val="20"/>
                <w:color w:val="auto"/>
              </w:rPr>
            </w:pPr>
            <w:r>
              <w:rPr>
                <w:rFonts w:ascii="Arial" w:cs="Arial" w:eastAsia="Arial" w:hAnsi="Arial"/>
                <w:sz w:val="18"/>
                <w:szCs w:val="18"/>
                <w:color w:val="074A75"/>
              </w:rPr>
              <w:t>•</w:t>
            </w:r>
          </w:p>
        </w:tc>
        <w:tc>
          <w:tcPr>
            <w:tcW w:w="2240" w:type="dxa"/>
            <w:vAlign w:val="bottom"/>
          </w:tcPr>
          <w:p>
            <w:pPr>
              <w:ind w:left="60"/>
              <w:spacing w:after="0"/>
              <w:rPr>
                <w:sz w:val="20"/>
                <w:szCs w:val="20"/>
                <w:color w:val="auto"/>
              </w:rPr>
            </w:pPr>
            <w:r>
              <w:rPr>
                <w:rFonts w:ascii="Arial" w:cs="Arial" w:eastAsia="Arial" w:hAnsi="Arial"/>
                <w:sz w:val="15"/>
                <w:szCs w:val="15"/>
                <w:color w:val="auto"/>
              </w:rPr>
              <w:t>Public Responsibility Committee</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064A75"/>
        </w:rPr>
        <w:t>Qualification Highlights</w:t>
      </w:r>
    </w:p>
    <w:p>
      <w:pPr>
        <w:spacing w:after="0" w:line="44" w:lineRule="exact"/>
        <w:rPr>
          <w:sz w:val="20"/>
          <w:szCs w:val="20"/>
          <w:color w:val="auto"/>
        </w:rPr>
      </w:pPr>
    </w:p>
    <w:p>
      <w:pPr>
        <w:ind w:left="200" w:right="320" w:hanging="192"/>
        <w:spacing w:after="0" w:line="262" w:lineRule="auto"/>
        <w:tabs>
          <w:tab w:leader="none" w:pos="194" w:val="left"/>
        </w:tabs>
        <w:numPr>
          <w:ilvl w:val="0"/>
          <w:numId w:val="72"/>
        </w:numPr>
        <w:rPr>
          <w:rFonts w:ascii="Arial" w:cs="Arial" w:eastAsia="Arial" w:hAnsi="Arial"/>
          <w:sz w:val="15"/>
          <w:szCs w:val="15"/>
          <w:color w:val="074A75"/>
        </w:rPr>
      </w:pPr>
      <w:r>
        <w:rPr>
          <w:rFonts w:ascii="Arial" w:cs="Arial" w:eastAsia="Arial" w:hAnsi="Arial"/>
          <w:sz w:val="15"/>
          <w:szCs w:val="15"/>
          <w:b w:val="1"/>
          <w:bCs w:val="1"/>
          <w:color w:val="auto"/>
        </w:rPr>
        <w:t xml:space="preserve">Technology: </w:t>
      </w:r>
      <w:r>
        <w:rPr>
          <w:rFonts w:ascii="Arial" w:cs="Arial" w:eastAsia="Arial" w:hAnsi="Arial"/>
          <w:sz w:val="15"/>
          <w:szCs w:val="15"/>
          <w:color w:val="auto"/>
        </w:rPr>
        <w:t>In-depth understanding and experience overseeing innovative technology, information security, data management systems and other technology-related matters as Chairman and CEO of General Dynamics and a former director of Abbott Laboratories</w:t>
      </w:r>
    </w:p>
    <w:p>
      <w:pPr>
        <w:spacing w:after="0" w:line="1" w:lineRule="exact"/>
        <w:rPr>
          <w:rFonts w:ascii="Arial" w:cs="Arial" w:eastAsia="Arial" w:hAnsi="Arial"/>
          <w:sz w:val="15"/>
          <w:szCs w:val="15"/>
          <w:color w:val="074A75"/>
        </w:rPr>
      </w:pPr>
    </w:p>
    <w:p>
      <w:pPr>
        <w:ind w:left="200" w:hanging="192"/>
        <w:spacing w:after="0"/>
        <w:tabs>
          <w:tab w:leader="none" w:pos="200" w:val="left"/>
        </w:tabs>
        <w:numPr>
          <w:ilvl w:val="0"/>
          <w:numId w:val="72"/>
        </w:numPr>
        <w:rPr>
          <w:rFonts w:ascii="Arial" w:cs="Arial" w:eastAsia="Arial" w:hAnsi="Arial"/>
          <w:sz w:val="15"/>
          <w:szCs w:val="15"/>
          <w:color w:val="074A75"/>
        </w:rPr>
      </w:pPr>
      <w:r>
        <w:rPr>
          <w:rFonts w:ascii="Arial" w:cs="Arial" w:eastAsia="Arial" w:hAnsi="Arial"/>
          <w:sz w:val="15"/>
          <w:szCs w:val="15"/>
          <w:b w:val="1"/>
          <w:bCs w:val="1"/>
          <w:color w:val="auto"/>
        </w:rPr>
        <w:t xml:space="preserve">Finance and Accounting: </w:t>
      </w:r>
      <w:r>
        <w:rPr>
          <w:rFonts w:ascii="Arial" w:cs="Arial" w:eastAsia="Arial" w:hAnsi="Arial"/>
          <w:sz w:val="15"/>
          <w:szCs w:val="15"/>
          <w:color w:val="auto"/>
        </w:rPr>
        <w:t>Strong background in overseeing strategic objectives from a financial perspective gained through executive leadership roles</w:t>
      </w:r>
    </w:p>
    <w:p>
      <w:pPr>
        <w:spacing w:after="0" w:line="37" w:lineRule="exact"/>
        <w:rPr>
          <w:rFonts w:ascii="Arial" w:cs="Arial" w:eastAsia="Arial" w:hAnsi="Arial"/>
          <w:sz w:val="15"/>
          <w:szCs w:val="15"/>
          <w:color w:val="074A75"/>
        </w:rPr>
      </w:pPr>
    </w:p>
    <w:p>
      <w:pPr>
        <w:ind w:left="200" w:hanging="192"/>
        <w:spacing w:after="0"/>
        <w:tabs>
          <w:tab w:leader="none" w:pos="200" w:val="left"/>
        </w:tabs>
        <w:numPr>
          <w:ilvl w:val="0"/>
          <w:numId w:val="72"/>
        </w:numPr>
        <w:rPr>
          <w:rFonts w:ascii="Arial" w:cs="Arial" w:eastAsia="Arial" w:hAnsi="Arial"/>
          <w:sz w:val="15"/>
          <w:szCs w:val="15"/>
          <w:color w:val="074A75"/>
        </w:rPr>
      </w:pPr>
      <w:r>
        <w:rPr>
          <w:rFonts w:ascii="Arial" w:cs="Arial" w:eastAsia="Arial" w:hAnsi="Arial"/>
          <w:sz w:val="15"/>
          <w:szCs w:val="15"/>
          <w:b w:val="1"/>
          <w:bCs w:val="1"/>
          <w:color w:val="auto"/>
        </w:rPr>
        <w:t xml:space="preserve">ESG Matters: </w:t>
      </w:r>
      <w:r>
        <w:rPr>
          <w:rFonts w:ascii="Arial" w:cs="Arial" w:eastAsia="Arial" w:hAnsi="Arial"/>
          <w:sz w:val="15"/>
          <w:szCs w:val="15"/>
          <w:color w:val="auto"/>
        </w:rPr>
        <w:t>Unique perspective on ESG-related matters gained through leadership roles in the public and private sectors</w:t>
      </w:r>
    </w:p>
    <w:p>
      <w:pPr>
        <w:spacing w:after="0" w:line="30" w:lineRule="exact"/>
        <w:rPr>
          <w:rFonts w:ascii="Arial" w:cs="Arial" w:eastAsia="Arial" w:hAnsi="Arial"/>
          <w:sz w:val="15"/>
          <w:szCs w:val="15"/>
          <w:color w:val="074A75"/>
        </w:rPr>
      </w:pPr>
    </w:p>
    <w:p>
      <w:pPr>
        <w:ind w:left="200" w:hanging="192"/>
        <w:spacing w:after="0"/>
        <w:tabs>
          <w:tab w:leader="none" w:pos="200" w:val="left"/>
        </w:tabs>
        <w:numPr>
          <w:ilvl w:val="0"/>
          <w:numId w:val="72"/>
        </w:numPr>
        <w:rPr>
          <w:rFonts w:ascii="Arial" w:cs="Arial" w:eastAsia="Arial" w:hAnsi="Arial"/>
          <w:sz w:val="15"/>
          <w:szCs w:val="15"/>
          <w:color w:val="074A75"/>
        </w:rPr>
      </w:pPr>
      <w:r>
        <w:rPr>
          <w:rFonts w:ascii="Arial" w:cs="Arial" w:eastAsia="Arial" w:hAnsi="Arial"/>
          <w:sz w:val="15"/>
          <w:szCs w:val="15"/>
          <w:b w:val="1"/>
          <w:bCs w:val="1"/>
          <w:color w:val="auto"/>
        </w:rPr>
        <w:t xml:space="preserve">Leadership of a Large, Complex Organization: </w:t>
      </w:r>
      <w:r>
        <w:rPr>
          <w:rFonts w:ascii="Arial" w:cs="Arial" w:eastAsia="Arial" w:hAnsi="Arial"/>
          <w:sz w:val="15"/>
          <w:szCs w:val="15"/>
          <w:color w:val="auto"/>
        </w:rPr>
        <w:t>Trusted leader with experience in various senior officer positions at a global public company</w:t>
      </w:r>
    </w:p>
    <w:p>
      <w:pPr>
        <w:sectPr>
          <w:pgSz w:w="11900" w:h="16838" w:orient="portrait"/>
          <w:cols w:equalWidth="0" w:num="1">
            <w:col w:w="11260"/>
          </w:cols>
          <w:pgMar w:left="320" w:top="157" w:right="31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Career Highlights</w:t>
      </w:r>
    </w:p>
    <w:p>
      <w:pPr>
        <w:spacing w:after="0" w:line="38" w:lineRule="exact"/>
        <w:rPr>
          <w:sz w:val="20"/>
          <w:szCs w:val="20"/>
          <w:color w:val="auto"/>
        </w:rPr>
      </w:pPr>
    </w:p>
    <w:p>
      <w:pPr>
        <w:ind w:right="1399"/>
        <w:spacing w:after="0" w:line="249" w:lineRule="auto"/>
        <w:rPr>
          <w:sz w:val="20"/>
          <w:szCs w:val="20"/>
          <w:color w:val="auto"/>
        </w:rPr>
      </w:pPr>
      <w:r>
        <w:rPr>
          <w:rFonts w:ascii="Arial" w:cs="Arial" w:eastAsia="Arial" w:hAnsi="Arial"/>
          <w:sz w:val="15"/>
          <w:szCs w:val="15"/>
          <w:color w:val="auto"/>
        </w:rPr>
        <w:t>General Dynamics Corporation, a global aerospace and defense company</w:t>
      </w:r>
    </w:p>
    <w:p>
      <w:pPr>
        <w:spacing w:after="0" w:line="1" w:lineRule="exact"/>
        <w:rPr>
          <w:sz w:val="20"/>
          <w:szCs w:val="20"/>
          <w:color w:val="auto"/>
        </w:rPr>
      </w:pPr>
    </w:p>
    <w:p>
      <w:pPr>
        <w:ind w:left="200" w:hanging="192"/>
        <w:spacing w:after="0"/>
        <w:tabs>
          <w:tab w:leader="none" w:pos="200" w:val="left"/>
        </w:tabs>
        <w:numPr>
          <w:ilvl w:val="0"/>
          <w:numId w:val="73"/>
        </w:numPr>
        <w:rPr>
          <w:rFonts w:ascii="Arial" w:cs="Arial" w:eastAsia="Arial" w:hAnsi="Arial"/>
          <w:sz w:val="15"/>
          <w:szCs w:val="15"/>
          <w:color w:val="074A75"/>
        </w:rPr>
      </w:pPr>
      <w:r>
        <w:rPr>
          <w:rFonts w:ascii="Arial" w:cs="Arial" w:eastAsia="Arial" w:hAnsi="Arial"/>
          <w:sz w:val="15"/>
          <w:szCs w:val="15"/>
          <w:color w:val="auto"/>
        </w:rPr>
        <w:t>Chairman and Chief Executive Officer (since 2013)</w:t>
      </w:r>
    </w:p>
    <w:p>
      <w:pPr>
        <w:spacing w:after="0" w:line="30" w:lineRule="exact"/>
        <w:rPr>
          <w:rFonts w:ascii="Arial" w:cs="Arial" w:eastAsia="Arial" w:hAnsi="Arial"/>
          <w:sz w:val="15"/>
          <w:szCs w:val="15"/>
          <w:color w:val="074A75"/>
        </w:rPr>
      </w:pPr>
    </w:p>
    <w:p>
      <w:pPr>
        <w:ind w:left="200" w:hanging="192"/>
        <w:spacing w:after="0"/>
        <w:tabs>
          <w:tab w:leader="none" w:pos="200" w:val="left"/>
        </w:tabs>
        <w:numPr>
          <w:ilvl w:val="0"/>
          <w:numId w:val="73"/>
        </w:numPr>
        <w:rPr>
          <w:rFonts w:ascii="Arial" w:cs="Arial" w:eastAsia="Arial" w:hAnsi="Arial"/>
          <w:sz w:val="15"/>
          <w:szCs w:val="15"/>
          <w:color w:val="074A75"/>
        </w:rPr>
      </w:pPr>
      <w:r>
        <w:rPr>
          <w:rFonts w:ascii="Arial" w:cs="Arial" w:eastAsia="Arial" w:hAnsi="Arial"/>
          <w:sz w:val="15"/>
          <w:szCs w:val="15"/>
          <w:color w:val="auto"/>
        </w:rPr>
        <w:t>President and Chief Operating Officer (2012)</w:t>
      </w:r>
    </w:p>
    <w:p>
      <w:pPr>
        <w:spacing w:after="0" w:line="43" w:lineRule="exact"/>
        <w:rPr>
          <w:rFonts w:ascii="Arial" w:cs="Arial" w:eastAsia="Arial" w:hAnsi="Arial"/>
          <w:sz w:val="15"/>
          <w:szCs w:val="15"/>
          <w:color w:val="074A75"/>
        </w:rPr>
      </w:pPr>
    </w:p>
    <w:p>
      <w:pPr>
        <w:ind w:left="200" w:hanging="192"/>
        <w:spacing w:after="0"/>
        <w:tabs>
          <w:tab w:leader="none" w:pos="200" w:val="left"/>
        </w:tabs>
        <w:numPr>
          <w:ilvl w:val="0"/>
          <w:numId w:val="73"/>
        </w:numPr>
        <w:rPr>
          <w:rFonts w:ascii="Arial" w:cs="Arial" w:eastAsia="Arial" w:hAnsi="Arial"/>
          <w:sz w:val="15"/>
          <w:szCs w:val="15"/>
          <w:color w:val="074A75"/>
        </w:rPr>
      </w:pPr>
      <w:r>
        <w:rPr>
          <w:rFonts w:ascii="Arial" w:cs="Arial" w:eastAsia="Arial" w:hAnsi="Arial"/>
          <w:sz w:val="15"/>
          <w:szCs w:val="15"/>
          <w:color w:val="auto"/>
        </w:rPr>
        <w:t>Executive Vice President, Marine Systems (2010-2012)</w:t>
      </w:r>
    </w:p>
    <w:p>
      <w:pPr>
        <w:spacing w:after="0" w:line="30" w:lineRule="exact"/>
        <w:rPr>
          <w:rFonts w:ascii="Arial" w:cs="Arial" w:eastAsia="Arial" w:hAnsi="Arial"/>
          <w:sz w:val="15"/>
          <w:szCs w:val="15"/>
          <w:color w:val="074A75"/>
        </w:rPr>
      </w:pPr>
    </w:p>
    <w:p>
      <w:pPr>
        <w:ind w:left="200" w:hanging="192"/>
        <w:spacing w:after="0"/>
        <w:tabs>
          <w:tab w:leader="none" w:pos="200" w:val="left"/>
        </w:tabs>
        <w:numPr>
          <w:ilvl w:val="0"/>
          <w:numId w:val="73"/>
        </w:numPr>
        <w:rPr>
          <w:rFonts w:ascii="Arial" w:cs="Arial" w:eastAsia="Arial" w:hAnsi="Arial"/>
          <w:sz w:val="15"/>
          <w:szCs w:val="15"/>
          <w:color w:val="074A75"/>
        </w:rPr>
      </w:pPr>
      <w:r>
        <w:rPr>
          <w:rFonts w:ascii="Arial" w:cs="Arial" w:eastAsia="Arial" w:hAnsi="Arial"/>
          <w:sz w:val="15"/>
          <w:szCs w:val="15"/>
          <w:color w:val="auto"/>
        </w:rPr>
        <w:t>Senior Vice President, Planning and Development (2005-2010)</w:t>
      </w:r>
    </w:p>
    <w:p>
      <w:pPr>
        <w:spacing w:after="0" w:line="30" w:lineRule="exact"/>
        <w:rPr>
          <w:rFonts w:ascii="Arial" w:cs="Arial" w:eastAsia="Arial" w:hAnsi="Arial"/>
          <w:sz w:val="15"/>
          <w:szCs w:val="15"/>
          <w:color w:val="074A75"/>
        </w:rPr>
      </w:pPr>
    </w:p>
    <w:p>
      <w:pPr>
        <w:ind w:left="200" w:hanging="192"/>
        <w:spacing w:after="0"/>
        <w:tabs>
          <w:tab w:leader="none" w:pos="200" w:val="left"/>
        </w:tabs>
        <w:numPr>
          <w:ilvl w:val="0"/>
          <w:numId w:val="73"/>
        </w:numPr>
        <w:rPr>
          <w:rFonts w:ascii="Arial" w:cs="Arial" w:eastAsia="Arial" w:hAnsi="Arial"/>
          <w:sz w:val="15"/>
          <w:szCs w:val="15"/>
          <w:color w:val="074A75"/>
        </w:rPr>
      </w:pPr>
      <w:r>
        <w:rPr>
          <w:rFonts w:ascii="Arial" w:cs="Arial" w:eastAsia="Arial" w:hAnsi="Arial"/>
          <w:sz w:val="15"/>
          <w:szCs w:val="15"/>
          <w:color w:val="auto"/>
        </w:rPr>
        <w:t>Vice President (2002-2005)</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Education</w:t>
      </w:r>
    </w:p>
    <w:p>
      <w:pPr>
        <w:spacing w:after="0" w:line="38" w:lineRule="exact"/>
        <w:rPr>
          <w:sz w:val="20"/>
          <w:szCs w:val="20"/>
          <w:color w:val="auto"/>
        </w:rPr>
      </w:pPr>
    </w:p>
    <w:p>
      <w:pPr>
        <w:ind w:left="200" w:hanging="192"/>
        <w:spacing w:after="0"/>
        <w:tabs>
          <w:tab w:leader="none" w:pos="200" w:val="left"/>
        </w:tabs>
        <w:numPr>
          <w:ilvl w:val="0"/>
          <w:numId w:val="74"/>
        </w:numPr>
        <w:rPr>
          <w:rFonts w:ascii="Arial" w:cs="Arial" w:eastAsia="Arial" w:hAnsi="Arial"/>
          <w:sz w:val="15"/>
          <w:szCs w:val="15"/>
          <w:color w:val="074A75"/>
        </w:rPr>
      </w:pPr>
      <w:r>
        <w:rPr>
          <w:rFonts w:ascii="Arial" w:cs="Arial" w:eastAsia="Arial" w:hAnsi="Arial"/>
          <w:sz w:val="15"/>
          <w:szCs w:val="15"/>
          <w:color w:val="auto"/>
        </w:rPr>
        <w:t>Graduate of Smith College</w:t>
      </w:r>
    </w:p>
    <w:p>
      <w:pPr>
        <w:spacing w:after="0" w:line="24" w:lineRule="exact"/>
        <w:rPr>
          <w:rFonts w:ascii="Arial" w:cs="Arial" w:eastAsia="Arial" w:hAnsi="Arial"/>
          <w:sz w:val="15"/>
          <w:szCs w:val="15"/>
          <w:color w:val="074A75"/>
        </w:rPr>
      </w:pPr>
    </w:p>
    <w:p>
      <w:pPr>
        <w:ind w:left="200" w:hanging="192"/>
        <w:spacing w:after="0"/>
        <w:tabs>
          <w:tab w:leader="none" w:pos="200" w:val="left"/>
        </w:tabs>
        <w:numPr>
          <w:ilvl w:val="0"/>
          <w:numId w:val="74"/>
        </w:numPr>
        <w:rPr>
          <w:rFonts w:ascii="Arial" w:cs="Arial" w:eastAsia="Arial" w:hAnsi="Arial"/>
          <w:sz w:val="15"/>
          <w:szCs w:val="15"/>
          <w:color w:val="074A75"/>
        </w:rPr>
      </w:pPr>
      <w:r>
        <w:rPr>
          <w:rFonts w:ascii="Arial" w:cs="Arial" w:eastAsia="Arial" w:hAnsi="Arial"/>
          <w:sz w:val="15"/>
          <w:szCs w:val="15"/>
          <w:color w:val="auto"/>
        </w:rPr>
        <w:t>M.B.A., The Wharton School of the University of Pennsylvania</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 w:right="700"/>
        <w:spacing w:after="0" w:line="259" w:lineRule="auto"/>
        <w:rPr>
          <w:sz w:val="20"/>
          <w:szCs w:val="20"/>
          <w:color w:val="auto"/>
        </w:rPr>
      </w:pPr>
      <w:r>
        <w:rPr>
          <w:rFonts w:ascii="Arial" w:cs="Arial" w:eastAsia="Arial" w:hAnsi="Arial"/>
          <w:sz w:val="15"/>
          <w:szCs w:val="15"/>
          <w:b w:val="1"/>
          <w:bCs w:val="1"/>
          <w:color w:val="074A75"/>
        </w:rPr>
        <w:t>Other U.S.-Listed Public Company Directorships Within the Past Five Years</w:t>
      </w:r>
    </w:p>
    <w:p>
      <w:pPr>
        <w:ind w:left="201" w:right="640" w:hanging="201"/>
        <w:spacing w:after="0" w:line="258" w:lineRule="auto"/>
        <w:tabs>
          <w:tab w:leader="none" w:pos="195" w:val="left"/>
        </w:tabs>
        <w:numPr>
          <w:ilvl w:val="0"/>
          <w:numId w:val="75"/>
        </w:numPr>
        <w:rPr>
          <w:rFonts w:ascii="Arial" w:cs="Arial" w:eastAsia="Arial" w:hAnsi="Arial"/>
          <w:sz w:val="15"/>
          <w:szCs w:val="15"/>
          <w:color w:val="074A75"/>
        </w:rPr>
      </w:pPr>
      <w:r>
        <w:rPr>
          <w:rFonts w:ascii="Arial" w:cs="Arial" w:eastAsia="Arial" w:hAnsi="Arial"/>
          <w:sz w:val="15"/>
          <w:szCs w:val="15"/>
          <w:color w:val="auto"/>
        </w:rPr>
        <w:t>General Dynamics Corporation — Chairman (since 2013); member (since 2012)</w:t>
      </w:r>
    </w:p>
    <w:p>
      <w:pPr>
        <w:spacing w:after="0" w:line="1" w:lineRule="exact"/>
        <w:rPr>
          <w:rFonts w:ascii="Arial" w:cs="Arial" w:eastAsia="Arial" w:hAnsi="Arial"/>
          <w:sz w:val="15"/>
          <w:szCs w:val="15"/>
          <w:color w:val="074A75"/>
        </w:rPr>
      </w:pPr>
    </w:p>
    <w:p>
      <w:pPr>
        <w:ind w:left="181" w:hanging="181"/>
        <w:spacing w:after="0"/>
        <w:tabs>
          <w:tab w:leader="none" w:pos="181" w:val="left"/>
        </w:tabs>
        <w:numPr>
          <w:ilvl w:val="0"/>
          <w:numId w:val="75"/>
        </w:numPr>
        <w:rPr>
          <w:rFonts w:ascii="Arial" w:cs="Arial" w:eastAsia="Arial" w:hAnsi="Arial"/>
          <w:sz w:val="15"/>
          <w:szCs w:val="15"/>
          <w:color w:val="074A75"/>
        </w:rPr>
      </w:pPr>
      <w:r>
        <w:rPr>
          <w:rFonts w:ascii="Arial" w:cs="Arial" w:eastAsia="Arial" w:hAnsi="Arial"/>
          <w:sz w:val="15"/>
          <w:szCs w:val="15"/>
          <w:color w:val="auto"/>
        </w:rPr>
        <w:t>Abbott Laboratories (2010-2021)</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074A75"/>
        </w:rPr>
        <w:t>Other Experience</w:t>
      </w:r>
    </w:p>
    <w:p>
      <w:pPr>
        <w:spacing w:after="0" w:line="46" w:lineRule="exact"/>
        <w:rPr>
          <w:sz w:val="20"/>
          <w:szCs w:val="20"/>
          <w:color w:val="auto"/>
        </w:rPr>
      </w:pPr>
    </w:p>
    <w:p>
      <w:pPr>
        <w:ind w:left="181" w:hanging="181"/>
        <w:spacing w:after="0"/>
        <w:tabs>
          <w:tab w:leader="none" w:pos="181" w:val="left"/>
        </w:tabs>
        <w:numPr>
          <w:ilvl w:val="0"/>
          <w:numId w:val="76"/>
        </w:numPr>
        <w:rPr>
          <w:rFonts w:ascii="Arial" w:cs="Arial" w:eastAsia="Arial" w:hAnsi="Arial"/>
          <w:sz w:val="15"/>
          <w:szCs w:val="15"/>
          <w:color w:val="074A75"/>
        </w:rPr>
      </w:pPr>
      <w:r>
        <w:rPr>
          <w:rFonts w:ascii="Arial" w:cs="Arial" w:eastAsia="Arial" w:hAnsi="Arial"/>
          <w:sz w:val="15"/>
          <w:szCs w:val="15"/>
          <w:color w:val="auto"/>
        </w:rPr>
        <w:t>Chairman of the Board of Directors, Association of the United States Army</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76"/>
        </w:numPr>
        <w:rPr>
          <w:rFonts w:ascii="Arial" w:cs="Arial" w:eastAsia="Arial" w:hAnsi="Arial"/>
          <w:sz w:val="15"/>
          <w:szCs w:val="15"/>
          <w:color w:val="074A75"/>
        </w:rPr>
      </w:pPr>
      <w:r>
        <w:rPr>
          <w:rFonts w:ascii="Arial" w:cs="Arial" w:eastAsia="Arial" w:hAnsi="Arial"/>
          <w:sz w:val="15"/>
          <w:szCs w:val="15"/>
          <w:color w:val="auto"/>
        </w:rPr>
        <w:t>Chairman of the Board of Trustees, Ford's Theatre</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76"/>
        </w:numPr>
        <w:rPr>
          <w:rFonts w:ascii="Arial" w:cs="Arial" w:eastAsia="Arial" w:hAnsi="Arial"/>
          <w:sz w:val="15"/>
          <w:szCs w:val="15"/>
          <w:color w:val="074A75"/>
        </w:rPr>
      </w:pPr>
      <w:r>
        <w:rPr>
          <w:rFonts w:ascii="Arial" w:cs="Arial" w:eastAsia="Arial" w:hAnsi="Arial"/>
          <w:sz w:val="15"/>
          <w:szCs w:val="15"/>
          <w:color w:val="auto"/>
        </w:rPr>
        <w:t>Director, Northwestern Memorial Hospital</w:t>
      </w:r>
    </w:p>
    <w:p>
      <w:pPr>
        <w:spacing w:after="0" w:line="30" w:lineRule="exact"/>
        <w:rPr>
          <w:rFonts w:ascii="Arial" w:cs="Arial" w:eastAsia="Arial" w:hAnsi="Arial"/>
          <w:sz w:val="15"/>
          <w:szCs w:val="15"/>
          <w:color w:val="074A75"/>
        </w:rPr>
      </w:pPr>
    </w:p>
    <w:p>
      <w:pPr>
        <w:ind w:left="181" w:hanging="181"/>
        <w:spacing w:after="0"/>
        <w:tabs>
          <w:tab w:leader="none" w:pos="181" w:val="left"/>
        </w:tabs>
        <w:numPr>
          <w:ilvl w:val="0"/>
          <w:numId w:val="76"/>
        </w:numPr>
        <w:rPr>
          <w:rFonts w:ascii="Arial" w:cs="Arial" w:eastAsia="Arial" w:hAnsi="Arial"/>
          <w:sz w:val="15"/>
          <w:szCs w:val="15"/>
          <w:color w:val="074A75"/>
        </w:rPr>
      </w:pPr>
      <w:r>
        <w:rPr>
          <w:rFonts w:ascii="Arial" w:cs="Arial" w:eastAsia="Arial" w:hAnsi="Arial"/>
          <w:sz w:val="15"/>
          <w:szCs w:val="15"/>
          <w:color w:val="auto"/>
        </w:rPr>
        <w:t>Member, Business Roundtable</w:t>
      </w:r>
    </w:p>
    <w:p>
      <w:pPr>
        <w:spacing w:after="0" w:line="429" w:lineRule="exact"/>
        <w:rPr>
          <w:sz w:val="20"/>
          <w:szCs w:val="20"/>
          <w:color w:val="auto"/>
        </w:rPr>
      </w:pPr>
    </w:p>
    <w:p>
      <w:pPr>
        <w:sectPr>
          <w:pgSz w:w="11900" w:h="16838" w:orient="portrait"/>
          <w:cols w:equalWidth="0" w:num="2">
            <w:col w:w="5179" w:space="720"/>
            <w:col w:w="5361"/>
          </w:cols>
          <w:pgMar w:left="320" w:top="157" w:right="319" w:bottom="1440" w:gutter="0" w:footer="0" w:header="0"/>
          <w:type w:val="continuous"/>
        </w:sect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232" w:lineRule="exact"/>
        <w:rPr>
          <w:sz w:val="20"/>
          <w:szCs w:val="20"/>
          <w:color w:val="auto"/>
        </w:rPr>
      </w:pPr>
    </w:p>
    <w:p>
      <w:pPr>
        <w:ind w:left="1680"/>
        <w:spacing w:after="0"/>
        <w:rPr>
          <w:sz w:val="20"/>
          <w:szCs w:val="20"/>
          <w:color w:val="auto"/>
        </w:rPr>
      </w:pPr>
      <w:r>
        <w:rPr>
          <w:rFonts w:ascii="Arial" w:cs="Arial" w:eastAsia="Arial" w:hAnsi="Arial"/>
          <w:sz w:val="40"/>
          <w:szCs w:val="40"/>
          <w:color w:val="074A75"/>
        </w:rPr>
        <w:t>Virginia M. Rometty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-236855</wp:posOffset>
            </wp:positionV>
            <wp:extent cx="822960" cy="1028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2960" cy="1028700"/>
                    </a:xfrm>
                    <a:prstGeom prst="rect">
                      <a:avLst/>
                    </a:prstGeom>
                    <a:noFill/>
                  </pic:spPr>
                </pic:pic>
              </a:graphicData>
            </a:graphic>
          </wp:anchor>
        </w:drawing>
      </w:r>
    </w:p>
    <w:p>
      <w:pPr>
        <w:spacing w:after="0" w:line="97" w:lineRule="exact"/>
        <w:rPr>
          <w:sz w:val="20"/>
          <w:szCs w:val="20"/>
          <w:color w:val="auto"/>
        </w:rPr>
      </w:pPr>
    </w:p>
    <w:p>
      <w:pPr>
        <w:ind w:left="1680"/>
        <w:spacing w:after="0"/>
        <w:rPr>
          <w:sz w:val="20"/>
          <w:szCs w:val="20"/>
          <w:color w:val="auto"/>
        </w:rPr>
      </w:pPr>
      <w:r>
        <w:rPr>
          <w:rFonts w:ascii="Arial" w:cs="Arial" w:eastAsia="Arial" w:hAnsi="Arial"/>
          <w:sz w:val="20"/>
          <w:szCs w:val="20"/>
          <w:i w:val="1"/>
          <w:iCs w:val="1"/>
          <w:color w:val="074A75"/>
        </w:rPr>
        <w:t>Retired Executive Chairman, President and Chief Executive Officer of IBM</w:t>
      </w:r>
    </w:p>
    <w:p>
      <w:pPr>
        <w:spacing w:after="0" w:line="200" w:lineRule="exact"/>
        <w:rPr>
          <w:sz w:val="20"/>
          <w:szCs w:val="20"/>
          <w:color w:val="auto"/>
        </w:rPr>
      </w:pPr>
    </w:p>
    <w:tbl>
      <w:tblPr>
        <w:tblLayout w:type="fixed"/>
        <w:tblInd w:w="168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5"/>
                <w:szCs w:val="15"/>
                <w:b w:val="1"/>
                <w:bCs w:val="1"/>
                <w:color w:val="074A75"/>
              </w:rPr>
              <w:t xml:space="preserve">Age: </w:t>
            </w:r>
            <w:r>
              <w:rPr>
                <w:rFonts w:ascii="Arial" w:cs="Arial" w:eastAsia="Arial" w:hAnsi="Arial"/>
                <w:sz w:val="15"/>
                <w:szCs w:val="15"/>
                <w:color w:val="000000"/>
              </w:rPr>
              <w:t>66</w:t>
            </w:r>
          </w:p>
        </w:tc>
        <w:tc>
          <w:tcPr>
            <w:tcW w:w="4480" w:type="dxa"/>
            <w:vAlign w:val="bottom"/>
            <w:gridSpan w:val="2"/>
          </w:tcPr>
          <w:p>
            <w:pPr>
              <w:ind w:left="480"/>
              <w:spacing w:after="0"/>
              <w:rPr>
                <w:sz w:val="20"/>
                <w:szCs w:val="20"/>
                <w:color w:val="auto"/>
              </w:rPr>
            </w:pPr>
            <w:r>
              <w:rPr>
                <w:rFonts w:ascii="Arial" w:cs="Arial" w:eastAsia="Arial" w:hAnsi="Arial"/>
                <w:sz w:val="15"/>
                <w:szCs w:val="15"/>
                <w:b w:val="1"/>
                <w:bCs w:val="1"/>
                <w:color w:val="074A75"/>
              </w:rPr>
              <w:t>Committees:</w:t>
            </w:r>
          </w:p>
        </w:tc>
      </w:tr>
      <w:tr>
        <w:trPr>
          <w:trHeight w:val="211"/>
        </w:trPr>
        <w:tc>
          <w:tcPr>
            <w:tcW w:w="1940" w:type="dxa"/>
            <w:vAlign w:val="bottom"/>
          </w:tcPr>
          <w:p>
            <w:pPr>
              <w:spacing w:after="0"/>
              <w:rPr>
                <w:sz w:val="20"/>
                <w:szCs w:val="20"/>
                <w:color w:val="auto"/>
              </w:rPr>
            </w:pPr>
            <w:r>
              <w:rPr>
                <w:rFonts w:ascii="Arial" w:cs="Arial" w:eastAsia="Arial" w:hAnsi="Arial"/>
                <w:sz w:val="15"/>
                <w:szCs w:val="15"/>
                <w:b w:val="1"/>
                <w:bCs w:val="1"/>
                <w:color w:val="074A75"/>
              </w:rPr>
              <w:t xml:space="preserve">Director since: </w:t>
            </w:r>
            <w:r>
              <w:rPr>
                <w:rFonts w:ascii="Arial" w:cs="Arial" w:eastAsia="Arial" w:hAnsi="Arial"/>
                <w:sz w:val="15"/>
                <w:szCs w:val="15"/>
                <w:color w:val="000000"/>
              </w:rPr>
              <w:t>2020</w:t>
            </w:r>
          </w:p>
        </w:tc>
        <w:tc>
          <w:tcPr>
            <w:tcW w:w="620" w:type="dxa"/>
            <w:vAlign w:val="bottom"/>
          </w:tcPr>
          <w:p>
            <w:pPr>
              <w:ind w:left="480"/>
              <w:spacing w:after="0"/>
              <w:rPr>
                <w:sz w:val="20"/>
                <w:szCs w:val="20"/>
                <w:color w:val="auto"/>
              </w:rPr>
            </w:pPr>
            <w:r>
              <w:rPr>
                <w:rFonts w:ascii="Arial" w:cs="Arial" w:eastAsia="Arial" w:hAnsi="Arial"/>
                <w:sz w:val="18"/>
                <w:szCs w:val="18"/>
                <w:color w:val="074A75"/>
              </w:rPr>
              <w:t>•</w:t>
            </w:r>
          </w:p>
        </w:tc>
        <w:tc>
          <w:tcPr>
            <w:tcW w:w="3860" w:type="dxa"/>
            <w:vAlign w:val="bottom"/>
          </w:tcPr>
          <w:p>
            <w:pPr>
              <w:ind w:left="60"/>
              <w:spacing w:after="0"/>
              <w:rPr>
                <w:sz w:val="20"/>
                <w:szCs w:val="20"/>
                <w:color w:val="auto"/>
              </w:rPr>
            </w:pPr>
            <w:r>
              <w:rPr>
                <w:rFonts w:ascii="Arial" w:cs="Arial" w:eastAsia="Arial" w:hAnsi="Arial"/>
                <w:sz w:val="15"/>
                <w:szCs w:val="15"/>
                <w:color w:val="auto"/>
              </w:rPr>
              <w:t>Compensation &amp; Management Development Committee</w:t>
            </w:r>
          </w:p>
        </w:tc>
      </w:tr>
      <w:tr>
        <w:trPr>
          <w:trHeight w:val="239"/>
        </w:trPr>
        <w:tc>
          <w:tcPr>
            <w:tcW w:w="1940" w:type="dxa"/>
            <w:vAlign w:val="bottom"/>
          </w:tcPr>
          <w:p>
            <w:pPr>
              <w:spacing w:after="0"/>
              <w:rPr>
                <w:sz w:val="20"/>
                <w:szCs w:val="20"/>
                <w:color w:val="auto"/>
              </w:rPr>
            </w:pPr>
          </w:p>
        </w:tc>
        <w:tc>
          <w:tcPr>
            <w:tcW w:w="620" w:type="dxa"/>
            <w:vAlign w:val="bottom"/>
          </w:tcPr>
          <w:p>
            <w:pPr>
              <w:ind w:left="480"/>
              <w:spacing w:after="0"/>
              <w:rPr>
                <w:sz w:val="20"/>
                <w:szCs w:val="20"/>
                <w:color w:val="auto"/>
              </w:rPr>
            </w:pPr>
            <w:r>
              <w:rPr>
                <w:rFonts w:ascii="Arial" w:cs="Arial" w:eastAsia="Arial" w:hAnsi="Arial"/>
                <w:sz w:val="18"/>
                <w:szCs w:val="18"/>
                <w:color w:val="074A75"/>
              </w:rPr>
              <w:t>•</w:t>
            </w:r>
          </w:p>
        </w:tc>
        <w:tc>
          <w:tcPr>
            <w:tcW w:w="3860" w:type="dxa"/>
            <w:vAlign w:val="bottom"/>
          </w:tcPr>
          <w:p>
            <w:pPr>
              <w:ind w:left="60"/>
              <w:spacing w:after="0"/>
              <w:rPr>
                <w:sz w:val="20"/>
                <w:szCs w:val="20"/>
                <w:color w:val="auto"/>
              </w:rPr>
            </w:pPr>
            <w:r>
              <w:rPr>
                <w:rFonts w:ascii="Arial" w:cs="Arial" w:eastAsia="Arial" w:hAnsi="Arial"/>
                <w:sz w:val="15"/>
                <w:szCs w:val="15"/>
                <w:color w:val="auto"/>
              </w:rPr>
              <w:t>Corporate Governance &amp; Nominating Committee</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5"/>
          <w:szCs w:val="15"/>
          <w:b w:val="1"/>
          <w:bCs w:val="1"/>
          <w:color w:val="064A75"/>
        </w:rPr>
        <w:t>Qualification Highlights</w:t>
      </w:r>
    </w:p>
    <w:p>
      <w:pPr>
        <w:spacing w:after="0" w:line="33" w:lineRule="exact"/>
        <w:rPr>
          <w:sz w:val="20"/>
          <w:szCs w:val="20"/>
          <w:color w:val="auto"/>
        </w:rPr>
      </w:pPr>
    </w:p>
    <w:p>
      <w:pPr>
        <w:ind w:left="200" w:right="580" w:hanging="192"/>
        <w:spacing w:after="0" w:line="242" w:lineRule="auto"/>
        <w:tabs>
          <w:tab w:leader="none" w:pos="194" w:val="left"/>
        </w:tabs>
        <w:numPr>
          <w:ilvl w:val="0"/>
          <w:numId w:val="77"/>
        </w:numPr>
        <w:rPr>
          <w:rFonts w:ascii="Arial" w:cs="Arial" w:eastAsia="Arial" w:hAnsi="Arial"/>
          <w:sz w:val="15"/>
          <w:szCs w:val="15"/>
          <w:color w:val="074A75"/>
        </w:rPr>
      </w:pPr>
      <w:r>
        <w:rPr>
          <w:rFonts w:ascii="Arial" w:cs="Arial" w:eastAsia="Arial" w:hAnsi="Arial"/>
          <w:sz w:val="15"/>
          <w:szCs w:val="15"/>
          <w:b w:val="1"/>
          <w:bCs w:val="1"/>
          <w:color w:val="auto"/>
        </w:rPr>
        <w:t xml:space="preserve">Technology: </w:t>
      </w:r>
      <w:r>
        <w:rPr>
          <w:rFonts w:ascii="Arial" w:cs="Arial" w:eastAsia="Arial" w:hAnsi="Arial"/>
          <w:sz w:val="15"/>
          <w:szCs w:val="15"/>
          <w:color w:val="auto"/>
        </w:rPr>
        <w:t>Exceptional leader in the technology sector with deep knowledge of innovative technology, information security and data management gained</w:t>
      </w:r>
      <w:r>
        <w:rPr>
          <w:rFonts w:ascii="Arial" w:cs="Arial" w:eastAsia="Arial" w:hAnsi="Arial"/>
          <w:sz w:val="15"/>
          <w:szCs w:val="15"/>
          <w:b w:val="1"/>
          <w:bCs w:val="1"/>
          <w:color w:val="auto"/>
        </w:rPr>
        <w:t xml:space="preserve"> </w:t>
      </w:r>
      <w:r>
        <w:rPr>
          <w:rFonts w:ascii="Arial" w:cs="Arial" w:eastAsia="Arial" w:hAnsi="Arial"/>
          <w:sz w:val="15"/>
          <w:szCs w:val="15"/>
          <w:color w:val="auto"/>
        </w:rPr>
        <w:t>through four decades at IBM</w:t>
      </w:r>
    </w:p>
    <w:p>
      <w:pPr>
        <w:ind w:left="200" w:hanging="192"/>
        <w:spacing w:after="0"/>
        <w:tabs>
          <w:tab w:leader="none" w:pos="200" w:val="left"/>
        </w:tabs>
        <w:numPr>
          <w:ilvl w:val="0"/>
          <w:numId w:val="77"/>
        </w:numPr>
        <w:rPr>
          <w:rFonts w:ascii="Arial" w:cs="Arial" w:eastAsia="Arial" w:hAnsi="Arial"/>
          <w:sz w:val="15"/>
          <w:szCs w:val="15"/>
          <w:color w:val="074A75"/>
        </w:rPr>
      </w:pPr>
      <w:r>
        <w:rPr>
          <w:rFonts w:ascii="Arial" w:cs="Arial" w:eastAsia="Arial" w:hAnsi="Arial"/>
          <w:sz w:val="15"/>
          <w:szCs w:val="15"/>
          <w:b w:val="1"/>
          <w:bCs w:val="1"/>
          <w:color w:val="auto"/>
        </w:rPr>
        <w:t xml:space="preserve">Public Company Governance: </w:t>
      </w:r>
      <w:r>
        <w:rPr>
          <w:rFonts w:ascii="Arial" w:cs="Arial" w:eastAsia="Arial" w:hAnsi="Arial"/>
          <w:sz w:val="15"/>
          <w:szCs w:val="15"/>
          <w:color w:val="auto"/>
        </w:rPr>
        <w:t>Extensive public company governance experience as Chairman of IBM</w:t>
      </w:r>
    </w:p>
    <w:p>
      <w:pPr>
        <w:spacing w:after="0" w:line="19" w:lineRule="exact"/>
        <w:rPr>
          <w:rFonts w:ascii="Arial" w:cs="Arial" w:eastAsia="Arial" w:hAnsi="Arial"/>
          <w:sz w:val="15"/>
          <w:szCs w:val="15"/>
          <w:color w:val="074A75"/>
        </w:rPr>
      </w:pPr>
    </w:p>
    <w:p>
      <w:pPr>
        <w:ind w:left="200" w:right="600" w:hanging="192"/>
        <w:spacing w:after="0" w:line="233" w:lineRule="auto"/>
        <w:tabs>
          <w:tab w:leader="none" w:pos="194" w:val="left"/>
        </w:tabs>
        <w:numPr>
          <w:ilvl w:val="0"/>
          <w:numId w:val="77"/>
        </w:numPr>
        <w:rPr>
          <w:rFonts w:ascii="Arial" w:cs="Arial" w:eastAsia="Arial" w:hAnsi="Arial"/>
          <w:sz w:val="15"/>
          <w:szCs w:val="15"/>
          <w:color w:val="074A75"/>
        </w:rPr>
      </w:pPr>
      <w:r>
        <w:rPr>
          <w:rFonts w:ascii="Arial" w:cs="Arial" w:eastAsia="Arial" w:hAnsi="Arial"/>
          <w:sz w:val="15"/>
          <w:szCs w:val="15"/>
          <w:b w:val="1"/>
          <w:bCs w:val="1"/>
          <w:color w:val="auto"/>
        </w:rPr>
        <w:t xml:space="preserve">Human Capital Management: </w:t>
      </w:r>
      <w:r>
        <w:rPr>
          <w:rFonts w:ascii="Arial" w:cs="Arial" w:eastAsia="Arial" w:hAnsi="Arial"/>
          <w:sz w:val="15"/>
          <w:szCs w:val="15"/>
          <w:color w:val="auto"/>
        </w:rPr>
        <w:t>C-suite and director positions at both public and private companies provide comprehensive understanding of human capital</w:t>
      </w:r>
      <w:r>
        <w:rPr>
          <w:rFonts w:ascii="Arial" w:cs="Arial" w:eastAsia="Arial" w:hAnsi="Arial"/>
          <w:sz w:val="15"/>
          <w:szCs w:val="15"/>
          <w:b w:val="1"/>
          <w:bCs w:val="1"/>
          <w:color w:val="auto"/>
        </w:rPr>
        <w:t xml:space="preserve"> </w:t>
      </w:r>
      <w:r>
        <w:rPr>
          <w:rFonts w:ascii="Arial" w:cs="Arial" w:eastAsia="Arial" w:hAnsi="Arial"/>
          <w:sz w:val="15"/>
          <w:szCs w:val="15"/>
          <w:color w:val="auto"/>
        </w:rPr>
        <w:t>management matters</w:t>
      </w:r>
    </w:p>
    <w:p>
      <w:pPr>
        <w:ind w:left="200" w:right="200" w:hanging="192"/>
        <w:spacing w:after="0" w:line="234" w:lineRule="auto"/>
        <w:tabs>
          <w:tab w:leader="none" w:pos="194" w:val="left"/>
        </w:tabs>
        <w:numPr>
          <w:ilvl w:val="0"/>
          <w:numId w:val="77"/>
        </w:numPr>
        <w:rPr>
          <w:rFonts w:ascii="Arial" w:cs="Arial" w:eastAsia="Arial" w:hAnsi="Arial"/>
          <w:sz w:val="15"/>
          <w:szCs w:val="15"/>
          <w:color w:val="074A75"/>
        </w:rPr>
      </w:pPr>
      <w:r>
        <w:rPr>
          <w:rFonts w:ascii="Arial" w:cs="Arial" w:eastAsia="Arial" w:hAnsi="Arial"/>
          <w:sz w:val="15"/>
          <w:szCs w:val="15"/>
          <w:b w:val="1"/>
          <w:bCs w:val="1"/>
          <w:color w:val="auto"/>
        </w:rPr>
        <w:t xml:space="preserve">International Business Operations: </w:t>
      </w:r>
      <w:r>
        <w:rPr>
          <w:rFonts w:ascii="Arial" w:cs="Arial" w:eastAsia="Arial" w:hAnsi="Arial"/>
          <w:sz w:val="15"/>
          <w:szCs w:val="15"/>
          <w:color w:val="auto"/>
        </w:rPr>
        <w:t>In-depth experience managing international business operations as CEO of IBM and in senior oversight and advisory roles</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with respect to international trade and global supply chain matters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80" w:type="dxa"/>
            <w:vAlign w:val="bottom"/>
            <w:gridSpan w:val="2"/>
          </w:tcPr>
          <w:p>
            <w:pPr>
              <w:spacing w:after="0"/>
              <w:rPr>
                <w:sz w:val="20"/>
                <w:szCs w:val="20"/>
                <w:color w:val="auto"/>
              </w:rPr>
            </w:pPr>
            <w:r>
              <w:rPr>
                <w:rFonts w:ascii="Arial" w:cs="Arial" w:eastAsia="Arial" w:hAnsi="Arial"/>
                <w:sz w:val="15"/>
                <w:szCs w:val="15"/>
                <w:b w:val="1"/>
                <w:bCs w:val="1"/>
                <w:color w:val="074A75"/>
              </w:rPr>
              <w:t>Career Highlights</w:t>
            </w:r>
          </w:p>
        </w:tc>
        <w:tc>
          <w:tcPr>
            <w:tcW w:w="5400" w:type="dxa"/>
            <w:vAlign w:val="bottom"/>
            <w:gridSpan w:val="2"/>
          </w:tcPr>
          <w:p>
            <w:pPr>
              <w:ind w:left="620"/>
              <w:spacing w:after="0"/>
              <w:rPr>
                <w:sz w:val="20"/>
                <w:szCs w:val="20"/>
                <w:color w:val="auto"/>
              </w:rPr>
            </w:pPr>
            <w:r>
              <w:rPr>
                <w:rFonts w:ascii="Arial" w:cs="Arial" w:eastAsia="Arial" w:hAnsi="Arial"/>
                <w:sz w:val="15"/>
                <w:szCs w:val="15"/>
                <w:b w:val="1"/>
                <w:bCs w:val="1"/>
                <w:color w:val="074A75"/>
              </w:rPr>
              <w:t>Other Experience</w:t>
            </w:r>
          </w:p>
        </w:tc>
        <w:tc>
          <w:tcPr>
            <w:tcW w:w="0" w:type="dxa"/>
            <w:vAlign w:val="bottom"/>
          </w:tcPr>
          <w:p>
            <w:pPr>
              <w:spacing w:after="0"/>
              <w:rPr>
                <w:sz w:val="1"/>
                <w:szCs w:val="1"/>
                <w:color w:val="auto"/>
              </w:rPr>
            </w:pPr>
          </w:p>
        </w:tc>
      </w:tr>
      <w:tr>
        <w:trPr>
          <w:trHeight w:val="189"/>
        </w:trPr>
        <w:tc>
          <w:tcPr>
            <w:tcW w:w="5280" w:type="dxa"/>
            <w:vAlign w:val="bottom"/>
            <w:gridSpan w:val="2"/>
          </w:tcPr>
          <w:p>
            <w:pPr>
              <w:spacing w:after="0"/>
              <w:rPr>
                <w:sz w:val="20"/>
                <w:szCs w:val="20"/>
                <w:color w:val="auto"/>
              </w:rPr>
            </w:pPr>
            <w:r>
              <w:rPr>
                <w:rFonts w:ascii="Arial" w:cs="Arial" w:eastAsia="Arial" w:hAnsi="Arial"/>
                <w:sz w:val="15"/>
                <w:szCs w:val="15"/>
                <w:color w:val="auto"/>
              </w:rPr>
              <w:t>IBM, a global information technology company</w:t>
            </w:r>
          </w:p>
        </w:tc>
        <w:tc>
          <w:tcPr>
            <w:tcW w:w="5400" w:type="dxa"/>
            <w:vAlign w:val="bottom"/>
            <w:gridSpan w:val="2"/>
          </w:tcPr>
          <w:p>
            <w:pPr>
              <w:ind w:left="6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Member, Board of Directors, Cargill</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5"/>
                <w:szCs w:val="15"/>
                <w:color w:val="074A75"/>
              </w:rPr>
              <w:t>•</w:t>
            </w:r>
          </w:p>
        </w:tc>
        <w:tc>
          <w:tcPr>
            <w:tcW w:w="5160" w:type="dxa"/>
            <w:vAlign w:val="bottom"/>
          </w:tcPr>
          <w:p>
            <w:pPr>
              <w:ind w:left="80"/>
              <w:spacing w:after="0"/>
              <w:rPr>
                <w:sz w:val="20"/>
                <w:szCs w:val="20"/>
                <w:color w:val="auto"/>
              </w:rPr>
            </w:pPr>
            <w:r>
              <w:rPr>
                <w:rFonts w:ascii="Arial" w:cs="Arial" w:eastAsia="Arial" w:hAnsi="Arial"/>
                <w:sz w:val="15"/>
                <w:szCs w:val="15"/>
                <w:color w:val="auto"/>
              </w:rPr>
              <w:t>Executive Chairman (2020)</w:t>
            </w:r>
          </w:p>
        </w:tc>
        <w:tc>
          <w:tcPr>
            <w:tcW w:w="5400" w:type="dxa"/>
            <w:vAlign w:val="bottom"/>
            <w:gridSpan w:val="2"/>
          </w:tcPr>
          <w:p>
            <w:pPr>
              <w:ind w:left="6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Member, Mitsubishi UFJ Financial Group Global Advisory Board</w:t>
            </w:r>
          </w:p>
        </w:tc>
        <w:tc>
          <w:tcPr>
            <w:tcW w:w="0" w:type="dxa"/>
            <w:vAlign w:val="bottom"/>
          </w:tcPr>
          <w:p>
            <w:pPr>
              <w:spacing w:after="0"/>
              <w:rPr>
                <w:sz w:val="1"/>
                <w:szCs w:val="1"/>
                <w:color w:val="auto"/>
              </w:rPr>
            </w:pPr>
          </w:p>
        </w:tc>
      </w:tr>
      <w:tr>
        <w:trPr>
          <w:trHeight w:val="189"/>
        </w:trPr>
        <w:tc>
          <w:tcPr>
            <w:tcW w:w="5280" w:type="dxa"/>
            <w:vAlign w:val="bottom"/>
            <w:gridSpan w:val="2"/>
          </w:tcPr>
          <w:p>
            <w:pPr>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Chairman, President and Chief Executive Officer (2012-2020)</w:t>
            </w:r>
          </w:p>
        </w:tc>
        <w:tc>
          <w:tcPr>
            <w:tcW w:w="740" w:type="dxa"/>
            <w:vAlign w:val="bottom"/>
          </w:tcPr>
          <w:p>
            <w:pPr>
              <w:ind w:left="620"/>
              <w:spacing w:after="0"/>
              <w:rPr>
                <w:sz w:val="20"/>
                <w:szCs w:val="20"/>
                <w:color w:val="auto"/>
              </w:rPr>
            </w:pPr>
            <w:r>
              <w:rPr>
                <w:rFonts w:ascii="Arial" w:cs="Arial" w:eastAsia="Arial" w:hAnsi="Arial"/>
                <w:sz w:val="15"/>
                <w:szCs w:val="15"/>
                <w:color w:val="074A75"/>
              </w:rPr>
              <w:t>•</w:t>
            </w:r>
          </w:p>
        </w:tc>
        <w:tc>
          <w:tcPr>
            <w:tcW w:w="4660" w:type="dxa"/>
            <w:vAlign w:val="bottom"/>
          </w:tcPr>
          <w:p>
            <w:pPr>
              <w:ind w:left="60"/>
              <w:spacing w:after="0"/>
              <w:rPr>
                <w:sz w:val="20"/>
                <w:szCs w:val="20"/>
                <w:color w:val="auto"/>
              </w:rPr>
            </w:pPr>
            <w:r>
              <w:rPr>
                <w:rFonts w:ascii="Arial" w:cs="Arial" w:eastAsia="Arial" w:hAnsi="Arial"/>
                <w:sz w:val="15"/>
                <w:szCs w:val="15"/>
                <w:color w:val="auto"/>
              </w:rPr>
              <w:t>Trustee, Brookings Institution</w:t>
            </w:r>
          </w:p>
        </w:tc>
        <w:tc>
          <w:tcPr>
            <w:tcW w:w="0" w:type="dxa"/>
            <w:vAlign w:val="bottom"/>
          </w:tcPr>
          <w:p>
            <w:pPr>
              <w:spacing w:after="0"/>
              <w:rPr>
                <w:sz w:val="1"/>
                <w:szCs w:val="1"/>
                <w:color w:val="auto"/>
              </w:rPr>
            </w:pPr>
          </w:p>
        </w:tc>
      </w:tr>
      <w:tr>
        <w:trPr>
          <w:trHeight w:val="193"/>
        </w:trPr>
        <w:tc>
          <w:tcPr>
            <w:tcW w:w="5280" w:type="dxa"/>
            <w:vAlign w:val="bottom"/>
            <w:gridSpan w:val="2"/>
          </w:tcPr>
          <w:p>
            <w:pPr>
              <w:spacing w:after="0"/>
              <w:rPr>
                <w:sz w:val="20"/>
                <w:szCs w:val="20"/>
                <w:color w:val="auto"/>
              </w:rPr>
            </w:pPr>
            <w:r>
              <w:rPr>
                <w:rFonts w:ascii="Arial" w:cs="Arial" w:eastAsia="Arial" w:hAnsi="Arial"/>
                <w:sz w:val="15"/>
                <w:szCs w:val="15"/>
                <w:b w:val="1"/>
                <w:bCs w:val="1"/>
                <w:color w:val="074A75"/>
              </w:rPr>
              <w:t>Education</w:t>
            </w:r>
          </w:p>
        </w:tc>
        <w:tc>
          <w:tcPr>
            <w:tcW w:w="5400" w:type="dxa"/>
            <w:vAlign w:val="bottom"/>
            <w:gridSpan w:val="2"/>
          </w:tcPr>
          <w:p>
            <w:pPr>
              <w:ind w:left="6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Member, BDT Capital Advisory Board</w:t>
            </w:r>
          </w:p>
        </w:tc>
        <w:tc>
          <w:tcPr>
            <w:tcW w:w="0" w:type="dxa"/>
            <w:vAlign w:val="bottom"/>
          </w:tcPr>
          <w:p>
            <w:pPr>
              <w:spacing w:after="0"/>
              <w:rPr>
                <w:sz w:val="1"/>
                <w:szCs w:val="1"/>
                <w:color w:val="auto"/>
              </w:rPr>
            </w:pPr>
          </w:p>
        </w:tc>
      </w:tr>
      <w:tr>
        <w:trPr>
          <w:trHeight w:val="189"/>
        </w:trPr>
        <w:tc>
          <w:tcPr>
            <w:tcW w:w="5280" w:type="dxa"/>
            <w:vAlign w:val="bottom"/>
            <w:gridSpan w:val="2"/>
          </w:tcPr>
          <w:p>
            <w:pPr>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Graduate of Northwestern University</w:t>
            </w:r>
          </w:p>
        </w:tc>
        <w:tc>
          <w:tcPr>
            <w:tcW w:w="740" w:type="dxa"/>
            <w:vAlign w:val="bottom"/>
          </w:tcPr>
          <w:p>
            <w:pPr>
              <w:ind w:left="620"/>
              <w:spacing w:after="0"/>
              <w:rPr>
                <w:sz w:val="20"/>
                <w:szCs w:val="20"/>
                <w:color w:val="auto"/>
              </w:rPr>
            </w:pPr>
            <w:r>
              <w:rPr>
                <w:rFonts w:ascii="Arial" w:cs="Arial" w:eastAsia="Arial" w:hAnsi="Arial"/>
                <w:sz w:val="15"/>
                <w:szCs w:val="15"/>
                <w:color w:val="074A75"/>
              </w:rPr>
              <w:t>•</w:t>
            </w:r>
          </w:p>
        </w:tc>
        <w:tc>
          <w:tcPr>
            <w:tcW w:w="4660" w:type="dxa"/>
            <w:vAlign w:val="bottom"/>
          </w:tcPr>
          <w:p>
            <w:pPr>
              <w:ind w:left="60"/>
              <w:spacing w:after="0"/>
              <w:rPr>
                <w:sz w:val="20"/>
                <w:szCs w:val="20"/>
                <w:color w:val="auto"/>
              </w:rPr>
            </w:pPr>
            <w:r>
              <w:rPr>
                <w:rFonts w:ascii="Arial" w:cs="Arial" w:eastAsia="Arial" w:hAnsi="Arial"/>
                <w:sz w:val="15"/>
                <w:szCs w:val="15"/>
                <w:color w:val="auto"/>
              </w:rPr>
              <w:t>Co-Chair, OneTen</w:t>
            </w:r>
          </w:p>
        </w:tc>
        <w:tc>
          <w:tcPr>
            <w:tcW w:w="0" w:type="dxa"/>
            <w:vAlign w:val="bottom"/>
          </w:tcPr>
          <w:p>
            <w:pPr>
              <w:spacing w:after="0"/>
              <w:rPr>
                <w:sz w:val="1"/>
                <w:szCs w:val="1"/>
                <w:color w:val="auto"/>
              </w:rPr>
            </w:pPr>
          </w:p>
        </w:tc>
      </w:tr>
      <w:tr>
        <w:trPr>
          <w:trHeight w:val="185"/>
        </w:trPr>
        <w:tc>
          <w:tcPr>
            <w:tcW w:w="5280" w:type="dxa"/>
            <w:vAlign w:val="bottom"/>
            <w:gridSpan w:val="2"/>
            <w:vMerge w:val="restart"/>
          </w:tcPr>
          <w:p>
            <w:pPr>
              <w:spacing w:after="0"/>
              <w:rPr>
                <w:sz w:val="20"/>
                <w:szCs w:val="20"/>
                <w:color w:val="auto"/>
              </w:rPr>
            </w:pPr>
            <w:r>
              <w:rPr>
                <w:rFonts w:ascii="Arial" w:cs="Arial" w:eastAsia="Arial" w:hAnsi="Arial"/>
                <w:sz w:val="15"/>
                <w:szCs w:val="15"/>
                <w:b w:val="1"/>
                <w:bCs w:val="1"/>
                <w:color w:val="074A75"/>
              </w:rPr>
              <w:t>Other U.S.-Listed Public Company Directorships Within the Past</w:t>
            </w:r>
          </w:p>
        </w:tc>
        <w:tc>
          <w:tcPr>
            <w:tcW w:w="5400" w:type="dxa"/>
            <w:vAlign w:val="bottom"/>
            <w:gridSpan w:val="2"/>
          </w:tcPr>
          <w:p>
            <w:pPr>
              <w:ind w:left="6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Member, Council on Foreign Relations</w:t>
            </w:r>
          </w:p>
        </w:tc>
        <w:tc>
          <w:tcPr>
            <w:tcW w:w="0" w:type="dxa"/>
            <w:vAlign w:val="bottom"/>
          </w:tcPr>
          <w:p>
            <w:pPr>
              <w:spacing w:after="0"/>
              <w:rPr>
                <w:sz w:val="1"/>
                <w:szCs w:val="1"/>
                <w:color w:val="auto"/>
              </w:rPr>
            </w:pPr>
          </w:p>
        </w:tc>
      </w:tr>
      <w:tr>
        <w:trPr>
          <w:trHeight w:val="38"/>
        </w:trPr>
        <w:tc>
          <w:tcPr>
            <w:tcW w:w="5280" w:type="dxa"/>
            <w:vAlign w:val="bottom"/>
            <w:gridSpan w:val="2"/>
            <w:vMerge w:val="continue"/>
          </w:tcPr>
          <w:p>
            <w:pPr>
              <w:spacing w:after="0"/>
              <w:rPr>
                <w:sz w:val="3"/>
                <w:szCs w:val="3"/>
                <w:color w:val="auto"/>
              </w:rPr>
            </w:pPr>
          </w:p>
        </w:tc>
        <w:tc>
          <w:tcPr>
            <w:tcW w:w="5400" w:type="dxa"/>
            <w:vAlign w:val="bottom"/>
            <w:gridSpan w:val="2"/>
            <w:vMerge w:val="restart"/>
          </w:tcPr>
          <w:p>
            <w:pPr>
              <w:ind w:left="6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Member and Trustee, Peterson Institute for International Economics</w:t>
            </w:r>
          </w:p>
        </w:tc>
        <w:tc>
          <w:tcPr>
            <w:tcW w:w="0" w:type="dxa"/>
            <w:vAlign w:val="bottom"/>
          </w:tcPr>
          <w:p>
            <w:pPr>
              <w:spacing w:after="0" w:line="20" w:lineRule="exact"/>
              <w:rPr>
                <w:sz w:val="1"/>
                <w:szCs w:val="1"/>
                <w:color w:val="auto"/>
              </w:rPr>
            </w:pPr>
          </w:p>
        </w:tc>
      </w:tr>
      <w:tr>
        <w:trPr>
          <w:trHeight w:val="154"/>
        </w:trPr>
        <w:tc>
          <w:tcPr>
            <w:tcW w:w="5280" w:type="dxa"/>
            <w:vAlign w:val="bottom"/>
            <w:gridSpan w:val="2"/>
          </w:tcPr>
          <w:p>
            <w:pPr>
              <w:spacing w:after="0" w:line="154" w:lineRule="exact"/>
              <w:rPr>
                <w:sz w:val="20"/>
                <w:szCs w:val="20"/>
                <w:color w:val="auto"/>
              </w:rPr>
            </w:pPr>
            <w:r>
              <w:rPr>
                <w:rFonts w:ascii="Arial" w:cs="Arial" w:eastAsia="Arial" w:hAnsi="Arial"/>
                <w:sz w:val="15"/>
                <w:szCs w:val="15"/>
                <w:b w:val="1"/>
                <w:bCs w:val="1"/>
                <w:color w:val="074A75"/>
              </w:rPr>
              <w:t>Five Years</w:t>
            </w:r>
          </w:p>
        </w:tc>
        <w:tc>
          <w:tcPr>
            <w:tcW w:w="5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20"/>
                <w:szCs w:val="20"/>
                <w:color w:val="auto"/>
              </w:rPr>
            </w:pPr>
            <w:r>
              <w:rPr>
                <w:rFonts w:ascii="Arial" w:cs="Arial" w:eastAsia="Arial" w:hAnsi="Arial"/>
                <w:sz w:val="15"/>
                <w:szCs w:val="15"/>
                <w:color w:val="074A75"/>
              </w:rPr>
              <w:t>•</w:t>
            </w:r>
          </w:p>
        </w:tc>
        <w:tc>
          <w:tcPr>
            <w:tcW w:w="5160" w:type="dxa"/>
            <w:vAlign w:val="bottom"/>
          </w:tcPr>
          <w:p>
            <w:pPr>
              <w:ind w:left="80"/>
              <w:spacing w:after="0"/>
              <w:rPr>
                <w:sz w:val="20"/>
                <w:szCs w:val="20"/>
                <w:color w:val="auto"/>
              </w:rPr>
            </w:pPr>
            <w:r>
              <w:rPr>
                <w:rFonts w:ascii="Arial" w:cs="Arial" w:eastAsia="Arial" w:hAnsi="Arial"/>
                <w:sz w:val="15"/>
                <w:szCs w:val="15"/>
                <w:color w:val="auto"/>
              </w:rPr>
              <w:t>IBM (2012-2020)</w:t>
            </w:r>
          </w:p>
        </w:tc>
        <w:tc>
          <w:tcPr>
            <w:tcW w:w="5400" w:type="dxa"/>
            <w:vAlign w:val="bottom"/>
            <w:gridSpan w:val="2"/>
          </w:tcPr>
          <w:p>
            <w:pPr>
              <w:ind w:left="6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Vice Chairman, Board of Trustees, Northwestern University</w:t>
            </w:r>
          </w:p>
        </w:tc>
        <w:tc>
          <w:tcPr>
            <w:tcW w:w="0" w:type="dxa"/>
            <w:vAlign w:val="bottom"/>
          </w:tcPr>
          <w:p>
            <w:pPr>
              <w:spacing w:after="0"/>
              <w:rPr>
                <w:sz w:val="1"/>
                <w:szCs w:val="1"/>
                <w:color w:val="auto"/>
              </w:rPr>
            </w:pPr>
          </w:p>
        </w:tc>
      </w:tr>
    </w:tbl>
    <w:p>
      <w:pPr>
        <w:ind w:left="5900"/>
        <w:spacing w:after="0"/>
        <w:tabs>
          <w:tab w:leader="none" w:pos="6060" w:val="left"/>
        </w:tabs>
        <w:rPr>
          <w:sz w:val="20"/>
          <w:szCs w:val="20"/>
          <w:color w:val="auto"/>
        </w:rPr>
      </w:pPr>
      <w:r>
        <w:rPr>
          <w:rFonts w:ascii="Arial" w:cs="Arial" w:eastAsia="Arial" w:hAnsi="Arial"/>
          <w:sz w:val="15"/>
          <w:szCs w:val="15"/>
          <w:color w:val="074A75"/>
        </w:rPr>
        <w:t>•</w:t>
      </w:r>
      <w:r>
        <w:rPr>
          <w:rFonts w:ascii="Arial" w:cs="Arial" w:eastAsia="Arial" w:hAnsi="Arial"/>
          <w:sz w:val="15"/>
          <w:szCs w:val="15"/>
          <w:color w:val="auto"/>
        </w:rPr>
        <w:tab/>
        <w:t>Board of Trustees, Memorial Sloan-Kettering Cancer Center</w:t>
      </w:r>
    </w:p>
    <w:p>
      <w:pPr>
        <w:spacing w:after="0" w:line="14" w:lineRule="exact"/>
        <w:rPr>
          <w:sz w:val="20"/>
          <w:szCs w:val="20"/>
          <w:color w:val="auto"/>
        </w:rPr>
      </w:pPr>
    </w:p>
    <w:p>
      <w:pPr>
        <w:ind w:left="5900"/>
        <w:spacing w:after="0"/>
        <w:tabs>
          <w:tab w:leader="none" w:pos="6060" w:val="left"/>
        </w:tabs>
        <w:rPr>
          <w:sz w:val="20"/>
          <w:szCs w:val="20"/>
          <w:color w:val="auto"/>
        </w:rPr>
      </w:pPr>
      <w:r>
        <w:rPr>
          <w:rFonts w:ascii="Arial" w:cs="Arial" w:eastAsia="Arial" w:hAnsi="Arial"/>
          <w:sz w:val="15"/>
          <w:szCs w:val="15"/>
          <w:color w:val="074A75"/>
        </w:rPr>
        <w:t>•</w:t>
      </w:r>
      <w:r>
        <w:rPr>
          <w:rFonts w:ascii="Arial" w:cs="Arial" w:eastAsia="Arial" w:hAnsi="Arial"/>
          <w:sz w:val="15"/>
          <w:szCs w:val="15"/>
          <w:color w:val="auto"/>
        </w:rPr>
        <w:tab/>
        <w:t>Former Member, Business Roundtable</w:t>
      </w:r>
    </w:p>
    <w:p>
      <w:pPr>
        <w:spacing w:after="0" w:line="17" w:lineRule="exact"/>
        <w:rPr>
          <w:sz w:val="20"/>
          <w:szCs w:val="20"/>
          <w:color w:val="auto"/>
        </w:rPr>
      </w:pPr>
    </w:p>
    <w:p>
      <w:pPr>
        <w:ind w:left="5900"/>
        <w:spacing w:after="0"/>
        <w:tabs>
          <w:tab w:leader="none" w:pos="6060" w:val="left"/>
        </w:tabs>
        <w:rPr>
          <w:sz w:val="20"/>
          <w:szCs w:val="20"/>
          <w:color w:val="auto"/>
        </w:rPr>
      </w:pPr>
      <w:r>
        <w:rPr>
          <w:rFonts w:ascii="Arial" w:cs="Arial" w:eastAsia="Arial" w:hAnsi="Arial"/>
          <w:sz w:val="15"/>
          <w:szCs w:val="15"/>
          <w:color w:val="074A75"/>
        </w:rPr>
        <w:t>•</w:t>
      </w:r>
      <w:r>
        <w:rPr>
          <w:rFonts w:ascii="Arial" w:cs="Arial" w:eastAsia="Arial" w:hAnsi="Arial"/>
          <w:sz w:val="15"/>
          <w:szCs w:val="15"/>
          <w:color w:val="auto"/>
        </w:rPr>
        <w:tab/>
        <w:t>Former Member, President’s Export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165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pacing w:after="0" w:line="322" w:lineRule="exact"/>
        <w:rPr>
          <w:sz w:val="20"/>
          <w:szCs w:val="20"/>
          <w:color w:val="auto"/>
        </w:rPr>
      </w:pPr>
    </w:p>
    <w:p>
      <w:pPr>
        <w:ind w:left="1680"/>
        <w:spacing w:after="0"/>
        <w:rPr>
          <w:sz w:val="20"/>
          <w:szCs w:val="20"/>
          <w:color w:val="auto"/>
        </w:rPr>
      </w:pPr>
      <w:r>
        <w:rPr>
          <w:rFonts w:ascii="Arial" w:cs="Arial" w:eastAsia="Arial" w:hAnsi="Arial"/>
          <w:sz w:val="40"/>
          <w:szCs w:val="40"/>
          <w:color w:val="074A75"/>
        </w:rPr>
        <w:t>Mark A. Weinberger</w:t>
      </w:r>
    </w:p>
    <w:p>
      <w:pPr>
        <w:spacing w:after="0" w:line="77" w:lineRule="exact"/>
        <w:rPr>
          <w:sz w:val="20"/>
          <w:szCs w:val="20"/>
          <w:color w:val="auto"/>
        </w:rPr>
      </w:pPr>
    </w:p>
    <w:p>
      <w:pPr>
        <w:ind w:left="1680"/>
        <w:spacing w:after="0"/>
        <w:rPr>
          <w:sz w:val="20"/>
          <w:szCs w:val="20"/>
          <w:color w:val="auto"/>
        </w:rPr>
      </w:pPr>
      <w:r>
        <w:rPr>
          <w:rFonts w:ascii="Arial" w:cs="Arial" w:eastAsia="Arial" w:hAnsi="Arial"/>
          <w:sz w:val="20"/>
          <w:szCs w:val="20"/>
          <w:i w:val="1"/>
          <w:iCs w:val="1"/>
          <w:color w:val="074A75"/>
        </w:rPr>
        <w:t>Retired Global Chairman and Chief Executive Officer of Ernst &amp; Young LLP (“EY”)</w:t>
      </w:r>
    </w:p>
    <w:p>
      <w:pPr>
        <w:spacing w:after="0" w:line="119" w:lineRule="exact"/>
        <w:rPr>
          <w:sz w:val="20"/>
          <w:szCs w:val="20"/>
          <w:color w:val="auto"/>
        </w:rPr>
      </w:pPr>
    </w:p>
    <w:tbl>
      <w:tblPr>
        <w:tblLayout w:type="fixed"/>
        <w:tblInd w:w="168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5"/>
                <w:szCs w:val="15"/>
                <w:b w:val="1"/>
                <w:bCs w:val="1"/>
                <w:color w:val="074A75"/>
              </w:rPr>
              <w:t xml:space="preserve">Age: </w:t>
            </w:r>
            <w:r>
              <w:rPr>
                <w:rFonts w:ascii="Arial" w:cs="Arial" w:eastAsia="Arial" w:hAnsi="Arial"/>
                <w:sz w:val="15"/>
                <w:szCs w:val="15"/>
                <w:color w:val="000000"/>
              </w:rPr>
              <w:t>62</w:t>
            </w:r>
          </w:p>
        </w:tc>
        <w:tc>
          <w:tcPr>
            <w:tcW w:w="1820" w:type="dxa"/>
            <w:vAlign w:val="bottom"/>
          </w:tcPr>
          <w:p>
            <w:pPr>
              <w:ind w:left="480"/>
              <w:spacing w:after="0"/>
              <w:rPr>
                <w:sz w:val="20"/>
                <w:szCs w:val="20"/>
                <w:color w:val="auto"/>
              </w:rPr>
            </w:pPr>
            <w:r>
              <w:rPr>
                <w:rFonts w:ascii="Arial" w:cs="Arial" w:eastAsia="Arial" w:hAnsi="Arial"/>
                <w:sz w:val="15"/>
                <w:szCs w:val="15"/>
                <w:b w:val="1"/>
                <w:bCs w:val="1"/>
                <w:color w:val="074A75"/>
              </w:rPr>
              <w:t>Committees:</w:t>
            </w:r>
          </w:p>
        </w:tc>
      </w:tr>
      <w:tr>
        <w:trPr>
          <w:trHeight w:val="239"/>
        </w:trPr>
        <w:tc>
          <w:tcPr>
            <w:tcW w:w="1940" w:type="dxa"/>
            <w:vAlign w:val="bottom"/>
          </w:tcPr>
          <w:p>
            <w:pPr>
              <w:spacing w:after="0"/>
              <w:rPr>
                <w:sz w:val="20"/>
                <w:szCs w:val="20"/>
                <w:color w:val="auto"/>
              </w:rPr>
            </w:pPr>
            <w:r>
              <w:rPr>
                <w:rFonts w:ascii="Arial" w:cs="Arial" w:eastAsia="Arial" w:hAnsi="Arial"/>
                <w:sz w:val="15"/>
                <w:szCs w:val="15"/>
                <w:b w:val="1"/>
                <w:bCs w:val="1"/>
                <w:color w:val="074A75"/>
              </w:rPr>
              <w:t xml:space="preserve">Director since: </w:t>
            </w:r>
            <w:r>
              <w:rPr>
                <w:rFonts w:ascii="Arial" w:cs="Arial" w:eastAsia="Arial" w:hAnsi="Arial"/>
                <w:sz w:val="15"/>
                <w:szCs w:val="15"/>
                <w:color w:val="000000"/>
              </w:rPr>
              <w:t>2024</w:t>
            </w:r>
          </w:p>
        </w:tc>
        <w:tc>
          <w:tcPr>
            <w:tcW w:w="1820" w:type="dxa"/>
            <w:vAlign w:val="bottom"/>
          </w:tcPr>
          <w:p>
            <w:pPr>
              <w:ind w:left="48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5"/>
                <w:szCs w:val="15"/>
                <w:color w:val="000000"/>
              </w:rPr>
              <w:t>Audit Committee</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Qualification Highlights</w:t>
      </w:r>
    </w:p>
    <w:p>
      <w:pPr>
        <w:spacing w:after="0" w:line="33" w:lineRule="exact"/>
        <w:rPr>
          <w:sz w:val="20"/>
          <w:szCs w:val="20"/>
          <w:color w:val="auto"/>
        </w:rPr>
      </w:pPr>
    </w:p>
    <w:p>
      <w:pPr>
        <w:ind w:left="200" w:hanging="192"/>
        <w:spacing w:after="0"/>
        <w:tabs>
          <w:tab w:leader="none" w:pos="200" w:val="left"/>
        </w:tabs>
        <w:numPr>
          <w:ilvl w:val="0"/>
          <w:numId w:val="78"/>
        </w:numPr>
        <w:rPr>
          <w:rFonts w:ascii="Arial" w:cs="Arial" w:eastAsia="Arial" w:hAnsi="Arial"/>
          <w:sz w:val="15"/>
          <w:szCs w:val="15"/>
          <w:color w:val="074A75"/>
        </w:rPr>
      </w:pPr>
      <w:r>
        <w:rPr>
          <w:rFonts w:ascii="Arial" w:cs="Arial" w:eastAsia="Arial" w:hAnsi="Arial"/>
          <w:sz w:val="15"/>
          <w:szCs w:val="15"/>
          <w:b w:val="1"/>
          <w:bCs w:val="1"/>
          <w:color w:val="auto"/>
        </w:rPr>
        <w:t>Finance and Accounting</w:t>
      </w:r>
      <w:r>
        <w:rPr>
          <w:rFonts w:ascii="Arial" w:cs="Arial" w:eastAsia="Arial" w:hAnsi="Arial"/>
          <w:sz w:val="15"/>
          <w:szCs w:val="15"/>
          <w:color w:val="auto"/>
        </w:rPr>
        <w:t>: Distinctive expertise in finance, tax and accountancy from leadership roles in those fields for over three decades prior to his retirement</w:t>
      </w:r>
    </w:p>
    <w:p>
      <w:pPr>
        <w:spacing w:after="0" w:line="21" w:lineRule="exact"/>
        <w:rPr>
          <w:rFonts w:ascii="Arial" w:cs="Arial" w:eastAsia="Arial" w:hAnsi="Arial"/>
          <w:sz w:val="15"/>
          <w:szCs w:val="15"/>
          <w:color w:val="074A75"/>
        </w:rPr>
      </w:pPr>
    </w:p>
    <w:p>
      <w:pPr>
        <w:ind w:left="200" w:hanging="192"/>
        <w:spacing w:after="0"/>
        <w:tabs>
          <w:tab w:leader="none" w:pos="200" w:val="left"/>
        </w:tabs>
        <w:numPr>
          <w:ilvl w:val="0"/>
          <w:numId w:val="78"/>
        </w:numPr>
        <w:rPr>
          <w:rFonts w:ascii="Arial" w:cs="Arial" w:eastAsia="Arial" w:hAnsi="Arial"/>
          <w:sz w:val="16"/>
          <w:szCs w:val="16"/>
          <w:color w:val="074A75"/>
        </w:rPr>
      </w:pPr>
      <w:r>
        <w:rPr>
          <w:rFonts w:ascii="Arial" w:cs="Arial" w:eastAsia="Arial" w:hAnsi="Arial"/>
          <w:sz w:val="15"/>
          <w:szCs w:val="15"/>
          <w:b w:val="1"/>
          <w:bCs w:val="1"/>
          <w:color w:val="auto"/>
        </w:rPr>
        <w:t>ESG Matters</w:t>
      </w:r>
      <w:r>
        <w:rPr>
          <w:rFonts w:ascii="Arial" w:cs="Arial" w:eastAsia="Arial" w:hAnsi="Arial"/>
          <w:sz w:val="15"/>
          <w:szCs w:val="15"/>
          <w:color w:val="auto"/>
        </w:rPr>
        <w:t>: Unique perspective gained through leadership roles at JUST Capital, Council for Inclusive Capitalism and World Economic Forum</w:t>
      </w:r>
    </w:p>
    <w:p>
      <w:pPr>
        <w:spacing w:after="0" w:line="13" w:lineRule="exact"/>
        <w:rPr>
          <w:rFonts w:ascii="Arial" w:cs="Arial" w:eastAsia="Arial" w:hAnsi="Arial"/>
          <w:sz w:val="16"/>
          <w:szCs w:val="16"/>
          <w:color w:val="074A75"/>
        </w:rPr>
      </w:pPr>
    </w:p>
    <w:p>
      <w:pPr>
        <w:ind w:left="200" w:hanging="192"/>
        <w:spacing w:after="0"/>
        <w:tabs>
          <w:tab w:leader="none" w:pos="200" w:val="left"/>
        </w:tabs>
        <w:numPr>
          <w:ilvl w:val="0"/>
          <w:numId w:val="78"/>
        </w:numPr>
        <w:rPr>
          <w:rFonts w:ascii="Arial" w:cs="Arial" w:eastAsia="Arial" w:hAnsi="Arial"/>
          <w:sz w:val="16"/>
          <w:szCs w:val="16"/>
          <w:color w:val="074A75"/>
        </w:rPr>
      </w:pPr>
      <w:r>
        <w:rPr>
          <w:rFonts w:ascii="Arial" w:cs="Arial" w:eastAsia="Arial" w:hAnsi="Arial"/>
          <w:sz w:val="15"/>
          <w:szCs w:val="15"/>
          <w:b w:val="1"/>
          <w:bCs w:val="1"/>
          <w:color w:val="auto"/>
        </w:rPr>
        <w:t>Leadership of a Large, Complex Organization</w:t>
      </w:r>
      <w:r>
        <w:rPr>
          <w:rFonts w:ascii="Arial" w:cs="Arial" w:eastAsia="Arial" w:hAnsi="Arial"/>
          <w:sz w:val="15"/>
          <w:szCs w:val="15"/>
          <w:color w:val="auto"/>
        </w:rPr>
        <w:t>: Led over 270,000 people in over 150 countries as the former CEO of EY</w:t>
      </w:r>
    </w:p>
    <w:p>
      <w:pPr>
        <w:spacing w:after="0" w:line="5" w:lineRule="exact"/>
        <w:rPr>
          <w:rFonts w:ascii="Arial" w:cs="Arial" w:eastAsia="Arial" w:hAnsi="Arial"/>
          <w:sz w:val="16"/>
          <w:szCs w:val="16"/>
          <w:color w:val="074A75"/>
        </w:rPr>
      </w:pPr>
    </w:p>
    <w:p>
      <w:pPr>
        <w:ind w:left="200" w:hanging="192"/>
        <w:spacing w:after="0"/>
        <w:tabs>
          <w:tab w:leader="none" w:pos="200" w:val="left"/>
        </w:tabs>
        <w:numPr>
          <w:ilvl w:val="0"/>
          <w:numId w:val="78"/>
        </w:numPr>
        <w:rPr>
          <w:rFonts w:ascii="Arial" w:cs="Arial" w:eastAsia="Arial" w:hAnsi="Arial"/>
          <w:sz w:val="15"/>
          <w:szCs w:val="15"/>
          <w:color w:val="074A75"/>
        </w:rPr>
      </w:pPr>
      <w:r>
        <w:rPr>
          <w:rFonts w:ascii="Arial" w:cs="Arial" w:eastAsia="Arial" w:hAnsi="Arial"/>
          <w:sz w:val="15"/>
          <w:szCs w:val="15"/>
          <w:b w:val="1"/>
          <w:bCs w:val="1"/>
          <w:color w:val="auto"/>
        </w:rPr>
        <w:t>Regulated Industries</w:t>
      </w:r>
      <w:r>
        <w:rPr>
          <w:rFonts w:ascii="Arial" w:cs="Arial" w:eastAsia="Arial" w:hAnsi="Arial"/>
          <w:sz w:val="15"/>
          <w:szCs w:val="15"/>
          <w:color w:val="auto"/>
        </w:rPr>
        <w:t>: Comprehensive experience in a highly regulated industry combined with government policy and legislative positions</w:t>
      </w:r>
    </w:p>
    <w:p>
      <w:pPr>
        <w:sectPr>
          <w:pgSz w:w="11900" w:h="16838" w:orient="portrait"/>
          <w:cols w:equalWidth="0" w:num="1">
            <w:col w:w="11260"/>
          </w:cols>
          <w:pgMar w:left="320" w:top="157" w:right="319" w:bottom="1440" w:gutter="0" w:footer="0" w:header="0"/>
        </w:sectPr>
      </w:pP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Career Highlights</w:t>
      </w:r>
    </w:p>
    <w:p>
      <w:pPr>
        <w:spacing w:after="0" w:line="33" w:lineRule="exact"/>
        <w:rPr>
          <w:sz w:val="20"/>
          <w:szCs w:val="20"/>
          <w:color w:val="auto"/>
        </w:rPr>
      </w:pPr>
    </w:p>
    <w:p>
      <w:pPr>
        <w:ind w:right="39"/>
        <w:spacing w:after="0" w:line="242" w:lineRule="auto"/>
        <w:rPr>
          <w:sz w:val="20"/>
          <w:szCs w:val="20"/>
          <w:color w:val="auto"/>
        </w:rPr>
      </w:pPr>
      <w:r>
        <w:rPr>
          <w:rFonts w:ascii="Arial" w:cs="Arial" w:eastAsia="Arial" w:hAnsi="Arial"/>
          <w:sz w:val="15"/>
          <w:szCs w:val="15"/>
          <w:color w:val="auto"/>
        </w:rPr>
        <w:t>EY, a leading global professional services organization providing assurance, consulting, strategy and transactions, and tax services</w:t>
      </w:r>
    </w:p>
    <w:p>
      <w:pPr>
        <w:spacing w:after="0" w:line="1" w:lineRule="exact"/>
        <w:rPr>
          <w:sz w:val="20"/>
          <w:szCs w:val="20"/>
          <w:color w:val="auto"/>
        </w:rPr>
      </w:pPr>
    </w:p>
    <w:p>
      <w:pPr>
        <w:ind w:left="200" w:hanging="192"/>
        <w:spacing w:after="0"/>
        <w:tabs>
          <w:tab w:leader="none" w:pos="200" w:val="left"/>
        </w:tabs>
        <w:numPr>
          <w:ilvl w:val="0"/>
          <w:numId w:val="79"/>
        </w:numPr>
        <w:rPr>
          <w:rFonts w:ascii="Arial" w:cs="Arial" w:eastAsia="Arial" w:hAnsi="Arial"/>
          <w:sz w:val="15"/>
          <w:szCs w:val="15"/>
          <w:color w:val="074A75"/>
        </w:rPr>
      </w:pPr>
      <w:r>
        <w:rPr>
          <w:rFonts w:ascii="Arial" w:cs="Arial" w:eastAsia="Arial" w:hAnsi="Arial"/>
          <w:sz w:val="15"/>
          <w:szCs w:val="15"/>
          <w:color w:val="auto"/>
        </w:rPr>
        <w:t>Global Chairman and Chief Executive Officer (2013–2019)</w:t>
      </w:r>
    </w:p>
    <w:p>
      <w:pPr>
        <w:spacing w:after="0" w:line="16" w:lineRule="exact"/>
        <w:rPr>
          <w:rFonts w:ascii="Arial" w:cs="Arial" w:eastAsia="Arial" w:hAnsi="Arial"/>
          <w:sz w:val="15"/>
          <w:szCs w:val="15"/>
          <w:color w:val="074A75"/>
        </w:rPr>
      </w:pPr>
    </w:p>
    <w:p>
      <w:pPr>
        <w:ind w:left="200" w:hanging="192"/>
        <w:spacing w:after="0"/>
        <w:tabs>
          <w:tab w:leader="none" w:pos="200" w:val="left"/>
        </w:tabs>
        <w:numPr>
          <w:ilvl w:val="0"/>
          <w:numId w:val="79"/>
        </w:numPr>
        <w:rPr>
          <w:rFonts w:ascii="Arial" w:cs="Arial" w:eastAsia="Arial" w:hAnsi="Arial"/>
          <w:sz w:val="15"/>
          <w:szCs w:val="15"/>
          <w:color w:val="074A75"/>
        </w:rPr>
      </w:pPr>
      <w:r>
        <w:rPr>
          <w:rFonts w:ascii="Arial" w:cs="Arial" w:eastAsia="Arial" w:hAnsi="Arial"/>
          <w:sz w:val="15"/>
          <w:szCs w:val="15"/>
          <w:color w:val="auto"/>
        </w:rPr>
        <w:t>Member, Global Executive Board (2008–2019)</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U.S. Government, appointments by four presidential administrations</w:t>
      </w:r>
    </w:p>
    <w:p>
      <w:pPr>
        <w:spacing w:after="0" w:line="17" w:lineRule="exact"/>
        <w:rPr>
          <w:sz w:val="20"/>
          <w:szCs w:val="20"/>
          <w:color w:val="auto"/>
        </w:rPr>
      </w:pPr>
    </w:p>
    <w:p>
      <w:pPr>
        <w:ind w:left="200" w:hanging="192"/>
        <w:spacing w:after="0"/>
        <w:tabs>
          <w:tab w:leader="none" w:pos="200" w:val="left"/>
        </w:tabs>
        <w:numPr>
          <w:ilvl w:val="0"/>
          <w:numId w:val="80"/>
        </w:numPr>
        <w:rPr>
          <w:rFonts w:ascii="Arial" w:cs="Arial" w:eastAsia="Arial" w:hAnsi="Arial"/>
          <w:sz w:val="15"/>
          <w:szCs w:val="15"/>
          <w:color w:val="074A75"/>
        </w:rPr>
      </w:pPr>
      <w:r>
        <w:rPr>
          <w:rFonts w:ascii="Arial" w:cs="Arial" w:eastAsia="Arial" w:hAnsi="Arial"/>
          <w:sz w:val="15"/>
          <w:szCs w:val="15"/>
          <w:color w:val="auto"/>
        </w:rPr>
        <w:t>Member, President's Strategic and Policy Forum (2017)</w:t>
      </w:r>
    </w:p>
    <w:p>
      <w:pPr>
        <w:spacing w:after="0" w:line="16" w:lineRule="exact"/>
        <w:rPr>
          <w:rFonts w:ascii="Arial" w:cs="Arial" w:eastAsia="Arial" w:hAnsi="Arial"/>
          <w:sz w:val="15"/>
          <w:szCs w:val="15"/>
          <w:color w:val="074A75"/>
        </w:rPr>
      </w:pPr>
    </w:p>
    <w:p>
      <w:pPr>
        <w:ind w:left="200" w:hanging="192"/>
        <w:spacing w:after="0"/>
        <w:tabs>
          <w:tab w:leader="none" w:pos="200" w:val="left"/>
        </w:tabs>
        <w:numPr>
          <w:ilvl w:val="0"/>
          <w:numId w:val="80"/>
        </w:numPr>
        <w:rPr>
          <w:rFonts w:ascii="Arial" w:cs="Arial" w:eastAsia="Arial" w:hAnsi="Arial"/>
          <w:sz w:val="15"/>
          <w:szCs w:val="15"/>
          <w:color w:val="074A75"/>
        </w:rPr>
      </w:pPr>
      <w:r>
        <w:rPr>
          <w:rFonts w:ascii="Arial" w:cs="Arial" w:eastAsia="Arial" w:hAnsi="Arial"/>
          <w:sz w:val="15"/>
          <w:szCs w:val="15"/>
          <w:color w:val="auto"/>
        </w:rPr>
        <w:t>Member, President's Infrastructure Task Force (2015–2016)</w:t>
      </w:r>
    </w:p>
    <w:p>
      <w:pPr>
        <w:spacing w:after="0" w:line="16" w:lineRule="exact"/>
        <w:rPr>
          <w:rFonts w:ascii="Arial" w:cs="Arial" w:eastAsia="Arial" w:hAnsi="Arial"/>
          <w:sz w:val="15"/>
          <w:szCs w:val="15"/>
          <w:color w:val="074A75"/>
        </w:rPr>
      </w:pPr>
    </w:p>
    <w:p>
      <w:pPr>
        <w:ind w:left="200" w:right="299" w:hanging="192"/>
        <w:spacing w:after="0" w:line="234" w:lineRule="auto"/>
        <w:tabs>
          <w:tab w:leader="none" w:pos="194" w:val="left"/>
        </w:tabs>
        <w:numPr>
          <w:ilvl w:val="0"/>
          <w:numId w:val="80"/>
        </w:numPr>
        <w:rPr>
          <w:rFonts w:ascii="Arial" w:cs="Arial" w:eastAsia="Arial" w:hAnsi="Arial"/>
          <w:sz w:val="15"/>
          <w:szCs w:val="15"/>
          <w:color w:val="074A75"/>
        </w:rPr>
      </w:pPr>
      <w:r>
        <w:rPr>
          <w:rFonts w:ascii="Arial" w:cs="Arial" w:eastAsia="Arial" w:hAnsi="Arial"/>
          <w:sz w:val="15"/>
          <w:szCs w:val="15"/>
          <w:color w:val="auto"/>
        </w:rPr>
        <w:t>Assistant Secretary, U.S. Department of Treasury (Tax Policy) (2001– 2002)</w:t>
      </w:r>
    </w:p>
    <w:p>
      <w:pPr>
        <w:spacing w:after="0" w:line="1" w:lineRule="exact"/>
        <w:rPr>
          <w:rFonts w:ascii="Arial" w:cs="Arial" w:eastAsia="Arial" w:hAnsi="Arial"/>
          <w:sz w:val="15"/>
          <w:szCs w:val="15"/>
          <w:color w:val="074A75"/>
        </w:rPr>
      </w:pPr>
    </w:p>
    <w:p>
      <w:pPr>
        <w:ind w:left="200" w:hanging="192"/>
        <w:spacing w:after="0"/>
        <w:tabs>
          <w:tab w:leader="none" w:pos="200" w:val="left"/>
        </w:tabs>
        <w:numPr>
          <w:ilvl w:val="0"/>
          <w:numId w:val="80"/>
        </w:numPr>
        <w:rPr>
          <w:rFonts w:ascii="Arial" w:cs="Arial" w:eastAsia="Arial" w:hAnsi="Arial"/>
          <w:sz w:val="15"/>
          <w:szCs w:val="15"/>
          <w:color w:val="074A75"/>
        </w:rPr>
      </w:pPr>
      <w:r>
        <w:rPr>
          <w:rFonts w:ascii="Arial" w:cs="Arial" w:eastAsia="Arial" w:hAnsi="Arial"/>
          <w:sz w:val="15"/>
          <w:szCs w:val="15"/>
          <w:color w:val="auto"/>
        </w:rPr>
        <w:t>Member, U.S. Social Security Administration Advisory Board (2000)</w:t>
      </w:r>
    </w:p>
    <w:p>
      <w:pPr>
        <w:spacing w:after="0" w:line="16" w:lineRule="exact"/>
        <w:rPr>
          <w:rFonts w:ascii="Arial" w:cs="Arial" w:eastAsia="Arial" w:hAnsi="Arial"/>
          <w:sz w:val="15"/>
          <w:szCs w:val="15"/>
          <w:color w:val="074A75"/>
        </w:rPr>
      </w:pPr>
    </w:p>
    <w:p>
      <w:pPr>
        <w:ind w:left="200" w:hanging="192"/>
        <w:spacing w:after="0"/>
        <w:tabs>
          <w:tab w:leader="none" w:pos="200" w:val="left"/>
        </w:tabs>
        <w:numPr>
          <w:ilvl w:val="0"/>
          <w:numId w:val="80"/>
        </w:numPr>
        <w:rPr>
          <w:rFonts w:ascii="Arial" w:cs="Arial" w:eastAsia="Arial" w:hAnsi="Arial"/>
          <w:sz w:val="15"/>
          <w:szCs w:val="15"/>
          <w:color w:val="074A75"/>
        </w:rPr>
      </w:pPr>
      <w:r>
        <w:rPr>
          <w:rFonts w:ascii="Arial" w:cs="Arial" w:eastAsia="Arial" w:hAnsi="Arial"/>
          <w:sz w:val="15"/>
          <w:szCs w:val="15"/>
          <w:color w:val="auto"/>
        </w:rPr>
        <w:t>Chief Tax and Budget Counsel, U.S. Senate (1991–1994)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074A75"/>
        </w:rPr>
        <w:t>Education</w:t>
      </w:r>
    </w:p>
    <w:p>
      <w:pPr>
        <w:spacing w:after="0" w:line="33" w:lineRule="exact"/>
        <w:rPr>
          <w:sz w:val="20"/>
          <w:szCs w:val="20"/>
          <w:color w:val="auto"/>
        </w:rPr>
      </w:pPr>
    </w:p>
    <w:p>
      <w:pPr>
        <w:ind w:left="200" w:hanging="192"/>
        <w:spacing w:after="0"/>
        <w:tabs>
          <w:tab w:leader="none" w:pos="200" w:val="left"/>
        </w:tabs>
        <w:numPr>
          <w:ilvl w:val="0"/>
          <w:numId w:val="81"/>
        </w:numPr>
        <w:rPr>
          <w:rFonts w:ascii="Arial" w:cs="Arial" w:eastAsia="Arial" w:hAnsi="Arial"/>
          <w:sz w:val="15"/>
          <w:szCs w:val="15"/>
          <w:color w:val="074A75"/>
        </w:rPr>
      </w:pPr>
      <w:r>
        <w:rPr>
          <w:rFonts w:ascii="Arial" w:cs="Arial" w:eastAsia="Arial" w:hAnsi="Arial"/>
          <w:sz w:val="15"/>
          <w:szCs w:val="15"/>
          <w:color w:val="auto"/>
        </w:rPr>
        <w:t>Graduate of Emory University</w:t>
      </w:r>
    </w:p>
    <w:p>
      <w:pPr>
        <w:spacing w:after="0" w:line="13" w:lineRule="exact"/>
        <w:rPr>
          <w:rFonts w:ascii="Arial" w:cs="Arial" w:eastAsia="Arial" w:hAnsi="Arial"/>
          <w:sz w:val="15"/>
          <w:szCs w:val="15"/>
          <w:color w:val="074A75"/>
        </w:rPr>
      </w:pPr>
    </w:p>
    <w:p>
      <w:pPr>
        <w:ind w:left="200" w:hanging="192"/>
        <w:spacing w:after="0"/>
        <w:tabs>
          <w:tab w:leader="none" w:pos="200" w:val="left"/>
        </w:tabs>
        <w:numPr>
          <w:ilvl w:val="0"/>
          <w:numId w:val="81"/>
        </w:numPr>
        <w:rPr>
          <w:rFonts w:ascii="Arial" w:cs="Arial" w:eastAsia="Arial" w:hAnsi="Arial"/>
          <w:sz w:val="15"/>
          <w:szCs w:val="15"/>
          <w:color w:val="074A75"/>
        </w:rPr>
      </w:pPr>
      <w:r>
        <w:rPr>
          <w:rFonts w:ascii="Arial" w:cs="Arial" w:eastAsia="Arial" w:hAnsi="Arial"/>
          <w:sz w:val="15"/>
          <w:szCs w:val="15"/>
          <w:color w:val="auto"/>
        </w:rPr>
        <w:t>M.B.A. and J.D., Case Western Reserve University</w:t>
      </w:r>
    </w:p>
    <w:p>
      <w:pPr>
        <w:spacing w:after="0" w:line="16" w:lineRule="exact"/>
        <w:rPr>
          <w:rFonts w:ascii="Arial" w:cs="Arial" w:eastAsia="Arial" w:hAnsi="Arial"/>
          <w:sz w:val="15"/>
          <w:szCs w:val="15"/>
          <w:color w:val="074A75"/>
        </w:rPr>
      </w:pPr>
    </w:p>
    <w:p>
      <w:pPr>
        <w:ind w:left="200" w:hanging="192"/>
        <w:spacing w:after="0"/>
        <w:tabs>
          <w:tab w:leader="none" w:pos="200" w:val="left"/>
        </w:tabs>
        <w:numPr>
          <w:ilvl w:val="0"/>
          <w:numId w:val="81"/>
        </w:numPr>
        <w:rPr>
          <w:rFonts w:ascii="Arial" w:cs="Arial" w:eastAsia="Arial" w:hAnsi="Arial"/>
          <w:sz w:val="15"/>
          <w:szCs w:val="15"/>
          <w:color w:val="074A75"/>
        </w:rPr>
      </w:pPr>
      <w:r>
        <w:rPr>
          <w:rFonts w:ascii="Arial" w:cs="Arial" w:eastAsia="Arial" w:hAnsi="Arial"/>
          <w:sz w:val="15"/>
          <w:szCs w:val="15"/>
          <w:color w:val="auto"/>
        </w:rPr>
        <w:t>Master of Laws in Taxation, Georgetown University Law Center</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 w:right="700"/>
        <w:spacing w:after="0" w:line="255" w:lineRule="auto"/>
        <w:rPr>
          <w:sz w:val="20"/>
          <w:szCs w:val="20"/>
          <w:color w:val="auto"/>
        </w:rPr>
      </w:pPr>
      <w:r>
        <w:rPr>
          <w:rFonts w:ascii="Arial" w:cs="Arial" w:eastAsia="Arial" w:hAnsi="Arial"/>
          <w:sz w:val="15"/>
          <w:szCs w:val="15"/>
          <w:b w:val="1"/>
          <w:bCs w:val="1"/>
          <w:color w:val="074A75"/>
        </w:rPr>
        <w:t>Other U.S.-Listed Public Company Directorships Within the Past Five Years</w:t>
      </w:r>
    </w:p>
    <w:p>
      <w:pPr>
        <w:ind w:left="181" w:hanging="181"/>
        <w:spacing w:after="0"/>
        <w:tabs>
          <w:tab w:leader="none" w:pos="181" w:val="left"/>
        </w:tabs>
        <w:numPr>
          <w:ilvl w:val="0"/>
          <w:numId w:val="82"/>
        </w:numPr>
        <w:rPr>
          <w:rFonts w:ascii="Arial" w:cs="Arial" w:eastAsia="Arial" w:hAnsi="Arial"/>
          <w:sz w:val="15"/>
          <w:szCs w:val="15"/>
          <w:color w:val="074A75"/>
        </w:rPr>
      </w:pPr>
      <w:r>
        <w:rPr>
          <w:rFonts w:ascii="Arial" w:cs="Arial" w:eastAsia="Arial" w:hAnsi="Arial"/>
          <w:sz w:val="15"/>
          <w:szCs w:val="15"/>
          <w:color w:val="auto"/>
        </w:rPr>
        <w:t>Johnson &amp; Johnson (since 2019)</w:t>
      </w:r>
    </w:p>
    <w:p>
      <w:pPr>
        <w:spacing w:after="0" w:line="13" w:lineRule="exact"/>
        <w:rPr>
          <w:rFonts w:ascii="Arial" w:cs="Arial" w:eastAsia="Arial" w:hAnsi="Arial"/>
          <w:sz w:val="15"/>
          <w:szCs w:val="15"/>
          <w:color w:val="074A75"/>
        </w:rPr>
      </w:pPr>
    </w:p>
    <w:p>
      <w:pPr>
        <w:ind w:left="181" w:hanging="181"/>
        <w:spacing w:after="0"/>
        <w:tabs>
          <w:tab w:leader="none" w:pos="181" w:val="left"/>
        </w:tabs>
        <w:numPr>
          <w:ilvl w:val="0"/>
          <w:numId w:val="82"/>
        </w:numPr>
        <w:rPr>
          <w:rFonts w:ascii="Arial" w:cs="Arial" w:eastAsia="Arial" w:hAnsi="Arial"/>
          <w:sz w:val="15"/>
          <w:szCs w:val="15"/>
          <w:color w:val="074A75"/>
        </w:rPr>
      </w:pPr>
      <w:r>
        <w:rPr>
          <w:rFonts w:ascii="Arial" w:cs="Arial" w:eastAsia="Arial" w:hAnsi="Arial"/>
          <w:sz w:val="15"/>
          <w:szCs w:val="15"/>
          <w:color w:val="auto"/>
        </w:rPr>
        <w:t>MetLife, Inc. (since 2019)</w:t>
      </w:r>
    </w:p>
    <w:p>
      <w:pPr>
        <w:spacing w:after="0" w:line="16" w:lineRule="exact"/>
        <w:rPr>
          <w:rFonts w:ascii="Arial" w:cs="Arial" w:eastAsia="Arial" w:hAnsi="Arial"/>
          <w:sz w:val="15"/>
          <w:szCs w:val="15"/>
          <w:color w:val="074A75"/>
        </w:rPr>
      </w:pPr>
    </w:p>
    <w:p>
      <w:pPr>
        <w:ind w:left="181" w:hanging="181"/>
        <w:spacing w:after="0"/>
        <w:tabs>
          <w:tab w:leader="none" w:pos="181" w:val="left"/>
        </w:tabs>
        <w:numPr>
          <w:ilvl w:val="0"/>
          <w:numId w:val="82"/>
        </w:numPr>
        <w:rPr>
          <w:rFonts w:ascii="Arial" w:cs="Arial" w:eastAsia="Arial" w:hAnsi="Arial"/>
          <w:sz w:val="15"/>
          <w:szCs w:val="15"/>
          <w:color w:val="074A75"/>
        </w:rPr>
      </w:pPr>
      <w:r>
        <w:rPr>
          <w:rFonts w:ascii="Arial" w:cs="Arial" w:eastAsia="Arial" w:hAnsi="Arial"/>
          <w:sz w:val="15"/>
          <w:szCs w:val="15"/>
          <w:color w:val="auto"/>
        </w:rPr>
        <w:t>Accelerate Acquisition Corp. (2021–2022)</w:t>
      </w:r>
    </w:p>
    <w:p>
      <w:pPr>
        <w:spacing w:after="0" w:line="30" w:lineRule="exact"/>
        <w:rPr>
          <w:sz w:val="20"/>
          <w:szCs w:val="20"/>
          <w:color w:val="auto"/>
        </w:rPr>
      </w:pPr>
    </w:p>
    <w:p>
      <w:pPr>
        <w:ind w:left="1" w:right="800"/>
        <w:spacing w:after="0" w:line="255" w:lineRule="auto"/>
        <w:rPr>
          <w:sz w:val="20"/>
          <w:szCs w:val="20"/>
          <w:color w:val="auto"/>
        </w:rPr>
      </w:pPr>
      <w:r>
        <w:rPr>
          <w:rFonts w:ascii="Arial" w:cs="Arial" w:eastAsia="Arial" w:hAnsi="Arial"/>
          <w:sz w:val="15"/>
          <w:szCs w:val="15"/>
          <w:b w:val="1"/>
          <w:bCs w:val="1"/>
          <w:color w:val="074A75"/>
        </w:rPr>
        <w:t>Non-U.S.-Listed Public Company Directorships Within the Past Five Years</w:t>
      </w:r>
    </w:p>
    <w:p>
      <w:pPr>
        <w:ind w:left="181" w:hanging="181"/>
        <w:spacing w:after="0"/>
        <w:tabs>
          <w:tab w:leader="none" w:pos="181" w:val="left"/>
        </w:tabs>
        <w:numPr>
          <w:ilvl w:val="0"/>
          <w:numId w:val="83"/>
        </w:numPr>
        <w:rPr>
          <w:rFonts w:ascii="Arial" w:cs="Arial" w:eastAsia="Arial" w:hAnsi="Arial"/>
          <w:sz w:val="15"/>
          <w:szCs w:val="15"/>
          <w:color w:val="074A75"/>
        </w:rPr>
      </w:pPr>
      <w:r>
        <w:rPr>
          <w:rFonts w:ascii="Arial" w:cs="Arial" w:eastAsia="Arial" w:hAnsi="Arial"/>
          <w:sz w:val="15"/>
          <w:szCs w:val="15"/>
          <w:color w:val="auto"/>
        </w:rPr>
        <w:t>Saudi Arabian Oil Co. (Saudi Aramco) (since 2019)</w:t>
      </w:r>
    </w:p>
    <w:p>
      <w:pPr>
        <w:spacing w:after="0" w:line="27" w:lineRule="exact"/>
        <w:rPr>
          <w:rFonts w:ascii="Arial" w:cs="Arial" w:eastAsia="Arial" w:hAnsi="Arial"/>
          <w:sz w:val="15"/>
          <w:szCs w:val="15"/>
          <w:color w:val="074A75"/>
        </w:rPr>
      </w:pPr>
    </w:p>
    <w:p>
      <w:pPr>
        <w:ind w:left="1"/>
        <w:spacing w:after="0"/>
        <w:rPr>
          <w:rFonts w:ascii="Arial" w:cs="Arial" w:eastAsia="Arial" w:hAnsi="Arial"/>
          <w:sz w:val="15"/>
          <w:szCs w:val="15"/>
          <w:color w:val="074A75"/>
        </w:rPr>
      </w:pPr>
      <w:r>
        <w:rPr>
          <w:rFonts w:ascii="Arial" w:cs="Arial" w:eastAsia="Arial" w:hAnsi="Arial"/>
          <w:sz w:val="15"/>
          <w:szCs w:val="15"/>
          <w:b w:val="1"/>
          <w:bCs w:val="1"/>
          <w:color w:val="074A75"/>
        </w:rPr>
        <w:t>Other Experience</w:t>
      </w:r>
    </w:p>
    <w:p>
      <w:pPr>
        <w:spacing w:after="0" w:line="32" w:lineRule="exact"/>
        <w:rPr>
          <w:rFonts w:ascii="Arial" w:cs="Arial" w:eastAsia="Arial" w:hAnsi="Arial"/>
          <w:sz w:val="15"/>
          <w:szCs w:val="15"/>
          <w:color w:val="074A75"/>
        </w:rPr>
      </w:pPr>
    </w:p>
    <w:p>
      <w:pPr>
        <w:ind w:left="181" w:hanging="181"/>
        <w:spacing w:after="0"/>
        <w:tabs>
          <w:tab w:leader="none" w:pos="181" w:val="left"/>
        </w:tabs>
        <w:numPr>
          <w:ilvl w:val="0"/>
          <w:numId w:val="83"/>
        </w:numPr>
        <w:rPr>
          <w:rFonts w:ascii="Arial" w:cs="Arial" w:eastAsia="Arial" w:hAnsi="Arial"/>
          <w:sz w:val="15"/>
          <w:szCs w:val="15"/>
          <w:color w:val="074A75"/>
        </w:rPr>
      </w:pPr>
      <w:r>
        <w:rPr>
          <w:rFonts w:ascii="Arial" w:cs="Arial" w:eastAsia="Arial" w:hAnsi="Arial"/>
          <w:sz w:val="15"/>
          <w:szCs w:val="15"/>
          <w:color w:val="auto"/>
        </w:rPr>
        <w:t>Board Member, JUST Capital</w:t>
      </w:r>
    </w:p>
    <w:p>
      <w:pPr>
        <w:spacing w:after="0" w:line="13" w:lineRule="exact"/>
        <w:rPr>
          <w:rFonts w:ascii="Arial" w:cs="Arial" w:eastAsia="Arial" w:hAnsi="Arial"/>
          <w:sz w:val="15"/>
          <w:szCs w:val="15"/>
          <w:color w:val="074A75"/>
        </w:rPr>
      </w:pPr>
    </w:p>
    <w:p>
      <w:pPr>
        <w:ind w:left="181" w:hanging="181"/>
        <w:spacing w:after="0"/>
        <w:tabs>
          <w:tab w:leader="none" w:pos="181" w:val="left"/>
        </w:tabs>
        <w:numPr>
          <w:ilvl w:val="0"/>
          <w:numId w:val="83"/>
        </w:numPr>
        <w:rPr>
          <w:rFonts w:ascii="Arial" w:cs="Arial" w:eastAsia="Arial" w:hAnsi="Arial"/>
          <w:sz w:val="15"/>
          <w:szCs w:val="15"/>
          <w:color w:val="074A75"/>
        </w:rPr>
      </w:pPr>
      <w:r>
        <w:rPr>
          <w:rFonts w:ascii="Arial" w:cs="Arial" w:eastAsia="Arial" w:hAnsi="Arial"/>
          <w:sz w:val="15"/>
          <w:szCs w:val="15"/>
          <w:color w:val="auto"/>
        </w:rPr>
        <w:t>Board Member, National Bureau of Economic Research</w:t>
      </w:r>
    </w:p>
    <w:p>
      <w:pPr>
        <w:spacing w:after="0" w:line="16" w:lineRule="exact"/>
        <w:rPr>
          <w:rFonts w:ascii="Arial" w:cs="Arial" w:eastAsia="Arial" w:hAnsi="Arial"/>
          <w:sz w:val="15"/>
          <w:szCs w:val="15"/>
          <w:color w:val="074A75"/>
        </w:rPr>
      </w:pPr>
    </w:p>
    <w:p>
      <w:pPr>
        <w:ind w:left="181" w:hanging="181"/>
        <w:spacing w:after="0"/>
        <w:tabs>
          <w:tab w:leader="none" w:pos="181" w:val="left"/>
        </w:tabs>
        <w:numPr>
          <w:ilvl w:val="0"/>
          <w:numId w:val="83"/>
        </w:numPr>
        <w:rPr>
          <w:rFonts w:ascii="Arial" w:cs="Arial" w:eastAsia="Arial" w:hAnsi="Arial"/>
          <w:sz w:val="15"/>
          <w:szCs w:val="15"/>
          <w:color w:val="074A75"/>
        </w:rPr>
      </w:pPr>
      <w:r>
        <w:rPr>
          <w:rFonts w:ascii="Arial" w:cs="Arial" w:eastAsia="Arial" w:hAnsi="Arial"/>
          <w:sz w:val="15"/>
          <w:szCs w:val="15"/>
          <w:color w:val="auto"/>
        </w:rPr>
        <w:t>Advisor and Member, Council for Inclusive Capitalism</w:t>
      </w:r>
    </w:p>
    <w:p>
      <w:pPr>
        <w:spacing w:after="0" w:line="16" w:lineRule="exact"/>
        <w:rPr>
          <w:rFonts w:ascii="Arial" w:cs="Arial" w:eastAsia="Arial" w:hAnsi="Arial"/>
          <w:sz w:val="15"/>
          <w:szCs w:val="15"/>
          <w:color w:val="074A75"/>
        </w:rPr>
      </w:pPr>
    </w:p>
    <w:p>
      <w:pPr>
        <w:ind w:left="201" w:right="200" w:hanging="201"/>
        <w:spacing w:after="0" w:line="248" w:lineRule="auto"/>
        <w:tabs>
          <w:tab w:leader="none" w:pos="195" w:val="left"/>
        </w:tabs>
        <w:numPr>
          <w:ilvl w:val="0"/>
          <w:numId w:val="83"/>
        </w:numPr>
        <w:rPr>
          <w:rFonts w:ascii="Arial" w:cs="Arial" w:eastAsia="Arial" w:hAnsi="Arial"/>
          <w:sz w:val="15"/>
          <w:szCs w:val="15"/>
          <w:color w:val="074A75"/>
        </w:rPr>
      </w:pPr>
      <w:r>
        <w:rPr>
          <w:rFonts w:ascii="Arial" w:cs="Arial" w:eastAsia="Arial" w:hAnsi="Arial"/>
          <w:sz w:val="15"/>
          <w:szCs w:val="15"/>
          <w:color w:val="auto"/>
        </w:rPr>
        <w:t>Former Member of the International Business Council and Global Agenda Steward for Economic Progress, World Economic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446405</wp:posOffset>
            </wp:positionV>
            <wp:extent cx="274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556" w:lineRule="exact"/>
        <w:rPr>
          <w:sz w:val="20"/>
          <w:szCs w:val="20"/>
          <w:color w:val="auto"/>
        </w:rPr>
      </w:pPr>
    </w:p>
    <w:p>
      <w:pPr>
        <w:sectPr>
          <w:pgSz w:w="11900" w:h="16838" w:orient="portrait"/>
          <w:cols w:equalWidth="0" w:num="2">
            <w:col w:w="5179" w:space="720"/>
            <w:col w:w="5361"/>
          </w:cols>
          <w:pgMar w:left="320" w:top="157" w:right="319" w:bottom="1440" w:gutter="0" w:footer="0" w:header="0"/>
          <w:type w:val="continuous"/>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15  </w:t>
      </w:r>
      <w:r>
        <w:rPr>
          <w:sz w:val="1"/>
          <w:szCs w:val="1"/>
          <w:color w:val="auto"/>
        </w:rPr>
        <w:drawing>
          <wp:inline distT="0" distB="0" distL="0" distR="0">
            <wp:extent cx="2203450" cy="15430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29"/>
          <w:szCs w:val="29"/>
          <w:color w:val="074A75"/>
        </w:rPr>
        <w:t>Director independence</w:t>
      </w:r>
    </w:p>
    <w:p>
      <w:pPr>
        <w:sectPr>
          <w:pgSz w:w="11900" w:h="16838" w:orient="portrait"/>
          <w:cols w:equalWidth="0" w:num="1">
            <w:col w:w="11260"/>
          </w:cols>
          <w:pgMar w:left="320" w:top="157" w:right="319" w:bottom="1440" w:gutter="0" w:footer="0" w:header="0"/>
        </w:sectPr>
      </w:pPr>
    </w:p>
    <w:p>
      <w:pPr>
        <w:spacing w:after="0" w:line="139"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All of the Firm’s non-management Board members are independent, under both the New York Stock Exchange ("NYSE") corporate governance listing standards and the Firm’s independence standards as set forth in its Governance Principles.</w:t>
      </w:r>
    </w:p>
    <w:p>
      <w:pPr>
        <w:spacing w:after="0" w:line="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be considered independent, a director must have no disqualifying relationships, as defined by the NYSE, and the Board must have affirmatively determined that he or she has no material relationships with JPMorgan Chase, either directly or as a partner, shareholder or officer of another organization that has a relationship with the Firm.</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assessing the materiality of relationships with the Firm, the Board considers relevant facts and circumstances. Given the nature and broad scope of the products and services provided by the Firm, there are from time to time ordinary course of business transactions between the Firm and a director, his or her immediate family members, or principal business affiliations. These may include, among other relationships: extensions of credit; provision of other financial and financial advisory products and services; business transactions for property or services; and charitable contributions made by the JPMorgan Chase Foundation or the Firm to a nonprofit organization of which a director is an officer. The Board reviews these relationships to assess their materiality and determine if any such relationship would impair the independence and judgment of the relevant director. The Board considered:</w:t>
      </w:r>
    </w:p>
    <w:p>
      <w:pPr>
        <w:spacing w:after="0" w:line="77" w:lineRule="exact"/>
        <w:rPr>
          <w:sz w:val="20"/>
          <w:szCs w:val="20"/>
          <w:color w:val="auto"/>
        </w:rPr>
      </w:pPr>
    </w:p>
    <w:p>
      <w:pPr>
        <w:ind w:left="200" w:right="80" w:hanging="192"/>
        <w:spacing w:after="0" w:line="291" w:lineRule="auto"/>
        <w:tabs>
          <w:tab w:leader="none" w:pos="204" w:val="left"/>
        </w:tabs>
        <w:numPr>
          <w:ilvl w:val="0"/>
          <w:numId w:val="84"/>
        </w:numPr>
        <w:rPr>
          <w:rFonts w:ascii="Arial" w:cs="Arial" w:eastAsia="Arial" w:hAnsi="Arial"/>
          <w:sz w:val="17"/>
          <w:szCs w:val="17"/>
          <w:color w:val="074A75"/>
        </w:rPr>
      </w:pPr>
      <w:r>
        <w:rPr>
          <w:rFonts w:ascii="Arial" w:cs="Arial" w:eastAsia="Arial" w:hAnsi="Arial"/>
          <w:sz w:val="17"/>
          <w:szCs w:val="17"/>
          <w:color w:val="auto"/>
        </w:rPr>
        <w:t>Consumer credit: credit cards and other lines of credit and loans for directors Bammann, Burke, Combs, Flynn, Hobson, Neal, Novakovic, Weinberger and/or their immediate family members</w:t>
      </w:r>
    </w:p>
    <w:p>
      <w:pPr>
        <w:spacing w:after="0" w:line="4" w:lineRule="exact"/>
        <w:rPr>
          <w:rFonts w:ascii="Arial" w:cs="Arial" w:eastAsia="Arial" w:hAnsi="Arial"/>
          <w:sz w:val="17"/>
          <w:szCs w:val="17"/>
          <w:color w:val="074A75"/>
        </w:rPr>
      </w:pPr>
    </w:p>
    <w:p>
      <w:pPr>
        <w:ind w:left="200" w:right="20" w:hanging="192"/>
        <w:spacing w:after="0" w:line="252" w:lineRule="auto"/>
        <w:tabs>
          <w:tab w:leader="none" w:pos="204" w:val="left"/>
        </w:tabs>
        <w:numPr>
          <w:ilvl w:val="0"/>
          <w:numId w:val="84"/>
        </w:numPr>
        <w:rPr>
          <w:rFonts w:ascii="Arial" w:cs="Arial" w:eastAsia="Arial" w:hAnsi="Arial"/>
          <w:sz w:val="18"/>
          <w:szCs w:val="18"/>
          <w:color w:val="074A75"/>
        </w:rPr>
      </w:pPr>
      <w:r>
        <w:rPr>
          <w:rFonts w:ascii="Arial" w:cs="Arial" w:eastAsia="Arial" w:hAnsi="Arial"/>
          <w:sz w:val="18"/>
          <w:szCs w:val="18"/>
          <w:color w:val="auto"/>
        </w:rPr>
        <w:t>Wholesale/commercial credit: extensions of credit and other financial and financial advisory products and services provided to: Berkshire Hathaway Inc., for which Mr. Combs is an Investment Officer, and its subsidiaries; Alto Pharmacy, LLC, for which Ms. Davis is the Chief Executive Officer, and its subsidiaries; Ariel Investments, LLC, for which Ms. Hobson is Co-Chief Executive Officer and President, and its subsidiaries, affiliates and funds; certain entities wholly-owned by Ms. Hobson’s spouse and trusts for which such spouse serves as trustee; General Dynamics Corporation, for which Ms. Novakovic is Chairman and Chief Executive Officer, and its subsidiaries; Louis Dreyfus Company B.V., for which a sibling of Mrs. Rometty serves as the Trading Operations Officer and Cotton Platform Head, and its subsidiaries; and Hearthside Food Solutions, LLC, for which a sibling of Mrs. Rometty serves as Chief Executive Officer, and its affiliates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00" w:right="360" w:hanging="196"/>
        <w:spacing w:after="0" w:line="278" w:lineRule="auto"/>
        <w:tabs>
          <w:tab w:leader="none" w:pos="204" w:val="left"/>
        </w:tabs>
        <w:numPr>
          <w:ilvl w:val="0"/>
          <w:numId w:val="85"/>
        </w:numPr>
        <w:rPr>
          <w:rFonts w:ascii="Arial" w:cs="Arial" w:eastAsia="Arial" w:hAnsi="Arial"/>
          <w:sz w:val="17"/>
          <w:szCs w:val="17"/>
          <w:color w:val="074A75"/>
        </w:rPr>
      </w:pPr>
      <w:r>
        <w:rPr>
          <w:rFonts w:ascii="Arial" w:cs="Arial" w:eastAsia="Arial" w:hAnsi="Arial"/>
          <w:sz w:val="17"/>
          <w:szCs w:val="17"/>
          <w:color w:val="auto"/>
        </w:rPr>
        <w:t>Goods and services: purchases from Berkshire Hathaway and subsidiaries of private aviation services and professional services related to the Firm’s corporate-owned aircraft; and purchases of corporate aircraft and associated maintenance services and parts provided by General Dynamics subsidiaries</w:t>
      </w:r>
    </w:p>
    <w:p>
      <w:pPr>
        <w:spacing w:after="0" w:line="5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Board, having reviewed the relevant relationships between the Firm and each non-management director, determined, in accordance with the NYSE’s listing standards and the Firm’s independence standards, that each non-management director (Linda B. Bammann, Stephen B. Burke, Todd A. Combs, Alicia Boler Davis, Timothy P. Flynn, Alex Gorsky, Mellody Hobson, Michael A. Neal, Phebe N. Novakovic, Virginia M. Rometty, and Mark A. Weinberger) had only immaterial relationships with JPMorgan Chase and accordingly is independent.</w:t>
      </w:r>
    </w:p>
    <w:p>
      <w:pPr>
        <w:spacing w:after="0" w:line="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 directors who served on the Audit and Compensation &amp; Management Development Committees of the Board were also determined to meet the additional independence and qualitative criteria of the NYSE listing standards applicable to directors serving on those committees. For more information about the committees of the Board, see pages 21-23.</w:t>
      </w:r>
    </w:p>
    <w:p>
      <w:pPr>
        <w:spacing w:after="0" w:line="5371"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color w:val="074A75"/>
        </w:rPr>
        <w:t>Director recruitment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Committee oversees the ongoing evaluation of candidates for Board membership and the candidate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103505</wp:posOffset>
            </wp:positionV>
            <wp:extent cx="3068955" cy="2211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068955" cy="221170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274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BOARD REVIEWS</w:t>
            </w:r>
          </w:p>
        </w:tc>
        <w:tc>
          <w:tcPr>
            <w:tcW w:w="460" w:type="dxa"/>
            <w:vAlign w:val="bottom"/>
          </w:tcPr>
          <w:p>
            <w:pPr>
              <w:spacing w:after="0"/>
              <w:rPr>
                <w:sz w:val="24"/>
                <w:szCs w:val="24"/>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CANDIDATE</w:t>
            </w:r>
          </w:p>
        </w:tc>
      </w:tr>
      <w:tr>
        <w:trPr>
          <w:trHeight w:val="297"/>
        </w:trPr>
        <w:tc>
          <w:tcPr>
            <w:tcW w:w="274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8"/>
              </w:rPr>
              <w:t>ITS NEEDS</w:t>
            </w:r>
          </w:p>
        </w:tc>
        <w:tc>
          <w:tcPr>
            <w:tcW w:w="460" w:type="dxa"/>
            <w:vAlign w:val="bottom"/>
          </w:tcPr>
          <w:p>
            <w:pPr>
              <w:spacing w:after="0"/>
              <w:rPr>
                <w:sz w:val="24"/>
                <w:szCs w:val="24"/>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RECOMMENDATIONS</w:t>
            </w:r>
          </w:p>
        </w:tc>
      </w:tr>
      <w:tr>
        <w:trPr>
          <w:trHeight w:val="473"/>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The Board considers its</w:t>
            </w:r>
          </w:p>
        </w:tc>
        <w:tc>
          <w:tcPr>
            <w:tcW w:w="460" w:type="dxa"/>
            <w:vAlign w:val="bottom"/>
          </w:tcPr>
          <w:p>
            <w:pPr>
              <w:spacing w:after="0"/>
              <w:rPr>
                <w:sz w:val="24"/>
                <w:szCs w:val="24"/>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The Governance Committee</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composition and needs holistically,</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solicits candidate</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determining the diversity of</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recommendations from</w:t>
            </w:r>
          </w:p>
        </w:tc>
      </w:tr>
      <w:tr>
        <w:trPr>
          <w:trHeight w:val="203"/>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experiences, backgrounds,</w:t>
            </w:r>
          </w:p>
        </w:tc>
        <w:tc>
          <w:tcPr>
            <w:tcW w:w="460" w:type="dxa"/>
            <w:vAlign w:val="bottom"/>
          </w:tcPr>
          <w:p>
            <w:pPr>
              <w:spacing w:after="0"/>
              <w:rPr>
                <w:sz w:val="17"/>
                <w:szCs w:val="17"/>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shareholders, directors, and</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perspectives and viewpoints</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management and, from time to</w:t>
            </w:r>
          </w:p>
        </w:tc>
      </w:tr>
      <w:tr>
        <w:trPr>
          <w:trHeight w:val="203"/>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required to effectively oversee the</w:t>
            </w:r>
          </w:p>
        </w:tc>
        <w:tc>
          <w:tcPr>
            <w:tcW w:w="460" w:type="dxa"/>
            <w:vAlign w:val="bottom"/>
          </w:tcPr>
          <w:p>
            <w:pPr>
              <w:spacing w:after="0"/>
              <w:rPr>
                <w:sz w:val="17"/>
                <w:szCs w:val="17"/>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time, has been assisted by a third-</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Firm, including its present and</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party advisor in identifying</w:t>
            </w:r>
          </w:p>
        </w:tc>
      </w:tr>
      <w:tr>
        <w:trPr>
          <w:trHeight w:val="215"/>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future strategy.</w:t>
            </w:r>
          </w:p>
        </w:tc>
        <w:tc>
          <w:tcPr>
            <w:tcW w:w="460" w:type="dxa"/>
            <w:vAlign w:val="bottom"/>
          </w:tcPr>
          <w:p>
            <w:pPr>
              <w:spacing w:after="0"/>
              <w:rPr>
                <w:sz w:val="18"/>
                <w:szCs w:val="18"/>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qualified candidates.</w:t>
            </w:r>
          </w:p>
        </w:tc>
      </w:tr>
      <w:tr>
        <w:trPr>
          <w:trHeight w:val="974"/>
        </w:trPr>
        <w:tc>
          <w:tcPr>
            <w:tcW w:w="2740" w:type="dxa"/>
            <w:vAlign w:val="bottom"/>
            <w:shd w:val="clear" w:color="auto" w:fill="D2DBE7"/>
          </w:tcPr>
          <w:p>
            <w:pPr>
              <w:spacing w:after="0"/>
              <w:rPr>
                <w:sz w:val="24"/>
                <w:szCs w:val="24"/>
                <w:color w:val="auto"/>
              </w:rPr>
            </w:pPr>
          </w:p>
        </w:tc>
        <w:tc>
          <w:tcPr>
            <w:tcW w:w="460" w:type="dxa"/>
            <w:vAlign w:val="bottom"/>
          </w:tcPr>
          <w:p>
            <w:pPr>
              <w:spacing w:after="0"/>
              <w:rPr>
                <w:sz w:val="24"/>
                <w:szCs w:val="24"/>
                <w:color w:val="auto"/>
              </w:rPr>
            </w:pPr>
          </w:p>
        </w:tc>
        <w:tc>
          <w:tcPr>
            <w:tcW w:w="2760" w:type="dxa"/>
            <w:vAlign w:val="bottom"/>
            <w:shd w:val="clear" w:color="auto" w:fill="D2DBE7"/>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-1233805</wp:posOffset>
            </wp:positionV>
            <wp:extent cx="102870" cy="1974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19748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-1233805</wp:posOffset>
            </wp:positionV>
            <wp:extent cx="102870" cy="1974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19748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17145</wp:posOffset>
            </wp:positionV>
            <wp:extent cx="196850" cy="1028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685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461"/>
        <w:spacing w:after="0"/>
        <w:rPr>
          <w:sz w:val="20"/>
          <w:szCs w:val="20"/>
          <w:color w:val="auto"/>
        </w:rPr>
      </w:pPr>
      <w:r>
        <w:rPr>
          <w:rFonts w:ascii="Arial" w:cs="Arial" w:eastAsia="Arial" w:hAnsi="Arial"/>
          <w:sz w:val="22"/>
          <w:szCs w:val="22"/>
          <w:b w:val="1"/>
          <w:bCs w:val="1"/>
          <w:color w:val="074A75"/>
        </w:rPr>
        <w:t>ASSESSMENT</w:t>
      </w:r>
    </w:p>
    <w:p>
      <w:pPr>
        <w:spacing w:after="0" w:line="200" w:lineRule="exact"/>
        <w:rPr>
          <w:sz w:val="20"/>
          <w:szCs w:val="20"/>
          <w:color w:val="auto"/>
        </w:rPr>
      </w:pPr>
    </w:p>
    <w:p>
      <w:pPr>
        <w:spacing w:after="0" w:line="250" w:lineRule="exact"/>
        <w:rPr>
          <w:sz w:val="20"/>
          <w:szCs w:val="20"/>
          <w:color w:val="auto"/>
        </w:rPr>
      </w:pPr>
    </w:p>
    <w:p>
      <w:pPr>
        <w:ind w:left="1" w:right="760"/>
        <w:spacing w:after="0" w:line="296" w:lineRule="auto"/>
        <w:rPr>
          <w:sz w:val="20"/>
          <w:szCs w:val="20"/>
          <w:color w:val="auto"/>
        </w:rPr>
      </w:pPr>
      <w:r>
        <w:rPr>
          <w:rFonts w:ascii="Arial" w:cs="Arial" w:eastAsia="Arial" w:hAnsi="Arial"/>
          <w:sz w:val="16"/>
          <w:szCs w:val="16"/>
          <w:color w:val="auto"/>
        </w:rPr>
        <w:t>The Governance Committee considers the following in evaluating prospective directors, among other items:</w:t>
      </w:r>
    </w:p>
    <w:p>
      <w:pPr>
        <w:spacing w:after="0" w:line="19" w:lineRule="exact"/>
        <w:rPr>
          <w:sz w:val="20"/>
          <w:szCs w:val="20"/>
          <w:color w:val="auto"/>
        </w:rPr>
      </w:pPr>
    </w:p>
    <w:p>
      <w:pPr>
        <w:ind w:left="201" w:hanging="201"/>
        <w:spacing w:after="0"/>
        <w:tabs>
          <w:tab w:leader="none" w:pos="201" w:val="left"/>
        </w:tabs>
        <w:numPr>
          <w:ilvl w:val="0"/>
          <w:numId w:val="86"/>
        </w:numPr>
        <w:rPr>
          <w:rFonts w:ascii="Arial" w:cs="Arial" w:eastAsia="Arial" w:hAnsi="Arial"/>
          <w:sz w:val="18"/>
          <w:szCs w:val="18"/>
          <w:color w:val="074A75"/>
        </w:rPr>
      </w:pPr>
      <w:r>
        <w:rPr>
          <w:rFonts w:ascii="Arial" w:cs="Arial" w:eastAsia="Arial" w:hAnsi="Arial"/>
          <w:sz w:val="16"/>
          <w:szCs w:val="16"/>
          <w:color w:val="auto"/>
        </w:rPr>
        <w:t>The Firm’s Governance Principles</w:t>
      </w:r>
    </w:p>
    <w:p>
      <w:pPr>
        <w:spacing w:after="0" w:line="90" w:lineRule="exact"/>
        <w:rPr>
          <w:rFonts w:ascii="Arial" w:cs="Arial" w:eastAsia="Arial" w:hAnsi="Arial"/>
          <w:sz w:val="18"/>
          <w:szCs w:val="18"/>
          <w:color w:val="074A75"/>
        </w:rPr>
      </w:pPr>
    </w:p>
    <w:p>
      <w:pPr>
        <w:ind w:left="201" w:right="1380" w:hanging="201"/>
        <w:spacing w:after="0" w:line="274" w:lineRule="auto"/>
        <w:tabs>
          <w:tab w:leader="none" w:pos="204" w:val="left"/>
        </w:tabs>
        <w:numPr>
          <w:ilvl w:val="0"/>
          <w:numId w:val="86"/>
        </w:numPr>
        <w:rPr>
          <w:rFonts w:ascii="Arial" w:cs="Arial" w:eastAsia="Arial" w:hAnsi="Arial"/>
          <w:sz w:val="18"/>
          <w:szCs w:val="18"/>
          <w:color w:val="074A75"/>
        </w:rPr>
      </w:pPr>
      <w:r>
        <w:rPr>
          <w:rFonts w:ascii="Arial" w:cs="Arial" w:eastAsia="Arial" w:hAnsi="Arial"/>
          <w:sz w:val="16"/>
          <w:szCs w:val="16"/>
          <w:color w:val="auto"/>
        </w:rPr>
        <w:t>The Firm’s strategy, risk profile and current Board composition</w:t>
      </w:r>
    </w:p>
    <w:p>
      <w:pPr>
        <w:spacing w:after="0" w:line="26" w:lineRule="exact"/>
        <w:rPr>
          <w:rFonts w:ascii="Arial" w:cs="Arial" w:eastAsia="Arial" w:hAnsi="Arial"/>
          <w:sz w:val="18"/>
          <w:szCs w:val="18"/>
          <w:color w:val="074A75"/>
        </w:rPr>
      </w:pPr>
    </w:p>
    <w:p>
      <w:pPr>
        <w:ind w:left="201" w:right="400" w:hanging="201"/>
        <w:spacing w:after="0" w:line="274" w:lineRule="auto"/>
        <w:tabs>
          <w:tab w:leader="none" w:pos="204" w:val="left"/>
        </w:tabs>
        <w:numPr>
          <w:ilvl w:val="0"/>
          <w:numId w:val="86"/>
        </w:numPr>
        <w:rPr>
          <w:rFonts w:ascii="Arial" w:cs="Arial" w:eastAsia="Arial" w:hAnsi="Arial"/>
          <w:sz w:val="18"/>
          <w:szCs w:val="18"/>
          <w:color w:val="074A75"/>
        </w:rPr>
      </w:pPr>
      <w:r>
        <w:rPr>
          <w:rFonts w:ascii="Arial" w:cs="Arial" w:eastAsia="Arial" w:hAnsi="Arial"/>
          <w:sz w:val="16"/>
          <w:szCs w:val="16"/>
          <w:color w:val="auto"/>
        </w:rPr>
        <w:t>Candidate’s specific skills and experiences based on the needs of the Firm</w:t>
      </w:r>
    </w:p>
    <w:p>
      <w:pPr>
        <w:spacing w:after="0" w:line="39" w:lineRule="exact"/>
        <w:rPr>
          <w:rFonts w:ascii="Arial" w:cs="Arial" w:eastAsia="Arial" w:hAnsi="Arial"/>
          <w:sz w:val="18"/>
          <w:szCs w:val="18"/>
          <w:color w:val="074A75"/>
        </w:rPr>
      </w:pPr>
    </w:p>
    <w:p>
      <w:pPr>
        <w:ind w:left="201" w:right="280" w:hanging="201"/>
        <w:spacing w:after="0" w:line="274" w:lineRule="auto"/>
        <w:tabs>
          <w:tab w:leader="none" w:pos="204" w:val="left"/>
        </w:tabs>
        <w:numPr>
          <w:ilvl w:val="0"/>
          <w:numId w:val="86"/>
        </w:numPr>
        <w:rPr>
          <w:rFonts w:ascii="Arial" w:cs="Arial" w:eastAsia="Arial" w:hAnsi="Arial"/>
          <w:sz w:val="18"/>
          <w:szCs w:val="18"/>
          <w:color w:val="074A75"/>
        </w:rPr>
      </w:pPr>
      <w:r>
        <w:rPr>
          <w:rFonts w:ascii="Arial" w:cs="Arial" w:eastAsia="Arial" w:hAnsi="Arial"/>
          <w:sz w:val="16"/>
          <w:szCs w:val="16"/>
          <w:color w:val="auto"/>
        </w:rPr>
        <w:t>Candidate's contribution to Board diversity in experiences, backgrounds, perspectives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257175</wp:posOffset>
            </wp:positionV>
            <wp:extent cx="196850" cy="102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6850" cy="102870"/>
                    </a:xfrm>
                    <a:prstGeom prst="rect">
                      <a:avLst/>
                    </a:prstGeom>
                    <a:noFill/>
                  </pic:spPr>
                </pic:pic>
              </a:graphicData>
            </a:graphic>
          </wp:anchor>
        </w:drawing>
      </w:r>
    </w:p>
    <w:p>
      <w:pPr>
        <w:spacing w:after="0" w:line="577" w:lineRule="exact"/>
        <w:rPr>
          <w:sz w:val="20"/>
          <w:szCs w:val="20"/>
          <w:color w:val="auto"/>
        </w:rPr>
      </w:pPr>
    </w:p>
    <w:p>
      <w:pPr>
        <w:sectPr>
          <w:pgSz w:w="11900" w:h="16838" w:orient="portrait"/>
          <w:cols w:equalWidth="0" w:num="2">
            <w:col w:w="5960" w:space="659"/>
            <w:col w:w="4641"/>
          </w:cols>
          <w:pgMar w:left="320" w:top="157" w:right="31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274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FULL BOARD</w:t>
            </w:r>
          </w:p>
        </w:tc>
        <w:tc>
          <w:tcPr>
            <w:tcW w:w="460" w:type="dxa"/>
            <w:vAlign w:val="bottom"/>
          </w:tcPr>
          <w:p>
            <w:pPr>
              <w:spacing w:after="0"/>
              <w:rPr>
                <w:sz w:val="24"/>
                <w:szCs w:val="24"/>
                <w:color w:val="auto"/>
              </w:rPr>
            </w:pPr>
          </w:p>
        </w:tc>
        <w:tc>
          <w:tcPr>
            <w:tcW w:w="8040" w:type="dxa"/>
            <w:vAlign w:val="bottom"/>
            <w:vMerge w:val="restart"/>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CANDIDATE MEETINGS</w:t>
            </w:r>
          </w:p>
        </w:tc>
        <w:tc>
          <w:tcPr>
            <w:tcW w:w="0" w:type="dxa"/>
            <w:vAlign w:val="bottom"/>
          </w:tcPr>
          <w:p>
            <w:pPr>
              <w:spacing w:after="0"/>
              <w:rPr>
                <w:sz w:val="1"/>
                <w:szCs w:val="1"/>
                <w:color w:val="auto"/>
              </w:rPr>
            </w:pPr>
          </w:p>
        </w:tc>
      </w:tr>
      <w:tr>
        <w:trPr>
          <w:trHeight w:val="162"/>
        </w:trPr>
        <w:tc>
          <w:tcPr>
            <w:tcW w:w="2740" w:type="dxa"/>
            <w:vAlign w:val="bottom"/>
            <w:vMerge w:val="restart"/>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CONSIDERATION</w:t>
            </w:r>
          </w:p>
        </w:tc>
        <w:tc>
          <w:tcPr>
            <w:tcW w:w="460" w:type="dxa"/>
            <w:vAlign w:val="bottom"/>
          </w:tcPr>
          <w:p>
            <w:pPr>
              <w:spacing w:after="0"/>
              <w:rPr>
                <w:sz w:val="14"/>
                <w:szCs w:val="14"/>
                <w:color w:val="auto"/>
              </w:rPr>
            </w:pPr>
          </w:p>
        </w:tc>
        <w:tc>
          <w:tcPr>
            <w:tcW w:w="8040" w:type="dxa"/>
            <w:vAlign w:val="bottom"/>
            <w:vMerge w:val="continue"/>
            <w:shd w:val="clear" w:color="auto" w:fill="D2DBE7"/>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40" w:type="dxa"/>
            <w:vAlign w:val="bottom"/>
            <w:vMerge w:val="continue"/>
            <w:shd w:val="clear" w:color="auto" w:fill="D2DBE7"/>
          </w:tcPr>
          <w:p>
            <w:pPr>
              <w:spacing w:after="0"/>
              <w:rPr>
                <w:sz w:val="11"/>
                <w:szCs w:val="11"/>
                <w:color w:val="auto"/>
              </w:rPr>
            </w:pPr>
          </w:p>
        </w:tc>
        <w:tc>
          <w:tcPr>
            <w:tcW w:w="460" w:type="dxa"/>
            <w:vAlign w:val="bottom"/>
          </w:tcPr>
          <w:p>
            <w:pPr>
              <w:spacing w:after="0"/>
              <w:rPr>
                <w:sz w:val="11"/>
                <w:szCs w:val="11"/>
                <w:color w:val="auto"/>
              </w:rPr>
            </w:pPr>
          </w:p>
        </w:tc>
        <w:tc>
          <w:tcPr>
            <w:tcW w:w="8040" w:type="dxa"/>
            <w:vAlign w:val="bottom"/>
            <w:shd w:val="clear" w:color="auto" w:fill="D2DBE7"/>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The Governance Committee puts the</w:t>
            </w:r>
          </w:p>
        </w:tc>
        <w:tc>
          <w:tcPr>
            <w:tcW w:w="460" w:type="dxa"/>
            <w:vAlign w:val="bottom"/>
          </w:tcPr>
          <w:p>
            <w:pPr>
              <w:spacing w:after="0"/>
              <w:rPr>
                <w:sz w:val="24"/>
                <w:szCs w:val="24"/>
                <w:color w:val="auto"/>
              </w:rPr>
            </w:pPr>
          </w:p>
        </w:tc>
        <w:tc>
          <w:tcPr>
            <w:tcW w:w="80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The potential nominee meets with the Governance Committee, Lead Independent Director, Chair of the Board,</w:t>
            </w:r>
          </w:p>
        </w:tc>
        <w:tc>
          <w:tcPr>
            <w:tcW w:w="0" w:type="dxa"/>
            <w:vAlign w:val="bottom"/>
          </w:tcPr>
          <w:p>
            <w:pPr>
              <w:spacing w:after="0"/>
              <w:rPr>
                <w:sz w:val="1"/>
                <w:szCs w:val="1"/>
                <w:color w:val="auto"/>
              </w:rPr>
            </w:pP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candidate forward for consideration</w:t>
            </w:r>
          </w:p>
        </w:tc>
        <w:tc>
          <w:tcPr>
            <w:tcW w:w="460" w:type="dxa"/>
            <w:vAlign w:val="bottom"/>
          </w:tcPr>
          <w:p>
            <w:pPr>
              <w:spacing w:after="0"/>
              <w:rPr>
                <w:sz w:val="16"/>
                <w:szCs w:val="16"/>
                <w:color w:val="auto"/>
              </w:rPr>
            </w:pPr>
          </w:p>
        </w:tc>
        <w:tc>
          <w:tcPr>
            <w:tcW w:w="80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other members of the Board and senior management, as appropriate.</w:t>
            </w:r>
          </w:p>
        </w:tc>
        <w:tc>
          <w:tcPr>
            <w:tcW w:w="0" w:type="dxa"/>
            <w:vAlign w:val="bottom"/>
          </w:tcPr>
          <w:p>
            <w:pPr>
              <w:spacing w:after="0"/>
              <w:rPr>
                <w:sz w:val="1"/>
                <w:szCs w:val="1"/>
                <w:color w:val="auto"/>
              </w:rPr>
            </w:pPr>
          </w:p>
        </w:tc>
      </w:tr>
      <w:tr>
        <w:trPr>
          <w:trHeight w:val="215"/>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w w:val="99"/>
              </w:rPr>
              <w:t>by the full Board.</w:t>
            </w:r>
          </w:p>
        </w:tc>
        <w:tc>
          <w:tcPr>
            <w:tcW w:w="460" w:type="dxa"/>
            <w:vAlign w:val="bottom"/>
          </w:tcPr>
          <w:p>
            <w:pPr>
              <w:spacing w:after="0"/>
              <w:rPr>
                <w:sz w:val="18"/>
                <w:szCs w:val="18"/>
                <w:color w:val="auto"/>
              </w:rPr>
            </w:pPr>
          </w:p>
        </w:tc>
        <w:tc>
          <w:tcPr>
            <w:tcW w:w="8040" w:type="dxa"/>
            <w:vAlign w:val="bottom"/>
            <w:shd w:val="clear" w:color="auto" w:fill="D2DBE7"/>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740" w:type="dxa"/>
            <w:vAlign w:val="bottom"/>
            <w:shd w:val="clear" w:color="auto" w:fill="D2DBE7"/>
          </w:tcPr>
          <w:p>
            <w:pPr>
              <w:spacing w:after="0"/>
              <w:rPr>
                <w:sz w:val="9"/>
                <w:szCs w:val="9"/>
                <w:color w:val="auto"/>
              </w:rPr>
            </w:pPr>
          </w:p>
        </w:tc>
        <w:tc>
          <w:tcPr>
            <w:tcW w:w="460" w:type="dxa"/>
            <w:vAlign w:val="bottom"/>
          </w:tcPr>
          <w:p>
            <w:pPr>
              <w:spacing w:after="0"/>
              <w:rPr>
                <w:sz w:val="9"/>
                <w:szCs w:val="9"/>
                <w:color w:val="auto"/>
              </w:rPr>
            </w:pPr>
          </w:p>
        </w:tc>
        <w:tc>
          <w:tcPr>
            <w:tcW w:w="8040" w:type="dxa"/>
            <w:vAlign w:val="bottom"/>
            <w:shd w:val="clear" w:color="auto" w:fill="D2DBE7"/>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-599440</wp:posOffset>
            </wp:positionV>
            <wp:extent cx="102870" cy="1974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197485"/>
                    </a:xfrm>
                    <a:prstGeom prst="rect">
                      <a:avLst/>
                    </a:prstGeom>
                    <a:noFill/>
                  </pic:spPr>
                </pic:pic>
              </a:graphicData>
            </a:graphic>
          </wp:anchor>
        </w:drawing>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Governance Committee is engaged in an ongoing recruitment process designed to build a strong pipeline of prospective directors for the near and long term. This includes candidates who are not available for board membership immediately but may become available in the future, such as candidates whose current professional commitments preclude board service and emerging leaders who require more experience. Often the Board works to develop a relationship with prospective candidates, becoming familiar with their skills and effectiveness, before the candidate is formally considered. The Board looks to recruit those who will contribute individually, and it seeks to balance skills, experience, personal attributes and tenure. All candidates recommended to the Governance Committee are evaluated based on the same standards outlined above.</w:t>
      </w:r>
    </w:p>
    <w:p>
      <w:pPr>
        <w:spacing w:after="0" w:line="7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Firm's By-laws also provide for a right of proxy access. Our By-laws enable shareholders, under specified conditions, to include their nominees for election as directors in the Firm's proxy statement. Under these provisions, a shareholder group of up to 20 shareholders who have continuously owned at least 3% of the Firm’s outstanding shares for at least three years may nominate up to 20% of the Board (but in any event at least two directors). For further information, see page 112.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074A75"/>
        </w:rPr>
        <w:t>Recent board refreshment</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Since our last annual shareholder meeting, the Board elected Mark Weinberger to the Board effective January 2024. The Board used the process described above and took into account the considerations outlined on pages 9-10 and shareholder interest in board refreshment. Mr. Weinberger has been among a select group of individuals considered as part of the Governance Committee’s evaluation of prospective Board members in recent years.</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Mr. Weinberger was familiar to a number of directors and executives based on his leadership roles at Ernst &amp; Young and his active involvement with the World Economic Forum and other economic, government and business roles. Members of the Governance Committee suggested that he be considered as a prospective candidate. They met with him and reviewed his qualifications including his distinctive expertise in finance, tax and accountancy as a leader in those fields for over three decades prior to his retirement. His executive experience and skills were among the Board's recruitment priorities as they complement the Board's existing composition and support effective oversight of the Firm's strategy. The Committee also reviewed his constructive personal attributes and independence, and recommended his election by the Board.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Mr. Weinberger's qualifications, see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283210</wp:posOffset>
            </wp:positionV>
            <wp:extent cx="274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17  </w:t>
      </w:r>
      <w:r>
        <w:rPr>
          <w:sz w:val="1"/>
          <w:szCs w:val="1"/>
          <w:color w:val="auto"/>
        </w:rPr>
        <w:drawing>
          <wp:inline distT="0" distB="0" distL="0" distR="0">
            <wp:extent cx="2203450" cy="15430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4"/>
                <w:szCs w:val="24"/>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2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29"/>
          <w:szCs w:val="29"/>
          <w:color w:val="074A75"/>
        </w:rPr>
        <w:t>Director re-nomination</w:t>
      </w:r>
    </w:p>
    <w:p>
      <w:pPr>
        <w:spacing w:after="0" w:line="13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Governance Committee also oversees the re-nomination process. In determining whether to re-nominate a director for election at our annual meeting, the Governance Committee reviews each director, considering: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40640</wp:posOffset>
            </wp:positionV>
            <wp:extent cx="3171825" cy="31718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7182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074A75"/>
        </w:rPr>
        <w:t>Retirement policy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Governance Principles require a non-management director to offer not to stand for re-election in each calendar year following a year in which the director will be 72 or older. The Board (other than the affected director) then determines whether to accept the offer. The Board believes that the appropriate mix of experience and fresh perspectives is an important consideration in assessing Board composition, and the best interests of the Firm are served by taking advantage of all available talent, and evaluations as to director candidacy should not be determined solely on age.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None of our director nominees will be 72 or older this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annual Board and committee self-assessment process, see page 24.</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4"/>
                <w:szCs w:val="24"/>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c>
          <w:tcPr>
            <w:tcW w:w="66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left w:val="single" w:sz="8" w:color="E7E7E8"/>
              <w:bottom w:val="single" w:sz="8" w:color="E7E7E8"/>
              <w:right w:val="single" w:sz="8" w:color="E7E7E8"/>
            </w:tcBorders>
          </w:tcPr>
          <w:p>
            <w:pPr>
              <w:spacing w:after="0"/>
              <w:rPr>
                <w:sz w:val="7"/>
                <w:szCs w:val="7"/>
                <w:color w:val="auto"/>
              </w:rPr>
            </w:pPr>
          </w:p>
        </w:tc>
        <w:tc>
          <w:tcPr>
            <w:tcW w:w="640" w:type="dxa"/>
            <w:vAlign w:val="bottom"/>
          </w:tcPr>
          <w:p>
            <w:pPr>
              <w:spacing w:after="0"/>
              <w:rPr>
                <w:sz w:val="7"/>
                <w:szCs w:val="7"/>
                <w:color w:val="auto"/>
              </w:rPr>
            </w:pPr>
          </w:p>
        </w:tc>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43"/>
          <w:szCs w:val="43"/>
          <w:color w:val="074A75"/>
        </w:rPr>
        <w:t>2. Board governance</w:t>
      </w: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color w:val="074A75"/>
        </w:rPr>
        <w:t>Strong governance practices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Board is guided by the Firm’s Governance Principles, and we adhere to the Commonsense Corporate Governance Principles and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Stewardship Group’s Corporate Governance Principles for U.S. Listed Companies. Our sound governance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15175" cy="3689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15175" cy="36893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3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Annual election of all directors by majority vote</w:t>
      </w:r>
    </w:p>
    <w:p>
      <w:pPr>
        <w:spacing w:after="0" w:line="235" w:lineRule="exact"/>
        <w:rPr>
          <w:sz w:val="20"/>
          <w:szCs w:val="20"/>
          <w:color w:val="auto"/>
        </w:rPr>
      </w:pPr>
    </w:p>
    <w:p>
      <w:pPr>
        <w:ind w:left="440" w:right="260"/>
        <w:spacing w:after="0" w:line="275" w:lineRule="auto"/>
        <w:rPr>
          <w:sz w:val="20"/>
          <w:szCs w:val="20"/>
          <w:color w:val="auto"/>
        </w:rPr>
      </w:pPr>
      <w:r>
        <w:rPr>
          <w:rFonts w:ascii="Arial" w:cs="Arial" w:eastAsia="Arial" w:hAnsi="Arial"/>
          <w:sz w:val="16"/>
          <w:szCs w:val="16"/>
          <w:color w:val="auto"/>
        </w:rPr>
        <w:t>Robust shareholder engagement process, including participation by our Lead Independent Director and semi-annual Board review of investor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-306070</wp:posOffset>
            </wp:positionV>
            <wp:extent cx="13716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3420110" cy="3683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0110" cy="368300"/>
                    </a:xfrm>
                    <a:prstGeom prst="rect">
                      <a:avLst/>
                    </a:prstGeom>
                    <a:noFill/>
                  </pic:spPr>
                </pic:pic>
              </a:graphicData>
            </a:graphic>
          </wp:anchor>
        </w:drawing>
      </w:r>
    </w:p>
    <w:p>
      <w:pPr>
        <w:spacing w:after="0" w:line="50" w:lineRule="exact"/>
        <w:rPr>
          <w:sz w:val="20"/>
          <w:szCs w:val="20"/>
          <w:color w:val="auto"/>
        </w:rPr>
      </w:pPr>
    </w:p>
    <w:p>
      <w:pPr>
        <w:ind w:left="440" w:right="480"/>
        <w:spacing w:after="0" w:line="286" w:lineRule="auto"/>
        <w:rPr>
          <w:sz w:val="20"/>
          <w:szCs w:val="20"/>
          <w:color w:val="auto"/>
        </w:rPr>
      </w:pPr>
      <w:r>
        <w:rPr>
          <w:rFonts w:ascii="Arial" w:cs="Arial" w:eastAsia="Arial" w:hAnsi="Arial"/>
          <w:sz w:val="16"/>
          <w:szCs w:val="16"/>
          <w:color w:val="auto"/>
        </w:rPr>
        <w:t>Lead Independent Director with an independent perspective and judgment as well as clearly-defined responsibilities</w:t>
      </w:r>
    </w:p>
    <w:p>
      <w:pPr>
        <w:spacing w:after="0" w:line="142" w:lineRule="exact"/>
        <w:rPr>
          <w:sz w:val="20"/>
          <w:szCs w:val="20"/>
          <w:color w:val="auto"/>
        </w:rPr>
      </w:pPr>
    </w:p>
    <w:p>
      <w:pPr>
        <w:ind w:left="440" w:right="320"/>
        <w:spacing w:after="0" w:line="286" w:lineRule="auto"/>
        <w:rPr>
          <w:sz w:val="20"/>
          <w:szCs w:val="20"/>
          <w:color w:val="auto"/>
        </w:rPr>
      </w:pPr>
      <w:r>
        <w:rPr>
          <w:rFonts w:ascii="Arial" w:cs="Arial" w:eastAsia="Arial" w:hAnsi="Arial"/>
          <w:sz w:val="16"/>
          <w:szCs w:val="16"/>
          <w:color w:val="auto"/>
        </w:rPr>
        <w:t>Executive sessions of independent directors at each regular Board meeting without the presence of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-243205</wp:posOffset>
            </wp:positionV>
            <wp:extent cx="13716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3420110" cy="402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0110" cy="402590"/>
                    </a:xfrm>
                    <a:prstGeom prst="rect">
                      <a:avLst/>
                    </a:prstGeom>
                    <a:noFill/>
                  </pic:spPr>
                </pic:pic>
              </a:graphicData>
            </a:graphic>
          </wp:anchor>
        </w:drawing>
      </w:r>
    </w:p>
    <w:p>
      <w:pPr>
        <w:spacing w:after="0" w:line="55" w:lineRule="exact"/>
        <w:rPr>
          <w:sz w:val="20"/>
          <w:szCs w:val="20"/>
          <w:color w:val="auto"/>
        </w:rPr>
      </w:pPr>
    </w:p>
    <w:p>
      <w:pPr>
        <w:ind w:left="440" w:right="460"/>
        <w:spacing w:after="0" w:line="275" w:lineRule="auto"/>
        <w:rPr>
          <w:sz w:val="20"/>
          <w:szCs w:val="20"/>
          <w:color w:val="auto"/>
        </w:rPr>
      </w:pPr>
      <w:r>
        <w:rPr>
          <w:rFonts w:ascii="Arial" w:cs="Arial" w:eastAsia="Arial" w:hAnsi="Arial"/>
          <w:sz w:val="16"/>
          <w:szCs w:val="16"/>
          <w:color w:val="auto"/>
        </w:rPr>
        <w:t>Annual Board and committee self-assessment guided by Lead Independent Director and review of progress on key action items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78740</wp:posOffset>
            </wp:positionV>
            <wp:extent cx="13716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3420110" cy="3683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0110"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100% principal standing committee independence</w:t>
      </w:r>
    </w:p>
    <w:p>
      <w:pPr>
        <w:spacing w:after="0" w:line="23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Ongoing consideration of Board composition and refreshment, including diversity in director succession and annual review of 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-306070</wp:posOffset>
            </wp:positionV>
            <wp:extent cx="13716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-6350</wp:posOffset>
            </wp:positionV>
            <wp:extent cx="3446145" cy="3683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46145" cy="36830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Limits on directors' board and audit committee memberships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226695</wp:posOffset>
            </wp:positionV>
            <wp:extent cx="13716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Direct Board access to, and regular interaction with,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140970</wp:posOffset>
            </wp:positionV>
            <wp:extent cx="3446145" cy="402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46145" cy="402590"/>
                    </a:xfrm>
                    <a:prstGeom prst="rect">
                      <a:avLst/>
                    </a:prstGeom>
                    <a:noFill/>
                  </pic:spPr>
                </pic:pic>
              </a:graphicData>
            </a:graphic>
          </wp:anchor>
        </w:drawing>
      </w:r>
    </w:p>
    <w:p>
      <w:pPr>
        <w:spacing w:after="0" w:line="215"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Strong director attendance: each director attended 75% or more of total meetings of the Board and committees on which he or she served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78740</wp:posOffset>
            </wp:positionV>
            <wp:extent cx="13716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Robust anti-hedging and anti-pledging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140970</wp:posOffset>
            </wp:positionV>
            <wp:extent cx="3446145" cy="3683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46145" cy="368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020"/>
          </w:cols>
          <w:pgMar w:left="320" w:top="157" w:right="319" w:bottom="1440" w:gutter="0" w:footer="0" w:header="0"/>
          <w:type w:val="continuous"/>
        </w:sectPr>
      </w:pP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Ongoing director education                                        </w:t>
      </w:r>
      <w:r>
        <w:rPr>
          <w:sz w:val="1"/>
          <w:szCs w:val="1"/>
          <w:color w:val="auto"/>
        </w:rPr>
        <w:drawing>
          <wp:inline distT="0" distB="0" distL="0" distR="0">
            <wp:extent cx="137160" cy="1371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6"/>
          <w:szCs w:val="16"/>
          <w:color w:val="auto"/>
        </w:rPr>
        <w:t xml:space="preserve">   Stock ownership requirements for directors</w:t>
      </w:r>
    </w:p>
    <w:p>
      <w:pPr>
        <w:sectPr>
          <w:pgSz w:w="11900" w:h="16838" w:orient="portrait"/>
          <w:cols w:equalWidth="0" w:num="1">
            <w:col w:w="11260"/>
          </w:cols>
          <w:pgMar w:left="320" w:top="157" w:right="319" w:bottom="1440" w:gutter="0" w:footer="0" w:header="0"/>
          <w:type w:val="continuous"/>
        </w:sect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74A75"/>
        </w:rPr>
        <w:t>Our board’s leadership structure</w:t>
      </w:r>
    </w:p>
    <w:p>
      <w:pPr>
        <w:spacing w:after="0" w:line="1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Board’s leadership structure is designed to promote Board effectiveness and to appropriately allocate authority and responsibility between the Board and management.</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consideration of the factors described on page 20, our Board has determined that combining the roles of Chair and CEO is the most effective leadership structure for the Board at this time. The Board believes the present structure provides the Firm and the Board with strong leadership, appropriate independent oversight of management, continuity of experience that complements ongoing Board refreshment, and the ability to communicate the Firm's business and strategy to shareholders, clients, employees, regulators and the public in a single voice.</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required by the Firm’s Governance Principles, when the role of the Chair is combined with that of the CEO, the independent directors appoint a Lead Independent Director. Our Lead Independent Director provides a strong counterbalance to the Chair, including by facilitating independent oversight of management, promoting open dialogue among the independent directors during and in between Board meetings, leading executive sessions at each regular Board meeting without the presence of the CEO, and focusing on the Board's priorities and processes.</w:t>
      </w:r>
    </w:p>
    <w:p>
      <w:pPr>
        <w:spacing w:after="0" w:line="7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March 2024, the independent directors conducted their annual review of the Board’s leadership structure. This review was conducted first by the Governance Committee, which considered the factors on page 20, the Firm’s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practices, which include executive sessions of independent directors as part of each regularly scheduled Board meeting and the directors’ frequent and open interactions with senior management, and the effectiveness of the Lead Independent Director role. Following its review, the Governance Committee recommended that the Board continue its current leadership structure and that Stephen B. Burke be re-appointed as Lead Independent Director. The independent directors of the Board then conducted their own review, again taking into account the factors on page 20, the Governance Committee’s recommendation and Mr. Burke’s strong performance in the Lead Independent Director role over the course of the prior year, and determined to maintain the current leadership structure with Mr. Burke serving as Lead Independent Director.</w:t>
      </w:r>
    </w:p>
    <w:p>
      <w:pPr>
        <w:spacing w:after="0" w:line="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Board maintains the ability to change its leadership structure at any time should it elect to do so and is not limited to its annual review of leadership structure. The Board has a general policy, upon the next CEO transition, that the Chair and CEO positions shall be separate, subject to the Board's determination of the leadership structure that best serves the Firm and its shareholders at that time. This policy is reflected in the Firm's Governance Principles and reinforces the Board's longstanding commitment to independent oversight while also maintaining the Board's ability to fulfill its fiduciary duty to determine the leadership structure that best serves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401955</wp:posOffset>
            </wp:positionV>
            <wp:extent cx="274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1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19  </w:t>
      </w:r>
      <w:r>
        <w:rPr>
          <w:sz w:val="1"/>
          <w:szCs w:val="1"/>
          <w:color w:val="auto"/>
        </w:rPr>
        <w:drawing>
          <wp:inline distT="0" distB="0" distL="0" distR="0">
            <wp:extent cx="2203450" cy="15430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4"/>
                <w:szCs w:val="24"/>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c>
          <w:tcPr>
            <w:tcW w:w="66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left w:val="single" w:sz="8" w:color="E7E7E8"/>
              <w:bottom w:val="single" w:sz="8" w:color="E7E7E8"/>
              <w:right w:val="single" w:sz="8" w:color="E7E7E8"/>
            </w:tcBorders>
          </w:tcPr>
          <w:p>
            <w:pPr>
              <w:spacing w:after="0"/>
              <w:rPr>
                <w:sz w:val="7"/>
                <w:szCs w:val="7"/>
                <w:color w:val="auto"/>
              </w:rPr>
            </w:pPr>
          </w:p>
        </w:tc>
        <w:tc>
          <w:tcPr>
            <w:tcW w:w="640" w:type="dxa"/>
            <w:vAlign w:val="bottom"/>
          </w:tcPr>
          <w:p>
            <w:pPr>
              <w:spacing w:after="0"/>
              <w:rPr>
                <w:sz w:val="7"/>
                <w:szCs w:val="7"/>
                <w:color w:val="auto"/>
              </w:rPr>
            </w:pPr>
          </w:p>
        </w:tc>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5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5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74A75"/>
        </w:rPr>
        <w:t>Factors the Board considers in reviewing its leadership structure</w:t>
      </w:r>
    </w:p>
    <w:p>
      <w:pPr>
        <w:spacing w:after="0" w:line="1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Board reviews its leadership structure not less than annually, and conducted its most recent review in March 2024, considering the following factors:</w:t>
      </w:r>
    </w:p>
    <w:p>
      <w:pPr>
        <w:spacing w:after="0" w:line="45" w:lineRule="exact"/>
        <w:rPr>
          <w:sz w:val="20"/>
          <w:szCs w:val="20"/>
          <w:color w:val="auto"/>
        </w:rPr>
      </w:pPr>
    </w:p>
    <w:p>
      <w:pPr>
        <w:ind w:left="200" w:hanging="192"/>
        <w:spacing w:after="0"/>
        <w:tabs>
          <w:tab w:leader="none" w:pos="200" w:val="left"/>
        </w:tabs>
        <w:numPr>
          <w:ilvl w:val="0"/>
          <w:numId w:val="87"/>
        </w:numPr>
        <w:rPr>
          <w:rFonts w:ascii="Arial" w:cs="Arial" w:eastAsia="Arial" w:hAnsi="Arial"/>
          <w:sz w:val="18"/>
          <w:szCs w:val="18"/>
          <w:color w:val="064A75"/>
        </w:rPr>
      </w:pPr>
      <w:r>
        <w:rPr>
          <w:rFonts w:ascii="Arial" w:cs="Arial" w:eastAsia="Arial" w:hAnsi="Arial"/>
          <w:sz w:val="18"/>
          <w:szCs w:val="18"/>
          <w:color w:val="auto"/>
        </w:rPr>
        <w:t>The respective responsibilities for the positions of Chair and Lead Independent Director (see table below for detailed information)</w:t>
      </w:r>
    </w:p>
    <w:p>
      <w:pPr>
        <w:spacing w:after="0" w:line="90" w:lineRule="exact"/>
        <w:rPr>
          <w:rFonts w:ascii="Arial" w:cs="Arial" w:eastAsia="Arial" w:hAnsi="Arial"/>
          <w:sz w:val="18"/>
          <w:szCs w:val="18"/>
          <w:color w:val="064A75"/>
        </w:rPr>
      </w:pPr>
    </w:p>
    <w:p>
      <w:pPr>
        <w:ind w:left="200" w:right="340" w:hanging="192"/>
        <w:spacing w:after="0" w:line="287" w:lineRule="auto"/>
        <w:tabs>
          <w:tab w:leader="none" w:pos="204" w:val="left"/>
        </w:tabs>
        <w:numPr>
          <w:ilvl w:val="0"/>
          <w:numId w:val="87"/>
        </w:numPr>
        <w:rPr>
          <w:rFonts w:ascii="Arial" w:cs="Arial" w:eastAsia="Arial" w:hAnsi="Arial"/>
          <w:sz w:val="18"/>
          <w:szCs w:val="18"/>
          <w:color w:val="064A75"/>
        </w:rPr>
      </w:pPr>
      <w:r>
        <w:rPr>
          <w:rFonts w:ascii="Arial" w:cs="Arial" w:eastAsia="Arial" w:hAnsi="Arial"/>
          <w:sz w:val="18"/>
          <w:szCs w:val="18"/>
          <w:color w:val="auto"/>
        </w:rPr>
        <w:t>The people currently in the roles of Chair and Lead Independent Director and their record of strong leadership and performance in their roles</w:t>
      </w:r>
    </w:p>
    <w:p>
      <w:pPr>
        <w:spacing w:after="0" w:line="4" w:lineRule="exact"/>
        <w:rPr>
          <w:rFonts w:ascii="Arial" w:cs="Arial" w:eastAsia="Arial" w:hAnsi="Arial"/>
          <w:sz w:val="18"/>
          <w:szCs w:val="18"/>
          <w:color w:val="064A75"/>
        </w:rPr>
      </w:pPr>
    </w:p>
    <w:p>
      <w:pPr>
        <w:ind w:left="200" w:hanging="192"/>
        <w:spacing w:after="0"/>
        <w:tabs>
          <w:tab w:leader="none" w:pos="200" w:val="left"/>
        </w:tabs>
        <w:numPr>
          <w:ilvl w:val="0"/>
          <w:numId w:val="87"/>
        </w:numPr>
        <w:rPr>
          <w:rFonts w:ascii="Arial" w:cs="Arial" w:eastAsia="Arial" w:hAnsi="Arial"/>
          <w:sz w:val="18"/>
          <w:szCs w:val="18"/>
          <w:color w:val="064A75"/>
        </w:rPr>
      </w:pPr>
      <w:r>
        <w:rPr>
          <w:rFonts w:ascii="Arial" w:cs="Arial" w:eastAsia="Arial" w:hAnsi="Arial"/>
          <w:sz w:val="18"/>
          <w:szCs w:val="18"/>
          <w:color w:val="auto"/>
        </w:rPr>
        <w:t>The current composition of the Board</w:t>
      </w:r>
    </w:p>
    <w:p>
      <w:pPr>
        <w:spacing w:after="0" w:line="76" w:lineRule="exact"/>
        <w:rPr>
          <w:rFonts w:ascii="Arial" w:cs="Arial" w:eastAsia="Arial" w:hAnsi="Arial"/>
          <w:sz w:val="18"/>
          <w:szCs w:val="18"/>
          <w:color w:val="064A75"/>
        </w:rPr>
      </w:pPr>
    </w:p>
    <w:p>
      <w:pPr>
        <w:ind w:left="200" w:right="60" w:hanging="192"/>
        <w:spacing w:after="0" w:line="268" w:lineRule="auto"/>
        <w:tabs>
          <w:tab w:leader="none" w:pos="204" w:val="left"/>
        </w:tabs>
        <w:numPr>
          <w:ilvl w:val="0"/>
          <w:numId w:val="87"/>
        </w:numPr>
        <w:rPr>
          <w:rFonts w:ascii="Arial" w:cs="Arial" w:eastAsia="Arial" w:hAnsi="Arial"/>
          <w:sz w:val="18"/>
          <w:szCs w:val="18"/>
          <w:color w:val="064A75"/>
        </w:rPr>
      </w:pPr>
      <w:r>
        <w:rPr>
          <w:rFonts w:ascii="Arial" w:cs="Arial" w:eastAsia="Arial" w:hAnsi="Arial"/>
          <w:sz w:val="18"/>
          <w:szCs w:val="18"/>
          <w:color w:val="auto"/>
        </w:rPr>
        <w:t>The policies and practices in place to provide independent Board oversight of management (including Board oversight of CEO performance and compensation, regular executive sessions of the independent directors, Board input into agendas and meeting materials, and Board self-assessment)</w:t>
      </w:r>
    </w:p>
    <w:p>
      <w:pPr>
        <w:spacing w:after="0" w:line="35" w:lineRule="exact"/>
        <w:rPr>
          <w:rFonts w:ascii="Arial" w:cs="Arial" w:eastAsia="Arial" w:hAnsi="Arial"/>
          <w:sz w:val="18"/>
          <w:szCs w:val="18"/>
          <w:color w:val="064A75"/>
        </w:rPr>
      </w:pPr>
    </w:p>
    <w:p>
      <w:pPr>
        <w:ind w:left="200" w:hanging="192"/>
        <w:spacing w:after="0"/>
        <w:tabs>
          <w:tab w:leader="none" w:pos="200"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The Firm’s circumstances, including its financial performance</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The views of our stakeholders, including shareholders</w:t>
      </w:r>
    </w:p>
    <w:p>
      <w:pPr>
        <w:spacing w:after="0" w:line="76" w:lineRule="exact"/>
        <w:rPr>
          <w:rFonts w:ascii="Arial" w:cs="Arial" w:eastAsia="Arial" w:hAnsi="Arial"/>
          <w:sz w:val="18"/>
          <w:szCs w:val="18"/>
          <w:color w:val="074A75"/>
        </w:rPr>
      </w:pPr>
    </w:p>
    <w:p>
      <w:pPr>
        <w:ind w:left="200" w:right="500" w:hanging="192"/>
        <w:spacing w:after="0" w:line="287" w:lineRule="auto"/>
        <w:tabs>
          <w:tab w:leader="none" w:pos="204"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Trends in corporate governance, including practices at other public companies, and studies on the impact of leadership structures on shareholder value</w:t>
      </w:r>
    </w:p>
    <w:p>
      <w:pPr>
        <w:spacing w:after="0" w:line="17" w:lineRule="exact"/>
        <w:rPr>
          <w:rFonts w:ascii="Arial" w:cs="Arial" w:eastAsia="Arial" w:hAnsi="Arial"/>
          <w:sz w:val="18"/>
          <w:szCs w:val="18"/>
          <w:color w:val="074A75"/>
        </w:rPr>
      </w:pPr>
    </w:p>
    <w:p>
      <w:pPr>
        <w:ind w:left="200" w:hanging="192"/>
        <w:spacing w:after="0"/>
        <w:tabs>
          <w:tab w:leader="none" w:pos="200"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Such other factors as the Board determines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74A75"/>
        </w:rPr>
        <w:t>Respective duties and responsibilities of the Chair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320" w:type="dxa"/>
            <w:vAlign w:val="bottom"/>
            <w:gridSpan w:val="3"/>
          </w:tcPr>
          <w:p>
            <w:pPr>
              <w:ind w:left="20"/>
              <w:spacing w:after="0"/>
              <w:rPr>
                <w:sz w:val="20"/>
                <w:szCs w:val="20"/>
                <w:color w:val="auto"/>
              </w:rPr>
            </w:pPr>
            <w:r>
              <w:rPr>
                <w:rFonts w:ascii="Arial" w:cs="Arial" w:eastAsia="Arial" w:hAnsi="Arial"/>
                <w:sz w:val="18"/>
                <w:szCs w:val="18"/>
                <w:b w:val="1"/>
                <w:bCs w:val="1"/>
                <w:color w:val="074A75"/>
              </w:rPr>
              <w:t>CHAIR</w:t>
            </w: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calls Board and shareholder meetings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Borders>
              <w:bottom w:val="single" w:sz="8" w:color="58585A"/>
            </w:tcBorders>
          </w:tcPr>
          <w:p>
            <w:pPr>
              <w:spacing w:after="0"/>
              <w:rPr>
                <w:sz w:val="8"/>
                <w:szCs w:val="8"/>
                <w:color w:val="auto"/>
              </w:rPr>
            </w:pPr>
          </w:p>
        </w:tc>
        <w:tc>
          <w:tcPr>
            <w:tcW w:w="3100" w:type="dxa"/>
            <w:vAlign w:val="bottom"/>
            <w:tcBorders>
              <w:bottom w:val="single" w:sz="8" w:color="58585A"/>
            </w:tcBorders>
          </w:tcPr>
          <w:p>
            <w:pPr>
              <w:spacing w:after="0"/>
              <w:rPr>
                <w:sz w:val="8"/>
                <w:szCs w:val="8"/>
                <w:color w:val="auto"/>
              </w:rPr>
            </w:pPr>
          </w:p>
        </w:tc>
        <w:tc>
          <w:tcPr>
            <w:tcW w:w="420" w:type="dxa"/>
            <w:vAlign w:val="bottom"/>
            <w:tcBorders>
              <w:bottom w:val="single" w:sz="8" w:color="58585A"/>
            </w:tcBorders>
          </w:tcPr>
          <w:p>
            <w:pPr>
              <w:spacing w:after="0"/>
              <w:rPr>
                <w:sz w:val="8"/>
                <w:szCs w:val="8"/>
                <w:color w:val="auto"/>
              </w:rPr>
            </w:pPr>
          </w:p>
        </w:tc>
        <w:tc>
          <w:tcPr>
            <w:tcW w:w="3460" w:type="dxa"/>
            <w:vAlign w:val="bottom"/>
            <w:tcBorders>
              <w:bottom w:val="single" w:sz="8" w:color="58585A"/>
            </w:tcBorders>
          </w:tcPr>
          <w:p>
            <w:pPr>
              <w:spacing w:after="0"/>
              <w:rPr>
                <w:sz w:val="8"/>
                <w:szCs w:val="8"/>
                <w:color w:val="auto"/>
              </w:rPr>
            </w:pPr>
          </w:p>
        </w:tc>
        <w:tc>
          <w:tcPr>
            <w:tcW w:w="1940" w:type="dxa"/>
            <w:vAlign w:val="bottom"/>
            <w:tcBorders>
              <w:bottom w:val="single" w:sz="8" w:color="58585A"/>
            </w:tcBorders>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presides at Board and shareholder meetings</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5400" w:type="dxa"/>
            <w:vAlign w:val="bottom"/>
            <w:tcBorders>
              <w:bottom w:val="single" w:sz="8" w:color="58585A"/>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20" w:type="dxa"/>
            <w:vAlign w:val="bottom"/>
            <w:gridSpan w:val="4"/>
          </w:tcPr>
          <w:p>
            <w:pPr>
              <w:ind w:left="20"/>
              <w:spacing w:after="0"/>
              <w:rPr>
                <w:sz w:val="20"/>
                <w:szCs w:val="20"/>
                <w:color w:val="auto"/>
              </w:rPr>
            </w:pPr>
            <w:r>
              <w:rPr>
                <w:rFonts w:ascii="Arial" w:cs="Arial" w:eastAsia="Arial" w:hAnsi="Arial"/>
                <w:sz w:val="16"/>
                <w:szCs w:val="16"/>
                <w:color w:val="auto"/>
              </w:rPr>
              <w:t>approves Board meeting schedules, agendas and materials, subject to the approval of the Lead Independent Director</w:t>
            </w:r>
          </w:p>
        </w:tc>
        <w:tc>
          <w:tcPr>
            <w:tcW w:w="0" w:type="dxa"/>
            <w:vAlign w:val="bottom"/>
          </w:tcPr>
          <w:p>
            <w:pPr>
              <w:spacing w:after="0"/>
              <w:rPr>
                <w:sz w:val="1"/>
                <w:szCs w:val="1"/>
                <w:color w:val="auto"/>
              </w:rPr>
            </w:pPr>
          </w:p>
        </w:tc>
      </w:tr>
      <w:tr>
        <w:trPr>
          <w:trHeight w:val="110"/>
        </w:trPr>
        <w:tc>
          <w:tcPr>
            <w:tcW w:w="1540" w:type="dxa"/>
            <w:vAlign w:val="bottom"/>
            <w:tcBorders>
              <w:bottom w:val="single" w:sz="8" w:color="074A75"/>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bottom w:val="single" w:sz="8" w:color="58585A"/>
            </w:tcBorders>
          </w:tcPr>
          <w:p>
            <w:pPr>
              <w:spacing w:after="0"/>
              <w:rPr>
                <w:sz w:val="9"/>
                <w:szCs w:val="9"/>
                <w:color w:val="auto"/>
              </w:rPr>
            </w:pPr>
          </w:p>
        </w:tc>
        <w:tc>
          <w:tcPr>
            <w:tcW w:w="3100" w:type="dxa"/>
            <w:vAlign w:val="bottom"/>
            <w:tcBorders>
              <w:bottom w:val="single" w:sz="8" w:color="58585A"/>
            </w:tcBorders>
          </w:tcPr>
          <w:p>
            <w:pPr>
              <w:spacing w:after="0"/>
              <w:rPr>
                <w:sz w:val="9"/>
                <w:szCs w:val="9"/>
                <w:color w:val="auto"/>
              </w:rPr>
            </w:pPr>
          </w:p>
        </w:tc>
        <w:tc>
          <w:tcPr>
            <w:tcW w:w="420" w:type="dxa"/>
            <w:vAlign w:val="bottom"/>
            <w:tcBorders>
              <w:bottom w:val="single" w:sz="8" w:color="58585A"/>
            </w:tcBorders>
          </w:tcPr>
          <w:p>
            <w:pPr>
              <w:spacing w:after="0"/>
              <w:rPr>
                <w:sz w:val="9"/>
                <w:szCs w:val="9"/>
                <w:color w:val="auto"/>
              </w:rPr>
            </w:pPr>
          </w:p>
        </w:tc>
        <w:tc>
          <w:tcPr>
            <w:tcW w:w="3460" w:type="dxa"/>
            <w:vAlign w:val="bottom"/>
            <w:tcBorders>
              <w:bottom w:val="single" w:sz="8" w:color="58585A"/>
            </w:tcBorders>
          </w:tcPr>
          <w:p>
            <w:pPr>
              <w:spacing w:after="0"/>
              <w:rPr>
                <w:sz w:val="9"/>
                <w:szCs w:val="9"/>
                <w:color w:val="auto"/>
              </w:rPr>
            </w:pPr>
          </w:p>
        </w:tc>
        <w:tc>
          <w:tcPr>
            <w:tcW w:w="1940" w:type="dxa"/>
            <w:vAlign w:val="bottom"/>
            <w:tcBorders>
              <w:bottom w:val="single" w:sz="8" w:color="58585A"/>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320" w:type="dxa"/>
            <w:vAlign w:val="bottom"/>
            <w:gridSpan w:val="3"/>
          </w:tcPr>
          <w:p>
            <w:pPr>
              <w:ind w:left="20"/>
              <w:spacing w:after="0"/>
              <w:rPr>
                <w:sz w:val="20"/>
                <w:szCs w:val="20"/>
                <w:color w:val="auto"/>
              </w:rPr>
            </w:pPr>
            <w:r>
              <w:rPr>
                <w:rFonts w:ascii="Arial" w:cs="Arial" w:eastAsia="Arial" w:hAnsi="Arial"/>
                <w:sz w:val="18"/>
                <w:szCs w:val="18"/>
                <w:b w:val="1"/>
                <w:bCs w:val="1"/>
                <w:color w:val="074A75"/>
              </w:rPr>
              <w:t>LEAD</w:t>
            </w: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has the authority to call for a Board meeting or a meeting of independent directors</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074A75"/>
              </w:rPr>
              <w:t>INDEPENDENT</w:t>
            </w:r>
          </w:p>
        </w:tc>
        <w:tc>
          <w:tcPr>
            <w:tcW w:w="380" w:type="dxa"/>
            <w:vAlign w:val="bottom"/>
            <w:tcBorders>
              <w:bottom w:val="single" w:sz="8" w:color="58585A"/>
            </w:tcBorders>
          </w:tcPr>
          <w:p>
            <w:pPr>
              <w:spacing w:after="0"/>
              <w:rPr>
                <w:sz w:val="11"/>
                <w:szCs w:val="11"/>
                <w:color w:val="auto"/>
              </w:rPr>
            </w:pPr>
          </w:p>
        </w:tc>
        <w:tc>
          <w:tcPr>
            <w:tcW w:w="3100" w:type="dxa"/>
            <w:vAlign w:val="bottom"/>
            <w:tcBorders>
              <w:bottom w:val="single" w:sz="8" w:color="58585A"/>
            </w:tcBorders>
          </w:tcPr>
          <w:p>
            <w:pPr>
              <w:spacing w:after="0"/>
              <w:rPr>
                <w:sz w:val="11"/>
                <w:szCs w:val="11"/>
                <w:color w:val="auto"/>
              </w:rPr>
            </w:pPr>
          </w:p>
        </w:tc>
        <w:tc>
          <w:tcPr>
            <w:tcW w:w="420" w:type="dxa"/>
            <w:vAlign w:val="bottom"/>
            <w:tcBorders>
              <w:bottom w:val="single" w:sz="8" w:color="58585A"/>
            </w:tcBorders>
          </w:tcPr>
          <w:p>
            <w:pPr>
              <w:spacing w:after="0"/>
              <w:rPr>
                <w:sz w:val="11"/>
                <w:szCs w:val="11"/>
                <w:color w:val="auto"/>
              </w:rPr>
            </w:pPr>
          </w:p>
        </w:tc>
        <w:tc>
          <w:tcPr>
            <w:tcW w:w="3460" w:type="dxa"/>
            <w:vAlign w:val="bottom"/>
            <w:tcBorders>
              <w:bottom w:val="single" w:sz="8" w:color="58585A"/>
            </w:tcBorders>
          </w:tcPr>
          <w:p>
            <w:pPr>
              <w:spacing w:after="0"/>
              <w:rPr>
                <w:sz w:val="11"/>
                <w:szCs w:val="11"/>
                <w:color w:val="auto"/>
              </w:rPr>
            </w:pPr>
          </w:p>
        </w:tc>
        <w:tc>
          <w:tcPr>
            <w:tcW w:w="1940" w:type="dxa"/>
            <w:vAlign w:val="bottom"/>
            <w:tcBorders>
              <w:bottom w:val="single" w:sz="8" w:color="58585A"/>
            </w:tcBorders>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194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320" w:type="dxa"/>
            <w:vAlign w:val="bottom"/>
            <w:gridSpan w:val="3"/>
          </w:tcPr>
          <w:p>
            <w:pPr>
              <w:ind w:left="20"/>
              <w:spacing w:after="0"/>
              <w:rPr>
                <w:sz w:val="20"/>
                <w:szCs w:val="20"/>
                <w:color w:val="auto"/>
              </w:rPr>
            </w:pPr>
            <w:r>
              <w:rPr>
                <w:rFonts w:ascii="Arial" w:cs="Arial" w:eastAsia="Arial" w:hAnsi="Arial"/>
                <w:sz w:val="18"/>
                <w:szCs w:val="18"/>
                <w:b w:val="1"/>
                <w:bCs w:val="1"/>
                <w:color w:val="074A75"/>
              </w:rPr>
              <w:t>DIRECTOR</w:t>
            </w: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presides at Board meetings in the Chair’s absence or when otherwise appropriate</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1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bottom w:val="single" w:sz="8" w:color="58585A"/>
            </w:tcBorders>
          </w:tcPr>
          <w:p>
            <w:pPr>
              <w:spacing w:after="0"/>
              <w:rPr>
                <w:sz w:val="4"/>
                <w:szCs w:val="4"/>
                <w:color w:val="auto"/>
              </w:rPr>
            </w:pPr>
          </w:p>
        </w:tc>
        <w:tc>
          <w:tcPr>
            <w:tcW w:w="3100" w:type="dxa"/>
            <w:vAlign w:val="bottom"/>
            <w:tcBorders>
              <w:bottom w:val="single" w:sz="8" w:color="58585A"/>
            </w:tcBorders>
          </w:tcPr>
          <w:p>
            <w:pPr>
              <w:spacing w:after="0"/>
              <w:rPr>
                <w:sz w:val="4"/>
                <w:szCs w:val="4"/>
                <w:color w:val="auto"/>
              </w:rPr>
            </w:pPr>
          </w:p>
        </w:tc>
        <w:tc>
          <w:tcPr>
            <w:tcW w:w="420" w:type="dxa"/>
            <w:vAlign w:val="bottom"/>
            <w:tcBorders>
              <w:bottom w:val="single" w:sz="8" w:color="58585A"/>
            </w:tcBorders>
          </w:tcPr>
          <w:p>
            <w:pPr>
              <w:spacing w:after="0"/>
              <w:rPr>
                <w:sz w:val="4"/>
                <w:szCs w:val="4"/>
                <w:color w:val="auto"/>
              </w:rPr>
            </w:pPr>
          </w:p>
        </w:tc>
        <w:tc>
          <w:tcPr>
            <w:tcW w:w="5400" w:type="dxa"/>
            <w:vAlign w:val="bottom"/>
            <w:tcBorders>
              <w:bottom w:val="single" w:sz="8" w:color="58585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920" w:type="dxa"/>
            <w:vAlign w:val="bottom"/>
            <w:gridSpan w:val="4"/>
          </w:tcPr>
          <w:p>
            <w:pPr>
              <w:ind w:left="20"/>
              <w:spacing w:after="0"/>
              <w:rPr>
                <w:sz w:val="20"/>
                <w:szCs w:val="20"/>
                <w:color w:val="auto"/>
              </w:rPr>
            </w:pPr>
            <w:r>
              <w:rPr>
                <w:rFonts w:ascii="Arial" w:cs="Arial" w:eastAsia="Arial" w:hAnsi="Arial"/>
                <w:sz w:val="16"/>
                <w:szCs w:val="16"/>
                <w:color w:val="auto"/>
              </w:rPr>
              <w:t>approves agendas and adds agenda items for Board meetings and meetings of independent directors</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acts as liaison between independent directors and the Chair/CEO</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presides over executive sessions of independent directors</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engages and consults with major shareholders and other constituencies, where appropriate</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provides advice and guidance to the CEO on executing long-term strategy</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guides the annual performance review of the Chair/CEO</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advises the CEO of the Board’s information needs</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guides the annual independent director consideration of CEO compensation</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meets one-on-one with the Chair/CEO following executive sessions of independent directors</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58585A"/>
            </w:tcBorders>
          </w:tcPr>
          <w:p>
            <w:pPr>
              <w:spacing w:after="0"/>
              <w:rPr>
                <w:sz w:val="7"/>
                <w:szCs w:val="7"/>
                <w:color w:val="auto"/>
              </w:rPr>
            </w:pPr>
          </w:p>
        </w:tc>
        <w:tc>
          <w:tcPr>
            <w:tcW w:w="420" w:type="dxa"/>
            <w:vAlign w:val="bottom"/>
            <w:tcBorders>
              <w:bottom w:val="single" w:sz="8" w:color="58585A"/>
            </w:tcBorders>
          </w:tcPr>
          <w:p>
            <w:pPr>
              <w:spacing w:after="0"/>
              <w:rPr>
                <w:sz w:val="7"/>
                <w:szCs w:val="7"/>
                <w:color w:val="auto"/>
              </w:rPr>
            </w:pPr>
          </w:p>
        </w:tc>
        <w:tc>
          <w:tcPr>
            <w:tcW w:w="3460" w:type="dxa"/>
            <w:vAlign w:val="bottom"/>
            <w:tcBorders>
              <w:bottom w:val="single" w:sz="8" w:color="58585A"/>
            </w:tcBorders>
          </w:tcPr>
          <w:p>
            <w:pPr>
              <w:spacing w:after="0"/>
              <w:rPr>
                <w:sz w:val="7"/>
                <w:szCs w:val="7"/>
                <w:color w:val="auto"/>
              </w:rPr>
            </w:pPr>
          </w:p>
        </w:tc>
        <w:tc>
          <w:tcPr>
            <w:tcW w:w="1940" w:type="dxa"/>
            <w:vAlign w:val="bottom"/>
            <w:tcBorders>
              <w:bottom w:val="single" w:sz="8" w:color="58585A"/>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guides the Board in its consideration of CEO succession</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Borders>
              <w:bottom w:val="single" w:sz="8" w:color="58585A"/>
            </w:tcBorders>
          </w:tcPr>
          <w:p>
            <w:pPr>
              <w:spacing w:after="0"/>
              <w:rPr>
                <w:sz w:val="7"/>
                <w:szCs w:val="7"/>
                <w:color w:val="auto"/>
              </w:rPr>
            </w:pPr>
          </w:p>
        </w:tc>
        <w:tc>
          <w:tcPr>
            <w:tcW w:w="3100" w:type="dxa"/>
            <w:vAlign w:val="bottom"/>
            <w:tcBorders>
              <w:bottom w:val="single" w:sz="8" w:color="494949"/>
            </w:tcBorders>
          </w:tcPr>
          <w:p>
            <w:pPr>
              <w:spacing w:after="0"/>
              <w:rPr>
                <w:sz w:val="7"/>
                <w:szCs w:val="7"/>
                <w:color w:val="auto"/>
              </w:rPr>
            </w:pPr>
          </w:p>
        </w:tc>
        <w:tc>
          <w:tcPr>
            <w:tcW w:w="420" w:type="dxa"/>
            <w:vAlign w:val="bottom"/>
            <w:tcBorders>
              <w:bottom w:val="single" w:sz="8" w:color="494949"/>
            </w:tcBorders>
          </w:tcPr>
          <w:p>
            <w:pPr>
              <w:spacing w:after="0"/>
              <w:rPr>
                <w:sz w:val="7"/>
                <w:szCs w:val="7"/>
                <w:color w:val="auto"/>
              </w:rPr>
            </w:pPr>
          </w:p>
        </w:tc>
        <w:tc>
          <w:tcPr>
            <w:tcW w:w="3460" w:type="dxa"/>
            <w:vAlign w:val="bottom"/>
            <w:tcBorders>
              <w:bottom w:val="single" w:sz="8" w:color="494949"/>
            </w:tcBorders>
          </w:tcPr>
          <w:p>
            <w:pPr>
              <w:spacing w:after="0"/>
              <w:rPr>
                <w:sz w:val="7"/>
                <w:szCs w:val="7"/>
                <w:color w:val="auto"/>
              </w:rPr>
            </w:pPr>
          </w:p>
        </w:tc>
        <w:tc>
          <w:tcPr>
            <w:tcW w:w="1940" w:type="dxa"/>
            <w:vAlign w:val="bottom"/>
            <w:tcBorders>
              <w:bottom w:val="single" w:sz="8" w:color="494949"/>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980" w:type="dxa"/>
            <w:vAlign w:val="bottom"/>
            <w:gridSpan w:val="3"/>
          </w:tcPr>
          <w:p>
            <w:pPr>
              <w:ind w:left="20"/>
              <w:spacing w:after="0"/>
              <w:rPr>
                <w:sz w:val="20"/>
                <w:szCs w:val="20"/>
                <w:color w:val="auto"/>
              </w:rPr>
            </w:pPr>
            <w:r>
              <w:rPr>
                <w:rFonts w:ascii="Arial" w:cs="Arial" w:eastAsia="Arial" w:hAnsi="Arial"/>
                <w:sz w:val="16"/>
                <w:szCs w:val="16"/>
                <w:color w:val="auto"/>
              </w:rPr>
              <w:t>guides the annual self-assessment of the Board</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8"/>
        </w:trPr>
        <w:tc>
          <w:tcPr>
            <w:tcW w:w="2320" w:type="dxa"/>
            <w:vAlign w:val="bottom"/>
            <w:gridSpan w:val="3"/>
          </w:tcPr>
          <w:p>
            <w:pPr>
              <w:spacing w:after="0"/>
              <w:rPr>
                <w:sz w:val="24"/>
                <w:szCs w:val="24"/>
                <w:color w:val="auto"/>
              </w:rPr>
            </w:pPr>
          </w:p>
        </w:tc>
        <w:tc>
          <w:tcPr>
            <w:tcW w:w="3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80" w:type="dxa"/>
            <w:vAlign w:val="bottom"/>
            <w:tcBorders>
              <w:bottom w:val="single" w:sz="8" w:color="8A8C8F"/>
            </w:tcBorders>
          </w:tcPr>
          <w:p>
            <w:pPr>
              <w:spacing w:after="0"/>
              <w:rPr>
                <w:sz w:val="7"/>
                <w:szCs w:val="7"/>
                <w:color w:val="auto"/>
              </w:rPr>
            </w:pPr>
          </w:p>
        </w:tc>
        <w:tc>
          <w:tcPr>
            <w:tcW w:w="3100" w:type="dxa"/>
            <w:vAlign w:val="bottom"/>
            <w:tcBorders>
              <w:bottom w:val="single" w:sz="8" w:color="8A8C8F"/>
              <w:right w:val="single" w:sz="8" w:color="8A8C8F"/>
            </w:tcBorders>
          </w:tcPr>
          <w:p>
            <w:pPr>
              <w:spacing w:after="0"/>
              <w:rPr>
                <w:sz w:val="7"/>
                <w:szCs w:val="7"/>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20</w:t>
            </w:r>
          </w:p>
        </w:tc>
        <w:tc>
          <w:tcPr>
            <w:tcW w:w="3460" w:type="dxa"/>
            <w:vAlign w:val="bottom"/>
            <w:tcBorders>
              <w:bottom w:val="single" w:sz="8" w:color="8A8C8F"/>
            </w:tcBorders>
          </w:tcPr>
          <w:p>
            <w:pPr>
              <w:spacing w:after="0"/>
              <w:rPr>
                <w:sz w:val="7"/>
                <w:szCs w:val="7"/>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310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10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-4405630</wp:posOffset>
            </wp:positionV>
            <wp:extent cx="13716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-4157345</wp:posOffset>
            </wp:positionV>
            <wp:extent cx="13716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-3900170</wp:posOffset>
            </wp:positionV>
            <wp:extent cx="13716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-3642995</wp:posOffset>
            </wp:positionV>
            <wp:extent cx="13716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-3402965</wp:posOffset>
            </wp:positionV>
            <wp:extent cx="13716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-3162935</wp:posOffset>
            </wp:positionV>
            <wp:extent cx="13716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-2922905</wp:posOffset>
            </wp:positionV>
            <wp:extent cx="13716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-2682875</wp:posOffset>
            </wp:positionV>
            <wp:extent cx="13716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-2442845</wp:posOffset>
            </wp:positionV>
            <wp:extent cx="13716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-2202815</wp:posOffset>
            </wp:positionV>
            <wp:extent cx="13716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-1962785</wp:posOffset>
            </wp:positionV>
            <wp:extent cx="13716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-1722755</wp:posOffset>
            </wp:positionV>
            <wp:extent cx="13716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-1482725</wp:posOffset>
            </wp:positionV>
            <wp:extent cx="13716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-1242695</wp:posOffset>
            </wp:positionV>
            <wp:extent cx="13716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-1002665</wp:posOffset>
            </wp:positionV>
            <wp:extent cx="13716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-762635</wp:posOffset>
            </wp:positionV>
            <wp:extent cx="13716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4"/>
                <w:szCs w:val="24"/>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c>
          <w:tcPr>
            <w:tcW w:w="66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83"/>
        </w:trPr>
        <w:tc>
          <w:tcPr>
            <w:tcW w:w="2320" w:type="dxa"/>
            <w:vAlign w:val="bottom"/>
            <w:tcBorders>
              <w:left w:val="single" w:sz="8" w:color="E7E7E8"/>
              <w:bottom w:val="single" w:sz="8" w:color="E7E7E8"/>
              <w:right w:val="single" w:sz="8" w:color="E7E7E8"/>
            </w:tcBorders>
          </w:tcPr>
          <w:p>
            <w:pPr>
              <w:spacing w:after="0"/>
              <w:rPr>
                <w:sz w:val="7"/>
                <w:szCs w:val="7"/>
                <w:color w:val="auto"/>
              </w:rPr>
            </w:pPr>
          </w:p>
        </w:tc>
        <w:tc>
          <w:tcPr>
            <w:tcW w:w="640" w:type="dxa"/>
            <w:vAlign w:val="bottom"/>
          </w:tcPr>
          <w:p>
            <w:pPr>
              <w:spacing w:after="0"/>
              <w:rPr>
                <w:sz w:val="7"/>
                <w:szCs w:val="7"/>
                <w:color w:val="auto"/>
              </w:rPr>
            </w:pPr>
          </w:p>
        </w:tc>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-231140</wp:posOffset>
            </wp:positionV>
            <wp:extent cx="76835" cy="146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77470"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-231140</wp:posOffset>
            </wp:positionV>
            <wp:extent cx="76835" cy="146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074A75"/>
        </w:rPr>
        <w:t>Board meetings and attendance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8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4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573"/>
        </w:trPr>
        <w:tc>
          <w:tcPr>
            <w:tcW w:w="120" w:type="dxa"/>
            <w:vAlign w:val="bottom"/>
            <w:shd w:val="clear" w:color="auto" w:fill="E7E7E8"/>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1"/>
                <w:szCs w:val="31"/>
                <w:b w:val="1"/>
                <w:bCs w:val="1"/>
                <w:color w:val="074A75"/>
                <w:w w:val="98"/>
              </w:rPr>
              <w:t>12</w:t>
            </w:r>
          </w:p>
        </w:tc>
        <w:tc>
          <w:tcPr>
            <w:tcW w:w="120" w:type="dxa"/>
            <w:vAlign w:val="bottom"/>
            <w:shd w:val="clear" w:color="auto" w:fill="E7E7E8"/>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1"/>
                <w:szCs w:val="31"/>
                <w:b w:val="1"/>
                <w:bCs w:val="1"/>
                <w:color w:val="074A75"/>
              </w:rPr>
              <w:t>8</w:t>
            </w:r>
          </w:p>
        </w:tc>
        <w:tc>
          <w:tcPr>
            <w:tcW w:w="120" w:type="dxa"/>
            <w:vAlign w:val="bottom"/>
            <w:shd w:val="clear" w:color="auto" w:fill="E7E7E8"/>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31"/>
                <w:szCs w:val="31"/>
                <w:b w:val="1"/>
                <w:bCs w:val="1"/>
                <w:color w:val="074A75"/>
                <w:w w:val="98"/>
              </w:rPr>
              <w:t>43</w:t>
            </w:r>
          </w:p>
        </w:tc>
        <w:tc>
          <w:tcPr>
            <w:tcW w:w="120" w:type="dxa"/>
            <w:vAlign w:val="bottom"/>
            <w:shd w:val="clear" w:color="auto" w:fill="E7E7E8"/>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31"/>
                <w:szCs w:val="31"/>
                <w:b w:val="1"/>
                <w:bCs w:val="1"/>
                <w:color w:val="074A75"/>
                <w:w w:val="92"/>
              </w:rPr>
              <w:t>9</w:t>
            </w:r>
          </w:p>
        </w:tc>
        <w:tc>
          <w:tcPr>
            <w:tcW w:w="12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20" w:type="dxa"/>
            <w:vAlign w:val="bottom"/>
            <w:shd w:val="clear" w:color="auto" w:fill="E7E7E8"/>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Board Meetings</w:t>
            </w:r>
          </w:p>
        </w:tc>
        <w:tc>
          <w:tcPr>
            <w:tcW w:w="120" w:type="dxa"/>
            <w:vAlign w:val="bottom"/>
            <w:shd w:val="clear" w:color="auto" w:fill="E7E7E8"/>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Executive sessions of</w:t>
            </w:r>
          </w:p>
        </w:tc>
        <w:tc>
          <w:tcPr>
            <w:tcW w:w="120" w:type="dxa"/>
            <w:vAlign w:val="bottom"/>
            <w:shd w:val="clear" w:color="auto" w:fill="E7E7E8"/>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Meetings of principal</w:t>
            </w:r>
          </w:p>
        </w:tc>
        <w:tc>
          <w:tcPr>
            <w:tcW w:w="120" w:type="dxa"/>
            <w:vAlign w:val="bottom"/>
            <w:shd w:val="clear" w:color="auto" w:fill="E7E7E8"/>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Meetings of specific</w:t>
            </w:r>
          </w:p>
        </w:tc>
        <w:tc>
          <w:tcPr>
            <w:tcW w:w="12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E7E7E8"/>
          </w:tcPr>
          <w:p>
            <w:pPr>
              <w:spacing w:after="0"/>
              <w:rPr>
                <w:sz w:val="17"/>
                <w:szCs w:val="17"/>
                <w:color w:val="auto"/>
              </w:rPr>
            </w:pPr>
          </w:p>
        </w:tc>
        <w:tc>
          <w:tcPr>
            <w:tcW w:w="266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Communication between</w:t>
            </w:r>
          </w:p>
        </w:tc>
        <w:tc>
          <w:tcPr>
            <w:tcW w:w="120" w:type="dxa"/>
            <w:vAlign w:val="bottom"/>
            <w:shd w:val="clear" w:color="auto" w:fill="E7E7E8"/>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shd w:val="clear" w:color="auto" w:fill="E7E7E8"/>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standing committees</w:t>
            </w:r>
          </w:p>
        </w:tc>
        <w:tc>
          <w:tcPr>
            <w:tcW w:w="120" w:type="dxa"/>
            <w:vAlign w:val="bottom"/>
            <w:shd w:val="clear" w:color="auto" w:fill="E7E7E8"/>
          </w:tcPr>
          <w:p>
            <w:pPr>
              <w:spacing w:after="0"/>
              <w:rPr>
                <w:sz w:val="17"/>
                <w:szCs w:val="17"/>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purpose committees</w:t>
            </w:r>
          </w:p>
        </w:tc>
        <w:tc>
          <w:tcPr>
            <w:tcW w:w="12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120" w:type="dxa"/>
            <w:vAlign w:val="bottom"/>
            <w:shd w:val="clear" w:color="auto" w:fill="E7E7E8"/>
          </w:tcPr>
          <w:p>
            <w:pPr>
              <w:spacing w:after="0"/>
              <w:rPr>
                <w:sz w:val="6"/>
                <w:szCs w:val="6"/>
                <w:color w:val="auto"/>
              </w:rPr>
            </w:pPr>
          </w:p>
        </w:tc>
        <w:tc>
          <w:tcPr>
            <w:tcW w:w="2660" w:type="dxa"/>
            <w:vAlign w:val="bottom"/>
            <w:vMerge w:val="continue"/>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2660" w:type="dxa"/>
            <w:vAlign w:val="bottom"/>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2680" w:type="dxa"/>
            <w:vAlign w:val="bottom"/>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20" w:type="dxa"/>
            <w:vAlign w:val="bottom"/>
            <w:shd w:val="clear" w:color="auto" w:fill="E7E7E8"/>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4"/>
                <w:szCs w:val="14"/>
                <w:i w:val="1"/>
                <w:iCs w:val="1"/>
                <w:color w:val="auto"/>
              </w:rPr>
              <w:t>meetings as appropriate</w:t>
            </w:r>
          </w:p>
        </w:tc>
        <w:tc>
          <w:tcPr>
            <w:tcW w:w="120" w:type="dxa"/>
            <w:vAlign w:val="bottom"/>
            <w:shd w:val="clear" w:color="auto" w:fill="E7E7E8"/>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4"/>
                <w:szCs w:val="14"/>
                <w:i w:val="1"/>
                <w:iCs w:val="1"/>
                <w:color w:val="auto"/>
              </w:rPr>
              <w:t>Led by Lead Independent Director</w:t>
            </w:r>
          </w:p>
        </w:tc>
        <w:tc>
          <w:tcPr>
            <w:tcW w:w="120" w:type="dxa"/>
            <w:vAlign w:val="bottom"/>
            <w:shd w:val="clear" w:color="auto" w:fill="E7E7E8"/>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shd w:val="clear" w:color="auto" w:fill="E7E7E8"/>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2680" w:type="dxa"/>
            <w:vAlign w:val="bottom"/>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8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4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Board conducts its business as a whole and through a well-developed committee structure in adherence to our Governance Principles. The Board has established practices and processes to actively manage its information flow, set meeting agendas and promote sound, well-informed decisions.</w:t>
      </w:r>
    </w:p>
    <w:p>
      <w:pPr>
        <w:spacing w:after="0" w:line="6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Board members have direct access to management and regularly receive information from, and engage with, management during and outside of formal Board meetings.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addition, the Board and each committee has the authority and resources to seek legal or other expert advice from sources independent of management.</w:t>
      </w:r>
    </w:p>
    <w:p>
      <w:pPr>
        <w:spacing w:after="0" w:line="4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full Board met 12 times in 2023. For more information on committees, see below. Each director attended 75% or more of the total meetings of the Board and the committees on which he or she served in 2023.</w:t>
      </w:r>
    </w:p>
    <w:p>
      <w:pPr>
        <w:sectPr>
          <w:pgSz w:w="11900" w:h="16838" w:orient="portrait"/>
          <w:cols w:equalWidth="0" w:num="1">
            <w:col w:w="11260"/>
          </w:cols>
          <w:pgMar w:left="320" w:top="157" w:right="31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color w:val="074A75"/>
        </w:rPr>
        <w:t>Committees of the board</w:t>
      </w:r>
    </w:p>
    <w:p>
      <w:pPr>
        <w:spacing w:after="0" w:line="1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significant portion of our Board’s oversight responsibilities is carried out through its five independent, principal standing committees: Audit Committee, CMDC, Governance Committee, Public Responsibility Committee ("PRC") and Risk Committee. Allocating responsibilities among committees allows more in-depth attention devoted to the Board’s oversight of the business and affairs of the Firm.</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Committees meet regularly in conjunction with scheduled Board meetings and hold additional meetings as needed. Each committee reviews reports from senior management and reports its actions to, and discusses its recommendations with, the full Board.</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Each principal standing committee operates pursuant to a written charter. These charters are available on our website at jpmorganchase.com/about/governance/board-committees. Each charter is reviewed at least annually as part of the Board’s and each respective committee’s self-assessment.</w:t>
      </w:r>
    </w:p>
    <w:p>
      <w:pPr>
        <w:spacing w:after="0" w:line="7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Board annually reviews the allocation of responsibility among the committees as part of the Board and committee self-assessment. For more information about the self-assessment process, see page 24.</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Each committee has oversight of specific activities and risk, and engages with the Firm’s senior management responsible for those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All committee chairs are appointed at least annually by our Board.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Committee chairs are responsible for:</w:t>
      </w:r>
    </w:p>
    <w:p>
      <w:pPr>
        <w:spacing w:after="0" w:line="99" w:lineRule="exact"/>
        <w:rPr>
          <w:sz w:val="20"/>
          <w:szCs w:val="20"/>
          <w:color w:val="auto"/>
        </w:rPr>
      </w:pPr>
    </w:p>
    <w:p>
      <w:pPr>
        <w:ind w:left="200" w:hanging="196"/>
        <w:spacing w:after="0"/>
        <w:tabs>
          <w:tab w:leader="none" w:pos="200" w:val="left"/>
        </w:tabs>
        <w:numPr>
          <w:ilvl w:val="0"/>
          <w:numId w:val="88"/>
        </w:numPr>
        <w:rPr>
          <w:rFonts w:ascii="Arial" w:cs="Arial" w:eastAsia="Arial" w:hAnsi="Arial"/>
          <w:sz w:val="18"/>
          <w:szCs w:val="18"/>
          <w:color w:val="074A75"/>
        </w:rPr>
      </w:pPr>
      <w:r>
        <w:rPr>
          <w:rFonts w:ascii="Arial" w:cs="Arial" w:eastAsia="Arial" w:hAnsi="Arial"/>
          <w:sz w:val="18"/>
          <w:szCs w:val="18"/>
          <w:color w:val="auto"/>
        </w:rPr>
        <w:t>Calling meetings of their committees</w:t>
      </w:r>
    </w:p>
    <w:p>
      <w:pPr>
        <w:spacing w:after="0" w:line="90" w:lineRule="exact"/>
        <w:rPr>
          <w:rFonts w:ascii="Arial" w:cs="Arial" w:eastAsia="Arial" w:hAnsi="Arial"/>
          <w:sz w:val="18"/>
          <w:szCs w:val="18"/>
          <w:color w:val="074A75"/>
        </w:rPr>
      </w:pPr>
    </w:p>
    <w:p>
      <w:pPr>
        <w:ind w:left="200" w:hanging="196"/>
        <w:spacing w:after="0"/>
        <w:tabs>
          <w:tab w:leader="none" w:pos="200" w:val="left"/>
        </w:tabs>
        <w:numPr>
          <w:ilvl w:val="0"/>
          <w:numId w:val="88"/>
        </w:numPr>
        <w:rPr>
          <w:rFonts w:ascii="Arial" w:cs="Arial" w:eastAsia="Arial" w:hAnsi="Arial"/>
          <w:sz w:val="18"/>
          <w:szCs w:val="18"/>
          <w:color w:val="074A75"/>
        </w:rPr>
      </w:pPr>
      <w:r>
        <w:rPr>
          <w:rFonts w:ascii="Arial" w:cs="Arial" w:eastAsia="Arial" w:hAnsi="Arial"/>
          <w:sz w:val="18"/>
          <w:szCs w:val="18"/>
          <w:color w:val="auto"/>
        </w:rPr>
        <w:t>Approving agendas for their committee meetings</w:t>
      </w:r>
    </w:p>
    <w:p>
      <w:pPr>
        <w:spacing w:after="0" w:line="76" w:lineRule="exact"/>
        <w:rPr>
          <w:rFonts w:ascii="Arial" w:cs="Arial" w:eastAsia="Arial" w:hAnsi="Arial"/>
          <w:sz w:val="18"/>
          <w:szCs w:val="18"/>
          <w:color w:val="074A75"/>
        </w:rPr>
      </w:pPr>
    </w:p>
    <w:p>
      <w:pPr>
        <w:ind w:left="200" w:hanging="196"/>
        <w:spacing w:after="0"/>
        <w:tabs>
          <w:tab w:leader="none" w:pos="200" w:val="left"/>
        </w:tabs>
        <w:numPr>
          <w:ilvl w:val="0"/>
          <w:numId w:val="88"/>
        </w:numPr>
        <w:rPr>
          <w:rFonts w:ascii="Arial" w:cs="Arial" w:eastAsia="Arial" w:hAnsi="Arial"/>
          <w:sz w:val="18"/>
          <w:szCs w:val="18"/>
          <w:color w:val="074A75"/>
        </w:rPr>
      </w:pPr>
      <w:r>
        <w:rPr>
          <w:rFonts w:ascii="Arial" w:cs="Arial" w:eastAsia="Arial" w:hAnsi="Arial"/>
          <w:sz w:val="18"/>
          <w:szCs w:val="18"/>
          <w:color w:val="auto"/>
        </w:rPr>
        <w:t>Presiding at meetings of their committees</w:t>
      </w:r>
    </w:p>
    <w:p>
      <w:pPr>
        <w:spacing w:after="0" w:line="76" w:lineRule="exact"/>
        <w:rPr>
          <w:rFonts w:ascii="Arial" w:cs="Arial" w:eastAsia="Arial" w:hAnsi="Arial"/>
          <w:sz w:val="18"/>
          <w:szCs w:val="18"/>
          <w:color w:val="074A75"/>
        </w:rPr>
      </w:pPr>
    </w:p>
    <w:p>
      <w:pPr>
        <w:ind w:left="200" w:right="700" w:hanging="196"/>
        <w:spacing w:after="0" w:line="268" w:lineRule="auto"/>
        <w:tabs>
          <w:tab w:leader="none" w:pos="204" w:val="left"/>
        </w:tabs>
        <w:numPr>
          <w:ilvl w:val="0"/>
          <w:numId w:val="88"/>
        </w:numPr>
        <w:rPr>
          <w:rFonts w:ascii="Arial" w:cs="Arial" w:eastAsia="Arial" w:hAnsi="Arial"/>
          <w:sz w:val="18"/>
          <w:szCs w:val="18"/>
          <w:color w:val="074A75"/>
        </w:rPr>
      </w:pPr>
      <w:r>
        <w:rPr>
          <w:rFonts w:ascii="Arial" w:cs="Arial" w:eastAsia="Arial" w:hAnsi="Arial"/>
          <w:sz w:val="18"/>
          <w:szCs w:val="18"/>
          <w:color w:val="auto"/>
        </w:rPr>
        <w:t>Serving as a liaison between committee members and the Board, and between committee members and senior management, including the CEO</w:t>
      </w:r>
    </w:p>
    <w:p>
      <w:pPr>
        <w:spacing w:after="0" w:line="35" w:lineRule="exact"/>
        <w:rPr>
          <w:rFonts w:ascii="Arial" w:cs="Arial" w:eastAsia="Arial" w:hAnsi="Arial"/>
          <w:sz w:val="18"/>
          <w:szCs w:val="18"/>
          <w:color w:val="074A75"/>
        </w:rPr>
      </w:pPr>
    </w:p>
    <w:p>
      <w:pPr>
        <w:ind w:left="200" w:right="500" w:hanging="196"/>
        <w:spacing w:after="0" w:line="287" w:lineRule="auto"/>
        <w:tabs>
          <w:tab w:leader="none" w:pos="204" w:val="left"/>
        </w:tabs>
        <w:numPr>
          <w:ilvl w:val="0"/>
          <w:numId w:val="88"/>
        </w:numPr>
        <w:rPr>
          <w:rFonts w:ascii="Arial" w:cs="Arial" w:eastAsia="Arial" w:hAnsi="Arial"/>
          <w:sz w:val="18"/>
          <w:szCs w:val="18"/>
          <w:color w:val="074A75"/>
        </w:rPr>
      </w:pPr>
      <w:r>
        <w:rPr>
          <w:rFonts w:ascii="Arial" w:cs="Arial" w:eastAsia="Arial" w:hAnsi="Arial"/>
          <w:sz w:val="18"/>
          <w:szCs w:val="18"/>
          <w:color w:val="auto"/>
        </w:rPr>
        <w:t>Working directly with the senior management responsible for committee mandates</w:t>
      </w:r>
    </w:p>
    <w:p>
      <w:pPr>
        <w:spacing w:after="0" w:line="4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Board has determined each member of the Audit Committee (Timothy P. Flynn, Michael A. Neal, Phebe N. Novakovic and Mark A. Weinberger) to be an audit committee financial expert in accordance with the definition established by the SEC</w:t>
      </w:r>
      <w:r>
        <w:rPr>
          <w:rFonts w:ascii="Arial" w:cs="Arial" w:eastAsia="Arial" w:hAnsi="Arial"/>
          <w:sz w:val="23"/>
          <w:szCs w:val="23"/>
          <w:color w:val="auto"/>
          <w:vertAlign w:val="superscript"/>
        </w:rPr>
        <w:t>1</w:t>
      </w:r>
      <w:r>
        <w:rPr>
          <w:rFonts w:ascii="Arial" w:cs="Arial" w:eastAsia="Arial" w:hAnsi="Arial"/>
          <w:sz w:val="18"/>
          <w:szCs w:val="18"/>
          <w:color w:val="auto"/>
        </w:rPr>
        <w:t>, and that Ms. Bammann, the chair of the Risk Committee, has experience in identifying, assessing and managing risk exposures of large, complex financial firms in accordance with rules issued by the Board of Governors of the Federal Reserve System (“Federal Reserve”).</w:t>
      </w:r>
    </w:p>
    <w:p>
      <w:pPr>
        <w:spacing w:after="0" w:line="1004" w:lineRule="exact"/>
        <w:rPr>
          <w:sz w:val="20"/>
          <w:szCs w:val="20"/>
          <w:color w:val="auto"/>
        </w:rPr>
      </w:pPr>
    </w:p>
    <w:p>
      <w:pPr>
        <w:sectPr>
          <w:pgSz w:w="11900" w:h="16838" w:orient="portrait"/>
          <w:cols w:equalWidth="0" w:num="2">
            <w:col w:w="5360" w:space="380"/>
            <w:col w:w="5520"/>
          </w:cols>
          <w:pgMar w:left="320" w:top="157" w:right="319" w:bottom="1440" w:gutter="0" w:footer="0" w:header="0"/>
          <w:type w:val="continuous"/>
        </w:sectPr>
      </w:pPr>
    </w:p>
    <w:p>
      <w:pPr>
        <w:spacing w:after="0" w:line="154" w:lineRule="exact"/>
        <w:rPr>
          <w:sz w:val="20"/>
          <w:szCs w:val="20"/>
          <w:color w:val="auto"/>
        </w:rPr>
      </w:pPr>
    </w:p>
    <w:p>
      <w:pPr>
        <w:ind w:left="200" w:hanging="192"/>
        <w:spacing w:after="0"/>
        <w:tabs>
          <w:tab w:leader="none" w:pos="200" w:val="left"/>
        </w:tabs>
        <w:numPr>
          <w:ilvl w:val="0"/>
          <w:numId w:val="89"/>
        </w:numPr>
        <w:rPr>
          <w:rFonts w:ascii="Arial" w:cs="Arial" w:eastAsia="Arial" w:hAnsi="Arial"/>
          <w:sz w:val="15"/>
          <w:szCs w:val="15"/>
          <w:color w:val="auto"/>
          <w:vertAlign w:val="superscript"/>
        </w:rPr>
      </w:pPr>
      <w:r>
        <w:rPr>
          <w:rFonts w:ascii="Arial" w:cs="Arial" w:eastAsia="Arial" w:hAnsi="Arial"/>
          <w:sz w:val="12"/>
          <w:szCs w:val="12"/>
          <w:color w:val="auto"/>
        </w:rPr>
        <w:t>In anticipation of his service on the Audit Committee, the Board has determined that Alex Gorsky is an audit committee financial expert in accordance with the definition established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189230</wp:posOffset>
            </wp:positionV>
            <wp:extent cx="274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21  </w:t>
      </w:r>
      <w:r>
        <w:rPr>
          <w:sz w:val="1"/>
          <w:szCs w:val="1"/>
          <w:color w:val="auto"/>
        </w:rPr>
        <w:drawing>
          <wp:inline distT="0" distB="0" distL="0" distR="0">
            <wp:extent cx="2203450" cy="15430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4"/>
                <w:szCs w:val="24"/>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c>
          <w:tcPr>
            <w:tcW w:w="660" w:type="dxa"/>
            <w:vAlign w:val="bottom"/>
            <w:tcBorders>
              <w:right w:val="single" w:sz="8" w:color="E7E7E8"/>
            </w:tcBorders>
          </w:tcPr>
          <w:p>
            <w:pPr>
              <w:spacing w:after="0"/>
              <w:rPr>
                <w:sz w:val="24"/>
                <w:szCs w:val="24"/>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4"/>
                <w:szCs w:val="24"/>
                <w:color w:val="auto"/>
              </w:rPr>
            </w:pPr>
          </w:p>
        </w:tc>
        <w:tc>
          <w:tcPr>
            <w:tcW w:w="2320" w:type="dxa"/>
            <w:vAlign w:val="bottom"/>
            <w:tcBorders>
              <w:top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c>
          <w:tcPr>
            <w:tcW w:w="20" w:type="dxa"/>
            <w:vAlign w:val="bottom"/>
            <w:tcBorders>
              <w:top w:val="single" w:sz="8" w:color="E7E7E8"/>
            </w:tcBorders>
            <w:shd w:val="clear" w:color="auto" w:fill="E7E7E8"/>
          </w:tcPr>
          <w:p>
            <w:pPr>
              <w:spacing w:after="0"/>
              <w:rPr>
                <w:sz w:val="24"/>
                <w:szCs w:val="24"/>
                <w:color w:val="auto"/>
              </w:rPr>
            </w:pPr>
          </w:p>
        </w:tc>
      </w:tr>
      <w:tr>
        <w:trPr>
          <w:trHeight w:val="83"/>
        </w:trPr>
        <w:tc>
          <w:tcPr>
            <w:tcW w:w="2320" w:type="dxa"/>
            <w:vAlign w:val="bottom"/>
            <w:tcBorders>
              <w:left w:val="single" w:sz="8" w:color="E7E7E8"/>
              <w:bottom w:val="single" w:sz="8" w:color="E7E7E8"/>
              <w:right w:val="single" w:sz="8" w:color="E7E7E8"/>
            </w:tcBorders>
          </w:tcPr>
          <w:p>
            <w:pPr>
              <w:spacing w:after="0"/>
              <w:rPr>
                <w:sz w:val="7"/>
                <w:szCs w:val="7"/>
                <w:color w:val="auto"/>
              </w:rPr>
            </w:pPr>
          </w:p>
        </w:tc>
        <w:tc>
          <w:tcPr>
            <w:tcW w:w="640" w:type="dxa"/>
            <w:vAlign w:val="bottom"/>
          </w:tcPr>
          <w:p>
            <w:pPr>
              <w:spacing w:after="0"/>
              <w:rPr>
                <w:sz w:val="7"/>
                <w:szCs w:val="7"/>
                <w:color w:val="auto"/>
              </w:rPr>
            </w:pPr>
          </w:p>
        </w:tc>
        <w:tc>
          <w:tcPr>
            <w:tcW w:w="2320" w:type="dxa"/>
            <w:vAlign w:val="bottom"/>
            <w:tcBorders>
              <w:bottom w:val="single" w:sz="8" w:color="E7E7E8"/>
            </w:tcBorders>
            <w:shd w:val="clear" w:color="auto" w:fill="E7E7E8"/>
          </w:tcPr>
          <w:p>
            <w:pPr>
              <w:spacing w:after="0"/>
              <w:rPr>
                <w:sz w:val="7"/>
                <w:szCs w:val="7"/>
                <w:color w:val="auto"/>
              </w:rPr>
            </w:pPr>
          </w:p>
        </w:tc>
        <w:tc>
          <w:tcPr>
            <w:tcW w:w="660" w:type="dxa"/>
            <w:vAlign w:val="bottom"/>
            <w:tcBorders>
              <w:right w:val="single" w:sz="8" w:color="E7E7E8"/>
            </w:tcBorders>
          </w:tcPr>
          <w:p>
            <w:pPr>
              <w:spacing w:after="0"/>
              <w:rPr>
                <w:sz w:val="7"/>
                <w:szCs w:val="7"/>
                <w:color w:val="auto"/>
              </w:rPr>
            </w:pPr>
          </w:p>
        </w:tc>
        <w:tc>
          <w:tcPr>
            <w:tcW w:w="2340" w:type="dxa"/>
            <w:vAlign w:val="bottom"/>
            <w:tcBorders>
              <w:bottom w:val="single" w:sz="8" w:color="E7E7E8"/>
              <w:right w:val="single" w:sz="8" w:color="E7E7E8"/>
            </w:tcBorders>
          </w:tcPr>
          <w:p>
            <w:pPr>
              <w:spacing w:after="0"/>
              <w:rPr>
                <w:sz w:val="7"/>
                <w:szCs w:val="7"/>
                <w:color w:val="auto"/>
              </w:rPr>
            </w:pPr>
          </w:p>
        </w:tc>
        <w:tc>
          <w:tcPr>
            <w:tcW w:w="640" w:type="dxa"/>
            <w:vAlign w:val="bottom"/>
            <w:tcBorders>
              <w:right w:val="single" w:sz="8" w:color="E7E7E8"/>
            </w:tcBorders>
          </w:tcPr>
          <w:p>
            <w:pPr>
              <w:spacing w:after="0"/>
              <w:rPr>
                <w:sz w:val="7"/>
                <w:szCs w:val="7"/>
                <w:color w:val="auto"/>
              </w:rPr>
            </w:pPr>
          </w:p>
        </w:tc>
        <w:tc>
          <w:tcPr>
            <w:tcW w:w="2320" w:type="dxa"/>
            <w:vAlign w:val="bottom"/>
            <w:tcBorders>
              <w:bottom w:val="single" w:sz="8" w:color="E7E7E8"/>
            </w:tcBorders>
          </w:tcPr>
          <w:p>
            <w:pPr>
              <w:spacing w:after="0"/>
              <w:rPr>
                <w:sz w:val="7"/>
                <w:szCs w:val="7"/>
                <w:color w:val="auto"/>
              </w:rPr>
            </w:pPr>
          </w:p>
        </w:tc>
        <w:tc>
          <w:tcPr>
            <w:tcW w:w="20" w:type="dxa"/>
            <w:vAlign w:val="bottom"/>
            <w:tcBorders>
              <w:bottom w:val="single" w:sz="8" w:color="E7E7E8"/>
            </w:tcBorders>
            <w:shd w:val="clear" w:color="auto" w:fill="E7E7E8"/>
          </w:tcPr>
          <w:p>
            <w:pPr>
              <w:spacing w:after="0"/>
              <w:rPr>
                <w:sz w:val="7"/>
                <w:szCs w:val="7"/>
                <w:color w:val="auto"/>
              </w:rPr>
            </w:pPr>
          </w:p>
        </w:tc>
      </w:tr>
      <w:tr>
        <w:trPr>
          <w:trHeight w:val="210"/>
        </w:trPr>
        <w:tc>
          <w:tcPr>
            <w:tcW w:w="2320" w:type="dxa"/>
            <w:vAlign w:val="bottom"/>
          </w:tcPr>
          <w:p>
            <w:pPr>
              <w:spacing w:after="0"/>
              <w:rPr>
                <w:sz w:val="18"/>
                <w:szCs w:val="18"/>
                <w:color w:val="auto"/>
              </w:rPr>
            </w:pPr>
          </w:p>
        </w:tc>
        <w:tc>
          <w:tcPr>
            <w:tcW w:w="6600" w:type="dxa"/>
            <w:vAlign w:val="bottom"/>
            <w:gridSpan w:val="5"/>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2320" w:type="dxa"/>
            <w:vAlign w:val="bottom"/>
            <w:tcBorders>
              <w:left w:val="single" w:sz="8" w:color="074A75"/>
              <w:right w:val="single" w:sz="8" w:color="074A75"/>
            </w:tcBorders>
            <w:shd w:val="clear" w:color="auto" w:fill="074A75"/>
          </w:tcPr>
          <w:p>
            <w:pPr>
              <w:spacing w:after="0"/>
              <w:rPr>
                <w:sz w:val="21"/>
                <w:szCs w:val="21"/>
                <w:color w:val="auto"/>
              </w:rPr>
            </w:pPr>
          </w:p>
        </w:tc>
        <w:tc>
          <w:tcPr>
            <w:tcW w:w="6600" w:type="dxa"/>
            <w:vAlign w:val="bottom"/>
            <w:tcBorders>
              <w:right w:val="single" w:sz="8" w:color="074A75"/>
            </w:tcBorders>
            <w:gridSpan w:val="5"/>
            <w:shd w:val="clear" w:color="auto" w:fill="074A75"/>
          </w:tcPr>
          <w:p>
            <w:pPr>
              <w:ind w:left="480"/>
              <w:spacing w:after="0"/>
              <w:rPr>
                <w:sz w:val="20"/>
                <w:szCs w:val="20"/>
                <w:color w:val="auto"/>
              </w:rPr>
            </w:pPr>
            <w:r>
              <w:rPr>
                <w:rFonts w:ascii="Arial" w:cs="Arial" w:eastAsia="Arial" w:hAnsi="Arial"/>
                <w:sz w:val="16"/>
                <w:szCs w:val="16"/>
                <w:color w:val="FFFFFF"/>
              </w:rPr>
              <w:t>Key oversight responsibilities of the principal standing committees of the Board</w:t>
            </w:r>
          </w:p>
        </w:tc>
        <w:tc>
          <w:tcPr>
            <w:tcW w:w="2320" w:type="dxa"/>
            <w:vAlign w:val="bottom"/>
            <w:shd w:val="clear" w:color="auto" w:fill="074A75"/>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-522605</wp:posOffset>
            </wp:positionV>
            <wp:extent cx="76835" cy="145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-522605</wp:posOffset>
            </wp:positionV>
            <wp:extent cx="77470" cy="145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-522605</wp:posOffset>
            </wp:positionV>
            <wp:extent cx="76835" cy="145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77470</wp:posOffset>
            </wp:positionV>
            <wp:extent cx="7166610" cy="41490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6610" cy="41490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74A75"/>
        </w:rPr>
        <w:t>BOARD OF DIRECTORS</w:t>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E693D"/>
        </w:rPr>
        <w:t>Audit</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15 meetings in 2023</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380" w:right="240" w:hanging="197"/>
        <w:spacing w:after="0" w:line="269" w:lineRule="auto"/>
        <w:tabs>
          <w:tab w:leader="none" w:pos="371"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The independent registered public accounting firm’s qualifications and independence</w:t>
      </w:r>
    </w:p>
    <w:p>
      <w:pPr>
        <w:spacing w:after="0" w:line="20" w:lineRule="exact"/>
        <w:rPr>
          <w:rFonts w:ascii="Arial" w:cs="Arial" w:eastAsia="Arial" w:hAnsi="Arial"/>
          <w:sz w:val="14"/>
          <w:szCs w:val="14"/>
          <w:color w:val="074A75"/>
        </w:rPr>
      </w:pPr>
    </w:p>
    <w:p>
      <w:pPr>
        <w:ind w:left="380" w:right="40" w:hanging="197"/>
        <w:spacing w:after="0" w:line="269" w:lineRule="auto"/>
        <w:tabs>
          <w:tab w:leader="none" w:pos="371"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The performance of the internal audit function and the independent public accounting firm</w:t>
      </w:r>
    </w:p>
    <w:p>
      <w:pPr>
        <w:spacing w:after="0" w:line="20" w:lineRule="exact"/>
        <w:rPr>
          <w:rFonts w:ascii="Arial" w:cs="Arial" w:eastAsia="Arial" w:hAnsi="Arial"/>
          <w:sz w:val="14"/>
          <w:szCs w:val="14"/>
          <w:color w:val="074A75"/>
        </w:rPr>
      </w:pPr>
    </w:p>
    <w:p>
      <w:pPr>
        <w:ind w:left="380" w:right="60" w:hanging="197"/>
        <w:spacing w:after="0" w:line="269" w:lineRule="auto"/>
        <w:tabs>
          <w:tab w:leader="none" w:pos="371"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Management’s responsibilities to ensure that there is an effective system of controls reasonably designed to:</w:t>
      </w:r>
    </w:p>
    <w:p>
      <w:pPr>
        <w:spacing w:after="0" w:line="20" w:lineRule="exact"/>
        <w:rPr>
          <w:rFonts w:ascii="Arial" w:cs="Arial" w:eastAsia="Arial" w:hAnsi="Arial"/>
          <w:sz w:val="14"/>
          <w:szCs w:val="14"/>
          <w:color w:val="074A75"/>
        </w:rPr>
      </w:pPr>
    </w:p>
    <w:p>
      <w:pPr>
        <w:ind w:left="580" w:right="160" w:hanging="203"/>
        <w:spacing w:after="0" w:line="301" w:lineRule="auto"/>
        <w:tabs>
          <w:tab w:leader="none" w:pos="571" w:val="left"/>
        </w:tabs>
        <w:numPr>
          <w:ilvl w:val="1"/>
          <w:numId w:val="90"/>
        </w:numPr>
        <w:rPr>
          <w:rFonts w:ascii="Arial" w:cs="Arial" w:eastAsia="Arial" w:hAnsi="Arial"/>
          <w:sz w:val="14"/>
          <w:szCs w:val="14"/>
          <w:color w:val="104C98"/>
        </w:rPr>
      </w:pPr>
      <w:r>
        <w:rPr>
          <w:rFonts w:ascii="Arial" w:cs="Arial" w:eastAsia="Arial" w:hAnsi="Arial"/>
          <w:sz w:val="14"/>
          <w:szCs w:val="14"/>
          <w:color w:val="auto"/>
        </w:rPr>
        <w:t>Safeguard the assets and income of the Firm</w:t>
      </w:r>
    </w:p>
    <w:p>
      <w:pPr>
        <w:spacing w:after="0" w:line="1" w:lineRule="exact"/>
        <w:rPr>
          <w:rFonts w:ascii="Arial" w:cs="Arial" w:eastAsia="Arial" w:hAnsi="Arial"/>
          <w:sz w:val="14"/>
          <w:szCs w:val="14"/>
          <w:color w:val="104C98"/>
        </w:rPr>
      </w:pPr>
    </w:p>
    <w:p>
      <w:pPr>
        <w:ind w:left="580" w:right="80" w:hanging="203"/>
        <w:spacing w:after="0" w:line="291" w:lineRule="auto"/>
        <w:tabs>
          <w:tab w:leader="none" w:pos="571" w:val="left"/>
        </w:tabs>
        <w:numPr>
          <w:ilvl w:val="1"/>
          <w:numId w:val="90"/>
        </w:numPr>
        <w:rPr>
          <w:rFonts w:ascii="Arial" w:cs="Arial" w:eastAsia="Arial" w:hAnsi="Arial"/>
          <w:sz w:val="14"/>
          <w:szCs w:val="14"/>
          <w:color w:val="074A75"/>
        </w:rPr>
      </w:pPr>
      <w:r>
        <w:rPr>
          <w:rFonts w:ascii="Arial" w:cs="Arial" w:eastAsia="Arial" w:hAnsi="Arial"/>
          <w:sz w:val="14"/>
          <w:szCs w:val="14"/>
          <w:color w:val="auto"/>
        </w:rPr>
        <w:t>Ensure integrity of financial statements</w:t>
      </w:r>
    </w:p>
    <w:p>
      <w:pPr>
        <w:spacing w:after="0" w:line="1" w:lineRule="exact"/>
        <w:rPr>
          <w:rFonts w:ascii="Arial" w:cs="Arial" w:eastAsia="Arial" w:hAnsi="Arial"/>
          <w:sz w:val="14"/>
          <w:szCs w:val="14"/>
          <w:color w:val="074A75"/>
        </w:rPr>
      </w:pPr>
    </w:p>
    <w:p>
      <w:pPr>
        <w:ind w:left="580" w:hanging="203"/>
        <w:spacing w:after="0" w:line="272" w:lineRule="auto"/>
        <w:tabs>
          <w:tab w:leader="none" w:pos="571" w:val="left"/>
        </w:tabs>
        <w:numPr>
          <w:ilvl w:val="1"/>
          <w:numId w:val="90"/>
        </w:numPr>
        <w:rPr>
          <w:rFonts w:ascii="Arial" w:cs="Arial" w:eastAsia="Arial" w:hAnsi="Arial"/>
          <w:sz w:val="14"/>
          <w:szCs w:val="14"/>
          <w:color w:val="074A75"/>
        </w:rPr>
      </w:pPr>
      <w:r>
        <w:rPr>
          <w:rFonts w:ascii="Arial" w:cs="Arial" w:eastAsia="Arial" w:hAnsi="Arial"/>
          <w:sz w:val="14"/>
          <w:szCs w:val="14"/>
          <w:color w:val="auto"/>
        </w:rPr>
        <w:t>Maintain compliance with the Firm’s ethical standards, policies, plans and procedures, and with laws and regulations</w:t>
      </w:r>
    </w:p>
    <w:p>
      <w:pPr>
        <w:spacing w:after="0" w:line="5" w:lineRule="exact"/>
        <w:rPr>
          <w:rFonts w:ascii="Arial" w:cs="Arial" w:eastAsia="Arial" w:hAnsi="Arial"/>
          <w:sz w:val="14"/>
          <w:szCs w:val="14"/>
          <w:color w:val="074A75"/>
        </w:rPr>
      </w:pPr>
    </w:p>
    <w:p>
      <w:pPr>
        <w:ind w:left="360" w:hanging="177"/>
        <w:spacing w:after="0"/>
        <w:tabs>
          <w:tab w:leader="none" w:pos="360"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Internal control framework</w:t>
      </w:r>
    </w:p>
    <w:p>
      <w:pPr>
        <w:spacing w:after="0" w:line="68" w:lineRule="exact"/>
        <w:rPr>
          <w:rFonts w:ascii="Arial" w:cs="Arial" w:eastAsia="Arial" w:hAnsi="Arial"/>
          <w:sz w:val="14"/>
          <w:szCs w:val="14"/>
          <w:color w:val="074A75"/>
        </w:rPr>
      </w:pPr>
    </w:p>
    <w:p>
      <w:pPr>
        <w:ind w:left="380" w:right="20" w:hanging="197"/>
        <w:spacing w:after="0" w:line="283" w:lineRule="auto"/>
        <w:tabs>
          <w:tab w:leader="none" w:pos="371"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3E693D"/>
        </w:rPr>
        <w:t>CMDC</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8 meetings in 2023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200" w:right="400" w:hanging="193"/>
        <w:spacing w:after="0" w:line="273" w:lineRule="auto"/>
        <w:tabs>
          <w:tab w:leader="none" w:pos="191"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Development of and succession for key executives</w:t>
      </w:r>
    </w:p>
    <w:p>
      <w:pPr>
        <w:spacing w:after="0" w:line="17" w:lineRule="exact"/>
        <w:rPr>
          <w:rFonts w:ascii="Arial" w:cs="Arial" w:eastAsia="Arial" w:hAnsi="Arial"/>
          <w:sz w:val="14"/>
          <w:szCs w:val="14"/>
          <w:color w:val="074A75"/>
        </w:rPr>
      </w:pPr>
    </w:p>
    <w:p>
      <w:pPr>
        <w:ind w:left="200" w:right="120" w:hanging="193"/>
        <w:spacing w:after="0" w:line="301" w:lineRule="auto"/>
        <w:tabs>
          <w:tab w:leader="none" w:pos="191"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Compensation principles and practices</w:t>
      </w:r>
    </w:p>
    <w:p>
      <w:pPr>
        <w:spacing w:after="0" w:line="1" w:lineRule="exact"/>
        <w:rPr>
          <w:rFonts w:ascii="Arial" w:cs="Arial" w:eastAsia="Arial" w:hAnsi="Arial"/>
          <w:sz w:val="14"/>
          <w:szCs w:val="14"/>
          <w:color w:val="074A75"/>
        </w:rPr>
      </w:pPr>
    </w:p>
    <w:p>
      <w:pPr>
        <w:ind w:left="200" w:right="20" w:hanging="193"/>
        <w:spacing w:after="0" w:line="285" w:lineRule="auto"/>
        <w:tabs>
          <w:tab w:leader="none" w:pos="191"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Compensation and qualified benefit programs</w:t>
      </w:r>
    </w:p>
    <w:p>
      <w:pPr>
        <w:spacing w:after="0" w:line="9" w:lineRule="exact"/>
        <w:rPr>
          <w:rFonts w:ascii="Arial" w:cs="Arial" w:eastAsia="Arial" w:hAnsi="Arial"/>
          <w:sz w:val="14"/>
          <w:szCs w:val="14"/>
          <w:color w:val="074A75"/>
        </w:rPr>
      </w:pPr>
    </w:p>
    <w:p>
      <w:pPr>
        <w:ind w:left="200" w:hanging="193"/>
        <w:spacing w:after="0" w:line="283" w:lineRule="auto"/>
        <w:tabs>
          <w:tab w:leader="none" w:pos="191"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Operating Committee performance assessments and compensation</w:t>
      </w:r>
    </w:p>
    <w:p>
      <w:pPr>
        <w:spacing w:after="0" w:line="10" w:lineRule="exact"/>
        <w:rPr>
          <w:rFonts w:ascii="Arial" w:cs="Arial" w:eastAsia="Arial" w:hAnsi="Arial"/>
          <w:sz w:val="14"/>
          <w:szCs w:val="14"/>
          <w:color w:val="074A75"/>
        </w:rPr>
      </w:pPr>
    </w:p>
    <w:p>
      <w:pPr>
        <w:ind w:left="200" w:right="180" w:hanging="193"/>
        <w:spacing w:after="0" w:line="267" w:lineRule="auto"/>
        <w:tabs>
          <w:tab w:leader="none" w:pos="191"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Firm’s Business Principles, culture and significant employee conduct issues and any related actions</w:t>
      </w:r>
    </w:p>
    <w:p>
      <w:pPr>
        <w:spacing w:after="0" w:line="22" w:lineRule="exact"/>
        <w:rPr>
          <w:rFonts w:ascii="Arial" w:cs="Arial" w:eastAsia="Arial" w:hAnsi="Arial"/>
          <w:sz w:val="14"/>
          <w:szCs w:val="14"/>
          <w:color w:val="074A75"/>
        </w:rPr>
      </w:pPr>
    </w:p>
    <w:p>
      <w:pPr>
        <w:jc w:val="both"/>
        <w:ind w:left="200" w:right="240" w:hanging="193"/>
        <w:spacing w:after="0" w:line="273" w:lineRule="auto"/>
        <w:tabs>
          <w:tab w:leader="none" w:pos="191"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left="-5"/>
        <w:spacing w:after="0"/>
        <w:rPr>
          <w:sz w:val="20"/>
          <w:szCs w:val="20"/>
          <w:color w:val="auto"/>
        </w:rPr>
      </w:pPr>
      <w:r>
        <w:rPr>
          <w:rFonts w:ascii="Arial" w:cs="Arial" w:eastAsia="Arial" w:hAnsi="Arial"/>
          <w:sz w:val="16"/>
          <w:szCs w:val="16"/>
          <w:b w:val="1"/>
          <w:bCs w:val="1"/>
          <w:color w:val="3E693D"/>
        </w:rPr>
        <w:t>Risk</w:t>
      </w:r>
    </w:p>
    <w:p>
      <w:pPr>
        <w:spacing w:after="0" w:line="226" w:lineRule="exact"/>
        <w:rPr>
          <w:sz w:val="20"/>
          <w:szCs w:val="20"/>
          <w:color w:val="auto"/>
        </w:rPr>
      </w:pPr>
    </w:p>
    <w:p>
      <w:pPr>
        <w:ind w:left="6"/>
        <w:spacing w:after="0"/>
        <w:rPr>
          <w:sz w:val="20"/>
          <w:szCs w:val="20"/>
          <w:color w:val="auto"/>
        </w:rPr>
      </w:pPr>
      <w:r>
        <w:rPr>
          <w:rFonts w:ascii="Arial" w:cs="Arial" w:eastAsia="Arial" w:hAnsi="Arial"/>
          <w:sz w:val="14"/>
          <w:szCs w:val="14"/>
          <w:color w:val="auto"/>
        </w:rPr>
        <w:t>7 meetings in 2023</w:t>
      </w:r>
    </w:p>
    <w:p>
      <w:pPr>
        <w:spacing w:after="0" w:line="69" w:lineRule="exact"/>
        <w:rPr>
          <w:sz w:val="20"/>
          <w:szCs w:val="20"/>
          <w:color w:val="auto"/>
        </w:rPr>
      </w:pPr>
    </w:p>
    <w:p>
      <w:pPr>
        <w:ind w:left="6"/>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186" w:hanging="186"/>
        <w:spacing w:after="0" w:line="262" w:lineRule="auto"/>
        <w:tabs>
          <w:tab w:leader="none" w:pos="177"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Management’s responsibility to implement an effective global risk management framework reasonably designed to identify, assess and manage the Firm’s risks, including:</w:t>
      </w:r>
    </w:p>
    <w:p>
      <w:pPr>
        <w:spacing w:after="0" w:line="24" w:lineRule="exact"/>
        <w:rPr>
          <w:rFonts w:ascii="Arial" w:cs="Arial" w:eastAsia="Arial" w:hAnsi="Arial"/>
          <w:sz w:val="14"/>
          <w:szCs w:val="14"/>
          <w:color w:val="074A75"/>
        </w:rPr>
      </w:pPr>
    </w:p>
    <w:p>
      <w:pPr>
        <w:ind w:left="386" w:hanging="192"/>
        <w:spacing w:after="0"/>
        <w:tabs>
          <w:tab w:leader="none" w:pos="386" w:val="left"/>
        </w:tabs>
        <w:numPr>
          <w:ilvl w:val="1"/>
          <w:numId w:val="92"/>
        </w:numPr>
        <w:rPr>
          <w:rFonts w:ascii="Arial" w:cs="Arial" w:eastAsia="Arial" w:hAnsi="Arial"/>
          <w:sz w:val="14"/>
          <w:szCs w:val="14"/>
          <w:color w:val="064A75"/>
        </w:rPr>
      </w:pPr>
      <w:r>
        <w:rPr>
          <w:rFonts w:ascii="Arial" w:cs="Arial" w:eastAsia="Arial" w:hAnsi="Arial"/>
          <w:sz w:val="14"/>
          <w:szCs w:val="14"/>
          <w:color w:val="auto"/>
        </w:rPr>
        <w:t>Strategic risk</w:t>
      </w:r>
    </w:p>
    <w:p>
      <w:pPr>
        <w:spacing w:after="0" w:line="68" w:lineRule="exact"/>
        <w:rPr>
          <w:rFonts w:ascii="Arial" w:cs="Arial" w:eastAsia="Arial" w:hAnsi="Arial"/>
          <w:sz w:val="14"/>
          <w:szCs w:val="14"/>
          <w:color w:val="064A75"/>
        </w:rPr>
      </w:pPr>
    </w:p>
    <w:p>
      <w:pPr>
        <w:ind w:left="386" w:hanging="192"/>
        <w:spacing w:after="0"/>
        <w:tabs>
          <w:tab w:leader="none" w:pos="386" w:val="left"/>
        </w:tabs>
        <w:numPr>
          <w:ilvl w:val="1"/>
          <w:numId w:val="92"/>
        </w:numPr>
        <w:rPr>
          <w:rFonts w:ascii="Arial" w:cs="Arial" w:eastAsia="Arial" w:hAnsi="Arial"/>
          <w:sz w:val="14"/>
          <w:szCs w:val="14"/>
          <w:color w:val="064A75"/>
        </w:rPr>
      </w:pPr>
      <w:r>
        <w:rPr>
          <w:rFonts w:ascii="Arial" w:cs="Arial" w:eastAsia="Arial" w:hAnsi="Arial"/>
          <w:sz w:val="14"/>
          <w:szCs w:val="14"/>
          <w:color w:val="auto"/>
        </w:rPr>
        <w:t>Market risk</w:t>
      </w:r>
    </w:p>
    <w:p>
      <w:pPr>
        <w:spacing w:after="0" w:line="68" w:lineRule="exact"/>
        <w:rPr>
          <w:rFonts w:ascii="Arial" w:cs="Arial" w:eastAsia="Arial" w:hAnsi="Arial"/>
          <w:sz w:val="14"/>
          <w:szCs w:val="14"/>
          <w:color w:val="064A75"/>
        </w:rPr>
      </w:pPr>
    </w:p>
    <w:p>
      <w:pPr>
        <w:ind w:left="386" w:right="100" w:hanging="192"/>
        <w:spacing w:after="0" w:line="285" w:lineRule="auto"/>
        <w:tabs>
          <w:tab w:leader="none" w:pos="377" w:val="left"/>
        </w:tabs>
        <w:numPr>
          <w:ilvl w:val="1"/>
          <w:numId w:val="92"/>
        </w:numPr>
        <w:rPr>
          <w:rFonts w:ascii="Arial" w:cs="Arial" w:eastAsia="Arial" w:hAnsi="Arial"/>
          <w:sz w:val="14"/>
          <w:szCs w:val="14"/>
          <w:color w:val="064A75"/>
        </w:rPr>
      </w:pPr>
      <w:r>
        <w:rPr>
          <w:rFonts w:ascii="Arial" w:cs="Arial" w:eastAsia="Arial" w:hAnsi="Arial"/>
          <w:sz w:val="14"/>
          <w:szCs w:val="14"/>
          <w:color w:val="auto"/>
        </w:rPr>
        <w:t>Credit and investment risk</w:t>
      </w:r>
    </w:p>
    <w:p>
      <w:pPr>
        <w:spacing w:after="0" w:line="9" w:lineRule="exact"/>
        <w:rPr>
          <w:rFonts w:ascii="Arial" w:cs="Arial" w:eastAsia="Arial" w:hAnsi="Arial"/>
          <w:sz w:val="14"/>
          <w:szCs w:val="14"/>
          <w:color w:val="064A75"/>
        </w:rPr>
      </w:pPr>
    </w:p>
    <w:p>
      <w:pPr>
        <w:ind w:left="386" w:hanging="192"/>
        <w:spacing w:after="0"/>
        <w:tabs>
          <w:tab w:leader="none" w:pos="386" w:val="left"/>
        </w:tabs>
        <w:numPr>
          <w:ilvl w:val="1"/>
          <w:numId w:val="92"/>
        </w:numPr>
        <w:rPr>
          <w:rFonts w:ascii="Arial" w:cs="Arial" w:eastAsia="Arial" w:hAnsi="Arial"/>
          <w:sz w:val="14"/>
          <w:szCs w:val="14"/>
          <w:color w:val="064A75"/>
        </w:rPr>
      </w:pPr>
      <w:r>
        <w:rPr>
          <w:rFonts w:ascii="Arial" w:cs="Arial" w:eastAsia="Arial" w:hAnsi="Arial"/>
          <w:sz w:val="14"/>
          <w:szCs w:val="14"/>
          <w:color w:val="auto"/>
        </w:rPr>
        <w:t>Operational risk</w:t>
      </w:r>
    </w:p>
    <w:p>
      <w:pPr>
        <w:spacing w:after="0" w:line="68" w:lineRule="exact"/>
        <w:rPr>
          <w:rFonts w:ascii="Arial" w:cs="Arial" w:eastAsia="Arial" w:hAnsi="Arial"/>
          <w:sz w:val="14"/>
          <w:szCs w:val="14"/>
          <w:color w:val="064A75"/>
        </w:rPr>
      </w:pPr>
    </w:p>
    <w:p>
      <w:pPr>
        <w:ind w:left="186" w:right="260" w:hanging="186"/>
        <w:spacing w:after="0" w:line="301" w:lineRule="auto"/>
        <w:tabs>
          <w:tab w:leader="none" w:pos="177"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Applicable primary risk management policies</w:t>
      </w:r>
    </w:p>
    <w:p>
      <w:pPr>
        <w:spacing w:after="0" w:line="1" w:lineRule="exact"/>
        <w:rPr>
          <w:rFonts w:ascii="Arial" w:cs="Arial" w:eastAsia="Arial" w:hAnsi="Arial"/>
          <w:sz w:val="14"/>
          <w:szCs w:val="14"/>
          <w:color w:val="074A75"/>
        </w:rPr>
      </w:pPr>
    </w:p>
    <w:p>
      <w:pPr>
        <w:ind w:left="186" w:right="120" w:hanging="186"/>
        <w:spacing w:after="0" w:line="285" w:lineRule="auto"/>
        <w:tabs>
          <w:tab w:leader="none" w:pos="177"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Risk appetite results and breaches</w:t>
      </w:r>
    </w:p>
    <w:p>
      <w:pPr>
        <w:spacing w:after="0" w:line="9" w:lineRule="exact"/>
        <w:rPr>
          <w:rFonts w:ascii="Arial" w:cs="Arial" w:eastAsia="Arial" w:hAnsi="Arial"/>
          <w:sz w:val="14"/>
          <w:szCs w:val="14"/>
          <w:color w:val="074A75"/>
        </w:rPr>
      </w:pPr>
    </w:p>
    <w:p>
      <w:pPr>
        <w:ind w:left="186" w:right="280" w:hanging="186"/>
        <w:spacing w:after="0" w:line="283" w:lineRule="auto"/>
        <w:tabs>
          <w:tab w:leader="none" w:pos="177"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The Firm’s capital and liquidity planning and analysis</w:t>
      </w:r>
    </w:p>
    <w:p>
      <w:pPr>
        <w:spacing w:after="0" w:line="10" w:lineRule="exact"/>
        <w:rPr>
          <w:rFonts w:ascii="Arial" w:cs="Arial" w:eastAsia="Arial" w:hAnsi="Arial"/>
          <w:sz w:val="14"/>
          <w:szCs w:val="14"/>
          <w:color w:val="074A75"/>
        </w:rPr>
      </w:pPr>
    </w:p>
    <w:p>
      <w:pPr>
        <w:jc w:val="both"/>
        <w:ind w:left="186" w:right="260" w:hanging="186"/>
        <w:spacing w:after="0" w:line="273" w:lineRule="auto"/>
        <w:tabs>
          <w:tab w:leader="none" w:pos="177"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right="15"/>
        <w:spacing w:after="0"/>
        <w:rPr>
          <w:sz w:val="20"/>
          <w:szCs w:val="20"/>
          <w:color w:val="auto"/>
        </w:rPr>
      </w:pPr>
      <w:r>
        <w:rPr>
          <w:rFonts w:ascii="Arial" w:cs="Arial" w:eastAsia="Arial" w:hAnsi="Arial"/>
          <w:sz w:val="16"/>
          <w:szCs w:val="16"/>
          <w:b w:val="1"/>
          <w:bCs w:val="1"/>
          <w:color w:val="3E693D"/>
        </w:rPr>
        <w:t>PRC</w:t>
      </w:r>
    </w:p>
    <w:p>
      <w:pPr>
        <w:spacing w:after="0" w:line="226" w:lineRule="exact"/>
        <w:rPr>
          <w:sz w:val="20"/>
          <w:szCs w:val="20"/>
          <w:color w:val="auto"/>
        </w:rPr>
      </w:pPr>
    </w:p>
    <w:p>
      <w:pPr>
        <w:ind w:left="5"/>
        <w:spacing w:after="0"/>
        <w:rPr>
          <w:sz w:val="20"/>
          <w:szCs w:val="20"/>
          <w:color w:val="auto"/>
        </w:rPr>
      </w:pPr>
      <w:r>
        <w:rPr>
          <w:rFonts w:ascii="Arial" w:cs="Arial" w:eastAsia="Arial" w:hAnsi="Arial"/>
          <w:sz w:val="14"/>
          <w:szCs w:val="14"/>
          <w:color w:val="auto"/>
        </w:rPr>
        <w:t>5 meetings in 2023</w:t>
      </w:r>
    </w:p>
    <w:p>
      <w:pPr>
        <w:spacing w:after="0" w:line="69" w:lineRule="exact"/>
        <w:rPr>
          <w:sz w:val="20"/>
          <w:szCs w:val="20"/>
          <w:color w:val="auto"/>
        </w:rPr>
      </w:pPr>
    </w:p>
    <w:p>
      <w:pPr>
        <w:ind w:left="5"/>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185" w:right="100" w:hanging="185"/>
        <w:spacing w:after="0" w:line="285" w:lineRule="auto"/>
        <w:tabs>
          <w:tab w:leader="none" w:pos="176" w:val="left"/>
        </w:tabs>
        <w:numPr>
          <w:ilvl w:val="0"/>
          <w:numId w:val="93"/>
        </w:numPr>
        <w:rPr>
          <w:rFonts w:ascii="Arial" w:cs="Arial" w:eastAsia="Arial" w:hAnsi="Arial"/>
          <w:sz w:val="14"/>
          <w:szCs w:val="14"/>
          <w:color w:val="074A75"/>
        </w:rPr>
      </w:pPr>
      <w:r>
        <w:rPr>
          <w:rFonts w:ascii="Arial" w:cs="Arial" w:eastAsia="Arial" w:hAnsi="Arial"/>
          <w:sz w:val="14"/>
          <w:szCs w:val="14"/>
          <w:color w:val="auto"/>
        </w:rPr>
        <w:t>Community investing and fair lending practices</w:t>
      </w:r>
    </w:p>
    <w:p>
      <w:pPr>
        <w:spacing w:after="0" w:line="9" w:lineRule="exact"/>
        <w:rPr>
          <w:rFonts w:ascii="Arial" w:cs="Arial" w:eastAsia="Arial" w:hAnsi="Arial"/>
          <w:sz w:val="14"/>
          <w:szCs w:val="14"/>
          <w:color w:val="074A75"/>
        </w:rPr>
      </w:pPr>
    </w:p>
    <w:p>
      <w:pPr>
        <w:ind w:left="185" w:right="80" w:hanging="185"/>
        <w:spacing w:after="0" w:line="267" w:lineRule="auto"/>
        <w:tabs>
          <w:tab w:leader="none" w:pos="176" w:val="left"/>
        </w:tabs>
        <w:numPr>
          <w:ilvl w:val="0"/>
          <w:numId w:val="93"/>
        </w:numPr>
        <w:rPr>
          <w:rFonts w:ascii="Arial" w:cs="Arial" w:eastAsia="Arial" w:hAnsi="Arial"/>
          <w:sz w:val="14"/>
          <w:szCs w:val="14"/>
          <w:color w:val="074A75"/>
        </w:rPr>
      </w:pPr>
      <w:r>
        <w:rPr>
          <w:rFonts w:ascii="Arial" w:cs="Arial" w:eastAsia="Arial" w:hAnsi="Arial"/>
          <w:sz w:val="14"/>
          <w:szCs w:val="14"/>
          <w:color w:val="auto"/>
        </w:rPr>
        <w:t>Political contributions, major lobbying priorities and principal trade association memberships related to public policy</w:t>
      </w:r>
    </w:p>
    <w:p>
      <w:pPr>
        <w:spacing w:after="0" w:line="22" w:lineRule="exact"/>
        <w:rPr>
          <w:rFonts w:ascii="Arial" w:cs="Arial" w:eastAsia="Arial" w:hAnsi="Arial"/>
          <w:sz w:val="14"/>
          <w:szCs w:val="14"/>
          <w:color w:val="074A75"/>
        </w:rPr>
      </w:pPr>
    </w:p>
    <w:p>
      <w:pPr>
        <w:ind w:left="185" w:hanging="185"/>
        <w:spacing w:after="0"/>
        <w:tabs>
          <w:tab w:leader="none" w:pos="185" w:val="left"/>
        </w:tabs>
        <w:numPr>
          <w:ilvl w:val="0"/>
          <w:numId w:val="93"/>
        </w:numPr>
        <w:rPr>
          <w:rFonts w:ascii="Arial" w:cs="Arial" w:eastAsia="Arial" w:hAnsi="Arial"/>
          <w:sz w:val="14"/>
          <w:szCs w:val="14"/>
          <w:color w:val="074A75"/>
        </w:rPr>
      </w:pPr>
      <w:r>
        <w:rPr>
          <w:rFonts w:ascii="Arial" w:cs="Arial" w:eastAsia="Arial" w:hAnsi="Arial"/>
          <w:sz w:val="14"/>
          <w:szCs w:val="14"/>
          <w:color w:val="auto"/>
        </w:rPr>
        <w:t>Sustainability</w:t>
      </w:r>
    </w:p>
    <w:p>
      <w:pPr>
        <w:spacing w:after="0" w:line="68" w:lineRule="exact"/>
        <w:rPr>
          <w:rFonts w:ascii="Arial" w:cs="Arial" w:eastAsia="Arial" w:hAnsi="Arial"/>
          <w:sz w:val="14"/>
          <w:szCs w:val="14"/>
          <w:color w:val="074A75"/>
        </w:rPr>
      </w:pPr>
    </w:p>
    <w:p>
      <w:pPr>
        <w:ind w:left="185" w:hanging="185"/>
        <w:spacing w:after="0" w:line="264" w:lineRule="auto"/>
        <w:tabs>
          <w:tab w:leader="none" w:pos="176" w:val="left"/>
        </w:tabs>
        <w:numPr>
          <w:ilvl w:val="0"/>
          <w:numId w:val="93"/>
        </w:numPr>
        <w:rPr>
          <w:rFonts w:ascii="Arial" w:cs="Arial" w:eastAsia="Arial" w:hAnsi="Arial"/>
          <w:sz w:val="14"/>
          <w:szCs w:val="14"/>
          <w:color w:val="074A75"/>
        </w:rPr>
      </w:pPr>
      <w:r>
        <w:rPr>
          <w:rFonts w:ascii="Arial" w:cs="Arial" w:eastAsia="Arial" w:hAnsi="Arial"/>
          <w:sz w:val="14"/>
          <w:szCs w:val="14"/>
          <w:color w:val="auto"/>
        </w:rPr>
        <w:t>Consumer practices, including consumer experience, consumer complaint resolution and consumer issues related to disclosures, fees or the introduction of major new products</w:t>
      </w:r>
    </w:p>
    <w:p>
      <w:pPr>
        <w:spacing w:after="0" w:line="14" w:lineRule="exact"/>
        <w:rPr>
          <w:rFonts w:ascii="Arial" w:cs="Arial" w:eastAsia="Arial" w:hAnsi="Arial"/>
          <w:sz w:val="14"/>
          <w:szCs w:val="14"/>
          <w:color w:val="074A75"/>
        </w:rPr>
      </w:pPr>
    </w:p>
    <w:p>
      <w:pPr>
        <w:jc w:val="both"/>
        <w:ind w:left="185" w:right="280" w:hanging="185"/>
        <w:spacing w:after="0" w:line="283" w:lineRule="auto"/>
        <w:tabs>
          <w:tab w:leader="none" w:pos="176" w:val="left"/>
        </w:tabs>
        <w:numPr>
          <w:ilvl w:val="0"/>
          <w:numId w:val="93"/>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404"/>
        <w:spacing w:after="0"/>
        <w:rPr>
          <w:sz w:val="20"/>
          <w:szCs w:val="20"/>
          <w:color w:val="auto"/>
        </w:rPr>
      </w:pPr>
      <w:r>
        <w:rPr>
          <w:rFonts w:ascii="Arial" w:cs="Arial" w:eastAsia="Arial" w:hAnsi="Arial"/>
          <w:sz w:val="16"/>
          <w:szCs w:val="16"/>
          <w:b w:val="1"/>
          <w:bCs w:val="1"/>
          <w:color w:val="3E693D"/>
        </w:rPr>
        <w:t>Governance</w:t>
      </w:r>
    </w:p>
    <w:p>
      <w:pPr>
        <w:spacing w:after="0" w:line="226" w:lineRule="exact"/>
        <w:rPr>
          <w:sz w:val="20"/>
          <w:szCs w:val="20"/>
          <w:color w:val="auto"/>
        </w:rPr>
      </w:pPr>
    </w:p>
    <w:p>
      <w:pPr>
        <w:ind w:left="4"/>
        <w:spacing w:after="0"/>
        <w:rPr>
          <w:sz w:val="20"/>
          <w:szCs w:val="20"/>
          <w:color w:val="auto"/>
        </w:rPr>
      </w:pPr>
      <w:r>
        <w:rPr>
          <w:rFonts w:ascii="Arial" w:cs="Arial" w:eastAsia="Arial" w:hAnsi="Arial"/>
          <w:sz w:val="14"/>
          <w:szCs w:val="14"/>
          <w:color w:val="auto"/>
        </w:rPr>
        <w:t>8 meetings in 2023</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204" w:right="260" w:hanging="204"/>
        <w:spacing w:after="0" w:line="269" w:lineRule="auto"/>
        <w:tabs>
          <w:tab w:leader="none" w:pos="195" w:val="left"/>
        </w:tabs>
        <w:numPr>
          <w:ilvl w:val="0"/>
          <w:numId w:val="94"/>
        </w:numPr>
        <w:rPr>
          <w:rFonts w:ascii="Arial" w:cs="Arial" w:eastAsia="Arial" w:hAnsi="Arial"/>
          <w:sz w:val="14"/>
          <w:szCs w:val="14"/>
          <w:color w:val="074A75"/>
        </w:rPr>
      </w:pPr>
      <w:r>
        <w:rPr>
          <w:rFonts w:ascii="Arial" w:cs="Arial" w:eastAsia="Arial" w:hAnsi="Arial"/>
          <w:sz w:val="14"/>
          <w:szCs w:val="14"/>
          <w:color w:val="auto"/>
        </w:rPr>
        <w:t>Review of the qualifications of proposed nominees for Board membership</w:t>
      </w:r>
    </w:p>
    <w:p>
      <w:pPr>
        <w:spacing w:after="0" w:line="20" w:lineRule="exact"/>
        <w:rPr>
          <w:rFonts w:ascii="Arial" w:cs="Arial" w:eastAsia="Arial" w:hAnsi="Arial"/>
          <w:sz w:val="14"/>
          <w:szCs w:val="14"/>
          <w:color w:val="074A75"/>
        </w:rPr>
      </w:pPr>
    </w:p>
    <w:p>
      <w:pPr>
        <w:jc w:val="both"/>
        <w:ind w:left="204" w:right="300" w:hanging="204"/>
        <w:spacing w:after="0" w:line="273" w:lineRule="auto"/>
        <w:tabs>
          <w:tab w:leader="none" w:pos="195" w:val="left"/>
        </w:tabs>
        <w:numPr>
          <w:ilvl w:val="0"/>
          <w:numId w:val="94"/>
        </w:numPr>
        <w:rPr>
          <w:rFonts w:ascii="Arial" w:cs="Arial" w:eastAsia="Arial" w:hAnsi="Arial"/>
          <w:sz w:val="14"/>
          <w:szCs w:val="14"/>
          <w:color w:val="074A75"/>
        </w:rPr>
      </w:pPr>
      <w:r>
        <w:rPr>
          <w:rFonts w:ascii="Arial" w:cs="Arial" w:eastAsia="Arial" w:hAnsi="Arial"/>
          <w:sz w:val="14"/>
          <w:szCs w:val="14"/>
          <w:color w:val="auto"/>
        </w:rPr>
        <w:t>Corporate governance practices applicable to the Firm</w:t>
      </w:r>
    </w:p>
    <w:p>
      <w:pPr>
        <w:spacing w:after="0" w:line="17" w:lineRule="exact"/>
        <w:rPr>
          <w:rFonts w:ascii="Arial" w:cs="Arial" w:eastAsia="Arial" w:hAnsi="Arial"/>
          <w:sz w:val="14"/>
          <w:szCs w:val="14"/>
          <w:color w:val="074A75"/>
        </w:rPr>
      </w:pPr>
    </w:p>
    <w:p>
      <w:pPr>
        <w:ind w:left="204" w:right="160" w:hanging="204"/>
        <w:spacing w:after="0" w:line="301" w:lineRule="auto"/>
        <w:tabs>
          <w:tab w:leader="none" w:pos="195" w:val="left"/>
        </w:tabs>
        <w:numPr>
          <w:ilvl w:val="0"/>
          <w:numId w:val="94"/>
        </w:numPr>
        <w:rPr>
          <w:rFonts w:ascii="Arial" w:cs="Arial" w:eastAsia="Arial" w:hAnsi="Arial"/>
          <w:sz w:val="14"/>
          <w:szCs w:val="14"/>
          <w:color w:val="074A75"/>
        </w:rPr>
      </w:pPr>
      <w:r>
        <w:rPr>
          <w:rFonts w:ascii="Arial" w:cs="Arial" w:eastAsia="Arial" w:hAnsi="Arial"/>
          <w:sz w:val="14"/>
          <w:szCs w:val="14"/>
          <w:color w:val="auto"/>
        </w:rPr>
        <w:t>The framework for the Board’s self-assessment</w:t>
      </w:r>
    </w:p>
    <w:p>
      <w:pPr>
        <w:spacing w:after="0" w:line="1" w:lineRule="exact"/>
        <w:rPr>
          <w:rFonts w:ascii="Arial" w:cs="Arial" w:eastAsia="Arial" w:hAnsi="Arial"/>
          <w:sz w:val="14"/>
          <w:szCs w:val="14"/>
          <w:color w:val="074A75"/>
        </w:rPr>
      </w:pPr>
    </w:p>
    <w:p>
      <w:pPr>
        <w:ind w:left="184" w:hanging="184"/>
        <w:spacing w:after="0"/>
        <w:tabs>
          <w:tab w:leader="none" w:pos="184" w:val="left"/>
        </w:tabs>
        <w:numPr>
          <w:ilvl w:val="0"/>
          <w:numId w:val="94"/>
        </w:numPr>
        <w:rPr>
          <w:rFonts w:ascii="Arial" w:cs="Arial" w:eastAsia="Arial" w:hAnsi="Arial"/>
          <w:sz w:val="14"/>
          <w:szCs w:val="14"/>
          <w:color w:val="074A75"/>
        </w:rPr>
      </w:pPr>
      <w:r>
        <w:rPr>
          <w:rFonts w:ascii="Arial" w:cs="Arial" w:eastAsia="Arial" w:hAnsi="Arial"/>
          <w:sz w:val="14"/>
          <w:szCs w:val="14"/>
          <w:color w:val="auto"/>
        </w:rPr>
        <w:t>Shareholder matters</w:t>
      </w:r>
    </w:p>
    <w:p>
      <w:pPr>
        <w:spacing w:after="0" w:line="68" w:lineRule="exact"/>
        <w:rPr>
          <w:rFonts w:ascii="Arial" w:cs="Arial" w:eastAsia="Arial" w:hAnsi="Arial"/>
          <w:sz w:val="14"/>
          <w:szCs w:val="14"/>
          <w:color w:val="074A75"/>
        </w:rPr>
      </w:pPr>
    </w:p>
    <w:p>
      <w:pPr>
        <w:ind w:left="204" w:right="380" w:hanging="204"/>
        <w:spacing w:after="0" w:line="285" w:lineRule="auto"/>
        <w:tabs>
          <w:tab w:leader="none" w:pos="195" w:val="left"/>
        </w:tabs>
        <w:numPr>
          <w:ilvl w:val="0"/>
          <w:numId w:val="94"/>
        </w:numPr>
        <w:rPr>
          <w:rFonts w:ascii="Arial" w:cs="Arial" w:eastAsia="Arial" w:hAnsi="Arial"/>
          <w:sz w:val="14"/>
          <w:szCs w:val="14"/>
          <w:color w:val="074A75"/>
        </w:rPr>
      </w:pPr>
      <w:r>
        <w:rPr>
          <w:rFonts w:ascii="Arial" w:cs="Arial" w:eastAsia="Arial" w:hAnsi="Arial"/>
          <w:sz w:val="14"/>
          <w:szCs w:val="14"/>
          <w:color w:val="auto"/>
        </w:rPr>
        <w:t>Board and committee composition</w:t>
      </w:r>
    </w:p>
    <w:p>
      <w:pPr>
        <w:spacing w:after="0" w:line="9" w:lineRule="exact"/>
        <w:rPr>
          <w:rFonts w:ascii="Arial" w:cs="Arial" w:eastAsia="Arial" w:hAnsi="Arial"/>
          <w:sz w:val="14"/>
          <w:szCs w:val="14"/>
          <w:color w:val="074A75"/>
        </w:rPr>
      </w:pPr>
    </w:p>
    <w:p>
      <w:pPr>
        <w:jc w:val="both"/>
        <w:ind w:left="204" w:right="300" w:hanging="204"/>
        <w:spacing w:after="0" w:line="283" w:lineRule="auto"/>
        <w:tabs>
          <w:tab w:leader="none" w:pos="195" w:val="left"/>
        </w:tabs>
        <w:numPr>
          <w:ilvl w:val="0"/>
          <w:numId w:val="94"/>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35" w:lineRule="exact"/>
        <w:rPr>
          <w:sz w:val="20"/>
          <w:szCs w:val="20"/>
          <w:color w:val="auto"/>
        </w:rPr>
      </w:pPr>
    </w:p>
    <w:p>
      <w:pPr>
        <w:sectPr>
          <w:pgSz w:w="11900" w:h="16838" w:orient="portrait"/>
          <w:cols w:equalWidth="0" w:num="5">
            <w:col w:w="2360" w:space="300"/>
            <w:col w:w="1880" w:space="314"/>
            <w:col w:w="1886" w:space="355"/>
            <w:col w:w="1905" w:space="336"/>
            <w:col w:w="1924"/>
          </w:cols>
          <w:pgMar w:left="320" w:top="157" w:right="319" w:bottom="1440" w:gutter="0" w:footer="0" w:header="0"/>
          <w:type w:val="continuous"/>
        </w:sectPr>
      </w:pPr>
    </w:p>
    <w:p>
      <w:pPr>
        <w:spacing w:after="0" w:line="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more information about committee responsibilities, see Committee Charters available at: jpmorganchase.com/about/governance/board-committees.</w:t>
      </w:r>
    </w:p>
    <w:p>
      <w:pPr>
        <w:sectPr>
          <w:pgSz w:w="11900" w:h="16838" w:orient="portrait"/>
          <w:cols w:equalWidth="0" w:num="1">
            <w:col w:w="11260"/>
          </w:cols>
          <w:pgMar w:left="320" w:top="157" w:right="31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74A75"/>
        </w:rPr>
        <w:t>Other standing committees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has two additional standing committees: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Stock Committee: </w:t>
      </w:r>
      <w:r>
        <w:rPr>
          <w:rFonts w:ascii="Arial" w:cs="Arial" w:eastAsia="Arial" w:hAnsi="Arial"/>
          <w:sz w:val="18"/>
          <w:szCs w:val="18"/>
          <w:color w:val="auto"/>
        </w:rPr>
        <w:t>The committee is responsible for implementing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declaration of dividends, authorizing the issuance of stock, administering the dividend reinvestment plan and implementing share repurchase plans. The committee acts within Board-approved limitations and capital plans.</w:t>
      </w:r>
    </w:p>
    <w:p>
      <w:pPr>
        <w:spacing w:after="0" w:line="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The committee may exercise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of the Board that lawfully may be delegated, but with the expectation that it will not take material actions absent special circumstances.</w:t>
      </w:r>
    </w:p>
    <w:p>
      <w:pPr>
        <w:spacing w:after="0" w:line="68"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The Board may establish additional standing committees as needed.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074A75"/>
        </w:rPr>
        <w:t>Specific purpose committees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Board establishes Specific Purpose Committees as appropriate to address specific issues. The Board currently has two such committees, the Markets Compliance Committee and the Omnibus Committee. The Markets Compliance Committee provides oversight in connection with certain markets-related matters, including the Deferred Prosecution Agreement entered into with the U.S. Department of Justice to resolve the Firm's precious metals and U.S. Treasuries investigations and issues related to trading venues and trade surveillance data feeds.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Omnibus Committee reviews matters delegated by the Board.</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the Firm achieves its objectives in a specific area, the work of the relevant Specific Purpose Committee will be concluded and the Committee appropriately disbanded.</w:t>
      </w:r>
    </w:p>
    <w:p>
      <w:pPr>
        <w:spacing w:after="0" w:line="2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Additional Specific Purpose Committees may be established from time to time in the future to address particular issues.</w:t>
      </w:r>
    </w:p>
    <w:p>
      <w:pPr>
        <w:spacing w:after="0" w:line="200" w:lineRule="exact"/>
        <w:rPr>
          <w:sz w:val="20"/>
          <w:szCs w:val="20"/>
          <w:color w:val="auto"/>
        </w:rPr>
      </w:pPr>
    </w:p>
    <w:p>
      <w:pPr>
        <w:sectPr>
          <w:pgSz w:w="11900" w:h="16838" w:orient="portrait"/>
          <w:cols w:equalWidth="0" w:num="2">
            <w:col w:w="5300" w:space="440"/>
            <w:col w:w="5520"/>
          </w:cols>
          <w:pgMar w:left="320" w:top="157" w:right="319" w:bottom="1440" w:gutter="0" w:footer="0" w:header="0"/>
          <w:type w:val="continuous"/>
        </w:sectPr>
      </w:pP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217805</wp:posOffset>
            </wp:positionV>
            <wp:extent cx="76835" cy="146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217805</wp:posOffset>
            </wp:positionV>
            <wp:extent cx="77470" cy="146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217805</wp:posOffset>
            </wp:positionV>
            <wp:extent cx="76835" cy="146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3"/>
                <w:szCs w:val="23"/>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c>
          <w:tcPr>
            <w:tcW w:w="66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40" w:type="dxa"/>
            <w:vAlign w:val="bottom"/>
          </w:tcPr>
          <w:p>
            <w:pPr>
              <w:spacing w:after="0"/>
              <w:rPr>
                <w:sz w:val="4"/>
                <w:szCs w:val="4"/>
                <w:color w:val="auto"/>
              </w:rPr>
            </w:pPr>
          </w:p>
        </w:tc>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074A75"/>
        </w:rPr>
        <w:t>Current board committee membership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074A75"/>
              </w:rPr>
              <w:t>Specific</w:t>
            </w:r>
          </w:p>
        </w:tc>
      </w:tr>
      <w:tr>
        <w:trPr>
          <w:trHeight w:val="244"/>
        </w:trPr>
        <w:tc>
          <w:tcPr>
            <w:tcW w:w="31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Director</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w w:val="98"/>
              </w:rPr>
              <w:t>Audit</w:t>
            </w:r>
          </w:p>
        </w:tc>
        <w:tc>
          <w:tcPr>
            <w:tcW w:w="156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w w:val="99"/>
              </w:rPr>
              <w:t>CMDC</w:t>
            </w:r>
          </w:p>
        </w:tc>
        <w:tc>
          <w:tcPr>
            <w:tcW w:w="136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Governance</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PRC</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Risk</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w w:val="97"/>
              </w:rPr>
              <w:t>Purpose</w:t>
            </w:r>
            <w:r>
              <w:rPr>
                <w:rFonts w:ascii="Arial" w:cs="Arial" w:eastAsia="Arial" w:hAnsi="Arial"/>
                <w:sz w:val="21"/>
                <w:szCs w:val="21"/>
                <w:color w:val="074A75"/>
                <w:w w:val="97"/>
                <w:vertAlign w:val="superscript"/>
              </w:rPr>
              <w:t>1</w:t>
            </w:r>
          </w:p>
        </w:tc>
      </w:tr>
      <w:tr>
        <w:trPr>
          <w:trHeight w:val="237"/>
        </w:trPr>
        <w:tc>
          <w:tcPr>
            <w:tcW w:w="3140" w:type="dxa"/>
            <w:vAlign w:val="bottom"/>
            <w:tcBorders>
              <w:bottom w:val="single" w:sz="8" w:color="454545"/>
              <w:right w:val="single" w:sz="8" w:color="454545"/>
            </w:tcBorders>
          </w:tcPr>
          <w:p>
            <w:pPr>
              <w:ind w:left="20"/>
              <w:spacing w:after="0" w:line="237" w:lineRule="exact"/>
              <w:rPr>
                <w:sz w:val="20"/>
                <w:szCs w:val="20"/>
                <w:color w:val="auto"/>
              </w:rPr>
            </w:pPr>
            <w:r>
              <w:rPr>
                <w:rFonts w:ascii="Arial" w:cs="Arial" w:eastAsia="Arial" w:hAnsi="Arial"/>
                <w:sz w:val="16"/>
                <w:szCs w:val="16"/>
                <w:b w:val="1"/>
                <w:bCs w:val="1"/>
                <w:color w:val="auto"/>
              </w:rPr>
              <w:t>Stephen B. Burke</w:t>
            </w:r>
            <w:r>
              <w:rPr>
                <w:rFonts w:ascii="Arial" w:cs="Arial" w:eastAsia="Arial" w:hAnsi="Arial"/>
                <w:sz w:val="21"/>
                <w:szCs w:val="21"/>
                <w:b w:val="1"/>
                <w:bCs w:val="1"/>
                <w:color w:val="auto"/>
                <w:vertAlign w:val="superscript"/>
              </w:rPr>
              <w:t>2</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w w:val="99"/>
              </w:rPr>
              <w:t>Chair</w:t>
            </w:r>
          </w:p>
        </w:tc>
        <w:tc>
          <w:tcPr>
            <w:tcW w:w="13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33"/>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Linda B. Bammann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B</w:t>
            </w: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Todd A. Combs</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36"/>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Alicia Boler Davis</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40"/>
        </w:trPr>
        <w:tc>
          <w:tcPr>
            <w:tcW w:w="3140" w:type="dxa"/>
            <w:vAlign w:val="bottom"/>
            <w:tcBorders>
              <w:bottom w:val="single" w:sz="8" w:color="454545"/>
              <w:right w:val="single" w:sz="8" w:color="454545"/>
            </w:tcBorders>
          </w:tcPr>
          <w:p>
            <w:pPr>
              <w:ind w:left="20"/>
              <w:spacing w:after="0" w:line="240" w:lineRule="exact"/>
              <w:rPr>
                <w:sz w:val="20"/>
                <w:szCs w:val="20"/>
                <w:color w:val="auto"/>
              </w:rPr>
            </w:pPr>
            <w:r>
              <w:rPr>
                <w:rFonts w:ascii="Arial" w:cs="Arial" w:eastAsia="Arial" w:hAnsi="Arial"/>
                <w:sz w:val="16"/>
                <w:szCs w:val="16"/>
                <w:b w:val="1"/>
                <w:bCs w:val="1"/>
                <w:color w:val="auto"/>
              </w:rPr>
              <w:t>Timothy P. Flynn</w:t>
            </w:r>
            <w:r>
              <w:rPr>
                <w:rFonts w:ascii="Arial" w:cs="Arial" w:eastAsia="Arial" w:hAnsi="Arial"/>
                <w:sz w:val="21"/>
                <w:szCs w:val="21"/>
                <w:b w:val="1"/>
                <w:bCs w:val="1"/>
                <w:color w:val="auto"/>
                <w:vertAlign w:val="superscript"/>
              </w:rPr>
              <w:t>3</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line="237" w:lineRule="exact"/>
              <w:rPr>
                <w:sz w:val="20"/>
                <w:szCs w:val="20"/>
                <w:color w:val="auto"/>
              </w:rPr>
            </w:pPr>
            <w:r>
              <w:rPr>
                <w:rFonts w:ascii="Arial" w:cs="Arial" w:eastAsia="Arial" w:hAnsi="Arial"/>
                <w:sz w:val="16"/>
                <w:szCs w:val="16"/>
                <w:b w:val="1"/>
                <w:bCs w:val="1"/>
                <w:color w:val="auto"/>
              </w:rPr>
              <w:t>Alex Gorsky</w:t>
            </w:r>
            <w:r>
              <w:rPr>
                <w:rFonts w:ascii="Arial" w:cs="Arial" w:eastAsia="Arial" w:hAnsi="Arial"/>
                <w:sz w:val="21"/>
                <w:szCs w:val="21"/>
                <w:b w:val="1"/>
                <w:bCs w:val="1"/>
                <w:color w:val="auto"/>
                <w:vertAlign w:val="superscript"/>
              </w:rPr>
              <w:t>4</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280" w:type="dxa"/>
            <w:vAlign w:val="bottom"/>
            <w:tcBorders>
              <w:bottom w:val="single" w:sz="8" w:color="454545"/>
            </w:tcBorders>
          </w:tcPr>
          <w:p>
            <w:pPr>
              <w:spacing w:after="0"/>
              <w:rPr>
                <w:sz w:val="20"/>
                <w:szCs w:val="20"/>
                <w:color w:val="auto"/>
              </w:rPr>
            </w:pPr>
          </w:p>
        </w:tc>
      </w:tr>
      <w:tr>
        <w:trPr>
          <w:trHeight w:val="233"/>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Mellody Hobson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40"/>
        </w:trPr>
        <w:tc>
          <w:tcPr>
            <w:tcW w:w="3140" w:type="dxa"/>
            <w:vAlign w:val="bottom"/>
            <w:tcBorders>
              <w:bottom w:val="single" w:sz="8" w:color="454545"/>
              <w:right w:val="single" w:sz="8" w:color="454545"/>
            </w:tcBorders>
          </w:tcPr>
          <w:p>
            <w:pPr>
              <w:ind w:left="20"/>
              <w:spacing w:after="0" w:line="240" w:lineRule="exact"/>
              <w:rPr>
                <w:sz w:val="20"/>
                <w:szCs w:val="20"/>
                <w:color w:val="auto"/>
              </w:rPr>
            </w:pPr>
            <w:r>
              <w:rPr>
                <w:rFonts w:ascii="Arial" w:cs="Arial" w:eastAsia="Arial" w:hAnsi="Arial"/>
                <w:sz w:val="16"/>
                <w:szCs w:val="16"/>
                <w:b w:val="1"/>
                <w:bCs w:val="1"/>
                <w:color w:val="auto"/>
              </w:rPr>
              <w:t>Michael A. Neal</w:t>
            </w:r>
            <w:r>
              <w:rPr>
                <w:rFonts w:ascii="Arial" w:cs="Arial" w:eastAsia="Arial" w:hAnsi="Arial"/>
                <w:sz w:val="21"/>
                <w:szCs w:val="21"/>
                <w:b w:val="1"/>
                <w:bCs w:val="1"/>
                <w:color w:val="auto"/>
                <w:vertAlign w:val="superscript"/>
              </w:rPr>
              <w:t>5</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B</w:t>
            </w:r>
          </w:p>
        </w:tc>
      </w:tr>
      <w:tr>
        <w:trPr>
          <w:trHeight w:val="233"/>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Phebe N. Novakovic</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Virginia M. Rometty</w:t>
            </w:r>
          </w:p>
        </w:tc>
        <w:tc>
          <w:tcPr>
            <w:tcW w:w="1300" w:type="dxa"/>
            <w:vAlign w:val="bottom"/>
            <w:tcBorders>
              <w:bottom w:val="single" w:sz="8" w:color="auto"/>
              <w:right w:val="single" w:sz="8" w:color="454545"/>
            </w:tcBorders>
          </w:tcPr>
          <w:p>
            <w:pPr>
              <w:spacing w:after="0"/>
              <w:rPr>
                <w:sz w:val="20"/>
                <w:szCs w:val="20"/>
                <w:color w:val="auto"/>
              </w:rPr>
            </w:pPr>
          </w:p>
        </w:tc>
        <w:tc>
          <w:tcPr>
            <w:tcW w:w="1560" w:type="dxa"/>
            <w:vAlign w:val="bottom"/>
            <w:tcBorders>
              <w:bottom w:val="single" w:sz="8" w:color="auto"/>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auto"/>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auto"/>
              <w:right w:val="single" w:sz="8" w:color="454545"/>
            </w:tcBorders>
          </w:tcPr>
          <w:p>
            <w:pPr>
              <w:spacing w:after="0"/>
              <w:rPr>
                <w:sz w:val="20"/>
                <w:szCs w:val="20"/>
                <w:color w:val="auto"/>
              </w:rPr>
            </w:pPr>
          </w:p>
        </w:tc>
        <w:tc>
          <w:tcPr>
            <w:tcW w:w="1300" w:type="dxa"/>
            <w:vAlign w:val="bottom"/>
            <w:tcBorders>
              <w:bottom w:val="single" w:sz="8" w:color="auto"/>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40"/>
        </w:trPr>
        <w:tc>
          <w:tcPr>
            <w:tcW w:w="3140" w:type="dxa"/>
            <w:vAlign w:val="bottom"/>
            <w:tcBorders>
              <w:bottom w:val="single" w:sz="8" w:color="auto"/>
              <w:right w:val="single" w:sz="8" w:color="auto"/>
            </w:tcBorders>
          </w:tcPr>
          <w:p>
            <w:pPr>
              <w:ind w:left="20"/>
              <w:spacing w:after="0" w:line="240" w:lineRule="exact"/>
              <w:rPr>
                <w:sz w:val="20"/>
                <w:szCs w:val="20"/>
                <w:color w:val="auto"/>
              </w:rPr>
            </w:pPr>
            <w:r>
              <w:rPr>
                <w:rFonts w:ascii="Arial" w:cs="Arial" w:eastAsia="Arial" w:hAnsi="Arial"/>
                <w:sz w:val="16"/>
                <w:szCs w:val="16"/>
                <w:b w:val="1"/>
                <w:bCs w:val="1"/>
                <w:color w:val="auto"/>
              </w:rPr>
              <w:t>Mark A. Weinberger</w:t>
            </w:r>
            <w:r>
              <w:rPr>
                <w:rFonts w:ascii="Arial" w:cs="Arial" w:eastAsia="Arial" w:hAnsi="Arial"/>
                <w:sz w:val="21"/>
                <w:szCs w:val="21"/>
                <w:b w:val="1"/>
                <w:bCs w:val="1"/>
                <w:color w:val="auto"/>
                <w:vertAlign w:val="superscript"/>
              </w:rPr>
              <w:t>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Member</w:t>
            </w:r>
          </w:p>
        </w:tc>
        <w:tc>
          <w:tcPr>
            <w:tcW w:w="15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171" w:lineRule="exact"/>
        <w:rPr>
          <w:sz w:val="20"/>
          <w:szCs w:val="20"/>
          <w:color w:val="auto"/>
        </w:rPr>
      </w:pPr>
    </w:p>
    <w:p>
      <w:pPr>
        <w:ind w:left="200" w:right="7900" w:hanging="192"/>
        <w:spacing w:after="0" w:line="236" w:lineRule="auto"/>
        <w:tabs>
          <w:tab w:leader="none" w:pos="199" w:val="left"/>
        </w:tabs>
        <w:numPr>
          <w:ilvl w:val="0"/>
          <w:numId w:val="95"/>
        </w:numPr>
        <w:rPr>
          <w:rFonts w:ascii="Arial" w:cs="Arial" w:eastAsia="Arial" w:hAnsi="Arial"/>
          <w:sz w:val="16"/>
          <w:szCs w:val="16"/>
          <w:color w:val="auto"/>
          <w:vertAlign w:val="superscript"/>
        </w:rPr>
      </w:pPr>
      <w:r>
        <w:rPr>
          <w:rFonts w:ascii="Arial" w:cs="Arial" w:eastAsia="Arial" w:hAnsi="Arial"/>
          <w:sz w:val="13"/>
          <w:szCs w:val="13"/>
          <w:color w:val="auto"/>
        </w:rPr>
        <w:t>The Board’s Specific Purpose Committees in 2023 were: A – Markets Compliance Committee</w:t>
      </w:r>
    </w:p>
    <w:p>
      <w:pPr>
        <w:spacing w:after="0" w:line="107" w:lineRule="exact"/>
        <w:rPr>
          <w:sz w:val="20"/>
          <w:szCs w:val="20"/>
          <w:color w:val="auto"/>
        </w:rPr>
      </w:pPr>
    </w:p>
    <w:p>
      <w:pPr>
        <w:ind w:left="200" w:hanging="192"/>
        <w:spacing w:after="0"/>
        <w:tabs>
          <w:tab w:leader="none" w:pos="200" w:val="left"/>
        </w:tabs>
        <w:numPr>
          <w:ilvl w:val="0"/>
          <w:numId w:val="96"/>
        </w:numPr>
        <w:rPr>
          <w:rFonts w:ascii="Arial" w:cs="Arial" w:eastAsia="Arial" w:hAnsi="Arial"/>
          <w:sz w:val="16"/>
          <w:szCs w:val="16"/>
          <w:color w:val="auto"/>
          <w:vertAlign w:val="superscript"/>
        </w:rPr>
      </w:pPr>
      <w:r>
        <w:rPr>
          <w:rFonts w:ascii="Arial" w:cs="Arial" w:eastAsia="Arial" w:hAnsi="Arial"/>
          <w:sz w:val="13"/>
          <w:szCs w:val="13"/>
          <w:color w:val="auto"/>
        </w:rPr>
        <w:t>Lead Independent Director</w:t>
      </w:r>
    </w:p>
    <w:p>
      <w:pPr>
        <w:ind w:left="200" w:hanging="192"/>
        <w:spacing w:after="0" w:line="193" w:lineRule="auto"/>
        <w:tabs>
          <w:tab w:leader="none" w:pos="200" w:val="left"/>
        </w:tabs>
        <w:numPr>
          <w:ilvl w:val="0"/>
          <w:numId w:val="97"/>
        </w:numPr>
        <w:rPr>
          <w:rFonts w:ascii="Arial" w:cs="Arial" w:eastAsia="Arial" w:hAnsi="Arial"/>
          <w:sz w:val="16"/>
          <w:szCs w:val="16"/>
          <w:color w:val="auto"/>
          <w:vertAlign w:val="superscript"/>
        </w:rPr>
      </w:pPr>
      <w:r>
        <w:rPr>
          <w:rFonts w:ascii="Arial" w:cs="Arial" w:eastAsia="Arial" w:hAnsi="Arial"/>
          <w:sz w:val="13"/>
          <w:szCs w:val="13"/>
          <w:color w:val="auto"/>
        </w:rPr>
        <w:t>Mr. Flynn is not standing for re-election when his term expires on the eve of this year's annual meeting</w:t>
      </w:r>
    </w:p>
    <w:p>
      <w:pPr>
        <w:ind w:left="200" w:hanging="192"/>
        <w:spacing w:after="0" w:line="194" w:lineRule="auto"/>
        <w:tabs>
          <w:tab w:leader="none" w:pos="200" w:val="left"/>
        </w:tabs>
        <w:numPr>
          <w:ilvl w:val="0"/>
          <w:numId w:val="98"/>
        </w:numPr>
        <w:rPr>
          <w:rFonts w:ascii="Arial" w:cs="Arial" w:eastAsia="Arial" w:hAnsi="Arial"/>
          <w:sz w:val="16"/>
          <w:szCs w:val="16"/>
          <w:color w:val="auto"/>
          <w:vertAlign w:val="superscript"/>
        </w:rPr>
      </w:pPr>
      <w:r>
        <w:rPr>
          <w:rFonts w:ascii="Arial" w:cs="Arial" w:eastAsia="Arial" w:hAnsi="Arial"/>
          <w:sz w:val="13"/>
          <w:szCs w:val="13"/>
          <w:color w:val="auto"/>
        </w:rPr>
        <w:t>If elected, Mr. Gorsky will serve on the Audit and Public Responsibility Committees, concluding his service on the Risk Committee</w:t>
      </w:r>
    </w:p>
    <w:p>
      <w:pPr>
        <w:ind w:left="200" w:hanging="192"/>
        <w:spacing w:after="0" w:line="194" w:lineRule="auto"/>
        <w:tabs>
          <w:tab w:leader="none" w:pos="200" w:val="left"/>
        </w:tabs>
        <w:numPr>
          <w:ilvl w:val="0"/>
          <w:numId w:val="99"/>
        </w:numPr>
        <w:rPr>
          <w:rFonts w:ascii="Arial" w:cs="Arial" w:eastAsia="Arial" w:hAnsi="Arial"/>
          <w:sz w:val="16"/>
          <w:szCs w:val="16"/>
          <w:color w:val="auto"/>
          <w:vertAlign w:val="superscript"/>
        </w:rPr>
      </w:pPr>
      <w:r>
        <w:rPr>
          <w:rFonts w:ascii="Arial" w:cs="Arial" w:eastAsia="Arial" w:hAnsi="Arial"/>
          <w:sz w:val="13"/>
          <w:szCs w:val="13"/>
          <w:color w:val="auto"/>
        </w:rPr>
        <w:t>Mr. Neal is not standing for re-election when his term expires on the eve of this year's annual meeting</w:t>
      </w:r>
    </w:p>
    <w:p>
      <w:pPr>
        <w:ind w:left="200" w:hanging="192"/>
        <w:spacing w:after="0" w:line="219" w:lineRule="auto"/>
        <w:tabs>
          <w:tab w:leader="none" w:pos="200" w:val="left"/>
        </w:tabs>
        <w:numPr>
          <w:ilvl w:val="0"/>
          <w:numId w:val="100"/>
        </w:numPr>
        <w:rPr>
          <w:rFonts w:ascii="Arial" w:cs="Arial" w:eastAsia="Arial" w:hAnsi="Arial"/>
          <w:sz w:val="16"/>
          <w:szCs w:val="16"/>
          <w:color w:val="auto"/>
          <w:vertAlign w:val="superscript"/>
        </w:rPr>
      </w:pPr>
      <w:r>
        <w:rPr>
          <w:rFonts w:ascii="Arial" w:cs="Arial" w:eastAsia="Arial" w:hAnsi="Arial"/>
          <w:sz w:val="13"/>
          <w:szCs w:val="13"/>
          <w:color w:val="auto"/>
        </w:rPr>
        <w:t>If elected, Mr. Weinberger will serve as the Chair of the Audit Committee</w:t>
      </w:r>
    </w:p>
    <w:p>
      <w:pPr>
        <w:spacing w:after="0" w:line="9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Mr. Weinberger was elected to the Board and appointed as a member of the Audit Committee in January 2024. All other directors of the Firm were elected by shareholders in 2023. All of the directors of the Firm comprise the full Boards of JPMorgan Chase Bank, National Association (the “Bank”) and an intermediate holding company, JPMorgan Chase Holdings LLC (the “IHC”). Mr. Burke is the independent Chair of the Board of the Bank; IHC does not have a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252730</wp:posOffset>
            </wp:positionV>
            <wp:extent cx="274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23  </w:t>
      </w:r>
      <w:r>
        <w:rPr>
          <w:sz w:val="1"/>
          <w:szCs w:val="1"/>
          <w:color w:val="auto"/>
        </w:rPr>
        <w:drawing>
          <wp:inline distT="0" distB="0" distL="0" distR="0">
            <wp:extent cx="2203450" cy="15430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269240</wp:posOffset>
            </wp:positionV>
            <wp:extent cx="76835" cy="1454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269240</wp:posOffset>
            </wp:positionV>
            <wp:extent cx="77470" cy="145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269240</wp:posOffset>
            </wp:positionV>
            <wp:extent cx="76835" cy="145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40" w:type="dxa"/>
            <w:vAlign w:val="bottom"/>
          </w:tcPr>
          <w:p>
            <w:pPr>
              <w:spacing w:after="0"/>
              <w:rPr>
                <w:sz w:val="23"/>
                <w:szCs w:val="23"/>
                <w:color w:val="auto"/>
              </w:rPr>
            </w:pPr>
          </w:p>
        </w:tc>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governance</w:t>
            </w:r>
          </w:p>
        </w:tc>
        <w:tc>
          <w:tcPr>
            <w:tcW w:w="66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40" w:type="dxa"/>
            <w:vAlign w:val="bottom"/>
          </w:tcPr>
          <w:p>
            <w:pPr>
              <w:spacing w:after="0"/>
              <w:rPr>
                <w:sz w:val="4"/>
                <w:szCs w:val="4"/>
                <w:color w:val="auto"/>
              </w:rPr>
            </w:pPr>
          </w:p>
        </w:tc>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157" w:lineRule="exact"/>
        <w:rPr>
          <w:sz w:val="20"/>
          <w:szCs w:val="20"/>
          <w:color w:val="auto"/>
        </w:rPr>
      </w:pPr>
    </w:p>
    <w:p>
      <w:pPr>
        <w:sectPr>
          <w:pgSz w:w="11900" w:h="16838" w:orient="portrait"/>
          <w:cols w:equalWidth="0" w:num="1">
            <w:col w:w="11260"/>
          </w:cols>
          <w:pgMar w:left="320" w:top="157" w:right="319" w:bottom="1440" w:gutter="0" w:footer="0" w:header="0"/>
        </w:sectPr>
      </w:pPr>
    </w:p>
    <w:p>
      <w:pPr>
        <w:spacing w:after="0"/>
        <w:rPr>
          <w:sz w:val="20"/>
          <w:szCs w:val="20"/>
          <w:color w:val="auto"/>
        </w:rPr>
      </w:pPr>
      <w:r>
        <w:rPr>
          <w:rFonts w:ascii="Arial" w:cs="Arial" w:eastAsia="Arial" w:hAnsi="Arial"/>
          <w:sz w:val="29"/>
          <w:szCs w:val="29"/>
          <w:color w:val="074A75"/>
        </w:rPr>
        <w:t>Board and committee self-assessment</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conducts an annual self-assessment aimed at enhancing its effectiveness. Through this practice, including an assessment of its policies, procedures and performance, the Board identifies areas for further consideration and improvement. In assessing itself, the Board takes a multi-year perspective. The Board self-assessment is guided by the Lead Independent Director and is conducted in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3411855" cy="4972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11855" cy="497205"/>
                    </a:xfrm>
                    <a:prstGeom prst="rect">
                      <a:avLst/>
                    </a:prstGeom>
                    <a:noFill/>
                  </pic:spPr>
                </pic:pic>
              </a:graphicData>
            </a:graphic>
          </wp:anchor>
        </w:drawing>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Self-assessment framework</w:t>
      </w:r>
    </w:p>
    <w:p>
      <w:pPr>
        <w:spacing w:after="0" w:line="31" w:lineRule="exact"/>
        <w:rPr>
          <w:sz w:val="20"/>
          <w:szCs w:val="20"/>
          <w:color w:val="auto"/>
        </w:rPr>
      </w:pPr>
    </w:p>
    <w:p>
      <w:pPr>
        <w:ind w:left="100" w:right="440"/>
        <w:spacing w:after="0" w:line="272" w:lineRule="auto"/>
        <w:rPr>
          <w:sz w:val="20"/>
          <w:szCs w:val="20"/>
          <w:color w:val="auto"/>
        </w:rPr>
      </w:pPr>
      <w:r>
        <w:rPr>
          <w:rFonts w:ascii="Arial" w:cs="Arial" w:eastAsia="Arial" w:hAnsi="Arial"/>
          <w:sz w:val="16"/>
          <w:szCs w:val="16"/>
          <w:color w:val="auto"/>
        </w:rPr>
        <w:t>The Governance Committee reviews and provides feedback on the annual self-assessment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3411855" cy="27006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11855" cy="27006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Board and Committee assessments</w:t>
      </w:r>
    </w:p>
    <w:p>
      <w:pPr>
        <w:spacing w:after="0" w:line="31" w:lineRule="exact"/>
        <w:rPr>
          <w:sz w:val="20"/>
          <w:szCs w:val="20"/>
          <w:color w:val="auto"/>
        </w:rPr>
      </w:pPr>
    </w:p>
    <w:p>
      <w:pPr>
        <w:ind w:left="100" w:right="100"/>
        <w:spacing w:after="0" w:line="258" w:lineRule="auto"/>
        <w:rPr>
          <w:sz w:val="20"/>
          <w:szCs w:val="20"/>
          <w:color w:val="auto"/>
        </w:rPr>
      </w:pPr>
      <w:r>
        <w:rPr>
          <w:rFonts w:ascii="Arial" w:cs="Arial" w:eastAsia="Arial" w:hAnsi="Arial"/>
          <w:sz w:val="16"/>
          <w:szCs w:val="16"/>
          <w:color w:val="auto"/>
        </w:rPr>
        <w:t>The Board reviews the actions taken in response to the previous year’s self-assessment and reviews the Board’s performance against regulatory requirements, including its responsibilities under the Office of the Comptroller of the Currency's “Heightened Standards” for large national banks, as well as the Federal Reserve's Supervisory Guidance on Board of Directors' Effectiveness.</w:t>
      </w:r>
    </w:p>
    <w:p>
      <w:pPr>
        <w:spacing w:after="0" w:line="72" w:lineRule="exact"/>
        <w:rPr>
          <w:sz w:val="20"/>
          <w:szCs w:val="20"/>
          <w:color w:val="auto"/>
        </w:rPr>
      </w:pPr>
    </w:p>
    <w:p>
      <w:pPr>
        <w:ind w:left="100" w:right="60"/>
        <w:spacing w:after="0" w:line="265" w:lineRule="auto"/>
        <w:rPr>
          <w:sz w:val="20"/>
          <w:szCs w:val="20"/>
          <w:color w:val="auto"/>
        </w:rPr>
      </w:pPr>
      <w:r>
        <w:rPr>
          <w:rFonts w:ascii="Arial" w:cs="Arial" w:eastAsia="Arial" w:hAnsi="Arial"/>
          <w:sz w:val="16"/>
          <w:szCs w:val="16"/>
          <w:color w:val="auto"/>
        </w:rPr>
        <w:t>Topics addressed in the Board assessment generally include: strategic priorities; Board composition and structure; how the Board spends its time; oversight of and interaction with management; oversight of culture; diversity and talent, and related risk controls framework; committee effectiveness; and specific matters that may be relevant.</w:t>
      </w:r>
    </w:p>
    <w:p>
      <w:pPr>
        <w:spacing w:after="0" w:line="64" w:lineRule="exact"/>
        <w:rPr>
          <w:sz w:val="20"/>
          <w:szCs w:val="20"/>
          <w:color w:val="auto"/>
        </w:rPr>
      </w:pPr>
    </w:p>
    <w:p>
      <w:pPr>
        <w:ind w:left="100" w:right="100"/>
        <w:spacing w:after="0" w:line="261" w:lineRule="auto"/>
        <w:rPr>
          <w:sz w:val="20"/>
          <w:szCs w:val="20"/>
          <w:color w:val="auto"/>
        </w:rPr>
      </w:pPr>
      <w:r>
        <w:rPr>
          <w:rFonts w:ascii="Arial" w:cs="Arial" w:eastAsia="Arial" w:hAnsi="Arial"/>
          <w:sz w:val="16"/>
          <w:szCs w:val="16"/>
          <w:color w:val="auto"/>
        </w:rPr>
        <w:t>Each principal standing committee conducts a self-assessment that includes a review of performance against committee charter requirements and focuses on committee agenda planning and the flow of information received from management. Committee discussion topics include committee composition and effectiveness, leadership, and the content and quality of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3411855" cy="814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11855" cy="8147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69850</wp:posOffset>
            </wp:positionV>
            <wp:extent cx="240030" cy="1200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003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color w:val="074A75"/>
        </w:rPr>
        <w:t>Director education</w:t>
      </w:r>
    </w:p>
    <w:p>
      <w:pPr>
        <w:spacing w:after="0" w:line="13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director education program focuses on incorporating key strategic and important cross-business issues and is designed to assist Board members in fulfilling their responsibilities. The director education program commences with an orientation program when a new director joins the Board. Ongoing education for all directors is conducted throughout the year through “deep dive” presentations from LOBs, discussions and presentations by subject matter experts and other events. In 2023, directors participated in programs on a number of subjects, including:</w:t>
      </w:r>
    </w:p>
    <w:p>
      <w:pPr>
        <w:spacing w:after="0" w:line="73" w:lineRule="exact"/>
        <w:rPr>
          <w:sz w:val="20"/>
          <w:szCs w:val="20"/>
          <w:color w:val="auto"/>
        </w:rPr>
      </w:pPr>
    </w:p>
    <w:p>
      <w:pPr>
        <w:ind w:left="200" w:right="600" w:hanging="196"/>
        <w:spacing w:after="0" w:line="287" w:lineRule="auto"/>
        <w:tabs>
          <w:tab w:leader="none" w:pos="204" w:val="left"/>
        </w:tabs>
        <w:numPr>
          <w:ilvl w:val="0"/>
          <w:numId w:val="101"/>
        </w:numPr>
        <w:rPr>
          <w:rFonts w:ascii="Arial" w:cs="Arial" w:eastAsia="Arial" w:hAnsi="Arial"/>
          <w:sz w:val="18"/>
          <w:szCs w:val="18"/>
          <w:color w:val="074A75"/>
        </w:rPr>
      </w:pPr>
      <w:r>
        <w:rPr>
          <w:rFonts w:ascii="Arial" w:cs="Arial" w:eastAsia="Arial" w:hAnsi="Arial"/>
          <w:sz w:val="18"/>
          <w:szCs w:val="18"/>
          <w:color w:val="auto"/>
        </w:rPr>
        <w:t>deep dive sessions from each LOB covering topics such as products, services, strategy and control environment;</w:t>
      </w:r>
    </w:p>
    <w:p>
      <w:pPr>
        <w:spacing w:after="0" w:line="4" w:lineRule="exact"/>
        <w:rPr>
          <w:rFonts w:ascii="Arial" w:cs="Arial" w:eastAsia="Arial" w:hAnsi="Arial"/>
          <w:sz w:val="18"/>
          <w:szCs w:val="18"/>
          <w:color w:val="074A75"/>
        </w:rPr>
      </w:pPr>
    </w:p>
    <w:p>
      <w:pPr>
        <w:ind w:left="200" w:right="1440" w:hanging="196"/>
        <w:spacing w:after="0" w:line="287" w:lineRule="auto"/>
        <w:tabs>
          <w:tab w:leader="none" w:pos="204" w:val="left"/>
        </w:tabs>
        <w:numPr>
          <w:ilvl w:val="0"/>
          <w:numId w:val="101"/>
        </w:numPr>
        <w:rPr>
          <w:rFonts w:ascii="Arial" w:cs="Arial" w:eastAsia="Arial" w:hAnsi="Arial"/>
          <w:sz w:val="18"/>
          <w:szCs w:val="18"/>
          <w:color w:val="074A75"/>
        </w:rPr>
      </w:pPr>
      <w:r>
        <w:rPr>
          <w:rFonts w:ascii="Arial" w:cs="Arial" w:eastAsia="Arial" w:hAnsi="Arial"/>
          <w:sz w:val="18"/>
          <w:szCs w:val="18"/>
          <w:color w:val="auto"/>
        </w:rPr>
        <w:t>diversity, equity and inclusion ("DEI"), and Racial Equity Commitment;</w:t>
      </w:r>
    </w:p>
    <w:p>
      <w:pPr>
        <w:spacing w:after="0" w:line="17" w:lineRule="exact"/>
        <w:rPr>
          <w:rFonts w:ascii="Arial" w:cs="Arial" w:eastAsia="Arial" w:hAnsi="Arial"/>
          <w:sz w:val="18"/>
          <w:szCs w:val="18"/>
          <w:color w:val="074A75"/>
        </w:rPr>
      </w:pPr>
    </w:p>
    <w:p>
      <w:pPr>
        <w:ind w:left="200" w:right="480" w:hanging="196"/>
        <w:spacing w:after="0" w:line="287" w:lineRule="auto"/>
        <w:tabs>
          <w:tab w:leader="none" w:pos="204" w:val="left"/>
        </w:tabs>
        <w:numPr>
          <w:ilvl w:val="0"/>
          <w:numId w:val="101"/>
        </w:numPr>
        <w:rPr>
          <w:rFonts w:ascii="Arial" w:cs="Arial" w:eastAsia="Arial" w:hAnsi="Arial"/>
          <w:sz w:val="18"/>
          <w:szCs w:val="18"/>
          <w:color w:val="074A75"/>
        </w:rPr>
      </w:pPr>
      <w:r>
        <w:rPr>
          <w:rFonts w:ascii="Arial" w:cs="Arial" w:eastAsia="Arial" w:hAnsi="Arial"/>
          <w:sz w:val="18"/>
          <w:szCs w:val="18"/>
          <w:color w:val="auto"/>
        </w:rPr>
        <w:t>ESG-related matters, including sustainability and climate risk management;</w:t>
      </w:r>
    </w:p>
    <w:p>
      <w:pPr>
        <w:spacing w:after="0" w:line="4" w:lineRule="exact"/>
        <w:rPr>
          <w:rFonts w:ascii="Arial" w:cs="Arial" w:eastAsia="Arial" w:hAnsi="Arial"/>
          <w:sz w:val="18"/>
          <w:szCs w:val="18"/>
          <w:color w:val="074A75"/>
        </w:rPr>
      </w:pPr>
    </w:p>
    <w:p>
      <w:pPr>
        <w:ind w:left="200" w:hanging="196"/>
        <w:spacing w:after="0"/>
        <w:tabs>
          <w:tab w:leader="none" w:pos="200" w:val="left"/>
        </w:tabs>
        <w:numPr>
          <w:ilvl w:val="0"/>
          <w:numId w:val="101"/>
        </w:numPr>
        <w:rPr>
          <w:rFonts w:ascii="Arial" w:cs="Arial" w:eastAsia="Arial" w:hAnsi="Arial"/>
          <w:sz w:val="18"/>
          <w:szCs w:val="18"/>
          <w:color w:val="074A75"/>
        </w:rPr>
      </w:pPr>
      <w:r>
        <w:rPr>
          <w:rFonts w:ascii="Arial" w:cs="Arial" w:eastAsia="Arial" w:hAnsi="Arial"/>
          <w:sz w:val="18"/>
          <w:szCs w:val="18"/>
          <w:color w:val="auto"/>
        </w:rPr>
        <w:t>geopolitical risks;</w:t>
      </w:r>
    </w:p>
    <w:p>
      <w:pPr>
        <w:spacing w:after="0" w:line="76" w:lineRule="exact"/>
        <w:rPr>
          <w:rFonts w:ascii="Arial" w:cs="Arial" w:eastAsia="Arial" w:hAnsi="Arial"/>
          <w:sz w:val="18"/>
          <w:szCs w:val="18"/>
          <w:color w:val="074A75"/>
        </w:rPr>
      </w:pPr>
    </w:p>
    <w:p>
      <w:pPr>
        <w:ind w:left="200" w:hanging="196"/>
        <w:spacing w:after="0"/>
        <w:tabs>
          <w:tab w:leader="none" w:pos="200" w:val="left"/>
        </w:tabs>
        <w:numPr>
          <w:ilvl w:val="0"/>
          <w:numId w:val="101"/>
        </w:numPr>
        <w:rPr>
          <w:rFonts w:ascii="Arial" w:cs="Arial" w:eastAsia="Arial" w:hAnsi="Arial"/>
          <w:sz w:val="18"/>
          <w:szCs w:val="18"/>
          <w:color w:val="074A75"/>
        </w:rPr>
      </w:pPr>
      <w:r>
        <w:rPr>
          <w:rFonts w:ascii="Arial" w:cs="Arial" w:eastAsia="Arial" w:hAnsi="Arial"/>
          <w:sz w:val="18"/>
          <w:szCs w:val="18"/>
          <w:color w:val="auto"/>
        </w:rPr>
        <w:t>global philanthropy;</w:t>
      </w:r>
    </w:p>
    <w:p>
      <w:pPr>
        <w:spacing w:after="0" w:line="90" w:lineRule="exact"/>
        <w:rPr>
          <w:rFonts w:ascii="Arial" w:cs="Arial" w:eastAsia="Arial" w:hAnsi="Arial"/>
          <w:sz w:val="18"/>
          <w:szCs w:val="18"/>
          <w:color w:val="074A75"/>
        </w:rPr>
      </w:pPr>
    </w:p>
    <w:p>
      <w:pPr>
        <w:ind w:left="200" w:right="160" w:hanging="196"/>
        <w:spacing w:after="0" w:line="287" w:lineRule="auto"/>
        <w:tabs>
          <w:tab w:leader="none" w:pos="204" w:val="left"/>
        </w:tabs>
        <w:numPr>
          <w:ilvl w:val="0"/>
          <w:numId w:val="101"/>
        </w:numPr>
        <w:rPr>
          <w:rFonts w:ascii="Arial" w:cs="Arial" w:eastAsia="Arial" w:hAnsi="Arial"/>
          <w:sz w:val="18"/>
          <w:szCs w:val="18"/>
          <w:color w:val="074A75"/>
        </w:rPr>
      </w:pPr>
      <w:r>
        <w:rPr>
          <w:rFonts w:ascii="Arial" w:cs="Arial" w:eastAsia="Arial" w:hAnsi="Arial"/>
          <w:sz w:val="18"/>
          <w:szCs w:val="18"/>
          <w:color w:val="auto"/>
        </w:rPr>
        <w:t>key laws, regulations and supervisory requirements applicable to the Firm;</w:t>
      </w:r>
    </w:p>
    <w:p>
      <w:pPr>
        <w:spacing w:after="0" w:line="4" w:lineRule="exact"/>
        <w:rPr>
          <w:rFonts w:ascii="Arial" w:cs="Arial" w:eastAsia="Arial" w:hAnsi="Arial"/>
          <w:sz w:val="18"/>
          <w:szCs w:val="18"/>
          <w:color w:val="074A75"/>
        </w:rPr>
      </w:pPr>
    </w:p>
    <w:p>
      <w:pPr>
        <w:ind w:left="200" w:hanging="196"/>
        <w:spacing w:after="0"/>
        <w:tabs>
          <w:tab w:leader="none" w:pos="200" w:val="left"/>
        </w:tabs>
        <w:numPr>
          <w:ilvl w:val="0"/>
          <w:numId w:val="101"/>
        </w:numPr>
        <w:rPr>
          <w:rFonts w:ascii="Arial" w:cs="Arial" w:eastAsia="Arial" w:hAnsi="Arial"/>
          <w:sz w:val="18"/>
          <w:szCs w:val="18"/>
          <w:color w:val="074A75"/>
        </w:rPr>
      </w:pPr>
      <w:r>
        <w:rPr>
          <w:rFonts w:ascii="Arial" w:cs="Arial" w:eastAsia="Arial" w:hAnsi="Arial"/>
          <w:sz w:val="18"/>
          <w:szCs w:val="18"/>
          <w:color w:val="auto"/>
        </w:rPr>
        <w:t>significant and emerging risks; and</w:t>
      </w:r>
    </w:p>
    <w:p>
      <w:pPr>
        <w:spacing w:after="0" w:line="76" w:lineRule="exact"/>
        <w:rPr>
          <w:rFonts w:ascii="Arial" w:cs="Arial" w:eastAsia="Arial" w:hAnsi="Arial"/>
          <w:sz w:val="18"/>
          <w:szCs w:val="18"/>
          <w:color w:val="074A75"/>
        </w:rPr>
      </w:pPr>
    </w:p>
    <w:p>
      <w:pPr>
        <w:ind w:left="200" w:right="1040" w:hanging="196"/>
        <w:spacing w:after="0" w:line="318" w:lineRule="auto"/>
        <w:tabs>
          <w:tab w:leader="none" w:pos="204" w:val="left"/>
        </w:tabs>
        <w:numPr>
          <w:ilvl w:val="0"/>
          <w:numId w:val="101"/>
        </w:numPr>
        <w:rPr>
          <w:rFonts w:ascii="Arial" w:cs="Arial" w:eastAsia="Arial" w:hAnsi="Arial"/>
          <w:sz w:val="17"/>
          <w:szCs w:val="17"/>
          <w:color w:val="074A75"/>
        </w:rPr>
      </w:pPr>
      <w:r>
        <w:rPr>
          <w:rFonts w:ascii="Arial" w:cs="Arial" w:eastAsia="Arial" w:hAnsi="Arial"/>
          <w:sz w:val="17"/>
          <w:szCs w:val="17"/>
          <w:color w:val="auto"/>
        </w:rPr>
        <w:t>technology, generative AI and large language models, cybersecurity updates and data management.</w:t>
      </w:r>
    </w:p>
    <w:p>
      <w:pPr>
        <w:spacing w:after="0" w:line="1413" w:lineRule="exact"/>
        <w:rPr>
          <w:sz w:val="20"/>
          <w:szCs w:val="20"/>
          <w:color w:val="auto"/>
        </w:rPr>
      </w:pPr>
    </w:p>
    <w:p>
      <w:pPr>
        <w:sectPr>
          <w:pgSz w:w="11900" w:h="16838" w:orient="portrait"/>
          <w:cols w:equalWidth="0" w:num="2">
            <w:col w:w="5340" w:space="400"/>
            <w:col w:w="5520"/>
          </w:cols>
          <w:pgMar w:left="320" w:top="157" w:right="319" w:bottom="1440" w:gutter="0" w:footer="0" w:header="0"/>
          <w:type w:val="continuous"/>
        </w:sectPr>
      </w:pPr>
    </w:p>
    <w:p>
      <w:pPr>
        <w:spacing w:after="0" w:line="306"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One-on-one discussions</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directors hold private individual discussions with the General</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Counsel using a discussion guide that frames the self-assessment.</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General Counsel and Lead Independent Director review feedback</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from the individual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3411855" cy="127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11855" cy="127762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Action items</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General Counsel and Lead Independent Director report the</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feedback received to the Board.</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Appropriate action plans are developed to address the feedback</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received from the Board and committee assessments. Throughout the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year, the Board and committees partner with management to execute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and evaluate progress on action items.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217805</wp:posOffset>
            </wp:positionV>
            <wp:extent cx="76835" cy="146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217805</wp:posOffset>
            </wp:positionV>
            <wp:extent cx="77470" cy="146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217805</wp:posOffset>
            </wp:positionV>
            <wp:extent cx="76835" cy="146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323"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43"/>
          <w:szCs w:val="43"/>
          <w:color w:val="074A75"/>
        </w:rPr>
        <w:t>3. Board oversight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Board is responsible for oversight of the business and affairs of</w:t>
      </w:r>
    </w:p>
    <w:p>
      <w:pPr>
        <w:spacing w:after="0" w:line="2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the Firm on behalf of shareholders. It is also responsible for setting the cultural “tone at the top.” Among its core responsibilities,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Board oversees:</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74A75"/>
        </w:rPr>
        <w:t>Strategy</w:t>
      </w:r>
    </w:p>
    <w:p>
      <w:pPr>
        <w:spacing w:after="0" w:line="22"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The Board of Directors oversees the formulation and implementation of the Firm's strategic initiatives and reviews and</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approves the Firm’s annual strategic plan. Annual strategic plans include evaluation of performance against the prior year’s</w:t>
      </w:r>
    </w:p>
    <w:p>
      <w:pPr>
        <w:spacing w:after="0" w:line="236" w:lineRule="auto"/>
        <w:rPr>
          <w:sz w:val="20"/>
          <w:szCs w:val="20"/>
          <w:color w:val="auto"/>
        </w:rPr>
      </w:pPr>
      <w:r>
        <w:rPr>
          <w:rFonts w:ascii="Arial" w:cs="Arial" w:eastAsia="Arial" w:hAnsi="Arial"/>
          <w:sz w:val="18"/>
          <w:szCs w:val="18"/>
          <w:color w:val="auto"/>
        </w:rPr>
        <w:t>initiatives, assessment of the current operating environment,</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refinement of existing strategies and development of new strategic initiatives. Throughout the year, the CEO and senior</w:t>
      </w:r>
    </w:p>
    <w:p>
      <w:pPr>
        <w:spacing w:after="0" w:line="236" w:lineRule="auto"/>
        <w:rPr>
          <w:sz w:val="20"/>
          <w:szCs w:val="20"/>
          <w:color w:val="auto"/>
        </w:rPr>
      </w:pPr>
      <w:r>
        <w:rPr>
          <w:rFonts w:ascii="Arial" w:cs="Arial" w:eastAsia="Arial" w:hAnsi="Arial"/>
          <w:sz w:val="18"/>
          <w:szCs w:val="18"/>
          <w:color w:val="auto"/>
        </w:rPr>
        <w:t>management provide updates on the Firm’s overall strategic</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direction, including updates on the opportunities and performance, priorities and implementation of strategies in their respective LOBs</w:t>
      </w:r>
    </w:p>
    <w:p>
      <w:pPr>
        <w:spacing w:after="0" w:line="2"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and Corporate Functions. These management presentations are the foundation of active dialogue with, and feedback from, the</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Board about the strategic risks and opportunities facing the Firm and its businesses.</w:t>
      </w:r>
    </w:p>
    <w:p>
      <w:pPr>
        <w:spacing w:after="0" w:line="51" w:lineRule="exact"/>
        <w:rPr>
          <w:sz w:val="20"/>
          <w:szCs w:val="20"/>
          <w:color w:val="auto"/>
        </w:rPr>
      </w:pPr>
    </w:p>
    <w:p>
      <w:pPr>
        <w:ind w:right="460"/>
        <w:spacing w:after="0" w:line="268" w:lineRule="auto"/>
        <w:rPr>
          <w:sz w:val="20"/>
          <w:szCs w:val="20"/>
          <w:color w:val="auto"/>
        </w:rPr>
      </w:pPr>
      <w:r>
        <w:rPr>
          <w:rFonts w:ascii="Arial" w:cs="Arial" w:eastAsia="Arial" w:hAnsi="Arial"/>
          <w:sz w:val="28"/>
          <w:szCs w:val="28"/>
          <w:color w:val="074A75"/>
        </w:rPr>
        <w:t>Executive performance, talent management and succession planning</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The CMDC reviews the Firm’s performance periodically during the course of the year, and formally, at least annually. The CMDC’s</w:t>
      </w:r>
    </w:p>
    <w:p>
      <w:pPr>
        <w:spacing w:after="0" w:line="235" w:lineRule="auto"/>
        <w:rPr>
          <w:sz w:val="20"/>
          <w:szCs w:val="20"/>
          <w:color w:val="auto"/>
        </w:rPr>
      </w:pPr>
      <w:r>
        <w:rPr>
          <w:rFonts w:ascii="Arial" w:cs="Arial" w:eastAsia="Arial" w:hAnsi="Arial"/>
          <w:sz w:val="18"/>
          <w:szCs w:val="18"/>
          <w:color w:val="auto"/>
        </w:rPr>
        <w:t>review of the CEO’s performance is presented to the Board in</w:t>
      </w:r>
    </w:p>
    <w:p>
      <w:pPr>
        <w:ind w:right="460"/>
        <w:spacing w:after="0" w:line="237" w:lineRule="auto"/>
        <w:rPr>
          <w:sz w:val="20"/>
          <w:szCs w:val="20"/>
          <w:color w:val="auto"/>
        </w:rPr>
      </w:pPr>
      <w:r>
        <w:rPr>
          <w:rFonts w:ascii="Arial" w:cs="Arial" w:eastAsia="Arial" w:hAnsi="Arial"/>
          <w:sz w:val="18"/>
          <w:szCs w:val="18"/>
          <w:color w:val="auto"/>
        </w:rPr>
        <w:t>connection with the Board’s review of executive officer annual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our Governance Principles, succession</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planning is considered at least annually by the non-management directors with the CEO. The CMDC reviews the succession plan for</w:t>
      </w:r>
    </w:p>
    <w:p>
      <w:pPr>
        <w:spacing w:after="0" w:line="236" w:lineRule="auto"/>
        <w:rPr>
          <w:sz w:val="20"/>
          <w:szCs w:val="20"/>
          <w:color w:val="auto"/>
        </w:rPr>
      </w:pPr>
      <w:r>
        <w:rPr>
          <w:rFonts w:ascii="Arial" w:cs="Arial" w:eastAsia="Arial" w:hAnsi="Arial"/>
          <w:sz w:val="18"/>
          <w:szCs w:val="18"/>
          <w:color w:val="auto"/>
        </w:rPr>
        <w:t>the CEO in preparation for discussion by the Board, with such</w:t>
      </w:r>
    </w:p>
    <w:p>
      <w:pPr>
        <w:spacing w:after="0" w:line="1" w:lineRule="exact"/>
        <w:rPr>
          <w:sz w:val="20"/>
          <w:szCs w:val="20"/>
          <w:color w:val="auto"/>
        </w:rPr>
      </w:pPr>
    </w:p>
    <w:p>
      <w:pPr>
        <w:ind w:right="640"/>
        <w:spacing w:after="0"/>
        <w:rPr>
          <w:sz w:val="20"/>
          <w:szCs w:val="20"/>
          <w:color w:val="auto"/>
        </w:rPr>
      </w:pPr>
      <w:r>
        <w:rPr>
          <w:rFonts w:ascii="Arial" w:cs="Arial" w:eastAsia="Arial" w:hAnsi="Arial"/>
          <w:sz w:val="17"/>
          <w:szCs w:val="17"/>
          <w:color w:val="auto"/>
        </w:rPr>
        <w:t>discussion guided by the Lead Independent Director. These discussions occur with and without the CEO and include</w:t>
      </w:r>
    </w:p>
    <w:p>
      <w:pPr>
        <w:spacing w:after="0" w:line="235" w:lineRule="auto"/>
        <w:rPr>
          <w:sz w:val="20"/>
          <w:szCs w:val="20"/>
          <w:color w:val="auto"/>
        </w:rPr>
      </w:pPr>
      <w:r>
        <w:rPr>
          <w:rFonts w:ascii="Arial" w:cs="Arial" w:eastAsia="Arial" w:hAnsi="Arial"/>
          <w:sz w:val="18"/>
          <w:szCs w:val="18"/>
          <w:color w:val="auto"/>
        </w:rPr>
        <w:t>consideration of recommendations, evaluations and development</w:t>
      </w:r>
    </w:p>
    <w:p>
      <w:pPr>
        <w:ind w:right="60"/>
        <w:spacing w:after="0" w:line="226" w:lineRule="auto"/>
        <w:rPr>
          <w:sz w:val="20"/>
          <w:szCs w:val="20"/>
          <w:color w:val="auto"/>
        </w:rPr>
      </w:pPr>
      <w:r>
        <w:rPr>
          <w:rFonts w:ascii="Arial" w:cs="Arial" w:eastAsia="Arial" w:hAnsi="Arial"/>
          <w:sz w:val="18"/>
          <w:szCs w:val="18"/>
          <w:color w:val="auto"/>
        </w:rPr>
        <w:t>plans for potential CEO successors, in addition to ongoing review of the Firm's long-term strategy and analyses of CEO transitions 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companies, among other factors.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68"/>
        </w:trPr>
        <w:tc>
          <w:tcPr>
            <w:tcW w:w="2340" w:type="dxa"/>
            <w:vAlign w:val="bottom"/>
            <w:tcBorders>
              <w:top w:val="single" w:sz="8" w:color="E7E7E8"/>
            </w:tcBorders>
            <w:shd w:val="clear" w:color="auto" w:fill="E7E7E8"/>
          </w:tcPr>
          <w:p>
            <w:pPr>
              <w:ind w:left="600"/>
              <w:spacing w:after="0"/>
              <w:rPr>
                <w:sz w:val="20"/>
                <w:szCs w:val="20"/>
                <w:color w:val="auto"/>
              </w:rPr>
            </w:pPr>
            <w:r>
              <w:rPr>
                <w:rFonts w:ascii="Arial" w:cs="Arial" w:eastAsia="Arial" w:hAnsi="Arial"/>
                <w:sz w:val="16"/>
                <w:szCs w:val="16"/>
                <w:color w:val="074A75"/>
              </w:rPr>
              <w:t>Board oversight</w:t>
            </w:r>
          </w:p>
        </w:tc>
        <w:tc>
          <w:tcPr>
            <w:tcW w:w="66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4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Marianne Lake became sole CEO of Consumer &amp; Community</w:t>
      </w:r>
    </w:p>
    <w:p>
      <w:pPr>
        <w:spacing w:after="0" w:line="14"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Banking ("CCB"). Mary Erdoes remains CEO of Asset &amp; Wealth Management ("AWM"), and Daniel Pinto continues as President</w:t>
      </w:r>
    </w:p>
    <w:p>
      <w:pPr>
        <w:spacing w:after="0" w:line="235" w:lineRule="auto"/>
        <w:rPr>
          <w:sz w:val="20"/>
          <w:szCs w:val="20"/>
          <w:color w:val="auto"/>
        </w:rPr>
      </w:pPr>
      <w:r>
        <w:rPr>
          <w:rFonts w:ascii="Arial" w:cs="Arial" w:eastAsia="Arial" w:hAnsi="Arial"/>
          <w:sz w:val="18"/>
          <w:szCs w:val="18"/>
          <w:color w:val="auto"/>
        </w:rPr>
        <w:t>and Chief Operating Officer. The Board believes that these senior</w:t>
      </w:r>
    </w:p>
    <w:p>
      <w:pPr>
        <w:ind w:right="260"/>
        <w:spacing w:after="0" w:line="226" w:lineRule="auto"/>
        <w:rPr>
          <w:sz w:val="20"/>
          <w:szCs w:val="20"/>
          <w:color w:val="auto"/>
        </w:rPr>
      </w:pPr>
      <w:r>
        <w:rPr>
          <w:rFonts w:ascii="Arial" w:cs="Arial" w:eastAsia="Arial" w:hAnsi="Arial"/>
          <w:sz w:val="18"/>
          <w:szCs w:val="18"/>
          <w:color w:val="auto"/>
        </w:rPr>
        <w:t>management changes and new alignment will help the Firm better serve its clients as well as further develop the Firm's most senior</w:t>
      </w:r>
    </w:p>
    <w:p>
      <w:pPr>
        <w:spacing w:after="0" w:line="2"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leaders. Should the need arise in the near-term, the Board views</w:t>
      </w:r>
    </w:p>
    <w:p>
      <w:pPr>
        <w:spacing w:after="0" w:line="7"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Mr. Pinto as a key executive who is immediately ready to lead the Firm and fulfill the responsibilities of CEO, as his exceptional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leadership capabilities are well-known to our shareholders.</w:t>
      </w:r>
    </w:p>
    <w:p>
      <w:pPr>
        <w:spacing w:after="0" w:line="86"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The CMDC also periodically reviews the succession plan for members of the OC other than the CEO to build a robust talent</w:t>
      </w:r>
    </w:p>
    <w:p>
      <w:pPr>
        <w:spacing w:after="0" w:line="235" w:lineRule="auto"/>
        <w:rPr>
          <w:sz w:val="20"/>
          <w:szCs w:val="20"/>
          <w:color w:val="auto"/>
        </w:rPr>
      </w:pPr>
      <w:r>
        <w:rPr>
          <w:rFonts w:ascii="Arial" w:cs="Arial" w:eastAsia="Arial" w:hAnsi="Arial"/>
          <w:sz w:val="18"/>
          <w:szCs w:val="18"/>
          <w:color w:val="auto"/>
        </w:rPr>
        <w:t>pipeline for specific critical roles. The Board has</w:t>
      </w:r>
    </w:p>
    <w:p>
      <w:pPr>
        <w:spacing w:after="0" w:line="1"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numerous opportunities to meet with, and assess development plans for, members of the OC and other high-potential senior</w:t>
      </w:r>
    </w:p>
    <w:p>
      <w:pPr>
        <w:spacing w:after="0" w:line="236" w:lineRule="auto"/>
        <w:rPr>
          <w:sz w:val="20"/>
          <w:szCs w:val="20"/>
          <w:color w:val="auto"/>
        </w:rPr>
      </w:pPr>
      <w:r>
        <w:rPr>
          <w:rFonts w:ascii="Arial" w:cs="Arial" w:eastAsia="Arial" w:hAnsi="Arial"/>
          <w:sz w:val="18"/>
          <w:szCs w:val="18"/>
          <w:color w:val="auto"/>
        </w:rPr>
        <w:t>management leaders. This occurs through various means,</w:t>
      </w:r>
    </w:p>
    <w:p>
      <w:pPr>
        <w:spacing w:after="0" w:line="1"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including informal meetings, presentations to the Board and its committees, and Board dinners. For further information, see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Compensation Discussion and Analysis (“CD&amp;A”) on page 35.</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74A75"/>
        </w:rPr>
        <w:t>Financial performance and condition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Throughout the year, the Board reviews the Firm’s financial</w:t>
      </w:r>
    </w:p>
    <w:p>
      <w:pPr>
        <w:ind w:right="180"/>
        <w:spacing w:after="0"/>
        <w:rPr>
          <w:sz w:val="20"/>
          <w:szCs w:val="20"/>
          <w:color w:val="auto"/>
        </w:rPr>
      </w:pPr>
      <w:r>
        <w:rPr>
          <w:rFonts w:ascii="Arial" w:cs="Arial" w:eastAsia="Arial" w:hAnsi="Arial"/>
          <w:sz w:val="17"/>
          <w:szCs w:val="17"/>
          <w:color w:val="auto"/>
        </w:rPr>
        <w:t>performance and condition, including overseeing management’s execution against the Firm’s capital, liquidity, strategic and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plans.</w:t>
      </w:r>
    </w:p>
    <w:p>
      <w:pPr>
        <w:spacing w:after="0" w:line="86"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Reports on the Firm’s financial performance and condition are presented at each regularly scheduled Board meeting. The Firm’s</w:t>
      </w:r>
    </w:p>
    <w:p>
      <w:pPr>
        <w:spacing w:after="0" w:line="235" w:lineRule="auto"/>
        <w:rPr>
          <w:sz w:val="20"/>
          <w:szCs w:val="20"/>
          <w:color w:val="auto"/>
        </w:rPr>
      </w:pPr>
      <w:r>
        <w:rPr>
          <w:rFonts w:ascii="Arial" w:cs="Arial" w:eastAsia="Arial" w:hAnsi="Arial"/>
          <w:sz w:val="18"/>
          <w:szCs w:val="18"/>
          <w:color w:val="auto"/>
        </w:rPr>
        <w:t>annual Comprehensive Capital Analysis and Review (“CCAR”)</w:t>
      </w:r>
    </w:p>
    <w:p>
      <w:pPr>
        <w:ind w:right="160"/>
        <w:spacing w:after="0"/>
        <w:rPr>
          <w:sz w:val="20"/>
          <w:szCs w:val="20"/>
          <w:color w:val="auto"/>
        </w:rPr>
      </w:pPr>
      <w:r>
        <w:rPr>
          <w:rFonts w:ascii="Arial" w:cs="Arial" w:eastAsia="Arial" w:hAnsi="Arial"/>
          <w:sz w:val="17"/>
          <w:szCs w:val="17"/>
          <w:color w:val="auto"/>
        </w:rPr>
        <w:t>submission, which contains the Firm’s proposed plans to make capital distributions, such as dividend payments, stock repurchases</w:t>
      </w:r>
    </w:p>
    <w:p>
      <w:pPr>
        <w:spacing w:after="0" w:line="235" w:lineRule="auto"/>
        <w:rPr>
          <w:sz w:val="20"/>
          <w:szCs w:val="20"/>
          <w:color w:val="auto"/>
        </w:rPr>
      </w:pPr>
      <w:r>
        <w:rPr>
          <w:rFonts w:ascii="Arial" w:cs="Arial" w:eastAsia="Arial" w:hAnsi="Arial"/>
          <w:sz w:val="18"/>
          <w:szCs w:val="18"/>
          <w:color w:val="auto"/>
        </w:rPr>
        <w:t>and other capital actions, is reviewed and approved prior to its</w:t>
      </w:r>
    </w:p>
    <w:p>
      <w:pPr>
        <w:ind w:right="200"/>
        <w:spacing w:after="0"/>
        <w:rPr>
          <w:sz w:val="20"/>
          <w:szCs w:val="20"/>
          <w:color w:val="auto"/>
        </w:rPr>
      </w:pPr>
      <w:r>
        <w:rPr>
          <w:rFonts w:ascii="Arial" w:cs="Arial" w:eastAsia="Arial" w:hAnsi="Arial"/>
          <w:sz w:val="17"/>
          <w:szCs w:val="17"/>
          <w:color w:val="auto"/>
        </w:rPr>
        <w:t>submission to the Federal Reserve. In addition, the Audit Committee assists the Board in the oversight of the Firm’s financial</w:t>
      </w:r>
    </w:p>
    <w:p>
      <w:pPr>
        <w:spacing w:after="0" w:line="235" w:lineRule="auto"/>
        <w:rPr>
          <w:sz w:val="20"/>
          <w:szCs w:val="20"/>
          <w:color w:val="auto"/>
        </w:rPr>
      </w:pPr>
      <w:r>
        <w:rPr>
          <w:rFonts w:ascii="Arial" w:cs="Arial" w:eastAsia="Arial" w:hAnsi="Arial"/>
          <w:sz w:val="18"/>
          <w:szCs w:val="18"/>
          <w:color w:val="auto"/>
        </w:rPr>
        <w:t>statements and internal control framework. The Audit Committee</w:t>
      </w:r>
    </w:p>
    <w:p>
      <w:pPr>
        <w:ind w:right="160"/>
        <w:spacing w:after="0"/>
        <w:rPr>
          <w:sz w:val="20"/>
          <w:szCs w:val="20"/>
          <w:color w:val="auto"/>
        </w:rPr>
      </w:pPr>
      <w:r>
        <w:rPr>
          <w:rFonts w:ascii="Arial" w:cs="Arial" w:eastAsia="Arial" w:hAnsi="Arial"/>
          <w:sz w:val="17"/>
          <w:szCs w:val="17"/>
          <w:color w:val="auto"/>
        </w:rPr>
        <w:t>also assists the Board in the appointment, retention, compensation, evaluation and oversight of the Firm’s independent registered</w:t>
      </w:r>
    </w:p>
    <w:p>
      <w:pPr>
        <w:spacing w:after="0" w:line="1" w:lineRule="exact"/>
        <w:rPr>
          <w:sz w:val="20"/>
          <w:szCs w:val="20"/>
          <w:color w:val="auto"/>
        </w:rPr>
      </w:pPr>
    </w:p>
    <w:p>
      <w:pPr>
        <w:ind w:right="1040"/>
        <w:spacing w:after="0" w:line="250" w:lineRule="auto"/>
        <w:rPr>
          <w:sz w:val="20"/>
          <w:szCs w:val="20"/>
          <w:color w:val="auto"/>
        </w:rPr>
      </w:pPr>
      <w:r>
        <w:rPr>
          <w:rFonts w:ascii="Arial" w:cs="Arial" w:eastAsia="Arial" w:hAnsi="Arial"/>
          <w:sz w:val="18"/>
          <w:szCs w:val="18"/>
          <w:color w:val="auto"/>
        </w:rPr>
        <w:t>public accounting firm. For further information, see “Risk management and internal control framework" below.</w:t>
      </w:r>
    </w:p>
    <w:p>
      <w:pPr>
        <w:spacing w:after="0" w:line="78"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6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Board is focused on enabling an orderly CEO transition to take place in the medium-term. As part of succession planning, the</w:t>
      </w:r>
    </w:p>
    <w:p>
      <w:pPr>
        <w:spacing w:after="0" w:line="226" w:lineRule="auto"/>
        <w:rPr>
          <w:sz w:val="20"/>
          <w:szCs w:val="20"/>
          <w:color w:val="auto"/>
        </w:rPr>
      </w:pPr>
      <w:r>
        <w:rPr>
          <w:rFonts w:ascii="Arial" w:cs="Arial" w:eastAsia="Arial" w:hAnsi="Arial"/>
          <w:sz w:val="18"/>
          <w:szCs w:val="18"/>
          <w:color w:val="auto"/>
        </w:rPr>
        <w:t>Board continues to oversee management's development of several Operating Committee members who are well-known to</w:t>
      </w:r>
    </w:p>
    <w:p>
      <w:pPr>
        <w:spacing w:after="0" w:line="236" w:lineRule="auto"/>
        <w:rPr>
          <w:sz w:val="20"/>
          <w:szCs w:val="20"/>
          <w:color w:val="auto"/>
        </w:rPr>
      </w:pPr>
      <w:r>
        <w:rPr>
          <w:rFonts w:ascii="Arial" w:cs="Arial" w:eastAsia="Arial" w:hAnsi="Arial"/>
          <w:sz w:val="18"/>
          <w:szCs w:val="18"/>
          <w:color w:val="auto"/>
        </w:rPr>
        <w:t>shareholders as strong potential candidates to succeed Mr. Dimon.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Individual OC members have been provided with opportunities to gain exposure to different parts of the business and to deepen their</w:t>
      </w:r>
    </w:p>
    <w:p>
      <w:pPr>
        <w:spacing w:after="0" w:line="235" w:lineRule="auto"/>
        <w:rPr>
          <w:sz w:val="20"/>
          <w:szCs w:val="20"/>
          <w:color w:val="auto"/>
        </w:rPr>
      </w:pPr>
      <w:r>
        <w:rPr>
          <w:rFonts w:ascii="Arial" w:cs="Arial" w:eastAsia="Arial" w:hAnsi="Arial"/>
          <w:sz w:val="18"/>
          <w:szCs w:val="18"/>
          <w:color w:val="auto"/>
        </w:rPr>
        <w:t>leadership experience in new and expanded roles. In January</w:t>
      </w:r>
    </w:p>
    <w:p>
      <w:pPr>
        <w:ind w:right="140"/>
        <w:spacing w:after="0" w:line="237" w:lineRule="auto"/>
        <w:rPr>
          <w:sz w:val="20"/>
          <w:szCs w:val="20"/>
          <w:color w:val="auto"/>
        </w:rPr>
      </w:pPr>
      <w:r>
        <w:rPr>
          <w:rFonts w:ascii="Arial" w:cs="Arial" w:eastAsia="Arial" w:hAnsi="Arial"/>
          <w:sz w:val="18"/>
          <w:szCs w:val="18"/>
          <w:color w:val="auto"/>
        </w:rPr>
        <w:t>2024, the Firm announced leadership changes and a streamlined business to continue to position the Firm for the future.</w:t>
      </w:r>
    </w:p>
    <w:p>
      <w:pPr>
        <w:spacing w:after="0" w:line="7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Jennifer Piepszak and Troy Rohrbaugh were named Co-CEOs of the expanded Commercial &amp; Investment Bank, and</w:t>
      </w:r>
    </w:p>
    <w:p>
      <w:pPr>
        <w:spacing w:after="0" w:line="20" w:lineRule="exact"/>
        <w:rPr>
          <w:sz w:val="20"/>
          <w:szCs w:val="20"/>
          <w:color w:val="auto"/>
        </w:rPr>
      </w:pPr>
      <w:r>
        <w:rPr>
          <w:sz w:val="20"/>
          <w:szCs w:val="20"/>
          <w:color w:val="auto"/>
        </w:rPr>
        <w:br w:type="column"/>
      </w:r>
    </w:p>
    <w:p>
      <w:pPr>
        <w:ind w:right="1620"/>
        <w:spacing w:after="0" w:line="244" w:lineRule="auto"/>
        <w:rPr>
          <w:sz w:val="20"/>
          <w:szCs w:val="20"/>
          <w:color w:val="auto"/>
        </w:rPr>
      </w:pPr>
      <w:r>
        <w:rPr>
          <w:rFonts w:ascii="Arial" w:cs="Arial" w:eastAsia="Arial" w:hAnsi="Arial"/>
          <w:sz w:val="29"/>
          <w:szCs w:val="29"/>
          <w:color w:val="074A75"/>
        </w:rPr>
        <w:t>Risk management and internal control framework</w:t>
      </w:r>
    </w:p>
    <w:p>
      <w:pPr>
        <w:ind w:right="360"/>
        <w:spacing w:after="0" w:line="248" w:lineRule="auto"/>
        <w:rPr>
          <w:sz w:val="20"/>
          <w:szCs w:val="20"/>
          <w:color w:val="auto"/>
        </w:rPr>
      </w:pPr>
      <w:r>
        <w:rPr>
          <w:rFonts w:ascii="Arial" w:cs="Arial" w:eastAsia="Arial" w:hAnsi="Arial"/>
          <w:sz w:val="17"/>
          <w:szCs w:val="17"/>
          <w:color w:val="auto"/>
        </w:rPr>
        <w:t>Risk is an inherent part of JPMorgan Chase’s business activities. When the Firm extends a consumer or wholesale loan, advises</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customers and clients on their investment decisions, makes markets in securities, or offers other products or services, the Firm</w:t>
      </w:r>
    </w:p>
    <w:p>
      <w:pPr>
        <w:spacing w:after="0" w:line="235" w:lineRule="auto"/>
        <w:rPr>
          <w:sz w:val="20"/>
          <w:szCs w:val="20"/>
          <w:color w:val="auto"/>
        </w:rPr>
      </w:pPr>
      <w:r>
        <w:rPr>
          <w:rFonts w:ascii="Arial" w:cs="Arial" w:eastAsia="Arial" w:hAnsi="Arial"/>
          <w:sz w:val="18"/>
          <w:szCs w:val="18"/>
          <w:color w:val="auto"/>
        </w:rPr>
        <w:t>takes on some degree of risk. The Firm’s overall objective is to</w:t>
      </w:r>
    </w:p>
    <w:p>
      <w:pPr>
        <w:ind w:right="440"/>
        <w:spacing w:after="0" w:line="226" w:lineRule="auto"/>
        <w:rPr>
          <w:sz w:val="20"/>
          <w:szCs w:val="20"/>
          <w:color w:val="auto"/>
        </w:rPr>
      </w:pPr>
      <w:r>
        <w:rPr>
          <w:rFonts w:ascii="Arial" w:cs="Arial" w:eastAsia="Arial" w:hAnsi="Arial"/>
          <w:sz w:val="18"/>
          <w:szCs w:val="18"/>
          <w:color w:val="auto"/>
        </w:rPr>
        <w:t>manage its business, and the associated risks, in a manner that balances serving the interests of its clients, customers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investors, and protecting the safety and soundness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460375</wp:posOffset>
            </wp:positionV>
            <wp:extent cx="274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550" w:lineRule="exact"/>
        <w:rPr>
          <w:sz w:val="20"/>
          <w:szCs w:val="20"/>
          <w:color w:val="auto"/>
        </w:rPr>
      </w:pPr>
    </w:p>
    <w:p>
      <w:pPr>
        <w:sectPr>
          <w:pgSz w:w="11900" w:h="16838" w:orient="portrait"/>
          <w:cols w:equalWidth="0" w:num="2">
            <w:col w:w="5340" w:space="400"/>
            <w:col w:w="5520"/>
          </w:cols>
          <w:pgMar w:left="320" w:top="157" w:right="319" w:bottom="1440" w:gutter="0" w:footer="0" w:header="0"/>
          <w:type w:val="continuous"/>
        </w:sectPr>
      </w:pP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25  </w:t>
      </w:r>
      <w:r>
        <w:rPr>
          <w:sz w:val="1"/>
          <w:szCs w:val="1"/>
          <w:color w:val="auto"/>
        </w:rPr>
        <w:drawing>
          <wp:inline distT="0" distB="0" distL="0" distR="0">
            <wp:extent cx="2203450" cy="15430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269240</wp:posOffset>
            </wp:positionV>
            <wp:extent cx="76835" cy="1454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269240</wp:posOffset>
            </wp:positionV>
            <wp:extent cx="77470" cy="1454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269240</wp:posOffset>
            </wp:positionV>
            <wp:extent cx="76835" cy="145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20" w:type="dxa"/>
            <w:vAlign w:val="bottom"/>
          </w:tcPr>
          <w:p>
            <w:pPr>
              <w:spacing w:after="0"/>
              <w:rPr>
                <w:sz w:val="23"/>
                <w:szCs w:val="23"/>
                <w:color w:val="auto"/>
              </w:rPr>
            </w:pPr>
          </w:p>
        </w:tc>
        <w:tc>
          <w:tcPr>
            <w:tcW w:w="2340" w:type="dxa"/>
            <w:vAlign w:val="bottom"/>
            <w:tcBorders>
              <w:top w:val="single" w:sz="8" w:color="E7E7E8"/>
            </w:tcBorders>
            <w:shd w:val="clear" w:color="auto" w:fill="E7E7E8"/>
          </w:tcPr>
          <w:p>
            <w:pPr>
              <w:ind w:left="600"/>
              <w:spacing w:after="0"/>
              <w:rPr>
                <w:sz w:val="20"/>
                <w:szCs w:val="20"/>
                <w:color w:val="auto"/>
              </w:rPr>
            </w:pPr>
            <w:r>
              <w:rPr>
                <w:rFonts w:ascii="Arial" w:cs="Arial" w:eastAsia="Arial" w:hAnsi="Arial"/>
                <w:sz w:val="16"/>
                <w:szCs w:val="16"/>
                <w:color w:val="074A75"/>
              </w:rPr>
              <w:t>Board oversight</w:t>
            </w:r>
          </w:p>
        </w:tc>
        <w:tc>
          <w:tcPr>
            <w:tcW w:w="66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4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60"/>
          </w:cols>
          <w:pgMar w:left="320" w:top="157" w:right="319" w:bottom="1440" w:gutter="0" w:footer="0" w:header="0"/>
        </w:sectPr>
      </w:pPr>
    </w:p>
    <w:p>
      <w:pPr>
        <w:spacing w:after="0" w:line="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Firm's risk governance framework is managed on a firmwide basis. The Board of Directors oversees management’s strategic decisions, and the Board Risk Committee oversees Independent Risk Management (“IRM”) and the Firm’s risk governance framework. Cybersecurity risk is overseen by the full Board, with additional oversight of the relevant risk framework and controls provided by the Audit and Risk Committees. Board committees support the Board’s oversight responsibility by overseeing the risk categories related to such committee’s specific area of focus.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Committee chairs report significant matters discussed at committee meetings to the full Board. Issues escalated to the full Board may be dealt with in several ways, as appropriate, for example: oversight of risk may remain with the particular principal standing committee of the Board, the Board may establish or direct a Specific Purpose Committee to oversee such matters, or the Board may ask management to present more frequently to the full Board on the issue.</w:t>
      </w:r>
    </w:p>
    <w:p>
      <w:pPr>
        <w:spacing w:after="0" w:line="252" w:lineRule="exact"/>
        <w:rPr>
          <w:sz w:val="20"/>
          <w:szCs w:val="20"/>
          <w:color w:val="auto"/>
        </w:rPr>
      </w:pPr>
    </w:p>
    <w:p>
      <w:pPr>
        <w:ind w:right="2060"/>
        <w:spacing w:after="0" w:line="276" w:lineRule="auto"/>
        <w:rPr>
          <w:sz w:val="20"/>
          <w:szCs w:val="20"/>
          <w:color w:val="auto"/>
        </w:rPr>
      </w:pPr>
      <w:r>
        <w:rPr>
          <w:rFonts w:ascii="Arial" w:cs="Arial" w:eastAsia="Arial" w:hAnsi="Arial"/>
          <w:sz w:val="29"/>
          <w:szCs w:val="29"/>
          <w:color w:val="074A75"/>
        </w:rPr>
        <w:t>Environmental, social and governance matters</w:t>
      </w:r>
    </w:p>
    <w:p>
      <w:pPr>
        <w:spacing w:after="0" w:line="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Oversight of ESG-related matters is an important part of the Board's work in setting the policies and principles that govern our business, including:</w:t>
      </w:r>
    </w:p>
    <w:p>
      <w:pPr>
        <w:spacing w:after="0" w:line="63" w:lineRule="exact"/>
        <w:rPr>
          <w:sz w:val="20"/>
          <w:szCs w:val="20"/>
          <w:color w:val="auto"/>
        </w:rPr>
      </w:pPr>
    </w:p>
    <w:p>
      <w:pPr>
        <w:ind w:left="200" w:hanging="192"/>
        <w:spacing w:after="0"/>
        <w:tabs>
          <w:tab w:leader="none" w:pos="200" w:val="left"/>
        </w:tabs>
        <w:numPr>
          <w:ilvl w:val="0"/>
          <w:numId w:val="102"/>
        </w:numPr>
        <w:rPr>
          <w:rFonts w:ascii="Arial" w:cs="Arial" w:eastAsia="Arial" w:hAnsi="Arial"/>
          <w:sz w:val="18"/>
          <w:szCs w:val="18"/>
          <w:color w:val="074A75"/>
        </w:rPr>
      </w:pPr>
      <w:r>
        <w:rPr>
          <w:rFonts w:ascii="Arial" w:cs="Arial" w:eastAsia="Arial" w:hAnsi="Arial"/>
          <w:sz w:val="18"/>
          <w:szCs w:val="18"/>
          <w:color w:val="auto"/>
        </w:rPr>
        <w:t>the Firm’s governance-related policies and practices;</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02"/>
        </w:numPr>
        <w:rPr>
          <w:rFonts w:ascii="Arial" w:cs="Arial" w:eastAsia="Arial" w:hAnsi="Arial"/>
          <w:sz w:val="18"/>
          <w:szCs w:val="18"/>
          <w:color w:val="074A75"/>
        </w:rPr>
      </w:pPr>
      <w:r>
        <w:rPr>
          <w:rFonts w:ascii="Arial" w:cs="Arial" w:eastAsia="Arial" w:hAnsi="Arial"/>
          <w:sz w:val="18"/>
          <w:szCs w:val="18"/>
          <w:color w:val="auto"/>
        </w:rPr>
        <w:t>our systems of risk management and controls;</w:t>
      </w:r>
    </w:p>
    <w:p>
      <w:pPr>
        <w:spacing w:after="0" w:line="90" w:lineRule="exact"/>
        <w:rPr>
          <w:rFonts w:ascii="Arial" w:cs="Arial" w:eastAsia="Arial" w:hAnsi="Arial"/>
          <w:sz w:val="18"/>
          <w:szCs w:val="18"/>
          <w:color w:val="074A75"/>
        </w:rPr>
      </w:pPr>
    </w:p>
    <w:p>
      <w:pPr>
        <w:ind w:left="200" w:hanging="192"/>
        <w:spacing w:after="0"/>
        <w:tabs>
          <w:tab w:leader="none" w:pos="200" w:val="left"/>
        </w:tabs>
        <w:numPr>
          <w:ilvl w:val="0"/>
          <w:numId w:val="102"/>
        </w:numPr>
        <w:rPr>
          <w:rFonts w:ascii="Arial" w:cs="Arial" w:eastAsia="Arial" w:hAnsi="Arial"/>
          <w:sz w:val="18"/>
          <w:szCs w:val="18"/>
          <w:color w:val="074A75"/>
        </w:rPr>
      </w:pPr>
      <w:r>
        <w:rPr>
          <w:rFonts w:ascii="Arial" w:cs="Arial" w:eastAsia="Arial" w:hAnsi="Arial"/>
          <w:sz w:val="18"/>
          <w:szCs w:val="18"/>
          <w:color w:val="auto"/>
        </w:rPr>
        <w:t>our investment in our employees;</w:t>
      </w:r>
    </w:p>
    <w:p>
      <w:pPr>
        <w:spacing w:after="0" w:line="76" w:lineRule="exact"/>
        <w:rPr>
          <w:rFonts w:ascii="Arial" w:cs="Arial" w:eastAsia="Arial" w:hAnsi="Arial"/>
          <w:sz w:val="18"/>
          <w:szCs w:val="18"/>
          <w:color w:val="074A75"/>
        </w:rPr>
      </w:pPr>
    </w:p>
    <w:p>
      <w:pPr>
        <w:ind w:left="200" w:right="280" w:hanging="192"/>
        <w:spacing w:after="0" w:line="287" w:lineRule="auto"/>
        <w:tabs>
          <w:tab w:leader="none" w:pos="204" w:val="left"/>
        </w:tabs>
        <w:numPr>
          <w:ilvl w:val="0"/>
          <w:numId w:val="102"/>
        </w:numPr>
        <w:rPr>
          <w:rFonts w:ascii="Arial" w:cs="Arial" w:eastAsia="Arial" w:hAnsi="Arial"/>
          <w:sz w:val="18"/>
          <w:szCs w:val="18"/>
          <w:color w:val="074A75"/>
        </w:rPr>
      </w:pPr>
      <w:r>
        <w:rPr>
          <w:rFonts w:ascii="Arial" w:cs="Arial" w:eastAsia="Arial" w:hAnsi="Arial"/>
          <w:sz w:val="18"/>
          <w:szCs w:val="18"/>
          <w:color w:val="auto"/>
        </w:rPr>
        <w:t>the manner in which we serve our customers and support our communities; and</w:t>
      </w:r>
    </w:p>
    <w:p>
      <w:pPr>
        <w:spacing w:after="0" w:line="4" w:lineRule="exact"/>
        <w:rPr>
          <w:rFonts w:ascii="Arial" w:cs="Arial" w:eastAsia="Arial" w:hAnsi="Arial"/>
          <w:sz w:val="18"/>
          <w:szCs w:val="18"/>
          <w:color w:val="074A75"/>
        </w:rPr>
      </w:pPr>
    </w:p>
    <w:p>
      <w:pPr>
        <w:ind w:left="200" w:hanging="192"/>
        <w:spacing w:after="0"/>
        <w:tabs>
          <w:tab w:leader="none" w:pos="200" w:val="left"/>
        </w:tabs>
        <w:numPr>
          <w:ilvl w:val="0"/>
          <w:numId w:val="102"/>
        </w:numPr>
        <w:rPr>
          <w:rFonts w:ascii="Arial" w:cs="Arial" w:eastAsia="Arial" w:hAnsi="Arial"/>
          <w:sz w:val="18"/>
          <w:szCs w:val="18"/>
          <w:color w:val="074A75"/>
        </w:rPr>
      </w:pPr>
      <w:r>
        <w:rPr>
          <w:rFonts w:ascii="Arial" w:cs="Arial" w:eastAsia="Arial" w:hAnsi="Arial"/>
          <w:sz w:val="18"/>
          <w:szCs w:val="18"/>
          <w:color w:val="auto"/>
        </w:rPr>
        <w:t>how we advance sustainability in our business and operations.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Much of this work is done through the Board's committees. In particular, the PRC provides oversight of the Firm’s positions and practices on public responsibility matters such as community investment, fair lending, consumer practices, sustainability and other public policy issues that reflect the Firm’s values and character and impact its reputation among its stakeholders. Other Board committees consider ESG-related matters within their scope of responsibility. For instance, the CMDC oversees the Firm's culture, including reviewing employee DEI programs; the Risk Committee considers climate risk; the Governance Committee reviews board diversity and also considers ESG-related matters raised by shareholders; and the Audit Committee provides oversight of compliance with the Firm's ethical standards, policies, and procedures, and with laws and regulations. In the past year, Board and committee discussion topics included, among others, sustainability, DEI, Racial Equity Commitment, climate risk management, and reputational risks associated with ESG-related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Firm is committed to being transparent about our approach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performance on ESG topics. We publish an annual ESG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which provides information on how we are addressing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ESG-related matters that we and our stakeholders view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important to our business. In 2023, we also published a Climate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which included extensive disclosure about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approach to climate-related risks, opportunities and targets.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monitor the evolving disclosure landscape and evaluate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frameworks address our stakeholders' interest. In 2023, our ESG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disclosures were informed by the Global Reporting Initiative,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Sustainability Accounting Standards Board and the Task Force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Climate-related Financial Disclosures. The ESG information page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our website is available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jpmorganchase.com/about/governance/esg.</w:t>
      </w:r>
    </w:p>
    <w:p>
      <w:pPr>
        <w:spacing w:after="0" w:line="370" w:lineRule="exact"/>
        <w:rPr>
          <w:sz w:val="20"/>
          <w:szCs w:val="20"/>
          <w:color w:val="auto"/>
        </w:rPr>
      </w:pPr>
    </w:p>
    <w:p>
      <w:pPr>
        <w:sectPr>
          <w:pgSz w:w="11900" w:h="16838" w:orient="portrait"/>
          <w:cols w:equalWidth="0" w:num="2">
            <w:col w:w="5360" w:space="380"/>
            <w:col w:w="5520"/>
          </w:cols>
          <w:pgMar w:left="320" w:top="157" w:right="319" w:bottom="1440" w:gutter="0" w:footer="0" w:header="0"/>
          <w:type w:val="continuous"/>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217805</wp:posOffset>
            </wp:positionV>
            <wp:extent cx="76835" cy="146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217805</wp:posOffset>
            </wp:positionV>
            <wp:extent cx="77470" cy="146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217805</wp:posOffset>
            </wp:positionV>
            <wp:extent cx="76835" cy="146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20" w:type="dxa"/>
            <w:vAlign w:val="bottom"/>
          </w:tcPr>
          <w:p>
            <w:pPr>
              <w:spacing w:after="0"/>
              <w:rPr>
                <w:sz w:val="23"/>
                <w:szCs w:val="23"/>
                <w:color w:val="auto"/>
              </w:rPr>
            </w:pPr>
          </w:p>
        </w:tc>
        <w:tc>
          <w:tcPr>
            <w:tcW w:w="236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60" w:type="dxa"/>
            <w:vAlign w:val="bottom"/>
            <w:tcBorders>
              <w:bottom w:val="single" w:sz="8" w:color="E7E7E8"/>
            </w:tcBorders>
            <w:shd w:val="clear" w:color="auto" w:fill="E7E7E8"/>
          </w:tcPr>
          <w:p>
            <w:pPr>
              <w:spacing w:after="0"/>
              <w:rPr>
                <w:sz w:val="4"/>
                <w:szCs w:val="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43"/>
          <w:szCs w:val="43"/>
          <w:color w:val="074A75"/>
        </w:rPr>
        <w:t>4. Board engagement</w:t>
      </w:r>
    </w:p>
    <w:p>
      <w:pPr>
        <w:spacing w:after="0" w:line="13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directors meet periodically throughout the year with the Firm’s shareholders, employees, regulators, community and business leaders, and other persons interested in our strategy, business practices, governance, culture and performance. For more information, see the CD&amp;A on pages 35-62.</w:t>
      </w:r>
    </w:p>
    <w:p>
      <w:pPr>
        <w:spacing w:after="0" w:line="49" w:lineRule="exact"/>
        <w:rPr>
          <w:sz w:val="20"/>
          <w:szCs w:val="20"/>
          <w:color w:val="auto"/>
        </w:rPr>
      </w:pPr>
    </w:p>
    <w:p>
      <w:pPr>
        <w:spacing w:after="0"/>
        <w:rPr>
          <w:sz w:val="20"/>
          <w:szCs w:val="20"/>
          <w:color w:val="auto"/>
        </w:rPr>
      </w:pPr>
      <w:r>
        <w:rPr>
          <w:rFonts w:ascii="Arial" w:cs="Arial" w:eastAsia="Arial" w:hAnsi="Arial"/>
          <w:sz w:val="29"/>
          <w:szCs w:val="29"/>
          <w:color w:val="074A75"/>
        </w:rPr>
        <w:t>Shareholders and other interested parties</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an active and ongoing approach to engagement on a wide variety of topics (e.g., strategy, performance, competitive environment, governance) throughout the year. We interact with and receive feedback from our shareholders and other interested parties. Our shareholder engagement efforts are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34290</wp:posOffset>
            </wp:positionV>
            <wp:extent cx="6900545"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074A75"/>
        </w:rPr>
        <w:t>How we communicate: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366010" cy="33261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66010" cy="3326130"/>
                    </a:xfrm>
                    <a:prstGeom prst="rect">
                      <a:avLst/>
                    </a:prstGeom>
                    <a:noFill/>
                  </pic:spPr>
                </pic:pic>
              </a:graphicData>
            </a:graphic>
          </wp:anchor>
        </w:drawing>
      </w:r>
    </w:p>
    <w:p>
      <w:pPr>
        <w:spacing w:after="0" w:line="94" w:lineRule="exact"/>
        <w:rPr>
          <w:sz w:val="20"/>
          <w:szCs w:val="20"/>
          <w:color w:val="auto"/>
        </w:rPr>
      </w:pPr>
    </w:p>
    <w:p>
      <w:pPr>
        <w:ind w:left="480" w:hanging="201"/>
        <w:spacing w:after="0"/>
        <w:tabs>
          <w:tab w:leader="none" w:pos="480" w:val="left"/>
        </w:tabs>
        <w:numPr>
          <w:ilvl w:val="0"/>
          <w:numId w:val="103"/>
        </w:numPr>
        <w:rPr>
          <w:rFonts w:ascii="Arial" w:cs="Arial" w:eastAsia="Arial" w:hAnsi="Arial"/>
          <w:sz w:val="16"/>
          <w:szCs w:val="16"/>
          <w:color w:val="104C98"/>
        </w:rPr>
      </w:pPr>
      <w:r>
        <w:rPr>
          <w:rFonts w:ascii="Arial" w:cs="Arial" w:eastAsia="Arial" w:hAnsi="Arial"/>
          <w:sz w:val="17"/>
          <w:szCs w:val="17"/>
          <w:color w:val="auto"/>
        </w:rPr>
        <w:t>Annual Report</w:t>
      </w:r>
    </w:p>
    <w:p>
      <w:pPr>
        <w:spacing w:after="0" w:line="23" w:lineRule="exact"/>
        <w:rPr>
          <w:rFonts w:ascii="Arial" w:cs="Arial" w:eastAsia="Arial" w:hAnsi="Arial"/>
          <w:sz w:val="16"/>
          <w:szCs w:val="16"/>
          <w:color w:val="104C98"/>
        </w:rPr>
      </w:pPr>
    </w:p>
    <w:p>
      <w:pPr>
        <w:ind w:left="480" w:right="1205" w:hanging="201"/>
        <w:spacing w:after="0"/>
        <w:tabs>
          <w:tab w:leader="none" w:pos="477" w:val="left"/>
        </w:tabs>
        <w:numPr>
          <w:ilvl w:val="0"/>
          <w:numId w:val="103"/>
        </w:numPr>
        <w:rPr>
          <w:rFonts w:ascii="Arial" w:cs="Arial" w:eastAsia="Arial" w:hAnsi="Arial"/>
          <w:sz w:val="16"/>
          <w:szCs w:val="16"/>
          <w:color w:val="104C98"/>
        </w:rPr>
      </w:pPr>
      <w:r>
        <w:rPr>
          <w:rFonts w:ascii="Arial" w:cs="Arial" w:eastAsia="Arial" w:hAnsi="Arial"/>
          <w:sz w:val="17"/>
          <w:szCs w:val="17"/>
          <w:color w:val="auto"/>
        </w:rPr>
        <w:t>Proxy statement and supplemental filings</w:t>
      </w:r>
    </w:p>
    <w:p>
      <w:pPr>
        <w:ind w:left="480" w:hanging="201"/>
        <w:spacing w:after="0"/>
        <w:tabs>
          <w:tab w:leader="none" w:pos="480" w:val="left"/>
        </w:tabs>
        <w:numPr>
          <w:ilvl w:val="0"/>
          <w:numId w:val="103"/>
        </w:numPr>
        <w:rPr>
          <w:rFonts w:ascii="Arial" w:cs="Arial" w:eastAsia="Arial" w:hAnsi="Arial"/>
          <w:sz w:val="16"/>
          <w:szCs w:val="16"/>
          <w:color w:val="104C98"/>
        </w:rPr>
      </w:pPr>
      <w:r>
        <w:rPr>
          <w:rFonts w:ascii="Arial" w:cs="Arial" w:eastAsia="Arial" w:hAnsi="Arial"/>
          <w:sz w:val="17"/>
          <w:szCs w:val="17"/>
          <w:color w:val="auto"/>
        </w:rPr>
        <w:t>SEC filings</w:t>
      </w:r>
    </w:p>
    <w:p>
      <w:pPr>
        <w:spacing w:after="0" w:line="13" w:lineRule="exact"/>
        <w:rPr>
          <w:rFonts w:ascii="Arial" w:cs="Arial" w:eastAsia="Arial" w:hAnsi="Arial"/>
          <w:sz w:val="16"/>
          <w:szCs w:val="16"/>
          <w:color w:val="104C98"/>
        </w:rPr>
      </w:pPr>
    </w:p>
    <w:p>
      <w:pPr>
        <w:ind w:left="480" w:hanging="201"/>
        <w:spacing w:after="0"/>
        <w:tabs>
          <w:tab w:leader="none" w:pos="480" w:val="left"/>
        </w:tabs>
        <w:numPr>
          <w:ilvl w:val="0"/>
          <w:numId w:val="103"/>
        </w:numPr>
        <w:rPr>
          <w:rFonts w:ascii="Arial" w:cs="Arial" w:eastAsia="Arial" w:hAnsi="Arial"/>
          <w:sz w:val="16"/>
          <w:szCs w:val="16"/>
          <w:color w:val="104C98"/>
        </w:rPr>
      </w:pPr>
      <w:r>
        <w:rPr>
          <w:rFonts w:ascii="Arial" w:cs="Arial" w:eastAsia="Arial" w:hAnsi="Arial"/>
          <w:sz w:val="17"/>
          <w:szCs w:val="17"/>
          <w:color w:val="auto"/>
        </w:rPr>
        <w:t>Earnings materials</w:t>
      </w:r>
    </w:p>
    <w:p>
      <w:pPr>
        <w:spacing w:after="0" w:line="14" w:lineRule="exact"/>
        <w:rPr>
          <w:rFonts w:ascii="Arial" w:cs="Arial" w:eastAsia="Arial" w:hAnsi="Arial"/>
          <w:sz w:val="16"/>
          <w:szCs w:val="16"/>
          <w:color w:val="104C98"/>
        </w:rPr>
      </w:pPr>
    </w:p>
    <w:p>
      <w:pPr>
        <w:ind w:left="480" w:hanging="201"/>
        <w:spacing w:after="0"/>
        <w:tabs>
          <w:tab w:leader="none" w:pos="480" w:val="left"/>
        </w:tabs>
        <w:numPr>
          <w:ilvl w:val="0"/>
          <w:numId w:val="103"/>
        </w:numPr>
        <w:rPr>
          <w:rFonts w:ascii="Arial" w:cs="Arial" w:eastAsia="Arial" w:hAnsi="Arial"/>
          <w:sz w:val="16"/>
          <w:szCs w:val="16"/>
          <w:color w:val="104C98"/>
        </w:rPr>
      </w:pPr>
      <w:r>
        <w:rPr>
          <w:rFonts w:ascii="Arial" w:cs="Arial" w:eastAsia="Arial" w:hAnsi="Arial"/>
          <w:sz w:val="17"/>
          <w:szCs w:val="17"/>
          <w:color w:val="auto"/>
        </w:rPr>
        <w:t>Press releases</w:t>
      </w:r>
    </w:p>
    <w:p>
      <w:pPr>
        <w:spacing w:after="0" w:line="7" w:lineRule="exact"/>
        <w:rPr>
          <w:rFonts w:ascii="Arial" w:cs="Arial" w:eastAsia="Arial" w:hAnsi="Arial"/>
          <w:sz w:val="16"/>
          <w:szCs w:val="16"/>
          <w:color w:val="104C98"/>
        </w:rPr>
      </w:pPr>
    </w:p>
    <w:p>
      <w:pPr>
        <w:ind w:left="480" w:hanging="201"/>
        <w:spacing w:after="0"/>
        <w:tabs>
          <w:tab w:leader="none" w:pos="480" w:val="left"/>
        </w:tabs>
        <w:numPr>
          <w:ilvl w:val="0"/>
          <w:numId w:val="103"/>
        </w:numPr>
        <w:rPr>
          <w:rFonts w:ascii="Arial" w:cs="Arial" w:eastAsia="Arial" w:hAnsi="Arial"/>
          <w:sz w:val="16"/>
          <w:szCs w:val="16"/>
          <w:color w:val="104C98"/>
        </w:rPr>
      </w:pPr>
      <w:r>
        <w:rPr>
          <w:rFonts w:ascii="Arial" w:cs="Arial" w:eastAsia="Arial" w:hAnsi="Arial"/>
          <w:sz w:val="17"/>
          <w:szCs w:val="17"/>
          <w:color w:val="auto"/>
        </w:rPr>
        <w:t>Firm website</w:t>
      </w:r>
    </w:p>
    <w:p>
      <w:pPr>
        <w:spacing w:after="0" w:line="7" w:lineRule="exact"/>
        <w:rPr>
          <w:rFonts w:ascii="Arial" w:cs="Arial" w:eastAsia="Arial" w:hAnsi="Arial"/>
          <w:sz w:val="16"/>
          <w:szCs w:val="16"/>
          <w:color w:val="104C98"/>
        </w:rPr>
      </w:pPr>
    </w:p>
    <w:p>
      <w:pPr>
        <w:ind w:left="480" w:right="65" w:hanging="201"/>
        <w:spacing w:after="0" w:line="244" w:lineRule="auto"/>
        <w:tabs>
          <w:tab w:leader="none" w:pos="477" w:val="left"/>
        </w:tabs>
        <w:numPr>
          <w:ilvl w:val="0"/>
          <w:numId w:val="103"/>
        </w:numPr>
        <w:rPr>
          <w:rFonts w:ascii="Arial" w:cs="Arial" w:eastAsia="Arial" w:hAnsi="Arial"/>
          <w:sz w:val="16"/>
          <w:szCs w:val="16"/>
          <w:color w:val="104C98"/>
        </w:rPr>
      </w:pPr>
      <w:r>
        <w:rPr>
          <w:rFonts w:ascii="Arial" w:cs="Arial" w:eastAsia="Arial" w:hAnsi="Arial"/>
          <w:sz w:val="17"/>
          <w:szCs w:val="17"/>
          <w:color w:val="auto"/>
        </w:rPr>
        <w:t>ESG-related publications, and Firm-hosted events</w:t>
      </w:r>
    </w:p>
    <w:p>
      <w:pPr>
        <w:ind w:left="480" w:hanging="201"/>
        <w:spacing w:after="0"/>
        <w:tabs>
          <w:tab w:leader="none" w:pos="480" w:val="left"/>
        </w:tabs>
        <w:numPr>
          <w:ilvl w:val="0"/>
          <w:numId w:val="103"/>
        </w:numPr>
        <w:rPr>
          <w:rFonts w:ascii="Arial" w:cs="Arial" w:eastAsia="Arial" w:hAnsi="Arial"/>
          <w:sz w:val="16"/>
          <w:szCs w:val="16"/>
          <w:color w:val="104C98"/>
        </w:rPr>
      </w:pPr>
      <w:r>
        <w:rPr>
          <w:rFonts w:ascii="Arial" w:cs="Arial" w:eastAsia="Arial" w:hAnsi="Arial"/>
          <w:sz w:val="17"/>
          <w:szCs w:val="17"/>
          <w:color w:val="auto"/>
        </w:rPr>
        <w:t>External events and conferences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55"/>
        <w:spacing w:after="0"/>
        <w:rPr>
          <w:sz w:val="20"/>
          <w:szCs w:val="20"/>
          <w:color w:val="auto"/>
        </w:rPr>
      </w:pPr>
      <w:r>
        <w:rPr>
          <w:rFonts w:ascii="Arial" w:cs="Arial" w:eastAsia="Arial" w:hAnsi="Arial"/>
          <w:sz w:val="18"/>
          <w:szCs w:val="18"/>
          <w:color w:val="074A75"/>
        </w:rPr>
        <w:t>Who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2322830" cy="16370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22830" cy="1637030"/>
                    </a:xfrm>
                    <a:prstGeom prst="rect">
                      <a:avLst/>
                    </a:prstGeom>
                    <a:noFill/>
                  </pic:spPr>
                </pic:pic>
              </a:graphicData>
            </a:graphic>
          </wp:anchor>
        </w:drawing>
      </w:r>
    </w:p>
    <w:p>
      <w:pPr>
        <w:spacing w:after="0" w:line="94" w:lineRule="exact"/>
        <w:rPr>
          <w:sz w:val="20"/>
          <w:szCs w:val="20"/>
          <w:color w:val="auto"/>
        </w:rPr>
      </w:pPr>
    </w:p>
    <w:p>
      <w:pPr>
        <w:ind w:left="195" w:right="60" w:hanging="195"/>
        <w:spacing w:after="0" w:line="244" w:lineRule="auto"/>
        <w:tabs>
          <w:tab w:leader="none" w:pos="192" w:val="left"/>
        </w:tabs>
        <w:numPr>
          <w:ilvl w:val="0"/>
          <w:numId w:val="104"/>
        </w:numPr>
        <w:rPr>
          <w:rFonts w:ascii="Arial" w:cs="Arial" w:eastAsia="Arial" w:hAnsi="Arial"/>
          <w:sz w:val="16"/>
          <w:szCs w:val="16"/>
          <w:color w:val="114D97"/>
        </w:rPr>
      </w:pPr>
      <w:r>
        <w:rPr>
          <w:rFonts w:ascii="Arial" w:cs="Arial" w:eastAsia="Arial" w:hAnsi="Arial"/>
          <w:sz w:val="17"/>
          <w:szCs w:val="17"/>
          <w:color w:val="auto"/>
        </w:rPr>
        <w:t>Institutional shareholders, including portfolio managers, investment analysts and stewardship teams</w:t>
      </w:r>
    </w:p>
    <w:p>
      <w:pPr>
        <w:ind w:left="195" w:hanging="195"/>
        <w:spacing w:after="0"/>
        <w:tabs>
          <w:tab w:leader="none" w:pos="195" w:val="left"/>
        </w:tabs>
        <w:numPr>
          <w:ilvl w:val="0"/>
          <w:numId w:val="104"/>
        </w:numPr>
        <w:rPr>
          <w:rFonts w:ascii="Arial" w:cs="Arial" w:eastAsia="Arial" w:hAnsi="Arial"/>
          <w:sz w:val="16"/>
          <w:szCs w:val="16"/>
          <w:color w:val="114D97"/>
        </w:rPr>
      </w:pPr>
      <w:r>
        <w:rPr>
          <w:rFonts w:ascii="Arial" w:cs="Arial" w:eastAsia="Arial" w:hAnsi="Arial"/>
          <w:sz w:val="17"/>
          <w:szCs w:val="17"/>
          <w:color w:val="auto"/>
        </w:rPr>
        <w:t>Retail shareholders</w:t>
      </w:r>
    </w:p>
    <w:p>
      <w:pPr>
        <w:spacing w:after="0" w:line="7" w:lineRule="exact"/>
        <w:rPr>
          <w:rFonts w:ascii="Arial" w:cs="Arial" w:eastAsia="Arial" w:hAnsi="Arial"/>
          <w:sz w:val="16"/>
          <w:szCs w:val="16"/>
          <w:color w:val="114D97"/>
        </w:rPr>
      </w:pPr>
    </w:p>
    <w:p>
      <w:pPr>
        <w:ind w:left="195" w:hanging="195"/>
        <w:spacing w:after="0"/>
        <w:tabs>
          <w:tab w:leader="none" w:pos="195" w:val="left"/>
        </w:tabs>
        <w:numPr>
          <w:ilvl w:val="0"/>
          <w:numId w:val="104"/>
        </w:numPr>
        <w:rPr>
          <w:rFonts w:ascii="Arial" w:cs="Arial" w:eastAsia="Arial" w:hAnsi="Arial"/>
          <w:sz w:val="16"/>
          <w:szCs w:val="16"/>
          <w:color w:val="064A75"/>
        </w:rPr>
      </w:pPr>
      <w:r>
        <w:rPr>
          <w:rFonts w:ascii="Arial" w:cs="Arial" w:eastAsia="Arial" w:hAnsi="Arial"/>
          <w:sz w:val="17"/>
          <w:szCs w:val="17"/>
          <w:color w:val="auto"/>
        </w:rPr>
        <w:t>Fixed income investors and analysts</w:t>
      </w:r>
    </w:p>
    <w:p>
      <w:pPr>
        <w:spacing w:after="0" w:line="13" w:lineRule="exact"/>
        <w:rPr>
          <w:rFonts w:ascii="Arial" w:cs="Arial" w:eastAsia="Arial" w:hAnsi="Arial"/>
          <w:sz w:val="16"/>
          <w:szCs w:val="16"/>
          <w:color w:val="064A75"/>
        </w:rPr>
      </w:pPr>
    </w:p>
    <w:p>
      <w:pPr>
        <w:ind w:left="195" w:hanging="195"/>
        <w:spacing w:after="0"/>
        <w:tabs>
          <w:tab w:leader="none" w:pos="195" w:val="left"/>
        </w:tabs>
        <w:numPr>
          <w:ilvl w:val="0"/>
          <w:numId w:val="104"/>
        </w:numPr>
        <w:rPr>
          <w:rFonts w:ascii="Arial" w:cs="Arial" w:eastAsia="Arial" w:hAnsi="Arial"/>
          <w:sz w:val="16"/>
          <w:szCs w:val="16"/>
          <w:color w:val="114D97"/>
        </w:rPr>
      </w:pPr>
      <w:r>
        <w:rPr>
          <w:rFonts w:ascii="Arial" w:cs="Arial" w:eastAsia="Arial" w:hAnsi="Arial"/>
          <w:sz w:val="17"/>
          <w:szCs w:val="17"/>
          <w:color w:val="auto"/>
        </w:rPr>
        <w:t>Sell side and financials-focused analysts</w:t>
      </w:r>
    </w:p>
    <w:p>
      <w:pPr>
        <w:spacing w:after="0" w:line="14" w:lineRule="exact"/>
        <w:rPr>
          <w:rFonts w:ascii="Arial" w:cs="Arial" w:eastAsia="Arial" w:hAnsi="Arial"/>
          <w:sz w:val="16"/>
          <w:szCs w:val="16"/>
          <w:color w:val="114D97"/>
        </w:rPr>
      </w:pPr>
    </w:p>
    <w:p>
      <w:pPr>
        <w:ind w:left="195" w:hanging="195"/>
        <w:spacing w:after="0"/>
        <w:tabs>
          <w:tab w:leader="none" w:pos="195" w:val="left"/>
        </w:tabs>
        <w:numPr>
          <w:ilvl w:val="0"/>
          <w:numId w:val="104"/>
        </w:numPr>
        <w:rPr>
          <w:rFonts w:ascii="Arial" w:cs="Arial" w:eastAsia="Arial" w:hAnsi="Arial"/>
          <w:sz w:val="16"/>
          <w:szCs w:val="16"/>
          <w:color w:val="114D97"/>
        </w:rPr>
      </w:pPr>
      <w:r>
        <w:rPr>
          <w:rFonts w:ascii="Arial" w:cs="Arial" w:eastAsia="Arial" w:hAnsi="Arial"/>
          <w:sz w:val="17"/>
          <w:szCs w:val="17"/>
          <w:color w:val="auto"/>
        </w:rPr>
        <w:t>Proxy advisory firms</w:t>
      </w:r>
    </w:p>
    <w:p>
      <w:pPr>
        <w:spacing w:after="0" w:line="7" w:lineRule="exact"/>
        <w:rPr>
          <w:rFonts w:ascii="Arial" w:cs="Arial" w:eastAsia="Arial" w:hAnsi="Arial"/>
          <w:sz w:val="16"/>
          <w:szCs w:val="16"/>
          <w:color w:val="114D97"/>
        </w:rPr>
      </w:pPr>
    </w:p>
    <w:p>
      <w:pPr>
        <w:ind w:left="195" w:hanging="195"/>
        <w:spacing w:after="0"/>
        <w:tabs>
          <w:tab w:leader="none" w:pos="195" w:val="left"/>
        </w:tabs>
        <w:numPr>
          <w:ilvl w:val="0"/>
          <w:numId w:val="104"/>
        </w:numPr>
        <w:rPr>
          <w:rFonts w:ascii="Arial" w:cs="Arial" w:eastAsia="Arial" w:hAnsi="Arial"/>
          <w:sz w:val="16"/>
          <w:szCs w:val="16"/>
          <w:color w:val="114D97"/>
        </w:rPr>
      </w:pPr>
      <w:r>
        <w:rPr>
          <w:rFonts w:ascii="Arial" w:cs="Arial" w:eastAsia="Arial" w:hAnsi="Arial"/>
          <w:sz w:val="17"/>
          <w:szCs w:val="17"/>
          <w:color w:val="auto"/>
        </w:rPr>
        <w:t>ESG rating firms</w:t>
      </w:r>
    </w:p>
    <w:p>
      <w:pPr>
        <w:spacing w:after="0" w:line="7" w:lineRule="exact"/>
        <w:rPr>
          <w:rFonts w:ascii="Arial" w:cs="Arial" w:eastAsia="Arial" w:hAnsi="Arial"/>
          <w:sz w:val="16"/>
          <w:szCs w:val="16"/>
          <w:color w:val="114D97"/>
        </w:rPr>
      </w:pPr>
    </w:p>
    <w:p>
      <w:pPr>
        <w:ind w:left="195" w:hanging="195"/>
        <w:spacing w:after="0"/>
        <w:tabs>
          <w:tab w:leader="none" w:pos="195" w:val="left"/>
        </w:tabs>
        <w:numPr>
          <w:ilvl w:val="0"/>
          <w:numId w:val="104"/>
        </w:numPr>
        <w:rPr>
          <w:rFonts w:ascii="Arial" w:cs="Arial" w:eastAsia="Arial" w:hAnsi="Arial"/>
          <w:sz w:val="16"/>
          <w:szCs w:val="16"/>
          <w:color w:val="114D97"/>
        </w:rPr>
      </w:pPr>
      <w:r>
        <w:rPr>
          <w:rFonts w:ascii="Arial" w:cs="Arial" w:eastAsia="Arial" w:hAnsi="Arial"/>
          <w:sz w:val="17"/>
          <w:szCs w:val="17"/>
          <w:color w:val="auto"/>
        </w:rPr>
        <w:t>Non-governmental organizations</w:t>
      </w:r>
    </w:p>
    <w:p>
      <w:pPr>
        <w:spacing w:after="0" w:line="13" w:lineRule="exact"/>
        <w:rPr>
          <w:rFonts w:ascii="Arial" w:cs="Arial" w:eastAsia="Arial" w:hAnsi="Arial"/>
          <w:sz w:val="16"/>
          <w:szCs w:val="16"/>
          <w:color w:val="114D97"/>
        </w:rPr>
      </w:pPr>
    </w:p>
    <w:p>
      <w:pPr>
        <w:ind w:left="195" w:hanging="195"/>
        <w:spacing w:after="0"/>
        <w:tabs>
          <w:tab w:leader="none" w:pos="195" w:val="left"/>
        </w:tabs>
        <w:numPr>
          <w:ilvl w:val="0"/>
          <w:numId w:val="104"/>
        </w:numPr>
        <w:rPr>
          <w:rFonts w:ascii="Arial" w:cs="Arial" w:eastAsia="Arial" w:hAnsi="Arial"/>
          <w:sz w:val="16"/>
          <w:szCs w:val="16"/>
          <w:color w:val="114D97"/>
        </w:rPr>
      </w:pPr>
      <w:r>
        <w:rPr>
          <w:rFonts w:ascii="Arial" w:cs="Arial" w:eastAsia="Arial" w:hAnsi="Arial"/>
          <w:sz w:val="17"/>
          <w:szCs w:val="17"/>
          <w:color w:val="auto"/>
        </w:rPr>
        <w:t>Industry thought leaders</w:t>
      </w:r>
    </w:p>
    <w:p>
      <w:pPr>
        <w:spacing w:after="0" w:line="14" w:lineRule="exact"/>
        <w:rPr>
          <w:rFonts w:ascii="Arial" w:cs="Arial" w:eastAsia="Arial" w:hAnsi="Arial"/>
          <w:sz w:val="16"/>
          <w:szCs w:val="16"/>
          <w:color w:val="114D97"/>
        </w:rPr>
      </w:pPr>
    </w:p>
    <w:p>
      <w:pPr>
        <w:ind w:left="195" w:hanging="195"/>
        <w:spacing w:after="0"/>
        <w:tabs>
          <w:tab w:leader="none" w:pos="195" w:val="left"/>
        </w:tabs>
        <w:numPr>
          <w:ilvl w:val="0"/>
          <w:numId w:val="104"/>
        </w:numPr>
        <w:rPr>
          <w:rFonts w:ascii="Arial" w:cs="Arial" w:eastAsia="Arial" w:hAnsi="Arial"/>
          <w:sz w:val="16"/>
          <w:szCs w:val="16"/>
          <w:color w:val="064A75"/>
        </w:rPr>
      </w:pPr>
      <w:r>
        <w:rPr>
          <w:rFonts w:ascii="Arial" w:cs="Arial" w:eastAsia="Arial" w:hAnsi="Arial"/>
          <w:sz w:val="17"/>
          <w:szCs w:val="17"/>
          <w:color w:val="auto"/>
        </w:rPr>
        <w:t>Community and business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248285</wp:posOffset>
            </wp:positionV>
            <wp:extent cx="6900545" cy="13716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00545"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57"/>
        <w:spacing w:after="0"/>
        <w:rPr>
          <w:sz w:val="20"/>
          <w:szCs w:val="20"/>
          <w:color w:val="auto"/>
        </w:rPr>
      </w:pPr>
      <w:r>
        <w:rPr>
          <w:rFonts w:ascii="Arial" w:cs="Arial" w:eastAsia="Arial" w:hAnsi="Arial"/>
          <w:sz w:val="18"/>
          <w:szCs w:val="18"/>
          <w:color w:val="074A75"/>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2442845" cy="33261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442845" cy="3326130"/>
                    </a:xfrm>
                    <a:prstGeom prst="rect">
                      <a:avLst/>
                    </a:prstGeom>
                    <a:noFill/>
                  </pic:spPr>
                </pic:pic>
              </a:graphicData>
            </a:graphic>
          </wp:anchor>
        </w:drawing>
      </w:r>
    </w:p>
    <w:p>
      <w:pPr>
        <w:spacing w:after="0" w:line="94" w:lineRule="exact"/>
        <w:rPr>
          <w:sz w:val="20"/>
          <w:szCs w:val="20"/>
          <w:color w:val="auto"/>
        </w:rPr>
      </w:pPr>
    </w:p>
    <w:p>
      <w:pPr>
        <w:ind w:left="197" w:hanging="197"/>
        <w:spacing w:after="0"/>
        <w:tabs>
          <w:tab w:leader="none" w:pos="197" w:val="left"/>
        </w:tabs>
        <w:numPr>
          <w:ilvl w:val="0"/>
          <w:numId w:val="105"/>
        </w:numPr>
        <w:rPr>
          <w:rFonts w:ascii="Arial" w:cs="Arial" w:eastAsia="Arial" w:hAnsi="Arial"/>
          <w:sz w:val="16"/>
          <w:szCs w:val="16"/>
          <w:color w:val="114D97"/>
        </w:rPr>
      </w:pPr>
      <w:r>
        <w:rPr>
          <w:rFonts w:ascii="Arial" w:cs="Arial" w:eastAsia="Arial" w:hAnsi="Arial"/>
          <w:sz w:val="17"/>
          <w:szCs w:val="17"/>
          <w:color w:val="auto"/>
        </w:rPr>
        <w:t>Quarterly earnings calls</w:t>
      </w:r>
    </w:p>
    <w:p>
      <w:pPr>
        <w:spacing w:after="0" w:line="23" w:lineRule="exact"/>
        <w:rPr>
          <w:rFonts w:ascii="Arial" w:cs="Arial" w:eastAsia="Arial" w:hAnsi="Arial"/>
          <w:sz w:val="16"/>
          <w:szCs w:val="16"/>
          <w:color w:val="114D97"/>
        </w:rPr>
      </w:pPr>
    </w:p>
    <w:p>
      <w:pPr>
        <w:ind w:left="197" w:hanging="197"/>
        <w:spacing w:after="0"/>
        <w:tabs>
          <w:tab w:leader="none" w:pos="197" w:val="left"/>
        </w:tabs>
        <w:numPr>
          <w:ilvl w:val="0"/>
          <w:numId w:val="105"/>
        </w:numPr>
        <w:rPr>
          <w:rFonts w:ascii="Arial" w:cs="Arial" w:eastAsia="Arial" w:hAnsi="Arial"/>
          <w:sz w:val="16"/>
          <w:szCs w:val="16"/>
          <w:color w:val="114D97"/>
        </w:rPr>
      </w:pPr>
      <w:r>
        <w:rPr>
          <w:rFonts w:ascii="Arial" w:cs="Arial" w:eastAsia="Arial" w:hAnsi="Arial"/>
          <w:sz w:val="17"/>
          <w:szCs w:val="17"/>
          <w:color w:val="auto"/>
        </w:rPr>
        <w:t>Investor meetings and conferences</w:t>
      </w:r>
    </w:p>
    <w:p>
      <w:pPr>
        <w:spacing w:after="0" w:line="7" w:lineRule="exact"/>
        <w:rPr>
          <w:rFonts w:ascii="Arial" w:cs="Arial" w:eastAsia="Arial" w:hAnsi="Arial"/>
          <w:sz w:val="16"/>
          <w:szCs w:val="16"/>
          <w:color w:val="114D97"/>
        </w:rPr>
      </w:pPr>
    </w:p>
    <w:p>
      <w:pPr>
        <w:ind w:left="197" w:hanging="197"/>
        <w:spacing w:after="0"/>
        <w:tabs>
          <w:tab w:leader="none" w:pos="197" w:val="left"/>
        </w:tabs>
        <w:numPr>
          <w:ilvl w:val="0"/>
          <w:numId w:val="105"/>
        </w:numPr>
        <w:rPr>
          <w:rFonts w:ascii="Arial" w:cs="Arial" w:eastAsia="Arial" w:hAnsi="Arial"/>
          <w:sz w:val="16"/>
          <w:szCs w:val="16"/>
          <w:color w:val="114D97"/>
        </w:rPr>
      </w:pPr>
      <w:r>
        <w:rPr>
          <w:rFonts w:ascii="Arial" w:cs="Arial" w:eastAsia="Arial" w:hAnsi="Arial"/>
          <w:sz w:val="17"/>
          <w:szCs w:val="17"/>
          <w:color w:val="auto"/>
        </w:rPr>
        <w:t>Shareholder Outreach Program</w:t>
      </w:r>
    </w:p>
    <w:p>
      <w:pPr>
        <w:spacing w:after="0" w:line="13" w:lineRule="exact"/>
        <w:rPr>
          <w:rFonts w:ascii="Arial" w:cs="Arial" w:eastAsia="Arial" w:hAnsi="Arial"/>
          <w:sz w:val="16"/>
          <w:szCs w:val="16"/>
          <w:color w:val="114D97"/>
        </w:rPr>
      </w:pPr>
    </w:p>
    <w:p>
      <w:pPr>
        <w:ind w:left="197" w:hanging="197"/>
        <w:spacing w:after="0"/>
        <w:tabs>
          <w:tab w:leader="none" w:pos="197" w:val="left"/>
        </w:tabs>
        <w:numPr>
          <w:ilvl w:val="0"/>
          <w:numId w:val="105"/>
        </w:numPr>
        <w:rPr>
          <w:rFonts w:ascii="Arial" w:cs="Arial" w:eastAsia="Arial" w:hAnsi="Arial"/>
          <w:sz w:val="16"/>
          <w:szCs w:val="16"/>
          <w:color w:val="074A75"/>
        </w:rPr>
      </w:pPr>
      <w:r>
        <w:rPr>
          <w:rFonts w:ascii="Arial" w:cs="Arial" w:eastAsia="Arial" w:hAnsi="Arial"/>
          <w:sz w:val="17"/>
          <w:szCs w:val="17"/>
          <w:color w:val="auto"/>
        </w:rPr>
        <w:t>Annual Meeting of Shareholders</w:t>
      </w:r>
    </w:p>
    <w:p>
      <w:pPr>
        <w:spacing w:after="0" w:line="14" w:lineRule="exact"/>
        <w:rPr>
          <w:rFonts w:ascii="Arial" w:cs="Arial" w:eastAsia="Arial" w:hAnsi="Arial"/>
          <w:sz w:val="16"/>
          <w:szCs w:val="16"/>
          <w:color w:val="074A75"/>
        </w:rPr>
      </w:pPr>
    </w:p>
    <w:p>
      <w:pPr>
        <w:ind w:left="197" w:hanging="197"/>
        <w:spacing w:after="0"/>
        <w:tabs>
          <w:tab w:leader="none" w:pos="197" w:val="left"/>
        </w:tabs>
        <w:numPr>
          <w:ilvl w:val="0"/>
          <w:numId w:val="105"/>
        </w:numPr>
        <w:rPr>
          <w:rFonts w:ascii="Arial" w:cs="Arial" w:eastAsia="Arial" w:hAnsi="Arial"/>
          <w:sz w:val="16"/>
          <w:szCs w:val="16"/>
          <w:color w:val="064A75"/>
        </w:rPr>
      </w:pPr>
      <w:r>
        <w:rPr>
          <w:rFonts w:ascii="Arial" w:cs="Arial" w:eastAsia="Arial" w:hAnsi="Arial"/>
          <w:sz w:val="17"/>
          <w:szCs w:val="17"/>
          <w:color w:val="auto"/>
        </w:rPr>
        <w:t>Investor queries to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831215</wp:posOffset>
            </wp:positionV>
            <wp:extent cx="240030" cy="1200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clrChange>
                        <a:clrFrom>
                          <a:srgbClr val="000000"/>
                        </a:clrFrom>
                        <a:clrTo>
                          <a:srgbClr val="000000">
                            <a:alpha val="0"/>
                          </a:srgbClr>
                        </a:clrTo>
                      </a:clrChange>
                      <a:extLst>
                        <a:ext uri="{28A0092B-C50C-407E-A947-70E740481C1C}"/>
                      </a:extLst>
                    </a:blip>
                    <a:srcRect/>
                    <a:stretch>
                      <a:fillRect/>
                    </a:stretch>
                  </pic:blipFill>
                  <pic:spPr bwMode="auto">
                    <a:xfrm>
                      <a:off x="0" y="0"/>
                      <a:ext cx="240030" cy="12001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831215</wp:posOffset>
            </wp:positionV>
            <wp:extent cx="240030" cy="1200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240030" cy="120015"/>
                    </a:xfrm>
                    <a:prstGeom prst="rect">
                      <a:avLst/>
                    </a:prstGeom>
                    <a:noFill/>
                  </pic:spPr>
                </pic:pic>
              </a:graphicData>
            </a:graphic>
          </wp:anchor>
        </w:drawing>
      </w:r>
    </w:p>
    <w:p>
      <w:pPr>
        <w:spacing w:after="0" w:line="1401" w:lineRule="exact"/>
        <w:rPr>
          <w:sz w:val="20"/>
          <w:szCs w:val="20"/>
          <w:color w:val="auto"/>
        </w:rPr>
      </w:pPr>
    </w:p>
    <w:p>
      <w:pPr>
        <w:sectPr>
          <w:pgSz w:w="11900" w:h="16838" w:orient="portrait"/>
          <w:cols w:equalWidth="0" w:num="3">
            <w:col w:w="3245" w:space="720"/>
            <w:col w:w="3255" w:space="403"/>
            <w:col w:w="3637"/>
          </w:cols>
          <w:pgMar w:left="320" w:top="157" w:right="319" w:bottom="1440" w:gutter="0" w:footer="0" w:header="0"/>
          <w:type w:val="continuous"/>
        </w:sect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074A75"/>
        </w:rPr>
        <w:t>Semiannual Shareholder Outreach Program:</w:t>
      </w:r>
    </w:p>
    <w:p>
      <w:pPr>
        <w:spacing w:after="0" w:line="32" w:lineRule="exact"/>
        <w:rPr>
          <w:sz w:val="20"/>
          <w:szCs w:val="20"/>
          <w:color w:val="auto"/>
        </w:rPr>
      </w:pPr>
    </w:p>
    <w:p>
      <w:pPr>
        <w:ind w:left="480" w:right="380" w:hanging="201"/>
        <w:spacing w:after="0" w:line="237" w:lineRule="auto"/>
        <w:tabs>
          <w:tab w:leader="none" w:pos="480" w:val="left"/>
        </w:tabs>
        <w:numPr>
          <w:ilvl w:val="0"/>
          <w:numId w:val="106"/>
        </w:numPr>
        <w:rPr>
          <w:rFonts w:ascii="Arial" w:cs="Arial" w:eastAsia="Arial" w:hAnsi="Arial"/>
          <w:sz w:val="17"/>
          <w:szCs w:val="17"/>
          <w:color w:val="114D97"/>
        </w:rPr>
      </w:pPr>
      <w:r>
        <w:rPr>
          <w:rFonts w:ascii="Arial" w:cs="Arial" w:eastAsia="Arial" w:hAnsi="Arial"/>
          <w:sz w:val="17"/>
          <w:szCs w:val="17"/>
          <w:color w:val="auto"/>
        </w:rPr>
        <w:t>In addition to ad-hoc engagements requested by shareholders, twice a year, we conduct a comprehensive Shareholder Outreach Program focused on topics that include but are not limited to, executive compensation, management succession planning, Board composition and renewal, and shareholder rights. We also discuss and solicit shareholder feedback on the Firm’s approach to technology, including artificial intelligence, cybersecurity and ESG-related matters including climate and DEI</w:t>
      </w:r>
    </w:p>
    <w:p>
      <w:pPr>
        <w:ind w:left="480" w:right="540" w:hanging="201"/>
        <w:spacing w:after="0" w:line="236" w:lineRule="auto"/>
        <w:tabs>
          <w:tab w:leader="none" w:pos="480" w:val="left"/>
        </w:tabs>
        <w:numPr>
          <w:ilvl w:val="0"/>
          <w:numId w:val="106"/>
        </w:numPr>
        <w:rPr>
          <w:rFonts w:ascii="Arial" w:cs="Arial" w:eastAsia="Arial" w:hAnsi="Arial"/>
          <w:sz w:val="17"/>
          <w:szCs w:val="17"/>
          <w:color w:val="114D97"/>
        </w:rPr>
      </w:pPr>
      <w:r>
        <w:rPr>
          <w:rFonts w:ascii="Arial" w:cs="Arial" w:eastAsia="Arial" w:hAnsi="Arial"/>
          <w:sz w:val="17"/>
          <w:szCs w:val="17"/>
          <w:color w:val="auto"/>
        </w:rPr>
        <w:t>We reached out to more than 200 of our larger shareholders as well as proxy advisory firms to invite them to join engagement sessions with directors, management and other subject matter experts within the Firm. In these meetings, we share information and provide updates on topics of shareholder interest, address shareholder questions and solicit shareholders' perspectives and feedback. Directors participate in these meetings as appropriate</w:t>
      </w:r>
    </w:p>
    <w:p>
      <w:pPr>
        <w:ind w:left="480" w:hanging="201"/>
        <w:spacing w:after="0"/>
        <w:tabs>
          <w:tab w:leader="none" w:pos="480" w:val="left"/>
        </w:tabs>
        <w:numPr>
          <w:ilvl w:val="0"/>
          <w:numId w:val="106"/>
        </w:numPr>
        <w:rPr>
          <w:rFonts w:ascii="Arial" w:cs="Arial" w:eastAsia="Arial" w:hAnsi="Arial"/>
          <w:sz w:val="17"/>
          <w:szCs w:val="17"/>
          <w:color w:val="114D97"/>
        </w:rPr>
      </w:pPr>
      <w:r>
        <w:rPr>
          <w:rFonts w:ascii="Arial" w:cs="Arial" w:eastAsia="Arial" w:hAnsi="Arial"/>
          <w:sz w:val="17"/>
          <w:szCs w:val="17"/>
          <w:color w:val="auto"/>
        </w:rPr>
        <w:t>We provide the Board with shareholders' areas of focus and feedback from these engagements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111125</wp:posOffset>
            </wp:positionV>
            <wp:extent cx="6900545"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00545" cy="171450"/>
                    </a:xfrm>
                    <a:prstGeom prst="rect">
                      <a:avLst/>
                    </a:prstGeom>
                    <a:noFill/>
                  </pic:spPr>
                </pic:pic>
              </a:graphicData>
            </a:graphic>
          </wp:anchor>
        </w:drawing>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Investor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-76200</wp:posOffset>
            </wp:positionV>
            <wp:extent cx="6960870" cy="24257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60870" cy="2425700"/>
                    </a:xfrm>
                    <a:prstGeom prst="rect">
                      <a:avLst/>
                    </a:prstGeom>
                    <a:noFill/>
                  </pic:spPr>
                </pic:pic>
              </a:graphicData>
            </a:graphic>
          </wp:anchor>
        </w:drawing>
      </w:r>
    </w:p>
    <w:p>
      <w:pPr>
        <w:spacing w:after="0" w:line="94" w:lineRule="exact"/>
        <w:rPr>
          <w:sz w:val="20"/>
          <w:szCs w:val="20"/>
          <w:color w:val="auto"/>
        </w:rPr>
      </w:pPr>
    </w:p>
    <w:p>
      <w:pPr>
        <w:ind w:left="480" w:hanging="201"/>
        <w:spacing w:after="0"/>
        <w:tabs>
          <w:tab w:leader="none" w:pos="480" w:val="left"/>
        </w:tabs>
        <w:numPr>
          <w:ilvl w:val="0"/>
          <w:numId w:val="107"/>
        </w:numPr>
        <w:rPr>
          <w:rFonts w:ascii="Arial" w:cs="Arial" w:eastAsia="Arial" w:hAnsi="Arial"/>
          <w:sz w:val="16"/>
          <w:szCs w:val="16"/>
          <w:color w:val="114D97"/>
        </w:rPr>
      </w:pPr>
      <w:r>
        <w:rPr>
          <w:rFonts w:ascii="Arial" w:cs="Arial" w:eastAsia="Arial" w:hAnsi="Arial"/>
          <w:sz w:val="17"/>
          <w:szCs w:val="17"/>
          <w:color w:val="auto"/>
        </w:rPr>
        <w:t>Senior Management Engagement</w:t>
      </w:r>
    </w:p>
    <w:p>
      <w:pPr>
        <w:spacing w:after="0" w:line="23" w:lineRule="exact"/>
        <w:rPr>
          <w:rFonts w:ascii="Arial" w:cs="Arial" w:eastAsia="Arial" w:hAnsi="Arial"/>
          <w:sz w:val="16"/>
          <w:szCs w:val="16"/>
          <w:color w:val="114D97"/>
        </w:rPr>
      </w:pPr>
    </w:p>
    <w:p>
      <w:pPr>
        <w:ind w:left="1180" w:hanging="201"/>
        <w:spacing w:after="0"/>
        <w:tabs>
          <w:tab w:leader="none" w:pos="1180" w:val="left"/>
        </w:tabs>
        <w:numPr>
          <w:ilvl w:val="1"/>
          <w:numId w:val="107"/>
        </w:numPr>
        <w:rPr>
          <w:rFonts w:ascii="Arial" w:cs="Arial" w:eastAsia="Arial" w:hAnsi="Arial"/>
          <w:sz w:val="17"/>
          <w:szCs w:val="17"/>
          <w:color w:val="114D97"/>
        </w:rPr>
      </w:pPr>
      <w:r>
        <w:rPr>
          <w:rFonts w:ascii="Arial" w:cs="Arial" w:eastAsia="Arial" w:hAnsi="Arial"/>
          <w:sz w:val="17"/>
          <w:szCs w:val="17"/>
          <w:color w:val="auto"/>
        </w:rPr>
        <w:t>Hosted approximately 28 investor meetings</w:t>
      </w:r>
    </w:p>
    <w:p>
      <w:pPr>
        <w:spacing w:after="0" w:line="7" w:lineRule="exact"/>
        <w:rPr>
          <w:rFonts w:ascii="Arial" w:cs="Arial" w:eastAsia="Arial" w:hAnsi="Arial"/>
          <w:sz w:val="17"/>
          <w:szCs w:val="17"/>
          <w:color w:val="114D97"/>
        </w:rPr>
      </w:pPr>
    </w:p>
    <w:p>
      <w:pPr>
        <w:ind w:left="1180" w:hanging="201"/>
        <w:spacing w:after="0"/>
        <w:tabs>
          <w:tab w:leader="none" w:pos="1180" w:val="left"/>
        </w:tabs>
        <w:numPr>
          <w:ilvl w:val="1"/>
          <w:numId w:val="107"/>
        </w:numPr>
        <w:rPr>
          <w:rFonts w:ascii="Arial" w:cs="Arial" w:eastAsia="Arial" w:hAnsi="Arial"/>
          <w:sz w:val="17"/>
          <w:szCs w:val="17"/>
          <w:color w:val="114D97"/>
        </w:rPr>
      </w:pPr>
      <w:r>
        <w:rPr>
          <w:rFonts w:ascii="Arial" w:cs="Arial" w:eastAsia="Arial" w:hAnsi="Arial"/>
          <w:sz w:val="17"/>
          <w:szCs w:val="17"/>
          <w:color w:val="auto"/>
        </w:rPr>
        <w:t>Presented at approximately 15 investor conferences</w:t>
      </w:r>
    </w:p>
    <w:p>
      <w:pPr>
        <w:spacing w:after="0" w:line="13" w:lineRule="exact"/>
        <w:rPr>
          <w:rFonts w:ascii="Arial" w:cs="Arial" w:eastAsia="Arial" w:hAnsi="Arial"/>
          <w:sz w:val="17"/>
          <w:szCs w:val="17"/>
          <w:color w:val="114D97"/>
        </w:rPr>
      </w:pPr>
    </w:p>
    <w:p>
      <w:pPr>
        <w:ind w:left="1180" w:hanging="201"/>
        <w:spacing w:after="0"/>
        <w:tabs>
          <w:tab w:leader="none" w:pos="1180" w:val="left"/>
        </w:tabs>
        <w:numPr>
          <w:ilvl w:val="1"/>
          <w:numId w:val="107"/>
        </w:numPr>
        <w:rPr>
          <w:rFonts w:ascii="Arial" w:cs="Arial" w:eastAsia="Arial" w:hAnsi="Arial"/>
          <w:sz w:val="17"/>
          <w:szCs w:val="17"/>
          <w:color w:val="114D97"/>
        </w:rPr>
      </w:pPr>
      <w:r>
        <w:rPr>
          <w:rFonts w:ascii="Arial" w:cs="Arial" w:eastAsia="Arial" w:hAnsi="Arial"/>
          <w:sz w:val="17"/>
          <w:szCs w:val="17"/>
          <w:color w:val="auto"/>
        </w:rPr>
        <w:t>Met with shareholders, fixed income holders and other interested parties around the world</w:t>
      </w:r>
    </w:p>
    <w:p>
      <w:pPr>
        <w:spacing w:after="0" w:line="14" w:lineRule="exact"/>
        <w:rPr>
          <w:rFonts w:ascii="Arial" w:cs="Arial" w:eastAsia="Arial" w:hAnsi="Arial"/>
          <w:sz w:val="17"/>
          <w:szCs w:val="17"/>
          <w:color w:val="114D97"/>
        </w:rPr>
      </w:pPr>
    </w:p>
    <w:p>
      <w:pPr>
        <w:ind w:left="480" w:hanging="201"/>
        <w:spacing w:after="0"/>
        <w:tabs>
          <w:tab w:leader="none" w:pos="480" w:val="left"/>
        </w:tabs>
        <w:numPr>
          <w:ilvl w:val="0"/>
          <w:numId w:val="107"/>
        </w:numPr>
        <w:rPr>
          <w:rFonts w:ascii="Arial" w:cs="Arial" w:eastAsia="Arial" w:hAnsi="Arial"/>
          <w:sz w:val="16"/>
          <w:szCs w:val="16"/>
          <w:color w:val="114D97"/>
        </w:rPr>
      </w:pPr>
      <w:r>
        <w:rPr>
          <w:rFonts w:ascii="Arial" w:cs="Arial" w:eastAsia="Arial" w:hAnsi="Arial"/>
          <w:sz w:val="17"/>
          <w:szCs w:val="17"/>
          <w:color w:val="auto"/>
        </w:rPr>
        <w:t>Shareholder Engagement</w:t>
      </w:r>
    </w:p>
    <w:p>
      <w:pPr>
        <w:spacing w:after="0" w:line="7" w:lineRule="exact"/>
        <w:rPr>
          <w:rFonts w:ascii="Arial" w:cs="Arial" w:eastAsia="Arial" w:hAnsi="Arial"/>
          <w:sz w:val="16"/>
          <w:szCs w:val="16"/>
          <w:color w:val="114D97"/>
        </w:rPr>
      </w:pPr>
    </w:p>
    <w:p>
      <w:pPr>
        <w:ind w:left="1180" w:hanging="201"/>
        <w:spacing w:after="0"/>
        <w:tabs>
          <w:tab w:leader="none" w:pos="1180" w:val="left"/>
        </w:tabs>
        <w:numPr>
          <w:ilvl w:val="1"/>
          <w:numId w:val="107"/>
        </w:numPr>
        <w:rPr>
          <w:rFonts w:ascii="Arial" w:cs="Arial" w:eastAsia="Arial" w:hAnsi="Arial"/>
          <w:sz w:val="17"/>
          <w:szCs w:val="17"/>
          <w:color w:val="114D97"/>
        </w:rPr>
      </w:pPr>
      <w:r>
        <w:rPr>
          <w:rFonts w:ascii="Arial" w:cs="Arial" w:eastAsia="Arial" w:hAnsi="Arial"/>
          <w:sz w:val="17"/>
          <w:szCs w:val="17"/>
          <w:color w:val="auto"/>
        </w:rPr>
        <w:t>Approximately 200 engagements with 120 shareholders that represented 50% of the Firm's outstanding common stock</w:t>
      </w:r>
    </w:p>
    <w:p>
      <w:pPr>
        <w:spacing w:after="0" w:line="7" w:lineRule="exact"/>
        <w:rPr>
          <w:rFonts w:ascii="Arial" w:cs="Arial" w:eastAsia="Arial" w:hAnsi="Arial"/>
          <w:sz w:val="17"/>
          <w:szCs w:val="17"/>
          <w:color w:val="114D97"/>
        </w:rPr>
      </w:pPr>
    </w:p>
    <w:p>
      <w:pPr>
        <w:ind w:left="1180" w:hanging="201"/>
        <w:spacing w:after="0"/>
        <w:tabs>
          <w:tab w:leader="none" w:pos="1180" w:val="left"/>
        </w:tabs>
        <w:numPr>
          <w:ilvl w:val="1"/>
          <w:numId w:val="107"/>
        </w:numPr>
        <w:rPr>
          <w:rFonts w:ascii="Arial" w:cs="Arial" w:eastAsia="Arial" w:hAnsi="Arial"/>
          <w:sz w:val="17"/>
          <w:szCs w:val="17"/>
          <w:color w:val="114D97"/>
        </w:rPr>
      </w:pPr>
      <w:r>
        <w:rPr>
          <w:rFonts w:ascii="Arial" w:cs="Arial" w:eastAsia="Arial" w:hAnsi="Arial"/>
          <w:sz w:val="17"/>
          <w:szCs w:val="17"/>
          <w:color w:val="auto"/>
        </w:rPr>
        <w:t>Directors participated as appropriate</w:t>
      </w:r>
    </w:p>
    <w:p>
      <w:pPr>
        <w:spacing w:after="0" w:line="13" w:lineRule="exact"/>
        <w:rPr>
          <w:rFonts w:ascii="Arial" w:cs="Arial" w:eastAsia="Arial" w:hAnsi="Arial"/>
          <w:sz w:val="17"/>
          <w:szCs w:val="17"/>
          <w:color w:val="114D97"/>
        </w:rPr>
      </w:pPr>
    </w:p>
    <w:p>
      <w:pPr>
        <w:ind w:left="1180" w:hanging="201"/>
        <w:spacing w:after="0"/>
        <w:tabs>
          <w:tab w:leader="none" w:pos="1180" w:val="left"/>
        </w:tabs>
        <w:numPr>
          <w:ilvl w:val="1"/>
          <w:numId w:val="107"/>
        </w:numPr>
        <w:rPr>
          <w:rFonts w:ascii="Arial" w:cs="Arial" w:eastAsia="Arial" w:hAnsi="Arial"/>
          <w:sz w:val="17"/>
          <w:szCs w:val="17"/>
          <w:color w:val="114D97"/>
        </w:rPr>
      </w:pPr>
      <w:r>
        <w:rPr>
          <w:rFonts w:ascii="Arial" w:cs="Arial" w:eastAsia="Arial" w:hAnsi="Arial"/>
          <w:sz w:val="17"/>
          <w:szCs w:val="17"/>
          <w:color w:val="auto"/>
        </w:rPr>
        <w:t>Frequently discussed topics included:</w:t>
      </w:r>
    </w:p>
    <w:p>
      <w:pPr>
        <w:spacing w:after="0" w:line="14" w:lineRule="exact"/>
        <w:rPr>
          <w:rFonts w:ascii="Arial" w:cs="Arial" w:eastAsia="Arial" w:hAnsi="Arial"/>
          <w:sz w:val="17"/>
          <w:szCs w:val="17"/>
          <w:color w:val="114D97"/>
        </w:rPr>
      </w:pPr>
    </w:p>
    <w:p>
      <w:pPr>
        <w:ind w:left="1820" w:right="320" w:hanging="193"/>
        <w:spacing w:after="0"/>
        <w:tabs>
          <w:tab w:leader="none" w:pos="1821" w:val="left"/>
        </w:tabs>
        <w:numPr>
          <w:ilvl w:val="2"/>
          <w:numId w:val="107"/>
        </w:numPr>
        <w:rPr>
          <w:rFonts w:ascii="Arial" w:cs="Arial" w:eastAsia="Arial" w:hAnsi="Arial"/>
          <w:sz w:val="17"/>
          <w:szCs w:val="17"/>
          <w:color w:val="114D97"/>
        </w:rPr>
      </w:pPr>
      <w:r>
        <w:rPr>
          <w:rFonts w:ascii="Arial" w:cs="Arial" w:eastAsia="Arial" w:hAnsi="Arial"/>
          <w:sz w:val="17"/>
          <w:szCs w:val="17"/>
          <w:color w:val="auto"/>
        </w:rPr>
        <w:t>Board and management succession planning, including recent changes to the Board’s composition and future leadership structure in preparation for CEO succession</w:t>
      </w:r>
    </w:p>
    <w:p>
      <w:pPr>
        <w:ind w:left="1820" w:right="580" w:hanging="193"/>
        <w:spacing w:after="0"/>
        <w:tabs>
          <w:tab w:leader="none" w:pos="1821" w:val="left"/>
        </w:tabs>
        <w:numPr>
          <w:ilvl w:val="2"/>
          <w:numId w:val="107"/>
        </w:numPr>
        <w:rPr>
          <w:rFonts w:ascii="Arial" w:cs="Arial" w:eastAsia="Arial" w:hAnsi="Arial"/>
          <w:sz w:val="17"/>
          <w:szCs w:val="17"/>
          <w:color w:val="114D97"/>
        </w:rPr>
      </w:pPr>
      <w:r>
        <w:rPr>
          <w:rFonts w:ascii="Arial" w:cs="Arial" w:eastAsia="Arial" w:hAnsi="Arial"/>
          <w:sz w:val="17"/>
          <w:szCs w:val="17"/>
          <w:color w:val="auto"/>
        </w:rPr>
        <w:t>The Board's responsiveness to shareholder feedback that led to 89% shareholder support for Say on Pay at the 2023 Annual Meeting</w:t>
      </w:r>
    </w:p>
    <w:p>
      <w:pPr>
        <w:ind w:left="1820" w:hanging="193"/>
        <w:spacing w:after="0"/>
        <w:tabs>
          <w:tab w:leader="none" w:pos="1820" w:val="left"/>
        </w:tabs>
        <w:numPr>
          <w:ilvl w:val="2"/>
          <w:numId w:val="107"/>
        </w:numPr>
        <w:rPr>
          <w:rFonts w:ascii="Arial" w:cs="Arial" w:eastAsia="Arial" w:hAnsi="Arial"/>
          <w:sz w:val="17"/>
          <w:szCs w:val="17"/>
          <w:color w:val="114D97"/>
        </w:rPr>
      </w:pPr>
      <w:r>
        <w:rPr>
          <w:rFonts w:ascii="Arial" w:cs="Arial" w:eastAsia="Arial" w:hAnsi="Arial"/>
          <w:sz w:val="17"/>
          <w:szCs w:val="17"/>
          <w:color w:val="auto"/>
        </w:rPr>
        <w:t>The Firm's sustainability efforts, including its climate strategy and progress</w:t>
      </w:r>
    </w:p>
    <w:p>
      <w:pPr>
        <w:spacing w:after="0" w:line="13" w:lineRule="exact"/>
        <w:rPr>
          <w:rFonts w:ascii="Arial" w:cs="Arial" w:eastAsia="Arial" w:hAnsi="Arial"/>
          <w:sz w:val="17"/>
          <w:szCs w:val="17"/>
          <w:color w:val="114D97"/>
        </w:rPr>
      </w:pPr>
    </w:p>
    <w:p>
      <w:pPr>
        <w:ind w:left="1820" w:hanging="193"/>
        <w:spacing w:after="0"/>
        <w:tabs>
          <w:tab w:leader="none" w:pos="1820" w:val="left"/>
        </w:tabs>
        <w:numPr>
          <w:ilvl w:val="2"/>
          <w:numId w:val="107"/>
        </w:numPr>
        <w:rPr>
          <w:rFonts w:ascii="Arial" w:cs="Arial" w:eastAsia="Arial" w:hAnsi="Arial"/>
          <w:sz w:val="17"/>
          <w:szCs w:val="17"/>
          <w:color w:val="114D97"/>
        </w:rPr>
      </w:pPr>
      <w:r>
        <w:rPr>
          <w:rFonts w:ascii="Arial" w:cs="Arial" w:eastAsia="Arial" w:hAnsi="Arial"/>
          <w:sz w:val="17"/>
          <w:szCs w:val="17"/>
          <w:color w:val="auto"/>
        </w:rPr>
        <w:t>Board composition, skills, diversity and renewal</w:t>
      </w:r>
    </w:p>
    <w:p>
      <w:pPr>
        <w:spacing w:after="0" w:line="14" w:lineRule="exact"/>
        <w:rPr>
          <w:rFonts w:ascii="Arial" w:cs="Arial" w:eastAsia="Arial" w:hAnsi="Arial"/>
          <w:sz w:val="17"/>
          <w:szCs w:val="17"/>
          <w:color w:val="114D97"/>
        </w:rPr>
      </w:pPr>
    </w:p>
    <w:p>
      <w:pPr>
        <w:ind w:left="1820" w:hanging="193"/>
        <w:spacing w:after="0"/>
        <w:tabs>
          <w:tab w:leader="none" w:pos="1820" w:val="left"/>
        </w:tabs>
        <w:numPr>
          <w:ilvl w:val="2"/>
          <w:numId w:val="107"/>
        </w:numPr>
        <w:rPr>
          <w:rFonts w:ascii="Arial" w:cs="Arial" w:eastAsia="Arial" w:hAnsi="Arial"/>
          <w:sz w:val="17"/>
          <w:szCs w:val="17"/>
          <w:color w:val="114D97"/>
        </w:rPr>
      </w:pPr>
      <w:r>
        <w:rPr>
          <w:rFonts w:ascii="Arial" w:cs="Arial" w:eastAsia="Arial" w:hAnsi="Arial"/>
          <w:sz w:val="17"/>
          <w:szCs w:val="17"/>
          <w:color w:val="auto"/>
        </w:rPr>
        <w:t>The Firm’s human capital management, including DEI, and efforts to advance racial equity</w:t>
      </w:r>
    </w:p>
    <w:p>
      <w:pPr>
        <w:spacing w:after="0" w:line="7" w:lineRule="exact"/>
        <w:rPr>
          <w:rFonts w:ascii="Arial" w:cs="Arial" w:eastAsia="Arial" w:hAnsi="Arial"/>
          <w:sz w:val="17"/>
          <w:szCs w:val="17"/>
          <w:color w:val="114D97"/>
        </w:rPr>
      </w:pPr>
    </w:p>
    <w:p>
      <w:pPr>
        <w:ind w:left="1820" w:hanging="193"/>
        <w:spacing w:after="0"/>
        <w:tabs>
          <w:tab w:leader="none" w:pos="1820" w:val="left"/>
        </w:tabs>
        <w:numPr>
          <w:ilvl w:val="2"/>
          <w:numId w:val="107"/>
        </w:numPr>
        <w:rPr>
          <w:rFonts w:ascii="Arial" w:cs="Arial" w:eastAsia="Arial" w:hAnsi="Arial"/>
          <w:sz w:val="17"/>
          <w:szCs w:val="17"/>
          <w:color w:val="114D97"/>
        </w:rPr>
      </w:pPr>
      <w:r>
        <w:rPr>
          <w:rFonts w:ascii="Arial" w:cs="Arial" w:eastAsia="Arial" w:hAnsi="Arial"/>
          <w:sz w:val="17"/>
          <w:szCs w:val="17"/>
          <w:color w:val="auto"/>
        </w:rPr>
        <w:t>The Firm's approach to the dynamic regulatory environment</w:t>
      </w:r>
    </w:p>
    <w:p>
      <w:pPr>
        <w:spacing w:after="0" w:line="7" w:lineRule="exact"/>
        <w:rPr>
          <w:rFonts w:ascii="Arial" w:cs="Arial" w:eastAsia="Arial" w:hAnsi="Arial"/>
          <w:sz w:val="17"/>
          <w:szCs w:val="17"/>
          <w:color w:val="114D97"/>
        </w:rPr>
      </w:pPr>
    </w:p>
    <w:p>
      <w:pPr>
        <w:ind w:left="1820" w:hanging="193"/>
        <w:spacing w:after="0"/>
        <w:tabs>
          <w:tab w:leader="none" w:pos="1820" w:val="left"/>
        </w:tabs>
        <w:numPr>
          <w:ilvl w:val="2"/>
          <w:numId w:val="107"/>
        </w:numPr>
        <w:rPr>
          <w:rFonts w:ascii="Arial" w:cs="Arial" w:eastAsia="Arial" w:hAnsi="Arial"/>
          <w:sz w:val="17"/>
          <w:szCs w:val="17"/>
          <w:color w:val="114D97"/>
        </w:rPr>
      </w:pPr>
      <w:r>
        <w:rPr>
          <w:rFonts w:ascii="Arial" w:cs="Arial" w:eastAsia="Arial" w:hAnsi="Arial"/>
          <w:sz w:val="17"/>
          <w:szCs w:val="17"/>
          <w:color w:val="auto"/>
        </w:rPr>
        <w:t>The Firm's risk management in relation to cybersecurity, geopolitics and macro-economics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334010</wp:posOffset>
            </wp:positionV>
            <wp:extent cx="274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27  </w:t>
      </w:r>
      <w:r>
        <w:rPr>
          <w:sz w:val="1"/>
          <w:szCs w:val="1"/>
          <w:color w:val="auto"/>
        </w:rPr>
        <w:drawing>
          <wp:inline distT="0" distB="0" distL="0" distR="0">
            <wp:extent cx="2203450" cy="15430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20" w:type="dxa"/>
            <w:vAlign w:val="bottom"/>
          </w:tcPr>
          <w:p>
            <w:pPr>
              <w:spacing w:after="0"/>
              <w:rPr>
                <w:sz w:val="23"/>
                <w:szCs w:val="23"/>
                <w:color w:val="auto"/>
              </w:rPr>
            </w:pPr>
          </w:p>
        </w:tc>
        <w:tc>
          <w:tcPr>
            <w:tcW w:w="236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60" w:type="dxa"/>
            <w:vAlign w:val="bottom"/>
            <w:tcBorders>
              <w:bottom w:val="single" w:sz="8" w:color="E7E7E8"/>
            </w:tcBorders>
            <w:shd w:val="clear" w:color="auto" w:fill="E7E7E8"/>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54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54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5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color w:val="074A75"/>
        </w:rPr>
        <w:t>Employees</w:t>
      </w:r>
    </w:p>
    <w:p>
      <w:pPr>
        <w:spacing w:after="0" w:line="13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Board is committed to maintaining a strong corporate governance culture that instills and enhances a sense of personal accountability on the part of all of the Firm’s employees.</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discussions at Board meetings with senior management about these efforts, our directors participate in events outside of the boardroom including meetings with employees that emphasize this commitment. These meetings include employee town halls, LOB and leadership team events such as our annual senior leaders’ meetings and informal sessions with members of the OC and other senior leaders. In 2023, members of our Board participated in Regional Director dinners, Firmwide senior leadership events, LOB industry events and Business Resource Groups' ("BRGs") events.</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Regulators</w:t>
      </w:r>
    </w:p>
    <w:p>
      <w:pPr>
        <w:spacing w:after="0" w:line="1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Board and senior leaders regularly meet with regulators. These interactions help us learn first-hand from regulators about matters of importance to them and their expectations of us. They also provide a forum for the Board and management to keep our regulators well-informed about the Firm’s performance and business practices.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29"/>
          <w:szCs w:val="29"/>
          <w:color w:val="074A75"/>
        </w:rPr>
        <w:t>Stakeholders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we strive to deliver value, management engages with our stakeholders, including our customers, suppliers and communities in which we work, on a range of issues and in a variety of ways. These may include, for example, participation in consumer advisory panels and meetings with policy advocacy groups and nonprofit organizations. We actively seek feedback on key topics to help us better understand what is important to our stakeholders and find ways to deliver value while also navigating financial, legal and regulatory considerations. In recent years, we have engaged in extensive stakeholder outreach pertaining to, among other topics, sustainability and DEI.</w:t>
      </w:r>
    </w:p>
    <w:p>
      <w:pPr>
        <w:spacing w:after="0" w:line="74" w:lineRule="exact"/>
        <w:rPr>
          <w:sz w:val="20"/>
          <w:szCs w:val="20"/>
          <w:color w:val="auto"/>
        </w:rPr>
      </w:pPr>
    </w:p>
    <w:p>
      <w:pPr>
        <w:ind w:right="480"/>
        <w:spacing w:after="0" w:line="278" w:lineRule="auto"/>
        <w:rPr>
          <w:sz w:val="20"/>
          <w:szCs w:val="20"/>
          <w:color w:val="auto"/>
        </w:rPr>
      </w:pPr>
      <w:r>
        <w:rPr>
          <w:rFonts w:ascii="Arial" w:cs="Arial" w:eastAsia="Arial" w:hAnsi="Arial"/>
          <w:sz w:val="17"/>
          <w:szCs w:val="17"/>
          <w:color w:val="auto"/>
        </w:rPr>
        <w:t>Management shares feedback from these relationships and engagements with the Board, providing the Board with valuable insights. Board members also participate in engagements with stakeholders through client events, town halls, industry conferences, and shareholder discussions as appropriate.</w:t>
      </w:r>
    </w:p>
    <w:p>
      <w:pPr>
        <w:spacing w:after="0" w:line="1572"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color w:val="074A75"/>
        </w:rPr>
        <w:t>Director compensation</w:t>
      </w:r>
    </w:p>
    <w:p>
      <w:pPr>
        <w:spacing w:after="0" w:line="2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Governance Committee is responsible for reviewing director compensation and making recommendations to the Board. In making its recommendations, the Governance Committee annually reviews the Board’s responsibilities and the compensation practices of peer firms, which include the primary financial services peer group referenced with respect to the compensation of our NEOs. For more information see “Evaluating market practices” on page 42.</w:t>
      </w:r>
    </w:p>
    <w:p>
      <w:pPr>
        <w:spacing w:after="0" w:line="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Board believes a best practice is to link director compensation to the Firm’s performance; therefore, a significant portion of director compensation is paid in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074A75"/>
        </w:rPr>
        <w:t>Annual compensation</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2023, each non-employee director was entitled to receive an annual cash retainer of up to $100,000 and, if the non-employee director was on the Board at the time when annual performance year equity awards were granted, an annual grant of deferred stock units valued at $250,000.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Pursuant to discretion authorized under the Firm's Long-Term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Incentive Plan approved by shareholders at the 2021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 (the "2021 Plan"), the Governance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recommended, and the Board approved, an increase to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to maintain competitive compensation relative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peers. Effective January 1, 2024, the directors' annual cash retainer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increased from $100,000 to $110,000 and the annual grant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stock units was increased from $250,000 to $265,000.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 the retainer for the Lead Independent Director increased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$30,000 to $35,000; retainers for the Chairs of the Bank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Audit and Risk Committees increased from $25,000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$30,000; retainers for members of the Bank Board and members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Audit and Risk Committees increased from $15,000 to $20,000;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retainers for the Chairs of our other principal 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committees increased from $15,000 to $20,000. This is the first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directors' annual retainer since 2017 and other role-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based retainers since 2013.</w:t>
      </w:r>
    </w:p>
    <w:p>
      <w:pPr>
        <w:spacing w:after="0" w:line="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Compensation paid during 2023, including additional cash compensation paid for certain committee and other service, is described in the following tables.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Each deferred stock unit included in the annual grant to directors represents the right to receive one share of the Firm’s common stock and dividend equivalents payable in deferred stock units for any dividends paid. Deferred stock units have no voting rights. In January of the year immediately following a director’s retirement from the Board, deferred stock units are distributed in shares of the Firm’s common stock in either a lump sum or in annual installments for up to 15 years as elected by the director.</w:t>
      </w:r>
    </w:p>
    <w:p>
      <w:pPr>
        <w:spacing w:after="0" w:line="7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the 2023 annual compensation for non-employee directors for service on the Boards of the Firm, the Bank and J.P. Morgan Securities plc ("JPMS plc"). There is no additional compensation paid for service on the Board of IHC.</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074A75"/>
              </w:rPr>
              <w:t>Compensation</w:t>
            </w:r>
          </w:p>
        </w:tc>
        <w:tc>
          <w:tcPr>
            <w:tcW w:w="440" w:type="dxa"/>
            <w:vAlign w:val="bottom"/>
            <w:tcBorders>
              <w:bottom w:val="single" w:sz="8" w:color="454545"/>
            </w:tcBorders>
          </w:tcPr>
          <w:p>
            <w:pPr>
              <w:spacing w:after="0"/>
              <w:rPr>
                <w:sz w:val="19"/>
                <w:szCs w:val="19"/>
                <w:color w:val="auto"/>
              </w:rPr>
            </w:pP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b w:val="1"/>
                <w:bCs w:val="1"/>
                <w:color w:val="074A75"/>
              </w:rPr>
              <w:t>Amount ($)</w:t>
            </w:r>
          </w:p>
        </w:tc>
      </w:tr>
      <w:tr>
        <w:trPr>
          <w:trHeight w:val="234"/>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Board retainer</w:t>
            </w:r>
          </w:p>
        </w:tc>
        <w:tc>
          <w:tcPr>
            <w:tcW w:w="44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100,000</w:t>
            </w:r>
          </w:p>
        </w:tc>
      </w:tr>
      <w:tr>
        <w:trPr>
          <w:trHeight w:val="237"/>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Lead Independent Director retainer</w:t>
            </w:r>
          </w:p>
        </w:tc>
        <w:tc>
          <w:tcPr>
            <w:tcW w:w="440" w:type="dxa"/>
            <w:vAlign w:val="bottom"/>
            <w:tcBorders>
              <w:bottom w:val="single" w:sz="8" w:color="454545"/>
            </w:tcBorders>
          </w:tcPr>
          <w:p>
            <w:pPr>
              <w:spacing w:after="0"/>
              <w:rPr>
                <w:sz w:val="20"/>
                <w:szCs w:val="20"/>
                <w:color w:val="auto"/>
              </w:rPr>
            </w:pP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30,000</w:t>
            </w:r>
          </w:p>
        </w:tc>
      </w:tr>
      <w:tr>
        <w:trPr>
          <w:trHeight w:val="237"/>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Audit and Risk Committee chair retainer</w:t>
            </w:r>
          </w:p>
        </w:tc>
        <w:tc>
          <w:tcPr>
            <w:tcW w:w="440" w:type="dxa"/>
            <w:vAlign w:val="bottom"/>
            <w:tcBorders>
              <w:bottom w:val="single" w:sz="8" w:color="454545"/>
            </w:tcBorders>
          </w:tcPr>
          <w:p>
            <w:pPr>
              <w:spacing w:after="0"/>
              <w:rPr>
                <w:sz w:val="20"/>
                <w:szCs w:val="20"/>
                <w:color w:val="auto"/>
              </w:rPr>
            </w:pP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w:t>
            </w:r>
          </w:p>
        </w:tc>
      </w:tr>
      <w:tr>
        <w:trPr>
          <w:trHeight w:val="237"/>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Audit and Risk Committee member retainer</w:t>
            </w:r>
          </w:p>
        </w:tc>
        <w:tc>
          <w:tcPr>
            <w:tcW w:w="440" w:type="dxa"/>
            <w:vAlign w:val="bottom"/>
            <w:tcBorders>
              <w:bottom w:val="single" w:sz="8" w:color="454545"/>
            </w:tcBorders>
          </w:tcPr>
          <w:p>
            <w:pPr>
              <w:spacing w:after="0"/>
              <w:rPr>
                <w:sz w:val="20"/>
                <w:szCs w:val="20"/>
                <w:color w:val="auto"/>
              </w:rPr>
            </w:pP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6"/>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All other committees chair retainer</w:t>
            </w:r>
          </w:p>
        </w:tc>
        <w:tc>
          <w:tcPr>
            <w:tcW w:w="440" w:type="dxa"/>
            <w:vAlign w:val="bottom"/>
            <w:tcBorders>
              <w:bottom w:val="single" w:sz="8" w:color="454545"/>
            </w:tcBorders>
          </w:tcPr>
          <w:p>
            <w:pPr>
              <w:spacing w:after="0"/>
              <w:rPr>
                <w:sz w:val="20"/>
                <w:szCs w:val="20"/>
                <w:color w:val="auto"/>
              </w:rPr>
            </w:pP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Deferred stock unit grant</w:t>
            </w:r>
          </w:p>
        </w:tc>
        <w:tc>
          <w:tcPr>
            <w:tcW w:w="440" w:type="dxa"/>
            <w:vAlign w:val="bottom"/>
            <w:tcBorders>
              <w:bottom w:val="single" w:sz="8" w:color="454545"/>
            </w:tcBorders>
          </w:tcPr>
          <w:p>
            <w:pPr>
              <w:spacing w:after="0"/>
              <w:rPr>
                <w:sz w:val="20"/>
                <w:szCs w:val="20"/>
                <w:color w:val="auto"/>
              </w:rPr>
            </w:pP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250,000</w:t>
            </w:r>
          </w:p>
        </w:tc>
      </w:tr>
      <w:tr>
        <w:trPr>
          <w:trHeight w:val="237"/>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Bank Board retainer</w:t>
            </w:r>
          </w:p>
        </w:tc>
        <w:tc>
          <w:tcPr>
            <w:tcW w:w="440" w:type="dxa"/>
            <w:vAlign w:val="bottom"/>
            <w:tcBorders>
              <w:bottom w:val="single" w:sz="8" w:color="454545"/>
            </w:tcBorders>
          </w:tcPr>
          <w:p>
            <w:pPr>
              <w:spacing w:after="0"/>
              <w:rPr>
                <w:sz w:val="20"/>
                <w:szCs w:val="20"/>
                <w:color w:val="auto"/>
              </w:rPr>
            </w:pP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Bank Board’s chair retainer</w:t>
            </w:r>
          </w:p>
        </w:tc>
        <w:tc>
          <w:tcPr>
            <w:tcW w:w="440" w:type="dxa"/>
            <w:vAlign w:val="bottom"/>
            <w:tcBorders>
              <w:bottom w:val="single" w:sz="8" w:color="454545"/>
            </w:tcBorders>
          </w:tcPr>
          <w:p>
            <w:pPr>
              <w:spacing w:after="0"/>
              <w:rPr>
                <w:sz w:val="20"/>
                <w:szCs w:val="20"/>
                <w:color w:val="auto"/>
              </w:rPr>
            </w:pP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w:t>
            </w:r>
          </w:p>
        </w:tc>
      </w:tr>
      <w:tr>
        <w:trPr>
          <w:trHeight w:val="243"/>
        </w:trPr>
        <w:tc>
          <w:tcPr>
            <w:tcW w:w="39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JPMS plc chair retainer</w:t>
            </w:r>
          </w:p>
        </w:tc>
        <w:tc>
          <w:tcPr>
            <w:tcW w:w="440" w:type="dxa"/>
            <w:vAlign w:val="bottom"/>
            <w:tcBorders>
              <w:bottom w:val="single" w:sz="8" w:color="454545"/>
            </w:tcBorders>
          </w:tcPr>
          <w:p>
            <w:pPr>
              <w:spacing w:after="0"/>
              <w:rPr>
                <w:sz w:val="21"/>
                <w:szCs w:val="21"/>
                <w:color w:val="auto"/>
              </w:rPr>
            </w:pP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511,147</w:t>
            </w:r>
            <w:r>
              <w:rPr>
                <w:rFonts w:ascii="Arial" w:cs="Arial" w:eastAsia="Arial" w:hAnsi="Arial"/>
                <w:sz w:val="21"/>
                <w:szCs w:val="21"/>
                <w:color w:val="auto"/>
                <w:vertAlign w:val="superscript"/>
              </w:rPr>
              <w:t>1</w:t>
            </w:r>
          </w:p>
        </w:tc>
      </w:tr>
    </w:tbl>
    <w:p>
      <w:pPr>
        <w:spacing w:after="0" w:line="185" w:lineRule="exact"/>
        <w:rPr>
          <w:sz w:val="20"/>
          <w:szCs w:val="20"/>
          <w:color w:val="auto"/>
        </w:rPr>
      </w:pPr>
    </w:p>
    <w:p>
      <w:pPr>
        <w:ind w:left="200" w:right="220" w:hanging="196"/>
        <w:spacing w:after="0" w:line="226" w:lineRule="auto"/>
        <w:tabs>
          <w:tab w:leader="none" w:pos="200" w:val="left"/>
        </w:tabs>
        <w:numPr>
          <w:ilvl w:val="0"/>
          <w:numId w:val="108"/>
        </w:numPr>
        <w:rPr>
          <w:rFonts w:ascii="Arial" w:cs="Arial" w:eastAsia="Arial" w:hAnsi="Arial"/>
          <w:sz w:val="16"/>
          <w:szCs w:val="16"/>
          <w:color w:val="auto"/>
          <w:vertAlign w:val="superscript"/>
        </w:rPr>
      </w:pPr>
      <w:r>
        <w:rPr>
          <w:rFonts w:ascii="Arial" w:cs="Arial" w:eastAsia="Arial" w:hAnsi="Arial"/>
          <w:sz w:val="13"/>
          <w:szCs w:val="13"/>
          <w:color w:val="auto"/>
        </w:rPr>
        <w:t>Total compensation stated above is reflective of additional roles as board chair of JPMS plc and chair of each of the JPMS plc Nomination and UK Remuneration committees.</w:t>
      </w:r>
    </w:p>
    <w:p>
      <w:pPr>
        <w:spacing w:after="0" w:line="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Board may periodically ask directors to serve on one or more Specific Purpose Committees or other committees that are not one of the Board’s principal standing committees or to serve on the board of directors of a subsidiary of the Firm. Any compensation for such service is included in the “2023 Director compensation table”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1242060</wp:posOffset>
            </wp:positionV>
            <wp:extent cx="274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750" w:lineRule="exact"/>
        <w:rPr>
          <w:sz w:val="20"/>
          <w:szCs w:val="20"/>
          <w:color w:val="auto"/>
        </w:rPr>
      </w:pPr>
    </w:p>
    <w:p>
      <w:pPr>
        <w:sectPr>
          <w:pgSz w:w="11900" w:h="16838" w:orient="portrait"/>
          <w:cols w:equalWidth="0" w:num="2">
            <w:col w:w="5400" w:space="340"/>
            <w:col w:w="5480"/>
          </w:cols>
          <w:pgMar w:left="320" w:top="157" w:right="359" w:bottom="1440" w:gutter="0" w:footer="0" w:header="0"/>
          <w:type w:val="continuous"/>
        </w:sectPr>
      </w:pP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29  </w:t>
      </w:r>
      <w:r>
        <w:rPr>
          <w:sz w:val="1"/>
          <w:szCs w:val="1"/>
          <w:color w:val="auto"/>
        </w:rPr>
        <w:drawing>
          <wp:inline distT="0" distB="0" distL="0" distR="0">
            <wp:extent cx="2203450" cy="15430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640"/>
        <w:spacing w:after="0"/>
        <w:rPr>
          <w:sz w:val="20"/>
          <w:szCs w:val="20"/>
          <w:color w:val="auto"/>
        </w:rPr>
      </w:pPr>
      <w:r>
        <w:rPr>
          <w:rFonts w:ascii="Arial" w:cs="Arial" w:eastAsia="Arial" w:hAnsi="Arial"/>
          <w:sz w:val="16"/>
          <w:szCs w:val="16"/>
          <w:color w:val="074A75"/>
        </w:rPr>
        <w:t xml:space="preserve">DIRECTOR COMPENSATION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2023 Director compensation table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for each non-employee director in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168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074A75"/>
              </w:rPr>
              <w:t>Fees earned or</w:t>
            </w:r>
          </w:p>
        </w:tc>
        <w:tc>
          <w:tcPr>
            <w:tcW w:w="15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074A75"/>
                <w:w w:val="98"/>
              </w:rPr>
              <w:t>Other</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8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5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074A75"/>
              </w:rPr>
              <w:t>2023 Stock</w:t>
            </w:r>
          </w:p>
        </w:tc>
        <w:tc>
          <w:tcPr>
            <w:tcW w:w="16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074A75"/>
              </w:rPr>
              <w:t>fees earned or</w:t>
            </w: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860" w:type="dxa"/>
            <w:vAlign w:val="bottom"/>
            <w:vMerge w:val="restart"/>
          </w:tcPr>
          <w:p>
            <w:pPr>
              <w:ind w:left="20"/>
              <w:spacing w:after="0"/>
              <w:rPr>
                <w:sz w:val="20"/>
                <w:szCs w:val="20"/>
                <w:color w:val="auto"/>
              </w:rPr>
            </w:pPr>
            <w:r>
              <w:rPr>
                <w:rFonts w:ascii="Arial" w:cs="Arial" w:eastAsia="Arial" w:hAnsi="Arial"/>
                <w:sz w:val="16"/>
                <w:szCs w:val="16"/>
                <w:b w:val="1"/>
                <w:bCs w:val="1"/>
                <w:color w:val="074A75"/>
              </w:rPr>
              <w:t>Director</w:t>
            </w:r>
          </w:p>
        </w:tc>
        <w:tc>
          <w:tcPr>
            <w:tcW w:w="1680" w:type="dxa"/>
            <w:vAlign w:val="bottom"/>
          </w:tcPr>
          <w:p>
            <w:pPr>
              <w:jc w:val="right"/>
              <w:ind w:right="160"/>
              <w:spacing w:after="0" w:line="163" w:lineRule="exact"/>
              <w:rPr>
                <w:sz w:val="20"/>
                <w:szCs w:val="20"/>
                <w:color w:val="auto"/>
              </w:rPr>
            </w:pPr>
            <w:r>
              <w:rPr>
                <w:rFonts w:ascii="Arial" w:cs="Arial" w:eastAsia="Arial" w:hAnsi="Arial"/>
                <w:sz w:val="14"/>
                <w:szCs w:val="14"/>
                <w:b w:val="1"/>
                <w:bCs w:val="1"/>
                <w:color w:val="074A75"/>
              </w:rPr>
              <w:t>paid in cash ($)</w:t>
            </w:r>
            <w:r>
              <w:rPr>
                <w:rFonts w:ascii="Arial" w:cs="Arial" w:eastAsia="Arial" w:hAnsi="Arial"/>
                <w:sz w:val="18"/>
                <w:szCs w:val="18"/>
                <w:b w:val="1"/>
                <w:bCs w:val="1"/>
                <w:color w:val="074A75"/>
                <w:vertAlign w:val="superscript"/>
              </w:rPr>
              <w:t>1</w:t>
            </w:r>
          </w:p>
        </w:tc>
        <w:tc>
          <w:tcPr>
            <w:tcW w:w="1500" w:type="dxa"/>
            <w:vAlign w:val="bottom"/>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074A75"/>
              </w:rPr>
              <w:t>Total ($)</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454545"/>
            </w:tcBorders>
            <w:vMerge w:val="continue"/>
          </w:tcPr>
          <w:p>
            <w:pPr>
              <w:spacing w:after="0"/>
              <w:rPr>
                <w:sz w:val="16"/>
                <w:szCs w:val="16"/>
                <w:color w:val="auto"/>
              </w:rPr>
            </w:pPr>
          </w:p>
        </w:tc>
        <w:tc>
          <w:tcPr>
            <w:tcW w:w="1680" w:type="dxa"/>
            <w:vAlign w:val="bottom"/>
            <w:tcBorders>
              <w:bottom w:val="single" w:sz="8" w:color="454545"/>
            </w:tcBorders>
          </w:tcPr>
          <w:p>
            <w:pPr>
              <w:spacing w:after="0"/>
              <w:rPr>
                <w:sz w:val="16"/>
                <w:szCs w:val="16"/>
                <w:color w:val="auto"/>
              </w:rPr>
            </w:pPr>
          </w:p>
        </w:tc>
        <w:tc>
          <w:tcPr>
            <w:tcW w:w="1500" w:type="dxa"/>
            <w:vAlign w:val="bottom"/>
            <w:tcBorders>
              <w:bottom w:val="single" w:sz="8" w:color="454545"/>
            </w:tcBorders>
          </w:tcPr>
          <w:p>
            <w:pPr>
              <w:jc w:val="right"/>
              <w:ind w:right="319"/>
              <w:spacing w:after="0" w:line="189" w:lineRule="exact"/>
              <w:rPr>
                <w:sz w:val="20"/>
                <w:szCs w:val="20"/>
                <w:color w:val="auto"/>
              </w:rPr>
            </w:pPr>
            <w:r>
              <w:rPr>
                <w:rFonts w:ascii="Arial" w:cs="Arial" w:eastAsia="Arial" w:hAnsi="Arial"/>
                <w:sz w:val="16"/>
                <w:szCs w:val="16"/>
                <w:b w:val="1"/>
                <w:bCs w:val="1"/>
                <w:color w:val="074A75"/>
              </w:rPr>
              <w:t>award ($)</w:t>
            </w:r>
            <w:r>
              <w:rPr>
                <w:rFonts w:ascii="Arial" w:cs="Arial" w:eastAsia="Arial" w:hAnsi="Arial"/>
                <w:sz w:val="21"/>
                <w:szCs w:val="21"/>
                <w:b w:val="1"/>
                <w:bCs w:val="1"/>
                <w:color w:val="074A75"/>
                <w:vertAlign w:val="superscript"/>
              </w:rPr>
              <w:t>2</w:t>
            </w:r>
          </w:p>
        </w:tc>
        <w:tc>
          <w:tcPr>
            <w:tcW w:w="1660" w:type="dxa"/>
            <w:vAlign w:val="bottom"/>
            <w:tcBorders>
              <w:bottom w:val="single" w:sz="8" w:color="454545"/>
            </w:tcBorders>
            <w:gridSpan w:val="2"/>
          </w:tcPr>
          <w:p>
            <w:pPr>
              <w:jc w:val="center"/>
              <w:spacing w:after="0" w:line="189" w:lineRule="exact"/>
              <w:rPr>
                <w:sz w:val="20"/>
                <w:szCs w:val="20"/>
                <w:color w:val="auto"/>
              </w:rPr>
            </w:pPr>
            <w:r>
              <w:rPr>
                <w:rFonts w:ascii="Arial" w:cs="Arial" w:eastAsia="Arial" w:hAnsi="Arial"/>
                <w:sz w:val="16"/>
                <w:szCs w:val="16"/>
                <w:b w:val="1"/>
                <w:bCs w:val="1"/>
                <w:color w:val="074A75"/>
                <w:w w:val="98"/>
              </w:rPr>
              <w:t>paid in cash ($)</w:t>
            </w:r>
            <w:r>
              <w:rPr>
                <w:rFonts w:ascii="Arial" w:cs="Arial" w:eastAsia="Arial" w:hAnsi="Arial"/>
                <w:sz w:val="21"/>
                <w:szCs w:val="21"/>
                <w:b w:val="1"/>
                <w:bCs w:val="1"/>
                <w:color w:val="074A75"/>
                <w:w w:val="98"/>
                <w:vertAlign w:val="superscript"/>
              </w:rPr>
              <w:t>3</w:t>
            </w:r>
          </w:p>
        </w:tc>
        <w:tc>
          <w:tcPr>
            <w:tcW w:w="1540" w:type="dxa"/>
            <w:vAlign w:val="bottom"/>
            <w:tcBorders>
              <w:bottom w:val="single" w:sz="8" w:color="45454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Stephen B. Burke</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   145,000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   250,000</w:t>
            </w:r>
          </w:p>
        </w:tc>
        <w:tc>
          <w:tcPr>
            <w:tcW w:w="88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62,500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457,500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Linda B. Bammann</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140,000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405,000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auto"/>
              <w:right w:val="single" w:sz="8" w:color="454545"/>
            </w:tcBorders>
          </w:tcPr>
          <w:p>
            <w:pPr>
              <w:ind w:left="20"/>
              <w:spacing w:after="0"/>
              <w:rPr>
                <w:sz w:val="20"/>
                <w:szCs w:val="20"/>
                <w:color w:val="auto"/>
              </w:rPr>
            </w:pPr>
            <w:r>
              <w:rPr>
                <w:rFonts w:ascii="Arial" w:cs="Arial" w:eastAsia="Arial" w:hAnsi="Arial"/>
                <w:sz w:val="16"/>
                <w:szCs w:val="16"/>
                <w:b w:val="1"/>
                <w:bCs w:val="1"/>
                <w:color w:val="auto"/>
              </w:rPr>
              <w:t>Todd A. Combs</w:t>
            </w:r>
          </w:p>
        </w:tc>
        <w:tc>
          <w:tcPr>
            <w:tcW w:w="1680" w:type="dxa"/>
            <w:vAlign w:val="bottom"/>
            <w:tcBorders>
              <w:bottom w:val="single" w:sz="8" w:color="auto"/>
              <w:right w:val="single" w:sz="8" w:color="454545"/>
            </w:tcBorders>
          </w:tcPr>
          <w:p>
            <w:pPr>
              <w:jc w:val="right"/>
              <w:ind w:right="20"/>
              <w:spacing w:after="0"/>
              <w:rPr>
                <w:sz w:val="20"/>
                <w:szCs w:val="20"/>
                <w:color w:val="auto"/>
              </w:rPr>
            </w:pPr>
            <w:r>
              <w:rPr>
                <w:rFonts w:ascii="Arial" w:cs="Arial" w:eastAsia="Arial" w:hAnsi="Arial"/>
                <w:sz w:val="16"/>
                <w:szCs w:val="16"/>
                <w:color w:val="auto"/>
              </w:rPr>
              <w:t>115,000</w:t>
            </w:r>
          </w:p>
        </w:tc>
        <w:tc>
          <w:tcPr>
            <w:tcW w:w="1500" w:type="dxa"/>
            <w:vAlign w:val="bottom"/>
            <w:tcBorders>
              <w:bottom w:val="single" w:sz="8" w:color="auto"/>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454545"/>
            </w:tcBorders>
          </w:tcPr>
          <w:p>
            <w:pPr>
              <w:jc w:val="right"/>
              <w:spacing w:after="0"/>
              <w:rPr>
                <w:sz w:val="20"/>
                <w:szCs w:val="20"/>
                <w:color w:val="auto"/>
              </w:rPr>
            </w:pPr>
            <w:r>
              <w:rPr>
                <w:rFonts w:ascii="Arial" w:cs="Arial" w:eastAsia="Arial" w:hAnsi="Arial"/>
                <w:sz w:val="16"/>
                <w:szCs w:val="16"/>
                <w:color w:val="auto"/>
              </w:rPr>
              <w:t>37,500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402,500</w:t>
            </w:r>
          </w:p>
        </w:tc>
        <w:tc>
          <w:tcPr>
            <w:tcW w:w="0" w:type="dxa"/>
            <w:vAlign w:val="bottom"/>
          </w:tcPr>
          <w:p>
            <w:pPr>
              <w:spacing w:after="0"/>
              <w:rPr>
                <w:sz w:val="1"/>
                <w:szCs w:val="1"/>
                <w:color w:val="auto"/>
              </w:rPr>
            </w:pPr>
          </w:p>
        </w:tc>
      </w:tr>
      <w:tr>
        <w:trPr>
          <w:trHeight w:val="240"/>
        </w:trPr>
        <w:tc>
          <w:tcPr>
            <w:tcW w:w="4860" w:type="dxa"/>
            <w:vAlign w:val="bottom"/>
            <w:tcBorders>
              <w:bottom w:val="single" w:sz="8" w:color="auto"/>
              <w:right w:val="single" w:sz="8" w:color="auto"/>
            </w:tcBorders>
          </w:tcPr>
          <w:p>
            <w:pPr>
              <w:ind w:left="20"/>
              <w:spacing w:after="0" w:line="240" w:lineRule="exact"/>
              <w:rPr>
                <w:sz w:val="20"/>
                <w:szCs w:val="20"/>
                <w:color w:val="auto"/>
              </w:rPr>
            </w:pPr>
            <w:r>
              <w:rPr>
                <w:rFonts w:ascii="Arial" w:cs="Arial" w:eastAsia="Arial" w:hAnsi="Arial"/>
                <w:sz w:val="16"/>
                <w:szCs w:val="16"/>
                <w:b w:val="1"/>
                <w:bCs w:val="1"/>
                <w:color w:val="auto"/>
              </w:rPr>
              <w:t>James S. Crown</w:t>
            </w:r>
            <w:r>
              <w:rPr>
                <w:rFonts w:ascii="Arial" w:cs="Arial" w:eastAsia="Arial" w:hAnsi="Arial"/>
                <w:sz w:val="21"/>
                <w:szCs w:val="21"/>
                <w:b w:val="1"/>
                <w:bCs w:val="1"/>
                <w:color w:val="auto"/>
                <w:vertAlign w:val="superscript"/>
              </w:rPr>
              <w:t>4</w:t>
            </w:r>
          </w:p>
        </w:tc>
        <w:tc>
          <w:tcPr>
            <w:tcW w:w="1680" w:type="dxa"/>
            <w:vAlign w:val="bottom"/>
            <w:tcBorders>
              <w:bottom w:val="single" w:sz="8" w:color="auto"/>
              <w:right w:val="single" w:sz="8" w:color="454545"/>
            </w:tcBorders>
          </w:tcPr>
          <w:p>
            <w:pPr>
              <w:jc w:val="right"/>
              <w:ind w:right="20"/>
              <w:spacing w:after="0"/>
              <w:rPr>
                <w:sz w:val="20"/>
                <w:szCs w:val="20"/>
                <w:color w:val="auto"/>
              </w:rPr>
            </w:pPr>
            <w:r>
              <w:rPr>
                <w:rFonts w:ascii="Arial" w:cs="Arial" w:eastAsia="Arial" w:hAnsi="Arial"/>
                <w:sz w:val="16"/>
                <w:szCs w:val="16"/>
                <w:color w:val="auto"/>
              </w:rPr>
              <w:t>65,000</w:t>
            </w:r>
          </w:p>
        </w:tc>
        <w:tc>
          <w:tcPr>
            <w:tcW w:w="1500" w:type="dxa"/>
            <w:vAlign w:val="bottom"/>
            <w:tcBorders>
              <w:bottom w:val="single" w:sz="8" w:color="auto"/>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454545"/>
            </w:tcBorders>
          </w:tcPr>
          <w:p>
            <w:pPr>
              <w:jc w:val="right"/>
              <w:spacing w:after="0"/>
              <w:rPr>
                <w:sz w:val="20"/>
                <w:szCs w:val="20"/>
                <w:color w:val="auto"/>
              </w:rPr>
            </w:pPr>
            <w:r>
              <w:rPr>
                <w:rFonts w:ascii="Arial" w:cs="Arial" w:eastAsia="Arial" w:hAnsi="Arial"/>
                <w:sz w:val="16"/>
                <w:szCs w:val="16"/>
                <w:color w:val="auto"/>
              </w:rPr>
              <w:t>7,500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322,500</w:t>
            </w:r>
          </w:p>
        </w:tc>
        <w:tc>
          <w:tcPr>
            <w:tcW w:w="0" w:type="dxa"/>
            <w:vAlign w:val="bottom"/>
          </w:tcPr>
          <w:p>
            <w:pPr>
              <w:spacing w:after="0"/>
              <w:rPr>
                <w:sz w:val="1"/>
                <w:szCs w:val="1"/>
                <w:color w:val="auto"/>
              </w:rPr>
            </w:pPr>
          </w:p>
        </w:tc>
      </w:tr>
      <w:tr>
        <w:trPr>
          <w:trHeight w:val="233"/>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Alicia Boler Davis</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81,500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11,750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93,250</w:t>
            </w:r>
          </w:p>
        </w:tc>
        <w:tc>
          <w:tcPr>
            <w:tcW w:w="0" w:type="dxa"/>
            <w:vAlign w:val="bottom"/>
          </w:tcPr>
          <w:p>
            <w:pPr>
              <w:spacing w:after="0"/>
              <w:rPr>
                <w:sz w:val="1"/>
                <w:szCs w:val="1"/>
                <w:color w:val="auto"/>
              </w:rPr>
            </w:pPr>
          </w:p>
        </w:tc>
      </w:tr>
      <w:tr>
        <w:trPr>
          <w:trHeight w:val="236"/>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Timothy P. Flynn</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140,000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571,267</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961,267</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Alex Gorsky</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115,774</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380,774</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Mellody Hobson</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118,167</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37,500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405,667</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Michael A. Neal</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115,000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380,000</w:t>
            </w:r>
          </w:p>
        </w:tc>
        <w:tc>
          <w:tcPr>
            <w:tcW w:w="0" w:type="dxa"/>
            <w:vAlign w:val="bottom"/>
          </w:tcPr>
          <w:p>
            <w:pPr>
              <w:spacing w:after="0"/>
              <w:rPr>
                <w:sz w:val="1"/>
                <w:szCs w:val="1"/>
                <w:color w:val="auto"/>
              </w:rPr>
            </w:pPr>
          </w:p>
        </w:tc>
      </w:tr>
      <w:tr>
        <w:trPr>
          <w:trHeight w:val="236"/>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Phebe N. Novakovic</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115,000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380,000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Virginia M. Rometty</w:t>
            </w:r>
          </w:p>
        </w:tc>
        <w:tc>
          <w:tcPr>
            <w:tcW w:w="1680" w:type="dxa"/>
            <w:vAlign w:val="bottom"/>
            <w:tcBorders>
              <w:bottom w:val="single" w:sz="8" w:color="454545"/>
              <w:right w:val="single" w:sz="8" w:color="454545"/>
            </w:tcBorders>
          </w:tcPr>
          <w:p>
            <w:pPr>
              <w:jc w:val="right"/>
              <w:ind w:right="20"/>
              <w:spacing w:after="0"/>
              <w:rPr>
                <w:sz w:val="20"/>
                <w:szCs w:val="20"/>
                <w:color w:val="auto"/>
              </w:rPr>
            </w:pPr>
            <w:r>
              <w:rPr>
                <w:rFonts w:ascii="Arial" w:cs="Arial" w:eastAsia="Arial" w:hAnsi="Arial"/>
                <w:sz w:val="16"/>
                <w:szCs w:val="16"/>
                <w:color w:val="auto"/>
              </w:rPr>
              <w:t>100,000</w:t>
            </w:r>
          </w:p>
        </w:tc>
        <w:tc>
          <w:tcPr>
            <w:tcW w:w="1500" w:type="dxa"/>
            <w:vAlign w:val="bottom"/>
            <w:tcBorders>
              <w:bottom w:val="single" w:sz="8" w:color="454545"/>
              <w:right w:val="single" w:sz="8" w:color="454545"/>
            </w:tcBorders>
          </w:tcPr>
          <w:p>
            <w:pPr>
              <w:jc w:val="right"/>
              <w:ind w:right="19"/>
              <w:spacing w:after="0"/>
              <w:rPr>
                <w:sz w:val="20"/>
                <w:szCs w:val="20"/>
                <w:color w:val="auto"/>
              </w:rPr>
            </w:pPr>
            <w:r>
              <w:rPr>
                <w:rFonts w:ascii="Arial" w:cs="Arial" w:eastAsia="Arial" w:hAnsi="Arial"/>
                <w:sz w:val="16"/>
                <w:szCs w:val="16"/>
                <w:color w:val="auto"/>
              </w:rPr>
              <w:t>250,000</w:t>
            </w:r>
          </w:p>
        </w:tc>
        <w:tc>
          <w:tcPr>
            <w:tcW w:w="880" w:type="dxa"/>
            <w:vAlign w:val="bottom"/>
            <w:tcBorders>
              <w:bottom w:val="single" w:sz="8" w:color="454545"/>
            </w:tcBorders>
          </w:tcPr>
          <w:p>
            <w:pPr>
              <w:spacing w:after="0"/>
              <w:rPr>
                <w:sz w:val="20"/>
                <w:szCs w:val="20"/>
                <w:color w:val="auto"/>
              </w:rPr>
            </w:pPr>
          </w:p>
        </w:tc>
        <w:tc>
          <w:tcPr>
            <w:tcW w:w="7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37,500</w:t>
            </w:r>
          </w:p>
        </w:tc>
        <w:tc>
          <w:tcPr>
            <w:tcW w:w="15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387,500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00" w:right="680" w:hanging="192"/>
        <w:spacing w:after="0" w:line="221" w:lineRule="auto"/>
        <w:tabs>
          <w:tab w:leader="none" w:pos="200" w:val="left"/>
        </w:tabs>
        <w:numPr>
          <w:ilvl w:val="0"/>
          <w:numId w:val="109"/>
        </w:numPr>
        <w:rPr>
          <w:rFonts w:ascii="Arial" w:cs="Arial" w:eastAsia="Arial" w:hAnsi="Arial"/>
          <w:sz w:val="16"/>
          <w:szCs w:val="16"/>
          <w:color w:val="auto"/>
          <w:vertAlign w:val="superscript"/>
        </w:rPr>
      </w:pPr>
      <w:r>
        <w:rPr>
          <w:rFonts w:ascii="Arial" w:cs="Arial" w:eastAsia="Arial" w:hAnsi="Arial"/>
          <w:sz w:val="13"/>
          <w:szCs w:val="13"/>
          <w:color w:val="auto"/>
        </w:rPr>
        <w:t>Includes fees earned, whether paid in cash or deferred, for service on the Board of Directors. For additional information on each director’s service on committees of JPMorgan Chase, see “Committees of the Board” on pages 21-23.</w:t>
      </w:r>
    </w:p>
    <w:p>
      <w:pPr>
        <w:spacing w:after="0" w:line="1" w:lineRule="exact"/>
        <w:rPr>
          <w:sz w:val="20"/>
          <w:szCs w:val="20"/>
          <w:color w:val="auto"/>
        </w:rPr>
      </w:pPr>
    </w:p>
    <w:p>
      <w:pPr>
        <w:jc w:val="both"/>
        <w:ind w:left="200" w:right="240" w:hanging="192"/>
        <w:spacing w:after="0" w:line="241" w:lineRule="auto"/>
        <w:tabs>
          <w:tab w:leader="none" w:pos="200" w:val="left"/>
        </w:tabs>
        <w:numPr>
          <w:ilvl w:val="0"/>
          <w:numId w:val="110"/>
        </w:numPr>
        <w:rPr>
          <w:rFonts w:ascii="Arial" w:cs="Arial" w:eastAsia="Arial" w:hAnsi="Arial"/>
          <w:sz w:val="15"/>
          <w:szCs w:val="15"/>
          <w:color w:val="auto"/>
          <w:vertAlign w:val="superscript"/>
        </w:rPr>
      </w:pPr>
      <w:r>
        <w:rPr>
          <w:rFonts w:ascii="Arial" w:cs="Arial" w:eastAsia="Arial" w:hAnsi="Arial"/>
          <w:sz w:val="12"/>
          <w:szCs w:val="12"/>
          <w:color w:val="auto"/>
        </w:rPr>
        <w:t>On January 17, 2023, each non-employee director who was on the Board at the time when annual performance year equity awards were granted, received an annual grant of deferred stock units valued at $250,000, based on a grant date fair market value of the Firm’s common stock of $140.3825 per share. The aggregate number of stock and option awards outstanding at December 31, 2023, for each current director is included in the “Security ownership of directors and executive officers” table on page 74 under the columns “SARs/Options exercisable within 60 days” and</w:t>
      </w:r>
    </w:p>
    <w:p>
      <w:pPr>
        <w:ind w:left="200"/>
        <w:spacing w:after="0" w:line="230" w:lineRule="auto"/>
        <w:rPr>
          <w:sz w:val="20"/>
          <w:szCs w:val="20"/>
          <w:color w:val="auto"/>
        </w:rPr>
      </w:pPr>
      <w:r>
        <w:rPr>
          <w:rFonts w:ascii="Arial" w:cs="Arial" w:eastAsia="Arial" w:hAnsi="Arial"/>
          <w:sz w:val="13"/>
          <w:szCs w:val="13"/>
          <w:color w:val="auto"/>
        </w:rPr>
        <w:t>“Additional underlying stock units,” respectively. All such awards are vested.</w:t>
      </w:r>
    </w:p>
    <w:p>
      <w:pPr>
        <w:spacing w:after="0" w:line="2" w:lineRule="exact"/>
        <w:rPr>
          <w:sz w:val="20"/>
          <w:szCs w:val="20"/>
          <w:color w:val="auto"/>
        </w:rPr>
      </w:pPr>
    </w:p>
    <w:p>
      <w:pPr>
        <w:jc w:val="both"/>
        <w:ind w:left="200" w:right="80" w:hanging="192"/>
        <w:spacing w:after="0" w:line="251" w:lineRule="auto"/>
        <w:tabs>
          <w:tab w:leader="none" w:pos="200" w:val="left"/>
        </w:tabs>
        <w:numPr>
          <w:ilvl w:val="0"/>
          <w:numId w:val="111"/>
        </w:numPr>
        <w:rPr>
          <w:rFonts w:ascii="Arial" w:cs="Arial" w:eastAsia="Arial" w:hAnsi="Arial"/>
          <w:sz w:val="15"/>
          <w:szCs w:val="15"/>
          <w:color w:val="auto"/>
          <w:vertAlign w:val="superscript"/>
        </w:rPr>
      </w:pPr>
      <w:r>
        <w:rPr>
          <w:rFonts w:ascii="Arial" w:cs="Arial" w:eastAsia="Arial" w:hAnsi="Arial"/>
          <w:sz w:val="12"/>
          <w:szCs w:val="12"/>
          <w:color w:val="auto"/>
        </w:rPr>
        <w:t>Includes fees paid to the non-employee directors for their service on the Board of Directors of the Bank or who are members of one or more Specific Purpose Committees. A fee of $2,500 is paid for each Specific Purpose Committee meeting attended (with the exception of the Omnibus Committee). Also includes for Mr. Flynn, $543,849 in compensation paid during 2023, in consideration of his service as a director of JPMS plc, the Firm’s principal operating subsidiary outside the U.S. and a subsidiary of the Bank, which is comprised of $440,644 for serving as chair of the JPMS plc board; $23,501 for serving as chair of its Nomination Committee and $47,002 for serving as chair of its UK Remuneration Committee; and inclusive of $32,702 earned by Mr. Flynn as a result of his service with respect to the aforementioned JPMS plc appointments which began in December 2022. Also includes an additional amount of $12,418 with respect to taxes paid on behalf of Mr. Flynn in</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connection with certain JPMS plc travel-related expenses.</w:t>
      </w:r>
    </w:p>
    <w:p>
      <w:pPr>
        <w:ind w:left="200" w:hanging="192"/>
        <w:spacing w:after="0" w:line="210" w:lineRule="auto"/>
        <w:tabs>
          <w:tab w:leader="none" w:pos="200" w:val="left"/>
        </w:tabs>
        <w:numPr>
          <w:ilvl w:val="0"/>
          <w:numId w:val="112"/>
        </w:numPr>
        <w:rPr>
          <w:rFonts w:ascii="Arial" w:cs="Arial" w:eastAsia="Arial" w:hAnsi="Arial"/>
          <w:sz w:val="16"/>
          <w:szCs w:val="16"/>
          <w:color w:val="auto"/>
          <w:vertAlign w:val="superscript"/>
        </w:rPr>
      </w:pPr>
      <w:r>
        <w:rPr>
          <w:rFonts w:ascii="Arial" w:cs="Arial" w:eastAsia="Arial" w:hAnsi="Arial"/>
          <w:sz w:val="13"/>
          <w:szCs w:val="13"/>
          <w:color w:val="auto"/>
        </w:rPr>
        <w:t>Mr. Crown passed away in June 2023.</w:t>
      </w:r>
    </w:p>
    <w:p>
      <w:pPr>
        <w:sectPr>
          <w:pgSz w:w="11900" w:h="16838" w:orient="portrait"/>
          <w:cols w:equalWidth="0" w:num="1">
            <w:col w:w="11240"/>
          </w:cols>
          <w:pgMar w:left="320" w:top="157" w:right="339" w:bottom="1440" w:gutter="0" w:footer="0" w:header="0"/>
        </w:sectPr>
      </w:pPr>
    </w:p>
    <w:p>
      <w:pPr>
        <w:spacing w:after="0" w:line="252" w:lineRule="exact"/>
        <w:rPr>
          <w:sz w:val="20"/>
          <w:szCs w:val="20"/>
          <w:color w:val="auto"/>
        </w:rPr>
      </w:pPr>
    </w:p>
    <w:p>
      <w:pPr>
        <w:ind w:right="240"/>
        <w:spacing w:after="0" w:line="286" w:lineRule="auto"/>
        <w:rPr>
          <w:sz w:val="20"/>
          <w:szCs w:val="20"/>
          <w:color w:val="auto"/>
        </w:rPr>
      </w:pPr>
      <w:r>
        <w:rPr>
          <w:rFonts w:ascii="Arial" w:cs="Arial" w:eastAsia="Arial" w:hAnsi="Arial"/>
          <w:sz w:val="29"/>
          <w:szCs w:val="29"/>
          <w:color w:val="074A75"/>
        </w:rPr>
        <w:t>Stock ownership: no sales, no hedging, no pledging</w:t>
      </w:r>
    </w:p>
    <w:p>
      <w:pPr>
        <w:spacing w:after="0" w:line="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stated in the Governance Principles, each director agrees to retain all shares of the Firm’s common stock he or she purchased on the open market or received pursuant to his or her service as a Board member for as long as he or she serves on our Board. In addition, shares held personally by a director may not be held in margin accounts or otherwise pledged as collateral, nor may the economic risk of such shares be hedged. Further information on the Firm’s “Anti-hedging/anti-pledging provisions” can be found on page 47.</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074A75"/>
        </w:rPr>
        <w:t>Deferred compensation</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year, non-employee directors may elect to defer all or part of their cash compensation. A director’s right to receive future payments under any deferred compensation arrangement is an unsecured claim against JPMorgan Chase’s general assets. Cash amounts may be deferred into various investment equivalents, including deferred stock units.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Upon retirement from the Board, compensation deferred into stock units will be distributed in stock; all other deferred cash compensation will be distributed in cash. Deferred compensation will be distributed in either a lump sum or in annual installments for up to 15 years as elected by the director commencing in January of the year following the director’s retirement from the Board.</w:t>
      </w:r>
    </w:p>
    <w:p>
      <w:pPr>
        <w:spacing w:after="0" w:line="250" w:lineRule="exact"/>
        <w:rPr>
          <w:sz w:val="20"/>
          <w:szCs w:val="20"/>
          <w:color w:val="auto"/>
        </w:rPr>
      </w:pPr>
    </w:p>
    <w:p>
      <w:pPr>
        <w:spacing w:after="0"/>
        <w:rPr>
          <w:sz w:val="20"/>
          <w:szCs w:val="20"/>
          <w:color w:val="auto"/>
        </w:rPr>
      </w:pPr>
      <w:r>
        <w:rPr>
          <w:rFonts w:ascii="Arial" w:cs="Arial" w:eastAsia="Arial" w:hAnsi="Arial"/>
          <w:sz w:val="29"/>
          <w:szCs w:val="29"/>
          <w:color w:val="074A75"/>
        </w:rPr>
        <w:t>Reimbursements and insurance</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Firm reimburses directors for their expenses in connection with their Board service or pays such expenses directly. The Firm also pays the premiums on directors’ and officers’ liability insurance policies and on travel accident insurance policies covering directors as well as employees of the Firm.</w:t>
      </w:r>
    </w:p>
    <w:p>
      <w:pPr>
        <w:spacing w:after="0" w:line="1857" w:lineRule="exact"/>
        <w:rPr>
          <w:sz w:val="20"/>
          <w:szCs w:val="20"/>
          <w:color w:val="auto"/>
        </w:rPr>
      </w:pPr>
    </w:p>
    <w:p>
      <w:pPr>
        <w:sectPr>
          <w:pgSz w:w="11900" w:h="16838" w:orient="portrait"/>
          <w:cols w:equalWidth="0" w:num="2">
            <w:col w:w="5260" w:space="480"/>
            <w:col w:w="5500"/>
          </w:cols>
          <w:pgMar w:left="320" w:top="157" w:right="339" w:bottom="1440" w:gutter="0" w:footer="0" w:header="0"/>
          <w:type w:val="continuous"/>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OTHER 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43"/>
          <w:szCs w:val="43"/>
          <w:color w:val="074A75"/>
        </w:rPr>
        <w:t>Other corporate governance policies and practices</w:t>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074A75"/>
        </w:rPr>
        <w:t>Shareholder rights</w:t>
      </w:r>
    </w:p>
    <w:p>
      <w:pPr>
        <w:spacing w:after="0" w:line="35"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color w:val="auto"/>
        </w:rPr>
        <w:t>The Firm’s Certificate of Incorporation and By-laws provide shareholders with important rights, including:</w:t>
      </w:r>
    </w:p>
    <w:p>
      <w:pPr>
        <w:spacing w:after="0" w:line="63" w:lineRule="exact"/>
        <w:rPr>
          <w:sz w:val="20"/>
          <w:szCs w:val="20"/>
          <w:color w:val="auto"/>
        </w:rPr>
      </w:pPr>
    </w:p>
    <w:p>
      <w:pPr>
        <w:ind w:left="200" w:right="180" w:hanging="192"/>
        <w:spacing w:after="0" w:line="282" w:lineRule="auto"/>
        <w:tabs>
          <w:tab w:leader="none" w:pos="204" w:val="left"/>
        </w:tabs>
        <w:numPr>
          <w:ilvl w:val="0"/>
          <w:numId w:val="113"/>
        </w:numPr>
        <w:rPr>
          <w:rFonts w:ascii="Arial" w:cs="Arial" w:eastAsia="Arial" w:hAnsi="Arial"/>
          <w:sz w:val="17"/>
          <w:szCs w:val="17"/>
          <w:color w:val="074A75"/>
        </w:rPr>
      </w:pPr>
      <w:r>
        <w:rPr>
          <w:rFonts w:ascii="Arial" w:cs="Arial" w:eastAsia="Arial" w:hAnsi="Arial"/>
          <w:sz w:val="17"/>
          <w:szCs w:val="17"/>
          <w:color w:val="auto"/>
        </w:rPr>
        <w:t>Proxy access, which enables eligible shareholders to include their nominees for election as directors in the Firm’s proxy statement. For further information, see page 112, “Shareholder proposals and nominations for the 2025 annual meeting”</w:t>
      </w:r>
    </w:p>
    <w:p>
      <w:pPr>
        <w:spacing w:after="0" w:line="26" w:lineRule="exact"/>
        <w:rPr>
          <w:rFonts w:ascii="Arial" w:cs="Arial" w:eastAsia="Arial" w:hAnsi="Arial"/>
          <w:sz w:val="17"/>
          <w:szCs w:val="17"/>
          <w:color w:val="074A75"/>
        </w:rPr>
      </w:pPr>
    </w:p>
    <w:p>
      <w:pPr>
        <w:ind w:left="200" w:right="20" w:hanging="192"/>
        <w:spacing w:after="0" w:line="268" w:lineRule="auto"/>
        <w:tabs>
          <w:tab w:leader="none" w:pos="204" w:val="left"/>
        </w:tabs>
        <w:numPr>
          <w:ilvl w:val="0"/>
          <w:numId w:val="113"/>
        </w:numPr>
        <w:rPr>
          <w:rFonts w:ascii="Arial" w:cs="Arial" w:eastAsia="Arial" w:hAnsi="Arial"/>
          <w:sz w:val="18"/>
          <w:szCs w:val="18"/>
          <w:color w:val="074A75"/>
        </w:rPr>
      </w:pPr>
      <w:r>
        <w:rPr>
          <w:rFonts w:ascii="Arial" w:cs="Arial" w:eastAsia="Arial" w:hAnsi="Arial"/>
          <w:sz w:val="18"/>
          <w:szCs w:val="18"/>
          <w:color w:val="auto"/>
        </w:rPr>
        <w:t>The ability to call a special meeting by shareholders holding at least 20% of the outstanding shares of our common stock (net of hedges)</w:t>
      </w:r>
    </w:p>
    <w:p>
      <w:pPr>
        <w:spacing w:after="0" w:line="22" w:lineRule="exact"/>
        <w:rPr>
          <w:rFonts w:ascii="Arial" w:cs="Arial" w:eastAsia="Arial" w:hAnsi="Arial"/>
          <w:sz w:val="18"/>
          <w:szCs w:val="18"/>
          <w:color w:val="074A75"/>
        </w:rPr>
      </w:pPr>
    </w:p>
    <w:p>
      <w:pPr>
        <w:ind w:left="200" w:hanging="192"/>
        <w:spacing w:after="0" w:line="259" w:lineRule="auto"/>
        <w:tabs>
          <w:tab w:leader="none" w:pos="204" w:val="left"/>
        </w:tabs>
        <w:numPr>
          <w:ilvl w:val="0"/>
          <w:numId w:val="113"/>
        </w:numPr>
        <w:rPr>
          <w:rFonts w:ascii="Arial" w:cs="Arial" w:eastAsia="Arial" w:hAnsi="Arial"/>
          <w:sz w:val="18"/>
          <w:szCs w:val="18"/>
          <w:color w:val="074A75"/>
        </w:rPr>
      </w:pPr>
      <w:r>
        <w:rPr>
          <w:rFonts w:ascii="Arial" w:cs="Arial" w:eastAsia="Arial" w:hAnsi="Arial"/>
          <w:sz w:val="18"/>
          <w:szCs w:val="18"/>
          <w:color w:val="auto"/>
        </w:rPr>
        <w:t>The ability of shareholders holding at least 20% of the outstanding shares of our common stock (net of hedges) to seek a corporate action by written consent without a meeting on terms substantially similar to the terms applicable to call special meetings</w:t>
      </w:r>
    </w:p>
    <w:p>
      <w:pPr>
        <w:spacing w:after="0" w:line="30" w:lineRule="exact"/>
        <w:rPr>
          <w:rFonts w:ascii="Arial" w:cs="Arial" w:eastAsia="Arial" w:hAnsi="Arial"/>
          <w:sz w:val="18"/>
          <w:szCs w:val="18"/>
          <w:color w:val="074A75"/>
        </w:rPr>
      </w:pPr>
    </w:p>
    <w:p>
      <w:pPr>
        <w:ind w:left="200" w:hanging="192"/>
        <w:spacing w:after="0"/>
        <w:tabs>
          <w:tab w:leader="none" w:pos="200" w:val="left"/>
        </w:tabs>
        <w:numPr>
          <w:ilvl w:val="0"/>
          <w:numId w:val="113"/>
        </w:numPr>
        <w:rPr>
          <w:rFonts w:ascii="Arial" w:cs="Arial" w:eastAsia="Arial" w:hAnsi="Arial"/>
          <w:sz w:val="18"/>
          <w:szCs w:val="18"/>
          <w:color w:val="074A75"/>
        </w:rPr>
      </w:pPr>
      <w:r>
        <w:rPr>
          <w:rFonts w:ascii="Arial" w:cs="Arial" w:eastAsia="Arial" w:hAnsi="Arial"/>
          <w:sz w:val="18"/>
          <w:szCs w:val="18"/>
          <w:color w:val="auto"/>
        </w:rPr>
        <w:t>Majority election of directors</w:t>
      </w:r>
    </w:p>
    <w:p>
      <w:pPr>
        <w:spacing w:after="0" w:line="90" w:lineRule="exact"/>
        <w:rPr>
          <w:rFonts w:ascii="Arial" w:cs="Arial" w:eastAsia="Arial" w:hAnsi="Arial"/>
          <w:sz w:val="18"/>
          <w:szCs w:val="18"/>
          <w:color w:val="074A75"/>
        </w:rPr>
      </w:pPr>
    </w:p>
    <w:p>
      <w:pPr>
        <w:ind w:left="200" w:hanging="192"/>
        <w:spacing w:after="0"/>
        <w:tabs>
          <w:tab w:leader="none" w:pos="200" w:val="left"/>
        </w:tabs>
        <w:numPr>
          <w:ilvl w:val="0"/>
          <w:numId w:val="113"/>
        </w:numPr>
        <w:rPr>
          <w:rFonts w:ascii="Arial" w:cs="Arial" w:eastAsia="Arial" w:hAnsi="Arial"/>
          <w:sz w:val="18"/>
          <w:szCs w:val="18"/>
          <w:color w:val="074A75"/>
        </w:rPr>
      </w:pPr>
      <w:r>
        <w:rPr>
          <w:rFonts w:ascii="Arial" w:cs="Arial" w:eastAsia="Arial" w:hAnsi="Arial"/>
          <w:sz w:val="18"/>
          <w:szCs w:val="18"/>
          <w:color w:val="auto"/>
        </w:rPr>
        <w:t>No “poison pill” in effect</w:t>
      </w:r>
    </w:p>
    <w:p>
      <w:pPr>
        <w:spacing w:after="0" w:line="76" w:lineRule="exact"/>
        <w:rPr>
          <w:rFonts w:ascii="Arial" w:cs="Arial" w:eastAsia="Arial" w:hAnsi="Arial"/>
          <w:sz w:val="18"/>
          <w:szCs w:val="18"/>
          <w:color w:val="074A75"/>
        </w:rPr>
      </w:pPr>
    </w:p>
    <w:p>
      <w:pPr>
        <w:ind w:left="200" w:right="680" w:hanging="192"/>
        <w:spacing w:after="0" w:line="287" w:lineRule="auto"/>
        <w:tabs>
          <w:tab w:leader="none" w:pos="204" w:val="left"/>
        </w:tabs>
        <w:numPr>
          <w:ilvl w:val="0"/>
          <w:numId w:val="113"/>
        </w:numPr>
        <w:rPr>
          <w:rFonts w:ascii="Arial" w:cs="Arial" w:eastAsia="Arial" w:hAnsi="Arial"/>
          <w:sz w:val="18"/>
          <w:szCs w:val="18"/>
          <w:color w:val="074A75"/>
        </w:rPr>
      </w:pPr>
      <w:r>
        <w:rPr>
          <w:rFonts w:ascii="Arial" w:cs="Arial" w:eastAsia="Arial" w:hAnsi="Arial"/>
          <w:sz w:val="18"/>
          <w:szCs w:val="18"/>
          <w:color w:val="auto"/>
        </w:rPr>
        <w:t>No super-majority vote requirements in our Certificate of Incorporation or By-laws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Firm’s Certificate of Incorporation and By-laws are available on our website at jpmorganchase.com/about/governance.</w:t>
      </w:r>
    </w:p>
    <w:p>
      <w:pPr>
        <w:spacing w:after="0" w:line="207" w:lineRule="exact"/>
        <w:rPr>
          <w:sz w:val="20"/>
          <w:szCs w:val="20"/>
          <w:color w:val="auto"/>
        </w:rPr>
      </w:pPr>
    </w:p>
    <w:p>
      <w:pPr>
        <w:spacing w:after="0"/>
        <w:rPr>
          <w:sz w:val="20"/>
          <w:szCs w:val="20"/>
          <w:color w:val="auto"/>
        </w:rPr>
      </w:pPr>
      <w:r>
        <w:rPr>
          <w:rFonts w:ascii="Arial" w:cs="Arial" w:eastAsia="Arial" w:hAnsi="Arial"/>
          <w:sz w:val="29"/>
          <w:szCs w:val="29"/>
          <w:color w:val="074A75"/>
        </w:rPr>
        <w:t>Delinquent section 16(a) reports</w:t>
      </w:r>
    </w:p>
    <w:p>
      <w:pPr>
        <w:spacing w:after="0" w:line="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directors and executive officers filed reports with the SEC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Securities Exchange Act of 1934. We have reviewed the copies of the reports that we have received and written representations from the individuals required to file the reports. Based on this review, we believe that during 2023 each of our directors and executive officers has complied with applicable reporting requirements for transactions in our equity securities. One late filing was made in April 2024 to report one transaction involving a gift of 222 shares in 2019 to a trust controlled by Stephen B. Burke.</w:t>
      </w:r>
    </w:p>
    <w:p>
      <w:pPr>
        <w:spacing w:after="0" w:line="247" w:lineRule="exact"/>
        <w:rPr>
          <w:sz w:val="20"/>
          <w:szCs w:val="20"/>
          <w:color w:val="auto"/>
        </w:rPr>
      </w:pPr>
    </w:p>
    <w:p>
      <w:pPr>
        <w:ind w:right="360"/>
        <w:spacing w:after="0" w:line="258" w:lineRule="auto"/>
        <w:rPr>
          <w:sz w:val="20"/>
          <w:szCs w:val="20"/>
          <w:color w:val="auto"/>
        </w:rPr>
      </w:pPr>
      <w:r>
        <w:rPr>
          <w:rFonts w:ascii="Arial" w:cs="Arial" w:eastAsia="Arial" w:hAnsi="Arial"/>
          <w:sz w:val="29"/>
          <w:szCs w:val="29"/>
          <w:color w:val="074A75"/>
        </w:rPr>
        <w:t>Policies and procedures for approval of related party transactions</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Firm has adopted a written Transactions with Related Persons Policy (“Related Persons Policy”), which sets forth the Firm’s policies and procedures for reviewing and approving transactions with related persons — our directors, executive officers, their respective immediate family members and 5% shareholders. The transactions covered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Related Persons Policy include any financial transaction, arrangement or relationship in which the Firm is a participant, and the related person has or will have a direct or indirect material interest.</w:t>
      </w:r>
    </w:p>
    <w:p>
      <w:pPr>
        <w:spacing w:after="0" w:line="6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After becoming aware of any transaction which may be subject to the Related Persons Policy, the director or executive officer involved in such transaction is required to report all relevant facts with respect to the transaction to the General Counsel of the Firm. Upon determination by the General Counsel that a transaction requires review under the Related Persons Policy, the material facts of the transaction and the related person’s interest in the transaction are provided to the Governance Committee. The transaction is then reviewed by the disinterested members of the Governance Committee, who determine whether approval or ratification of the transaction shall be granted. In reviewing a transaction, the Governance Committee considers facts and circumstances that it deems relevant to its determination, such as: management’s assessment of the commercial reasonableness of the transaction; the materiality of the related person’s direct or indirect interest in the transaction; whether the transaction may involve an actual, or the appearance of, a conflict of interest; and, if the transaction involves a director, the impact of the transaction on the director’s independence.</w:t>
      </w:r>
    </w:p>
    <w:p>
      <w:pPr>
        <w:spacing w:after="0" w:line="8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Certain types of transactions are pre-approved in accordance with the terms of the Related Persons Policy. These include transactions in the ordinary course of business involving financial products and services provided by, or to, the Firm, including loans, provided such transactions are in compliance with the Sarbanes-Oxley Act of 2002, Federal Reserve Board Regulation O and other applicable laws and regulations.</w:t>
      </w:r>
    </w:p>
    <w:p>
      <w:pPr>
        <w:spacing w:after="0" w:line="237" w:lineRule="exact"/>
        <w:rPr>
          <w:sz w:val="20"/>
          <w:szCs w:val="20"/>
          <w:color w:val="auto"/>
        </w:rPr>
      </w:pPr>
    </w:p>
    <w:p>
      <w:pPr>
        <w:ind w:right="680"/>
        <w:spacing w:after="0" w:line="268" w:lineRule="auto"/>
        <w:rPr>
          <w:sz w:val="20"/>
          <w:szCs w:val="20"/>
          <w:color w:val="auto"/>
        </w:rPr>
      </w:pPr>
      <w:r>
        <w:rPr>
          <w:rFonts w:ascii="Arial" w:cs="Arial" w:eastAsia="Arial" w:hAnsi="Arial"/>
          <w:sz w:val="28"/>
          <w:szCs w:val="28"/>
          <w:color w:val="074A75"/>
        </w:rPr>
        <w:t>Transactions with directors, executive officers and 5% shareholders</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directors and executive officers, and some of their immediate family members and affiliated entities, and BlackRock, Inc. and affiliated entities ("BlackRock") and The Vanguard Group and affiliated entities ("Vanguard"), beneficial owners of more than 5% of our outstanding common stock, were customers of, or had transactions with or involving, JPMorgan Chase or our banking or other subsidiaries in the ordinary course of business during 2023. Additional transactions may be expected to take place in the future.</w:t>
      </w:r>
    </w:p>
    <w:p>
      <w:pPr>
        <w:spacing w:after="0" w:line="7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Any outstanding loans to the foregoing persons and entities and any other transactions involving the Firm’s financial products and services (such as banking, brokerage, investment, investment banking and financial advisory products and services) provided to such persons and entities: (i) were made in the ordinary course of business, (ii)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495935</wp:posOffset>
            </wp:positionV>
            <wp:extent cx="274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5360" w:space="380"/>
            <w:col w:w="5480"/>
          </w:cols>
          <w:pgMar w:left="320" w:top="157" w:right="359" w:bottom="1440" w:gutter="0" w:footer="0" w:header="0"/>
          <w:type w:val="continuous"/>
        </w:sectPr>
      </w:pP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31  </w:t>
      </w:r>
      <w:r>
        <w:rPr>
          <w:sz w:val="1"/>
          <w:szCs w:val="1"/>
          <w:color w:val="auto"/>
        </w:rPr>
        <w:drawing>
          <wp:inline distT="0" distB="0" distL="0" distR="0">
            <wp:extent cx="2203450" cy="15430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OTHER CORPORATE GOVERNANCE POLICIES AND PRACTICES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made on substantially the same terms (including interest rates and collateral (where applicable)), as those prevailing at the time for comparable transactions with persons and entities not related to the Firm (or, where eligible with respect to executive officers, immediate family members and affiliated entities, on such terms as are available under our employee benefits or compensation programs) and (iii) did not involve more than the normal risk of collectibility or present other unfavorable features.</w:t>
      </w:r>
    </w:p>
    <w:p>
      <w:pPr>
        <w:spacing w:after="0" w:line="7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fiduciary committees for the JPMorgan Chase Retirement Plan and for the JPMorgan Chase 401(k) Savings Plan (each, a “Plan”) entered into agreements with BlackRock giving it discretionary authority to manage certain assets on behalf of each Plan. Pursuant to these agreements, fees of approximately $5.1 million were paid by the Plans to BlackRock in 2023. The JPMorgan Chase UK Retirement Plan paid BlackRock approximately £490,000 (approximately $617,500</w:t>
      </w:r>
      <w:r>
        <w:rPr>
          <w:rFonts w:ascii="Arial" w:cs="Arial" w:eastAsia="Arial" w:hAnsi="Arial"/>
          <w:sz w:val="23"/>
          <w:szCs w:val="23"/>
          <w:color w:val="auto"/>
          <w:vertAlign w:val="superscript"/>
        </w:rPr>
        <w:t>2</w:t>
      </w:r>
      <w:r>
        <w:rPr>
          <w:rFonts w:ascii="Arial" w:cs="Arial" w:eastAsia="Arial" w:hAnsi="Arial"/>
          <w:sz w:val="18"/>
          <w:szCs w:val="18"/>
          <w:color w:val="auto"/>
        </w:rPr>
        <w:t>) for the portfolio management services provided to its Trustee, JPMorgan Pension Trustees Limited. Subsidiaries of the Firm have subscribed to information services and received consulting services from BlackRock, including and related to select market data, analytics and modeling, and paid BlackRock approximately $330,000 in 2023 for those services. JPMorgan Chase paid BlackRock approximately $6.9 million in 2023 to access and utilize its Aladdin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platform.</w:t>
      </w:r>
    </w:p>
    <w:p>
      <w:pPr>
        <w:spacing w:after="0" w:line="2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Certain J.P. Morgan mutual funds and subsidiaries entered into a sub-transfer agency agreement with Vanguard and paid Vanguard approximately $290,000 in 2023 for services rendered, primarily accounting, recordkeeping and administrative services.</w:t>
      </w:r>
    </w:p>
    <w:p>
      <w:pPr>
        <w:spacing w:after="0" w:line="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December 2020, the Firm approved co-investment of up to $200 million on a deal-by-deal basis alongside the Project Black Fund (the “Co-Invest Program”). Project Black is a private equity initiative of Ariel Alternatives, LLC, an affiliate of Ariel Investments, LLC, of which director Mellody Hobson is Co-CEO and President. The purpose of the Co-Invest Program is to facilitate co-investments by the Firm in middle market companies that are private or will be made private upon acquisition by the Project Black Fund. Ariel seeks to position the portfolio companies to serve as leading suppliers to Fortune 500 companies increasing the number of minority business enterprises in this sector. In connection with the Co-Invest Program, the Firm will neither receive fees from nor pay fees to Ariel Investments, LLC or any of its affiliates. The Co-Invest Program is not material to Ms. Hobson or Ariel Investments, LLC.</w:t>
      </w:r>
    </w:p>
    <w:p>
      <w:pPr>
        <w:spacing w:after="0" w:line="240" w:lineRule="exact"/>
        <w:rPr>
          <w:sz w:val="20"/>
          <w:szCs w:val="20"/>
          <w:color w:val="auto"/>
        </w:rPr>
      </w:pPr>
    </w:p>
    <w:p>
      <w:pPr>
        <w:ind w:right="460"/>
        <w:spacing w:after="0" w:line="256" w:lineRule="auto"/>
        <w:rPr>
          <w:sz w:val="20"/>
          <w:szCs w:val="20"/>
          <w:color w:val="auto"/>
        </w:rPr>
      </w:pPr>
      <w:r>
        <w:rPr>
          <w:rFonts w:ascii="Arial" w:cs="Arial" w:eastAsia="Arial" w:hAnsi="Arial"/>
          <w:sz w:val="29"/>
          <w:szCs w:val="29"/>
          <w:color w:val="074A75"/>
        </w:rPr>
        <w:t>Compensation &amp; management development committee interlocks and insider participation</w:t>
      </w:r>
    </w:p>
    <w:p>
      <w:pPr>
        <w:spacing w:after="0" w:line="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The members of the CMDC are listed on page 23. No member of the CMDC is or ever was a JPMorgan Chase officer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17145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employee, other than Linda B. Bammann, who previously served as an officer of JPMorgan Chase 15 years before joining the CMDC and 8 years before joining the Board. No JPMorgan Chase executive officer is, or was during 2023, a member of the board of directors or compensation committee (or other committee serving an equivalent function) of another company that has, or had during 2023, an executive officer serving as a member of our Board or the CMDC. All of the members of the CMDC, and/or some of their immediate family members and affiliated entities, were customers of, or had transactions with or involving, JPMorgan Chase or our banking or other subsidiaries in the ordinary course of business during 2023. Additional transactions may be expected to take place in the future. Any outstanding loans to the directors serving on the CMDC and their immediate family members and affiliated entities, and any transactions involving other financial products and services provided by the Firm to such persons and entities, were made in accordance with the standards stated above for transactions with directors, executive officers and 5% shareholders.</w:t>
      </w: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74A75"/>
        </w:rPr>
        <w:t>Political activities and lobbying</w:t>
      </w:r>
    </w:p>
    <w:p>
      <w:pPr>
        <w:spacing w:after="0" w:line="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JPMorgan Chase believes that responsible corporate citizenship demands a commitment to a healthy and informed democracy through civic and community involvement. Our business is subject to extensive laws and regulations at the international, federal, state and local levels, and changes to such laws can significantly affect how we operate, our revenues and the costs we incur. Because of the potential impact public policy can have on our businesses, employees, communities and customers, we engage with policymakers in order to advance and protect the long-term interests of the Firm.</w:t>
      </w:r>
    </w:p>
    <w:p>
      <w:pPr>
        <w:spacing w:after="0" w:line="7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PRC oversees the Firm’s significant policies and practices regarding political contributions, major lobbying priorities and principal trade association memberships that relate to the Firm’s public policy objectives.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Firm’s policies and practices related to political activities:</w:t>
      </w:r>
    </w:p>
    <w:p>
      <w:pPr>
        <w:spacing w:after="0" w:line="117" w:lineRule="exact"/>
        <w:rPr>
          <w:sz w:val="20"/>
          <w:szCs w:val="20"/>
          <w:color w:val="auto"/>
        </w:rPr>
      </w:pPr>
    </w:p>
    <w:p>
      <w:pPr>
        <w:ind w:left="200" w:right="740" w:hanging="196"/>
        <w:spacing w:after="0" w:line="268" w:lineRule="auto"/>
        <w:tabs>
          <w:tab w:leader="none" w:pos="204" w:val="left"/>
        </w:tabs>
        <w:numPr>
          <w:ilvl w:val="0"/>
          <w:numId w:val="114"/>
        </w:numPr>
        <w:rPr>
          <w:rFonts w:ascii="Arial" w:cs="Arial" w:eastAsia="Arial" w:hAnsi="Arial"/>
          <w:sz w:val="18"/>
          <w:szCs w:val="18"/>
          <w:color w:val="074A75"/>
        </w:rPr>
      </w:pPr>
      <w:r>
        <w:rPr>
          <w:rFonts w:ascii="Arial" w:cs="Arial" w:eastAsia="Arial" w:hAnsi="Arial"/>
          <w:sz w:val="18"/>
          <w:szCs w:val="18"/>
          <w:color w:val="auto"/>
        </w:rPr>
        <w:t>prohibit the use of corporate funds to support candidates, political party committees and political action committees ("PACs");</w:t>
      </w:r>
    </w:p>
    <w:p>
      <w:pPr>
        <w:spacing w:after="0" w:line="22" w:lineRule="exact"/>
        <w:rPr>
          <w:rFonts w:ascii="Arial" w:cs="Arial" w:eastAsia="Arial" w:hAnsi="Arial"/>
          <w:sz w:val="18"/>
          <w:szCs w:val="18"/>
          <w:color w:val="074A75"/>
        </w:rPr>
      </w:pPr>
    </w:p>
    <w:p>
      <w:pPr>
        <w:jc w:val="both"/>
        <w:ind w:left="200" w:right="120" w:hanging="196"/>
        <w:spacing w:after="0" w:line="262" w:lineRule="auto"/>
        <w:tabs>
          <w:tab w:leader="none" w:pos="204" w:val="left"/>
        </w:tabs>
        <w:numPr>
          <w:ilvl w:val="0"/>
          <w:numId w:val="114"/>
        </w:numPr>
        <w:rPr>
          <w:rFonts w:ascii="Arial" w:cs="Arial" w:eastAsia="Arial" w:hAnsi="Arial"/>
          <w:sz w:val="18"/>
          <w:szCs w:val="18"/>
          <w:color w:val="074A75"/>
        </w:rPr>
      </w:pPr>
      <w:r>
        <w:rPr>
          <w:rFonts w:ascii="Arial" w:cs="Arial" w:eastAsia="Arial" w:hAnsi="Arial"/>
          <w:sz w:val="18"/>
          <w:szCs w:val="18"/>
          <w:color w:val="auto"/>
        </w:rPr>
        <w:t>provide that the Firm restrict U.S. trade organizations and groups organized under Section 501(c)(4) of the Internal Revenue Code of which it is a member from using the Firm’s dues payments for any election-related activity;</w:t>
      </w:r>
    </w:p>
    <w:p>
      <w:pPr>
        <w:spacing w:after="0" w:line="41" w:lineRule="exact"/>
        <w:rPr>
          <w:rFonts w:ascii="Arial" w:cs="Arial" w:eastAsia="Arial" w:hAnsi="Arial"/>
          <w:sz w:val="18"/>
          <w:szCs w:val="18"/>
          <w:color w:val="074A75"/>
        </w:rPr>
      </w:pPr>
    </w:p>
    <w:p>
      <w:pPr>
        <w:ind w:left="200" w:right="200" w:hanging="196"/>
        <w:spacing w:after="0" w:line="262" w:lineRule="auto"/>
        <w:tabs>
          <w:tab w:leader="none" w:pos="204" w:val="left"/>
        </w:tabs>
        <w:numPr>
          <w:ilvl w:val="0"/>
          <w:numId w:val="114"/>
        </w:numPr>
        <w:rPr>
          <w:rFonts w:ascii="Arial" w:cs="Arial" w:eastAsia="Arial" w:hAnsi="Arial"/>
          <w:sz w:val="18"/>
          <w:szCs w:val="18"/>
          <w:color w:val="074A75"/>
        </w:rPr>
      </w:pPr>
      <w:r>
        <w:rPr>
          <w:rFonts w:ascii="Arial" w:cs="Arial" w:eastAsia="Arial" w:hAnsi="Arial"/>
          <w:sz w:val="18"/>
          <w:szCs w:val="18"/>
          <w:color w:val="auto"/>
        </w:rPr>
        <w:t>prohibit corporate funds from being used to make contributions to SuperPACs and political committees organized under Section 527 of the Internal Revenue Code to promote the election or defeat of candidates for office; and</w:t>
      </w:r>
    </w:p>
    <w:p>
      <w:pPr>
        <w:spacing w:after="0" w:line="27" w:lineRule="exact"/>
        <w:rPr>
          <w:rFonts w:ascii="Arial" w:cs="Arial" w:eastAsia="Arial" w:hAnsi="Arial"/>
          <w:sz w:val="18"/>
          <w:szCs w:val="18"/>
          <w:color w:val="074A75"/>
        </w:rPr>
      </w:pPr>
    </w:p>
    <w:p>
      <w:pPr>
        <w:ind w:left="200" w:right="180" w:hanging="196"/>
        <w:spacing w:after="0" w:line="287" w:lineRule="auto"/>
        <w:tabs>
          <w:tab w:leader="none" w:pos="204" w:val="left"/>
        </w:tabs>
        <w:numPr>
          <w:ilvl w:val="0"/>
          <w:numId w:val="114"/>
        </w:numPr>
        <w:rPr>
          <w:rFonts w:ascii="Arial" w:cs="Arial" w:eastAsia="Arial" w:hAnsi="Arial"/>
          <w:sz w:val="18"/>
          <w:szCs w:val="18"/>
          <w:color w:val="074A75"/>
        </w:rPr>
      </w:pPr>
      <w:r>
        <w:rPr>
          <w:rFonts w:ascii="Arial" w:cs="Arial" w:eastAsia="Arial" w:hAnsi="Arial"/>
          <w:sz w:val="18"/>
          <w:szCs w:val="18"/>
          <w:color w:val="auto"/>
        </w:rPr>
        <w:t>prohibit the use of corporate funds to make independent political expenditures, as defined by the rules of the</w:t>
      </w:r>
    </w:p>
    <w:p>
      <w:pPr>
        <w:spacing w:after="0" w:line="200"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98" w:lineRule="exact"/>
        <w:rPr>
          <w:sz w:val="20"/>
          <w:szCs w:val="20"/>
          <w:color w:val="auto"/>
        </w:rPr>
      </w:pPr>
    </w:p>
    <w:p>
      <w:pPr>
        <w:ind w:left="220" w:hanging="212"/>
        <w:spacing w:after="0"/>
        <w:tabs>
          <w:tab w:leader="none" w:pos="220" w:val="left"/>
        </w:tabs>
        <w:numPr>
          <w:ilvl w:val="0"/>
          <w:numId w:val="115"/>
        </w:numPr>
        <w:rPr>
          <w:rFonts w:ascii="Arial" w:cs="Arial" w:eastAsia="Arial" w:hAnsi="Arial"/>
          <w:sz w:val="16"/>
          <w:szCs w:val="16"/>
          <w:color w:val="auto"/>
          <w:vertAlign w:val="superscript"/>
        </w:rPr>
      </w:pPr>
      <w:r>
        <w:rPr>
          <w:rFonts w:ascii="Arial" w:cs="Arial" w:eastAsia="Arial" w:hAnsi="Arial"/>
          <w:sz w:val="13"/>
          <w:szCs w:val="13"/>
          <w:color w:val="auto"/>
        </w:rPr>
        <w:t>Conversion to dollar amount is as of March 22, 2024</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OTHER 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57" w:lineRule="exact"/>
        <w:rPr>
          <w:sz w:val="20"/>
          <w:szCs w:val="20"/>
          <w:color w:val="auto"/>
        </w:rPr>
      </w:pPr>
    </w:p>
    <w:p>
      <w:pPr>
        <w:ind w:left="200" w:right="860"/>
        <w:spacing w:after="0" w:line="287" w:lineRule="auto"/>
        <w:rPr>
          <w:sz w:val="20"/>
          <w:szCs w:val="20"/>
          <w:color w:val="auto"/>
        </w:rPr>
      </w:pPr>
      <w:r>
        <w:rPr>
          <w:rFonts w:ascii="Arial" w:cs="Arial" w:eastAsia="Arial" w:hAnsi="Arial"/>
          <w:sz w:val="18"/>
          <w:szCs w:val="18"/>
          <w:color w:val="auto"/>
        </w:rPr>
        <w:t>Federal Election Commission, including electioneering communications.</w:t>
      </w:r>
    </w:p>
    <w:p>
      <w:pPr>
        <w:spacing w:after="0" w:line="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Firm discloses on its website contributions made by the Firm’s PACs and contributions of corporate funds made in connection with ballot initiatives.</w:t>
      </w:r>
    </w:p>
    <w:p>
      <w:pPr>
        <w:spacing w:after="0" w:line="63"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For further information regarding the Firm’s policy engagement, political contributions and lobbying activity, view our Political Engagement and Public Policy Statement on our website.</w:t>
      </w:r>
    </w:p>
    <w:p>
      <w:pPr>
        <w:spacing w:after="0" w:line="207" w:lineRule="exact"/>
        <w:rPr>
          <w:sz w:val="20"/>
          <w:szCs w:val="20"/>
          <w:color w:val="auto"/>
        </w:rPr>
      </w:pPr>
    </w:p>
    <w:p>
      <w:pPr>
        <w:spacing w:after="0"/>
        <w:rPr>
          <w:sz w:val="20"/>
          <w:szCs w:val="20"/>
          <w:color w:val="auto"/>
        </w:rPr>
      </w:pPr>
      <w:r>
        <w:rPr>
          <w:rFonts w:ascii="Arial" w:cs="Arial" w:eastAsia="Arial" w:hAnsi="Arial"/>
          <w:sz w:val="29"/>
          <w:szCs w:val="29"/>
          <w:color w:val="074A75"/>
        </w:rPr>
        <w:t>Code of Conduct</w:t>
      </w:r>
    </w:p>
    <w:p>
      <w:pPr>
        <w:spacing w:after="0" w:line="4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Code of Conduct is a collection of principles designed to assist employees and directors in making decisions about their conduct in relation to the Firm’s business.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Employees and directors receive regular conduct training. They must also affirm that they have read, understand, and are in compliance with the Code of Conduct annually. Employees and directors are required to raise concerns about misconduct and report any potential or actual violations of the Code of Conduct, any internal Firm policy, or any law or regulation applicable to the Firm’s business. The Code of Conduct prohibits intimidation or retaliation against anyone who raises an issue or concern in good faith or assists with an investigation.</w:t>
      </w:r>
    </w:p>
    <w:p>
      <w:pPr>
        <w:spacing w:after="0" w:line="7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Employees and directors can report potential or actual violations of the Code of Conduct to management, Human Resources ("HR"), Global Security, the Office of the General Counsel, or via the JPMorgan Chase Conduct Hotline ("Hotline"), either by phone, online or mobile. The Hotline is anonymous, where permitted by law. It is available 24/7 globally, with translation services. The Hotline is maintained by a third-party service provider.</w:t>
      </w:r>
    </w:p>
    <w:p>
      <w:pPr>
        <w:spacing w:after="0" w:line="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Employees in HR and Global Security follow specific procedures when handling employee-initiated complaints. Suspected violations of the Code of Conduct, Firm policy, or the law are investigated by the Firm and may result in an employee being cleared of the suspected violation or in an escalating range of actions, including termination of employment, depending upon the facts and circumstances. Compliance and HR report periodically to the Audit Committee on the Code of Conduct program. The CMDC periodically reviews reports from management regarding significant conduct issues and any related employee actions.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with the maintenance of the Firm’s financial books and records and the preparation of our External Financial Reporting. It also addresses the reporting of actual or apparent conflicts of interest and actual or potential violations of the Code of Ethics or other matters that would compromise the integrity of the Firm’s External Financial Reporting.</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074A75"/>
        </w:rPr>
        <w:t>Supplier Code of Conduct</w:t>
      </w:r>
    </w:p>
    <w:p>
      <w:pPr>
        <w:spacing w:after="0" w:line="4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Supplier Code of Conduct outlines the Firm’s expectation that suppliers demonstrate the highest standards of business conduct, integrity, and adherence to the law. The Supplier Code of Conduct applies to our suppliers, vendors, consultants, agents, contractors, temporary workers, and other third parties working on behalf of the Firm, as well as to the owners, officers, directors, employees, consultants, affiliates, contractors, and subcontractors of these organizations and entities. The Supplier Code of Conduct provides specific guidance regarding suppliers’ responsibility to comply with all applicable laws and regulations and to have policies ensuring such compliance, their duty to escalate concerns, handle information properly and maintain accurate records, address potential conflicts of interest, and operate responsibly with respect to laws governing competition, corruption, political activities, as well as environmental, human rights, and other matters.</w:t>
      </w: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color w:val="074A75"/>
        </w:rPr>
        <w:t>How to contact our board</w:t>
      </w:r>
    </w:p>
    <w:p>
      <w:pPr>
        <w:spacing w:after="0" w:line="1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Board actively manages its information flow through a variety of means and requires management to provide the Board with the appropriate information to assist the Board in meeting its core responsibilities, as described in this Corporate Governance section.</w:t>
      </w:r>
    </w:p>
    <w:p>
      <w:pPr>
        <w:spacing w:after="0" w:line="6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To contact our Board of Directors, any Board member, including the Lead Independent Director, any committee chair, or the independent directors as a group, email correspondence to the Office of the Secretary at corporate.secretary@jpmchase.com, or mail to: JPMorgan Chase &amp; Co., Attention (name of Board member(s)), Office of the Secretary, 383 Madison Avenue, 39th Floor, New York, New York 10179.</w:t>
      </w:r>
    </w:p>
    <w:p>
      <w:pPr>
        <w:spacing w:after="0" w:line="1007"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color w:val="074A75"/>
        </w:rPr>
        <w:t>Code of Ethics for Finance Professionals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Code of Ethics for Finance Professionals ("Code of Ethics"), 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supplement to the Code of Conduct, applies to the Chairman,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CFO, and Principal Accounting Officer, and all other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professionals of the Firm worldwide serving in a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treasury, tax, or investor relations role. The purpose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Code of Ethics is to promote honest and ethical conduct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adherence with the law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271780</wp:posOffset>
            </wp:positionV>
            <wp:extent cx="274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33  </w:t>
      </w:r>
      <w:r>
        <w:rPr>
          <w:sz w:val="1"/>
          <w:szCs w:val="1"/>
          <w:color w:val="auto"/>
        </w:rPr>
        <w:drawing>
          <wp:inline distT="0" distB="0" distL="0" distR="0">
            <wp:extent cx="2203450" cy="15430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43"/>
          <w:szCs w:val="43"/>
          <w:color w:val="074A75"/>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8"/>
          <w:szCs w:val="28"/>
          <w:color w:val="074A75"/>
        </w:rPr>
        <w:t>Proposal 2: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47625</wp:posOffset>
            </wp:positionV>
            <wp:extent cx="2837180" cy="7969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37180" cy="7969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83" w:lineRule="exact"/>
        <w:rPr>
          <w:sz w:val="20"/>
          <w:szCs w:val="20"/>
          <w:color w:val="auto"/>
        </w:rPr>
      </w:pPr>
    </w:p>
    <w:p>
      <w:pPr>
        <w:jc w:val="both"/>
        <w:ind w:left="20" w:right="840"/>
        <w:spacing w:after="0" w:line="259" w:lineRule="auto"/>
        <w:rPr>
          <w:sz w:val="20"/>
          <w:szCs w:val="20"/>
          <w:color w:val="auto"/>
        </w:rPr>
      </w:pPr>
      <w:r>
        <w:rPr>
          <w:rFonts w:ascii="Arial" w:cs="Arial" w:eastAsia="Arial" w:hAnsi="Arial"/>
          <w:sz w:val="18"/>
          <w:szCs w:val="18"/>
          <w:color w:val="auto"/>
        </w:rPr>
        <w:t>Approve the Firm’s compensation practices and principles and their implementation for 2023 for the compensation of the Firm’s Named Executive Officers as discussed and disclosed in the Compensation Discussion and Analysis, the compensation tables, and any related material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974725</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5080</wp:posOffset>
            </wp:positionV>
            <wp:extent cx="162560" cy="1631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61"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FFFFFF"/>
        </w:rPr>
        <w:t>Vote FOR approval of this advisory resolution to approve executive compensation</w:t>
      </w:r>
    </w:p>
    <w:p>
      <w:pPr>
        <w:spacing w:after="0" w:line="258" w:lineRule="exact"/>
        <w:rPr>
          <w:sz w:val="20"/>
          <w:szCs w:val="20"/>
          <w:color w:val="auto"/>
        </w:rPr>
      </w:pPr>
    </w:p>
    <w:p>
      <w:pPr>
        <w:sectPr>
          <w:pgSz w:w="11900" w:h="16838" w:orient="portrait"/>
          <w:cols w:equalWidth="0" w:num="2">
            <w:col w:w="6260" w:space="720"/>
            <w:col w:w="4260"/>
          </w:cols>
          <w:pgMar w:left="320" w:top="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074A75"/>
        </w:rPr>
        <w:t>PROPOSAL 2 – ADVISORY RESOLUTION TO APPROVE EXECUTIVE COMPENSATION</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required by Section 14A of the Securities Exchange Act of 1934, as amended, we currently provide our shareholders with an annual advisory vote to approve the compensation of our Named Executive Officers. This proposal seeks a shareholder advisory vote to approve the compensation of our Named Executive Officers as disclosed pursuant to Item 402 of Regulation S-K through the following resolution:</w:t>
      </w:r>
    </w:p>
    <w:p>
      <w:pPr>
        <w:spacing w:after="0" w:line="63" w:lineRule="exact"/>
        <w:rPr>
          <w:sz w:val="20"/>
          <w:szCs w:val="20"/>
          <w:color w:val="auto"/>
        </w:rPr>
      </w:pPr>
    </w:p>
    <w:p>
      <w:pPr>
        <w:jc w:val="both"/>
        <w:ind w:right="140"/>
        <w:spacing w:after="0" w:line="273" w:lineRule="auto"/>
        <w:rPr>
          <w:sz w:val="20"/>
          <w:szCs w:val="20"/>
          <w:color w:val="auto"/>
        </w:rPr>
      </w:pPr>
      <w:r>
        <w:rPr>
          <w:rFonts w:ascii="Arial" w:cs="Arial" w:eastAsia="Arial" w:hAnsi="Arial"/>
          <w:sz w:val="18"/>
          <w:szCs w:val="18"/>
          <w:b w:val="1"/>
          <w:bCs w:val="1"/>
          <w:color w:val="auto"/>
        </w:rPr>
        <w:t>“Resolved, that shareholders approve the Firm’s compensation practices and principles and their implementation for 2023 for the compensation of the Firm’s Named Executive Officers as discussed and disclosed in the Compensation Discussion and Analysis, the compensation tables, and any related material contained in this proxy statement.”</w:t>
      </w:r>
    </w:p>
    <w:p>
      <w:pPr>
        <w:spacing w:after="0" w:line="5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This advisory vote will not be binding upon the Board of Directors. However, the Compensation &amp; Management Development Committee will take into account the outcome of the vote when considering future executive compensation arrangements.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43"/>
          <w:szCs w:val="43"/>
          <w:color w:val="074A75"/>
        </w:rPr>
        <w:t>Compensation Discussion and Analysis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074A75"/>
        </w:rPr>
        <w:t>INTRODUCTION</w:t>
      </w:r>
    </w:p>
    <w:p>
      <w:pPr>
        <w:spacing w:after="0" w:line="12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i w:val="1"/>
          <w:iCs w:val="1"/>
          <w:color w:val="074A75"/>
        </w:rPr>
        <w:t>Our compensation philosophy promotes a fair and well-governed, long-term approach to compensation, including pay-for-performance practices that are designed to attract and retain top talent from all backgrounds, to be responsive to and aligned with shareholders, to mitigate excessive risk-taking, and to encourage a culture that supports our Purpose, Values, Business Principles and strategic framework.</w:t>
      </w:r>
    </w:p>
    <w:p>
      <w:pPr>
        <w:spacing w:after="0" w:line="65"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i w:val="1"/>
          <w:iCs w:val="1"/>
          <w:color w:val="074A75"/>
        </w:rPr>
        <w:t>The Board believes that JPMorgan Chase’s long-term success as a premier financial services firm depends in large measure on the talents of our employees and a proper alignment of their compensation with performance and sustained shareholder value. The Firm’s compensation programs play a significant role in our ability to attract, retain and properly motivate the highest quality workforce.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74A75"/>
        </w:rPr>
        <w:t>2023 Performance and Annual Compensation Determination for the CEO</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assessing Mr. Dimon's performance in the context of the Firm's 2023 business results, the CMDC recognized the Firm's continued focus on serving our clients and customers around the world amid ongoing, growing geopolitical tensions, economic uncertainty, elevated inflation and higher rates, while investing in and executing on long-term strategic initiatives. The Firm experienced growth across all of our market-leading lines of business, achieved record financial results and maintained a fortress balance sheet.</w:t>
      </w:r>
    </w:p>
    <w:p>
      <w:pPr>
        <w:spacing w:after="0" w:line="6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CMDC recognized that the Firm achieved managed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$162.4 billion, which was a record for the sixth consecutive year, as well as record net income of $ 49.6 billion, or $16.23 per share, with ROTCE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21%. The Firm increased its quarterly common dividend from $1.00 to $1.05 per share. In addition, the Firm successfully navigated and supported our clients and customers through the regional bank turmoil, and completed our acquisition of First Republic Bank.</w:t>
      </w:r>
    </w:p>
    <w:p>
      <w:pPr>
        <w:spacing w:after="0" w:line="8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Board continues to recognize that the Firm is in a uniquely fortunate position to be led by such a highly talented and experienced executive in Mr. Dimon, and in determining annual compensation for 2023, considered his holistic performance across financial and non-financial performance dimensions, including his continued exemplary leadership of the Firm. In light of the continued absolute and relative strength of the Firm’s performance, the Board determined Mr. Dimon's annual pay of $36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074A75"/>
        </w:rPr>
        <w:t>Succession Planning and Recent Leadership Changes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One of the Board’s top priorities is succession planning for Mr. Dimon, which is focused on enabling an orderly CEO transition to take place in the medium-term. As part of succession planning, the Board continues to oversee management's development of several Operating Committee members who are well-known to shareholders as strong potential candidates to succeed Mr. Dimon. Individual OC members have been provided with opportunities to gain exposure to different parts of the business and to deepen their leadership experience in new and expanded roles. In January 2024, the Firm announced leadership and organizational changes. Jennifer Piepszak and Troy Rohrbaugh were named Co-CEOs of the expanded Commercial &amp; Investment Bank, and Marianne Lake became sole CEO of Consumer &amp; Community Banking. Mary Erdoes remains CEO of Asset &amp; Wealth Management, and Daniel Pinto continues as President and Chief Operating Officer. Should the need arise in the near-term, the Board views Mr. Pinto as a key executive who is immediately ready to lead the Firm and fulfill the responsibilities of CEO, as his exceptional leadership capabilities are well-known to our shareholders.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074A75"/>
        </w:rPr>
        <w:t>Shareholder Engagement</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highly value engaging with our shareholders and have a demonstrable history of being responsive to their feedback. We engage extensively each year, and shareholder feedback continues to inform our Board and CMDC in their decisions. We received strong support for the 2023 Say on Pay proposal, and shareholders expressed their continued deep support for the management team, the Firm’s strategy, long-term performance and pay-for-performance compensation program and practices.</w:t>
      </w:r>
    </w:p>
    <w:p>
      <w:pPr>
        <w:spacing w:after="0" w:line="70"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i w:val="1"/>
          <w:iCs w:val="1"/>
          <w:color w:val="auto"/>
        </w:rPr>
        <w:t>In the discussion that follows, we review the philosophy, key features and process of our executive compensation program as well as how our Board and CMDC make pay decisions. This CD&amp;A is organized around the following factors for shareholders to consider:</w:t>
      </w:r>
    </w:p>
    <w:p>
      <w:pPr>
        <w:spacing w:after="0" w:line="48" w:lineRule="exact"/>
        <w:rPr>
          <w:sz w:val="20"/>
          <w:szCs w:val="20"/>
          <w:color w:val="auto"/>
        </w:rPr>
      </w:pPr>
    </w:p>
    <w:p>
      <w:pPr>
        <w:ind w:left="200" w:hanging="192"/>
        <w:spacing w:after="0"/>
        <w:tabs>
          <w:tab w:leader="none" w:pos="200" w:val="left"/>
        </w:tabs>
        <w:numPr>
          <w:ilvl w:val="0"/>
          <w:numId w:val="116"/>
        </w:numPr>
        <w:rPr>
          <w:rFonts w:ascii="Arial" w:cs="Arial" w:eastAsia="Arial" w:hAnsi="Arial"/>
          <w:sz w:val="18"/>
          <w:szCs w:val="18"/>
          <w:i w:val="1"/>
          <w:iCs w:val="1"/>
          <w:color w:val="074A75"/>
        </w:rPr>
      </w:pPr>
      <w:r>
        <w:rPr>
          <w:rFonts w:ascii="Arial" w:cs="Arial" w:eastAsia="Arial" w:hAnsi="Arial"/>
          <w:sz w:val="18"/>
          <w:szCs w:val="18"/>
          <w:b w:val="1"/>
          <w:bCs w:val="1"/>
          <w:i w:val="1"/>
          <w:iCs w:val="1"/>
          <w:color w:val="auto"/>
        </w:rPr>
        <w:t xml:space="preserve">Compensation Discussion &amp; Analysis ("CD&amp;A") Overview </w:t>
      </w:r>
      <w:r>
        <w:rPr>
          <w:rFonts w:ascii="Arial" w:cs="Arial" w:eastAsia="Arial" w:hAnsi="Arial"/>
          <w:sz w:val="18"/>
          <w:szCs w:val="18"/>
          <w:i w:val="1"/>
          <w:iCs w:val="1"/>
          <w:color w:val="auto"/>
        </w:rPr>
        <w:t>(pages 35 - 38)</w:t>
      </w:r>
    </w:p>
    <w:p>
      <w:pPr>
        <w:spacing w:after="0" w:line="76" w:lineRule="exact"/>
        <w:rPr>
          <w:rFonts w:ascii="Arial" w:cs="Arial" w:eastAsia="Arial" w:hAnsi="Arial"/>
          <w:sz w:val="18"/>
          <w:szCs w:val="18"/>
          <w:i w:val="1"/>
          <w:iCs w:val="1"/>
          <w:color w:val="074A75"/>
        </w:rPr>
      </w:pPr>
    </w:p>
    <w:p>
      <w:pPr>
        <w:ind w:left="200" w:hanging="192"/>
        <w:spacing w:after="0"/>
        <w:tabs>
          <w:tab w:leader="none" w:pos="200" w:val="left"/>
        </w:tabs>
        <w:numPr>
          <w:ilvl w:val="0"/>
          <w:numId w:val="116"/>
        </w:numPr>
        <w:rPr>
          <w:rFonts w:ascii="Arial" w:cs="Arial" w:eastAsia="Arial" w:hAnsi="Arial"/>
          <w:sz w:val="18"/>
          <w:szCs w:val="18"/>
          <w:i w:val="1"/>
          <w:iCs w:val="1"/>
          <w:color w:val="074A75"/>
        </w:rPr>
      </w:pPr>
      <w:r>
        <w:rPr>
          <w:rFonts w:ascii="Arial" w:cs="Arial" w:eastAsia="Arial" w:hAnsi="Arial"/>
          <w:sz w:val="18"/>
          <w:szCs w:val="18"/>
          <w:b w:val="1"/>
          <w:bCs w:val="1"/>
          <w:i w:val="1"/>
          <w:iCs w:val="1"/>
          <w:color w:val="auto"/>
        </w:rPr>
        <w:t xml:space="preserve">How We Think About Pay Decisions </w:t>
      </w:r>
      <w:r>
        <w:rPr>
          <w:rFonts w:ascii="Arial" w:cs="Arial" w:eastAsia="Arial" w:hAnsi="Arial"/>
          <w:sz w:val="18"/>
          <w:szCs w:val="18"/>
          <w:i w:val="1"/>
          <w:iCs w:val="1"/>
          <w:color w:val="auto"/>
        </w:rPr>
        <w:t>(pages 39 - 49)</w:t>
      </w:r>
    </w:p>
    <w:p>
      <w:pPr>
        <w:spacing w:after="0" w:line="90" w:lineRule="exact"/>
        <w:rPr>
          <w:rFonts w:ascii="Arial" w:cs="Arial" w:eastAsia="Arial" w:hAnsi="Arial"/>
          <w:sz w:val="18"/>
          <w:szCs w:val="18"/>
          <w:i w:val="1"/>
          <w:iCs w:val="1"/>
          <w:color w:val="074A75"/>
        </w:rPr>
      </w:pPr>
    </w:p>
    <w:p>
      <w:pPr>
        <w:ind w:left="200" w:hanging="192"/>
        <w:spacing w:after="0"/>
        <w:tabs>
          <w:tab w:leader="none" w:pos="200" w:val="left"/>
        </w:tabs>
        <w:numPr>
          <w:ilvl w:val="0"/>
          <w:numId w:val="116"/>
        </w:numPr>
        <w:rPr>
          <w:rFonts w:ascii="Arial" w:cs="Arial" w:eastAsia="Arial" w:hAnsi="Arial"/>
          <w:sz w:val="18"/>
          <w:szCs w:val="18"/>
          <w:i w:val="1"/>
          <w:iCs w:val="1"/>
          <w:color w:val="074A75"/>
        </w:rPr>
      </w:pPr>
      <w:r>
        <w:rPr>
          <w:rFonts w:ascii="Arial" w:cs="Arial" w:eastAsia="Arial" w:hAnsi="Arial"/>
          <w:sz w:val="18"/>
          <w:szCs w:val="18"/>
          <w:b w:val="1"/>
          <w:bCs w:val="1"/>
          <w:i w:val="1"/>
          <w:iCs w:val="1"/>
          <w:color w:val="auto"/>
        </w:rPr>
        <w:t xml:space="preserve">How We Performed Against our Business Strategy </w:t>
      </w:r>
      <w:r>
        <w:rPr>
          <w:rFonts w:ascii="Arial" w:cs="Arial" w:eastAsia="Arial" w:hAnsi="Arial"/>
          <w:sz w:val="18"/>
          <w:szCs w:val="18"/>
          <w:i w:val="1"/>
          <w:iCs w:val="1"/>
          <w:color w:val="auto"/>
        </w:rPr>
        <w:t>(pages 50 - 54)</w:t>
      </w:r>
    </w:p>
    <w:p>
      <w:pPr>
        <w:spacing w:after="0" w:line="76" w:lineRule="exact"/>
        <w:rPr>
          <w:rFonts w:ascii="Arial" w:cs="Arial" w:eastAsia="Arial" w:hAnsi="Arial"/>
          <w:sz w:val="18"/>
          <w:szCs w:val="18"/>
          <w:i w:val="1"/>
          <w:iCs w:val="1"/>
          <w:color w:val="074A75"/>
        </w:rPr>
      </w:pPr>
    </w:p>
    <w:p>
      <w:pPr>
        <w:ind w:left="200" w:hanging="192"/>
        <w:spacing w:after="0"/>
        <w:tabs>
          <w:tab w:leader="none" w:pos="200" w:val="left"/>
        </w:tabs>
        <w:numPr>
          <w:ilvl w:val="0"/>
          <w:numId w:val="116"/>
        </w:numPr>
        <w:rPr>
          <w:rFonts w:ascii="Arial" w:cs="Arial" w:eastAsia="Arial" w:hAnsi="Arial"/>
          <w:sz w:val="18"/>
          <w:szCs w:val="18"/>
          <w:i w:val="1"/>
          <w:iCs w:val="1"/>
          <w:color w:val="074A75"/>
        </w:rPr>
      </w:pPr>
      <w:r>
        <w:rPr>
          <w:rFonts w:ascii="Arial" w:cs="Arial" w:eastAsia="Arial" w:hAnsi="Arial"/>
          <w:sz w:val="18"/>
          <w:szCs w:val="18"/>
          <w:b w:val="1"/>
          <w:bCs w:val="1"/>
          <w:i w:val="1"/>
          <w:iCs w:val="1"/>
          <w:color w:val="auto"/>
        </w:rPr>
        <w:t xml:space="preserve">How Performance Determined Pay in 2023 </w:t>
      </w:r>
      <w:r>
        <w:rPr>
          <w:rFonts w:ascii="Arial" w:cs="Arial" w:eastAsia="Arial" w:hAnsi="Arial"/>
          <w:sz w:val="18"/>
          <w:szCs w:val="18"/>
          <w:i w:val="1"/>
          <w:iCs w:val="1"/>
          <w:color w:val="auto"/>
        </w:rPr>
        <w:t>(pages 55 - 61)</w:t>
      </w:r>
    </w:p>
    <w:p>
      <w:pPr>
        <w:spacing w:after="0" w:line="98" w:lineRule="exact"/>
        <w:rPr>
          <w:sz w:val="20"/>
          <w:szCs w:val="20"/>
          <w:color w:val="auto"/>
        </w:rPr>
      </w:pPr>
    </w:p>
    <w:p>
      <w:pPr>
        <w:ind w:left="200" w:hanging="192"/>
        <w:spacing w:after="0"/>
        <w:tabs>
          <w:tab w:leader="none" w:pos="200" w:val="left"/>
        </w:tabs>
        <w:numPr>
          <w:ilvl w:val="0"/>
          <w:numId w:val="117"/>
        </w:numPr>
        <w:rPr>
          <w:rFonts w:ascii="Arial" w:cs="Arial" w:eastAsia="Arial" w:hAnsi="Arial"/>
          <w:sz w:val="16"/>
          <w:szCs w:val="16"/>
          <w:i w:val="1"/>
          <w:iCs w:val="1"/>
          <w:color w:val="auto"/>
          <w:vertAlign w:val="superscript"/>
        </w:rPr>
      </w:pPr>
      <w:r>
        <w:rPr>
          <w:rFonts w:ascii="Arial" w:cs="Arial" w:eastAsia="Arial" w:hAnsi="Arial"/>
          <w:sz w:val="13"/>
          <w:szCs w:val="13"/>
          <w:color w:val="auto"/>
        </w:rPr>
        <w:t>Managed Revenue and ROTCE are each non-GAAP financial measures; refer to Note 1 on page 113 for a further discussion of these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35  </w:t>
      </w:r>
      <w:r>
        <w:rPr>
          <w:sz w:val="1"/>
          <w:szCs w:val="1"/>
          <w:color w:val="auto"/>
        </w:rPr>
        <w:drawing>
          <wp:inline distT="0" distB="0" distL="0" distR="0">
            <wp:extent cx="2203450" cy="154305"/>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 w:type="dxa"/>
            <w:vAlign w:val="bottom"/>
            <w:tcBorders>
              <w:top w:val="single" w:sz="8" w:color="E7E7E8"/>
            </w:tcBorders>
            <w:shd w:val="clear" w:color="auto" w:fill="E7E7E8"/>
          </w:tcPr>
          <w:p>
            <w:pPr>
              <w:ind w:left="120"/>
              <w:spacing w:after="0"/>
              <w:rPr>
                <w:sz w:val="20"/>
                <w:szCs w:val="20"/>
                <w:color w:val="auto"/>
              </w:rPr>
            </w:pPr>
            <w:r>
              <w:rPr>
                <w:rFonts w:ascii="Arial" w:cs="Arial" w:eastAsia="Arial" w:hAnsi="Arial"/>
                <w:sz w:val="15"/>
                <w:szCs w:val="15"/>
                <w:color w:val="074A75"/>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bottom w:val="single" w:sz="8" w:color="E7E7E8"/>
            </w:tcBorders>
            <w:shd w:val="clear" w:color="auto" w:fill="E7E7E8"/>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CD&amp;A OVERVIEW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20" w:type="dxa"/>
            <w:vAlign w:val="bottom"/>
            <w:tcBorders>
              <w:top w:val="single" w:sz="8" w:color="EEEFEF"/>
            </w:tcBorders>
            <w:vMerge w:val="restart"/>
          </w:tcPr>
          <w:p>
            <w:pPr>
              <w:jc w:val="right"/>
              <w:spacing w:after="0"/>
              <w:rPr>
                <w:sz w:val="20"/>
                <w:szCs w:val="20"/>
                <w:color w:val="auto"/>
              </w:rPr>
            </w:pPr>
            <w:r>
              <w:rPr>
                <w:rFonts w:ascii="Arial" w:cs="Arial" w:eastAsia="Arial" w:hAnsi="Arial"/>
                <w:sz w:val="32"/>
                <w:szCs w:val="32"/>
                <w:color w:val="074A75"/>
              </w:rPr>
              <w:t>1</w:t>
            </w:r>
          </w:p>
        </w:tc>
        <w:tc>
          <w:tcPr>
            <w:tcW w:w="9760" w:type="dxa"/>
            <w:vAlign w:val="bottom"/>
            <w:tcBorders>
              <w:top w:val="single" w:sz="8" w:color="EEEFEF"/>
            </w:tcBorders>
            <w:vMerge w:val="restart"/>
            <w:shd w:val="clear" w:color="auto" w:fill="EEEFEF"/>
          </w:tcPr>
          <w:p>
            <w:pPr>
              <w:ind w:left="20"/>
              <w:spacing w:after="0"/>
              <w:rPr>
                <w:sz w:val="20"/>
                <w:szCs w:val="20"/>
                <w:color w:val="auto"/>
              </w:rPr>
            </w:pPr>
            <w:r>
              <w:rPr>
                <w:rFonts w:ascii="Arial" w:cs="Arial" w:eastAsia="Arial" w:hAnsi="Arial"/>
                <w:sz w:val="20"/>
                <w:szCs w:val="20"/>
                <w:b w:val="1"/>
                <w:bCs w:val="1"/>
                <w:color w:val="auto"/>
              </w:rPr>
              <w:t>HOW WE THINK ABOUT PAY DECISIONS</w:t>
            </w:r>
          </w:p>
        </w:tc>
        <w:tc>
          <w:tcPr>
            <w:tcW w:w="960" w:type="dxa"/>
            <w:vAlign w:val="bottom"/>
            <w:tcBorders>
              <w:top w:val="single" w:sz="8" w:color="EEEFEF"/>
            </w:tcBorders>
          </w:tcPr>
          <w:p>
            <w:pPr>
              <w:jc w:val="right"/>
              <w:ind w:right="30"/>
              <w:spacing w:after="0"/>
              <w:rPr>
                <w:sz w:val="20"/>
                <w:szCs w:val="20"/>
                <w:color w:val="auto"/>
              </w:rPr>
            </w:pPr>
            <w:r>
              <w:rPr>
                <w:rFonts w:ascii="Arial" w:cs="Arial" w:eastAsia="Arial" w:hAnsi="Arial"/>
                <w:sz w:val="18"/>
                <w:szCs w:val="18"/>
                <w:b w:val="1"/>
                <w:bCs w:val="1"/>
                <w:color w:val="074A75"/>
              </w:rPr>
              <w:t>Pages 39</w:t>
            </w:r>
          </w:p>
        </w:tc>
        <w:tc>
          <w:tcPr>
            <w:tcW w:w="0" w:type="dxa"/>
            <w:vAlign w:val="bottom"/>
          </w:tcPr>
          <w:p>
            <w:pPr>
              <w:spacing w:after="0"/>
              <w:rPr>
                <w:sz w:val="1"/>
                <w:szCs w:val="1"/>
                <w:color w:val="auto"/>
              </w:rPr>
            </w:pPr>
          </w:p>
        </w:tc>
      </w:tr>
      <w:tr>
        <w:trPr>
          <w:trHeight w:val="254"/>
        </w:trPr>
        <w:tc>
          <w:tcPr>
            <w:tcW w:w="520" w:type="dxa"/>
            <w:vAlign w:val="bottom"/>
            <w:vMerge w:val="continue"/>
          </w:tcPr>
          <w:p>
            <w:pPr>
              <w:spacing w:after="0"/>
              <w:rPr>
                <w:sz w:val="22"/>
                <w:szCs w:val="22"/>
                <w:color w:val="auto"/>
              </w:rPr>
            </w:pPr>
          </w:p>
        </w:tc>
        <w:tc>
          <w:tcPr>
            <w:tcW w:w="9760" w:type="dxa"/>
            <w:vAlign w:val="bottom"/>
            <w:vMerge w:val="continue"/>
            <w:shd w:val="clear" w:color="auto" w:fill="EEEFEF"/>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074A75"/>
              </w:rPr>
              <w:t>- 49</w:t>
            </w:r>
          </w:p>
        </w:tc>
        <w:tc>
          <w:tcPr>
            <w:tcW w:w="0" w:type="dxa"/>
            <w:vAlign w:val="bottom"/>
          </w:tcPr>
          <w:p>
            <w:pPr>
              <w:spacing w:after="0"/>
              <w:rPr>
                <w:sz w:val="1"/>
                <w:szCs w:val="1"/>
                <w:color w:val="auto"/>
              </w:rPr>
            </w:pPr>
          </w:p>
        </w:tc>
      </w:tr>
      <w:tr>
        <w:trPr>
          <w:trHeight w:val="116"/>
        </w:trPr>
        <w:tc>
          <w:tcPr>
            <w:tcW w:w="520" w:type="dxa"/>
            <w:vAlign w:val="bottom"/>
            <w:shd w:val="clear" w:color="auto" w:fill="EEEFEF"/>
          </w:tcPr>
          <w:p>
            <w:pPr>
              <w:spacing w:after="0"/>
              <w:rPr>
                <w:sz w:val="10"/>
                <w:szCs w:val="10"/>
                <w:color w:val="auto"/>
              </w:rPr>
            </w:pPr>
          </w:p>
        </w:tc>
        <w:tc>
          <w:tcPr>
            <w:tcW w:w="9760" w:type="dxa"/>
            <w:vAlign w:val="bottom"/>
            <w:shd w:val="clear" w:color="auto" w:fill="EEEFEF"/>
          </w:tcPr>
          <w:p>
            <w:pPr>
              <w:spacing w:after="0"/>
              <w:rPr>
                <w:sz w:val="10"/>
                <w:szCs w:val="10"/>
                <w:color w:val="auto"/>
              </w:rPr>
            </w:pPr>
          </w:p>
        </w:tc>
        <w:tc>
          <w:tcPr>
            <w:tcW w:w="960" w:type="dxa"/>
            <w:vAlign w:val="bottom"/>
            <w:shd w:val="clear" w:color="auto" w:fill="EEEFE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67805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67805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74A75"/>
        </w:rPr>
        <w:t>Evaluating Performance</w:t>
      </w:r>
    </w:p>
    <w:p>
      <w:pPr>
        <w:spacing w:after="0" w:line="87" w:lineRule="exact"/>
        <w:rPr>
          <w:sz w:val="20"/>
          <w:szCs w:val="20"/>
          <w:color w:val="auto"/>
        </w:rPr>
      </w:pPr>
    </w:p>
    <w:p>
      <w:pPr>
        <w:ind w:left="100" w:right="280"/>
        <w:spacing w:after="0" w:line="260" w:lineRule="auto"/>
        <w:rPr>
          <w:sz w:val="20"/>
          <w:szCs w:val="20"/>
          <w:color w:val="auto"/>
        </w:rPr>
      </w:pPr>
      <w:r>
        <w:rPr>
          <w:rFonts w:ascii="Arial" w:cs="Arial" w:eastAsia="Arial" w:hAnsi="Arial"/>
          <w:sz w:val="17"/>
          <w:szCs w:val="17"/>
          <w:color w:val="auto"/>
        </w:rPr>
        <w:t>The Firm's Business Principles and strategic framework guide our OC members in determining their annual strategic priorities. The CMDC assesses OC members' performance against those strategic priorities, as well as four broad financial and non-financial performance dimensions in a balanced and holistic way in accordance with the Firm's compensation philosophy. To determine OC compensation, the CMDC considers both what progress has been made against long-term strategic priorities, and how that progress has been achieved. The CMDC applies:</w:t>
      </w:r>
    </w:p>
    <w:p>
      <w:pPr>
        <w:spacing w:after="0" w:line="57" w:lineRule="exact"/>
        <w:rPr>
          <w:sz w:val="20"/>
          <w:szCs w:val="20"/>
          <w:color w:val="auto"/>
        </w:rPr>
      </w:pPr>
    </w:p>
    <w:p>
      <w:pPr>
        <w:ind w:left="300" w:hanging="193"/>
        <w:spacing w:after="0"/>
        <w:tabs>
          <w:tab w:leader="none" w:pos="300" w:val="left"/>
        </w:tabs>
        <w:numPr>
          <w:ilvl w:val="0"/>
          <w:numId w:val="118"/>
        </w:numPr>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~50% weighting </w:t>
      </w:r>
      <w:r>
        <w:rPr>
          <w:rFonts w:ascii="Arial" w:cs="Arial" w:eastAsia="Arial" w:hAnsi="Arial"/>
          <w:sz w:val="17"/>
          <w:szCs w:val="17"/>
          <w:color w:val="auto"/>
        </w:rPr>
        <w:t>to its consideration of absolute and relative business results (</w:t>
      </w:r>
      <w:r>
        <w:rPr>
          <w:rFonts w:ascii="Arial" w:cs="Arial" w:eastAsia="Arial" w:hAnsi="Arial"/>
          <w:sz w:val="17"/>
          <w:szCs w:val="17"/>
          <w:b w:val="1"/>
          <w:bCs w:val="1"/>
          <w:color w:val="auto"/>
        </w:rPr>
        <w:t xml:space="preserve">what </w:t>
      </w:r>
      <w:r>
        <w:rPr>
          <w:rFonts w:ascii="Arial" w:cs="Arial" w:eastAsia="Arial" w:hAnsi="Arial"/>
          <w:sz w:val="17"/>
          <w:szCs w:val="17"/>
          <w:color w:val="auto"/>
        </w:rPr>
        <w:t>they have accomplished)</w:t>
      </w:r>
    </w:p>
    <w:p>
      <w:pPr>
        <w:spacing w:after="0" w:line="76" w:lineRule="exact"/>
        <w:rPr>
          <w:rFonts w:ascii="Arial" w:cs="Arial" w:eastAsia="Arial" w:hAnsi="Arial"/>
          <w:sz w:val="18"/>
          <w:szCs w:val="18"/>
          <w:b w:val="1"/>
          <w:bCs w:val="1"/>
          <w:color w:val="auto"/>
        </w:rPr>
      </w:pPr>
    </w:p>
    <w:p>
      <w:pPr>
        <w:ind w:left="300" w:right="240" w:hanging="193"/>
        <w:spacing w:after="0" w:line="270" w:lineRule="auto"/>
        <w:tabs>
          <w:tab w:leader="none" w:pos="290" w:val="left"/>
        </w:tabs>
        <w:numPr>
          <w:ilvl w:val="0"/>
          <w:numId w:val="118"/>
        </w:numPr>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~50% weighting </w:t>
      </w:r>
      <w:r>
        <w:rPr>
          <w:rFonts w:ascii="Arial" w:cs="Arial" w:eastAsia="Arial" w:hAnsi="Arial"/>
          <w:sz w:val="17"/>
          <w:szCs w:val="17"/>
          <w:color w:val="auto"/>
        </w:rPr>
        <w:t>to its qualitative consideration of risk, controls &amp; conduct; client/customer/stakeholder; and teamwork &amp; leadership (</w:t>
      </w:r>
      <w:r>
        <w:rPr>
          <w:rFonts w:ascii="Arial" w:cs="Arial" w:eastAsia="Arial" w:hAnsi="Arial"/>
          <w:sz w:val="17"/>
          <w:szCs w:val="17"/>
          <w:b w:val="1"/>
          <w:bCs w:val="1"/>
          <w:color w:val="auto"/>
        </w:rPr>
        <w:t xml:space="preserve">how </w:t>
      </w:r>
      <w:r>
        <w:rPr>
          <w:rFonts w:ascii="Arial" w:cs="Arial" w:eastAsia="Arial" w:hAnsi="Arial"/>
          <w:sz w:val="17"/>
          <w:szCs w:val="17"/>
          <w:color w:val="auto"/>
        </w:rPr>
        <w:t>they</w:t>
      </w:r>
      <w:r>
        <w:rPr>
          <w:rFonts w:ascii="Arial" w:cs="Arial" w:eastAsia="Arial" w:hAnsi="Arial"/>
          <w:sz w:val="17"/>
          <w:szCs w:val="17"/>
          <w:b w:val="1"/>
          <w:bCs w:val="1"/>
          <w:color w:val="auto"/>
        </w:rPr>
        <w:t xml:space="preserve"> </w:t>
      </w:r>
      <w:r>
        <w:rPr>
          <w:rFonts w:ascii="Arial" w:cs="Arial" w:eastAsia="Arial" w:hAnsi="Arial"/>
          <w:sz w:val="17"/>
          <w:szCs w:val="17"/>
          <w:color w:val="auto"/>
        </w:rPr>
        <w:t>have accomplished results)</w:t>
      </w:r>
    </w:p>
    <w:p>
      <w:pPr>
        <w:spacing w:after="0" w:line="33" w:lineRule="exact"/>
        <w:rPr>
          <w:sz w:val="20"/>
          <w:szCs w:val="20"/>
          <w:color w:val="auto"/>
        </w:rPr>
      </w:pPr>
    </w:p>
    <w:p>
      <w:pPr>
        <w:ind w:left="100" w:right="360"/>
        <w:spacing w:after="0" w:line="284" w:lineRule="auto"/>
        <w:rPr>
          <w:sz w:val="20"/>
          <w:szCs w:val="20"/>
          <w:color w:val="auto"/>
        </w:rPr>
      </w:pPr>
      <w:r>
        <w:rPr>
          <w:rFonts w:ascii="Arial" w:cs="Arial" w:eastAsia="Arial" w:hAnsi="Arial"/>
          <w:sz w:val="17"/>
          <w:szCs w:val="17"/>
          <w:color w:val="auto"/>
        </w:rPr>
        <w:t>While there is no single performance dimension in isolation that determines compensation, a significant shortcoming in any one dimension may result in downward adjustments to OC members' variable compensation, without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074A75"/>
        </w:rPr>
        <w:t>Determining Total Compensation</w:t>
      </w:r>
    </w:p>
    <w:p>
      <w:pPr>
        <w:spacing w:after="0" w:line="73" w:lineRule="exact"/>
        <w:rPr>
          <w:sz w:val="20"/>
          <w:szCs w:val="20"/>
          <w:color w:val="auto"/>
        </w:rPr>
      </w:pPr>
    </w:p>
    <w:p>
      <w:pPr>
        <w:ind w:left="100" w:right="240"/>
        <w:spacing w:after="0" w:line="266" w:lineRule="auto"/>
        <w:rPr>
          <w:sz w:val="20"/>
          <w:szCs w:val="20"/>
          <w:color w:val="auto"/>
        </w:rPr>
      </w:pPr>
      <w:r>
        <w:rPr>
          <w:rFonts w:ascii="Arial" w:cs="Arial" w:eastAsia="Arial" w:hAnsi="Arial"/>
          <w:sz w:val="17"/>
          <w:szCs w:val="17"/>
          <w:color w:val="auto"/>
        </w:rPr>
        <w:t>After considering OC members' performance throughout the year and over the long-term, the CMDC first determines their respective total compensation levels and then their pay mix — a combination of fixed pay (salary), and variable pay (cash awards and long-term equity). Pay mix is weighted toward long-term equity, and for PSUs, ROTCE performance drives the ultimate payout.</w:t>
      </w:r>
    </w:p>
    <w:p>
      <w:pPr>
        <w:spacing w:after="0" w:line="39" w:lineRule="exact"/>
        <w:rPr>
          <w:sz w:val="20"/>
          <w:szCs w:val="20"/>
          <w:color w:val="auto"/>
        </w:rPr>
      </w:pPr>
    </w:p>
    <w:p>
      <w:pPr>
        <w:ind w:left="100" w:right="560"/>
        <w:spacing w:after="0" w:line="284" w:lineRule="auto"/>
        <w:rPr>
          <w:sz w:val="20"/>
          <w:szCs w:val="20"/>
          <w:color w:val="auto"/>
        </w:rPr>
      </w:pPr>
      <w:r>
        <w:rPr>
          <w:rFonts w:ascii="Arial" w:cs="Arial" w:eastAsia="Arial" w:hAnsi="Arial"/>
          <w:sz w:val="17"/>
          <w:szCs w:val="17"/>
          <w:color w:val="auto"/>
        </w:rPr>
        <w:t>The CMDC also considers competitive market practices, referencing our primary financial services peer group of American Express, Bank of America, Citigroup, Goldman Sachs, Morgan Stanley and Wells Fargo.</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color w:val="074A75"/>
        </w:rPr>
        <w:t>Pay Mix</w:t>
      </w:r>
    </w:p>
    <w:p>
      <w:pPr>
        <w:spacing w:after="0" w:line="22" w:lineRule="exact"/>
        <w:rPr>
          <w:sz w:val="20"/>
          <w:szCs w:val="20"/>
          <w:color w:val="auto"/>
        </w:rPr>
      </w:pPr>
    </w:p>
    <w:p>
      <w:pPr>
        <w:ind w:left="120" w:right="160"/>
        <w:spacing w:after="0"/>
        <w:rPr>
          <w:sz w:val="20"/>
          <w:szCs w:val="20"/>
          <w:color w:val="auto"/>
        </w:rPr>
      </w:pPr>
      <w:r>
        <w:rPr>
          <w:rFonts w:ascii="Arial" w:cs="Arial" w:eastAsia="Arial" w:hAnsi="Arial"/>
          <w:sz w:val="17"/>
          <w:szCs w:val="17"/>
          <w:color w:val="auto"/>
        </w:rPr>
        <w:t>To determine the appropriate pay mix, the CMDC considers the fixed and variable components of each OC member's pay. The salary portion of total compensation has already been paid, and the variable portion can include a cash award that is paid immediately, plus long-term equity in the form of restricted stock units ("RSUs") and at-risk PSUs.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chart below illustrates the components of our OC members' 2023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right="340"/>
        <w:spacing w:after="0" w:line="284" w:lineRule="auto"/>
        <w:rPr>
          <w:sz w:val="20"/>
          <w:szCs w:val="20"/>
          <w:color w:val="auto"/>
        </w:rPr>
      </w:pPr>
      <w:r>
        <w:rPr>
          <w:rFonts w:ascii="Arial" w:cs="Arial" w:eastAsia="Arial" w:hAnsi="Arial"/>
          <w:sz w:val="17"/>
          <w:szCs w:val="17"/>
          <w:color w:val="auto"/>
        </w:rPr>
        <w:t>Mr. Dimon receives all of his equity in at-risk PSUs, comprising ~86% of his variable compensation, which is a higher proportion than any of our peer firms' CEOs.</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2022, the CMDC introduced a policy that caps Messrs. Dimon and Pinto's annual cash award at 25% of their respective annual</w:t>
      </w:r>
    </w:p>
    <w:p>
      <w:pPr>
        <w:spacing w:after="0" w:line="23" w:lineRule="exact"/>
        <w:rPr>
          <w:sz w:val="20"/>
          <w:szCs w:val="20"/>
          <w:color w:val="auto"/>
        </w:rPr>
      </w:pPr>
    </w:p>
    <w:p>
      <w:pPr>
        <w:ind w:left="100" w:right="380"/>
        <w:spacing w:after="0" w:line="265" w:lineRule="auto"/>
        <w:rPr>
          <w:sz w:val="20"/>
          <w:szCs w:val="20"/>
          <w:color w:val="auto"/>
        </w:rPr>
      </w:pPr>
      <w:r>
        <w:rPr>
          <w:rFonts w:ascii="Arial" w:cs="Arial" w:eastAsia="Arial" w:hAnsi="Arial"/>
          <w:sz w:val="17"/>
          <w:szCs w:val="17"/>
          <w:color w:val="auto"/>
        </w:rPr>
        <w:t>total compensation. The CMDC retains the flexibility to grant less than the cash award cap each year. For 2023, the CMDC determined to maintain a lower cash award of $5 million for both Messrs. Dimon and Pinto. Mr. Dimon's cash compensation is consistently among the lowest, and in 2023, well below the $10 million median of the total cash amounts paid to peer CEOs.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 w:type="dxa"/>
            <w:vAlign w:val="bottom"/>
            <w:tcBorders>
              <w:top w:val="single" w:sz="8" w:color="E7E7E8"/>
            </w:tcBorders>
            <w:gridSpan w:val="3"/>
            <w:shd w:val="clear" w:color="auto" w:fill="E7E7E8"/>
          </w:tcPr>
          <w:p>
            <w:pPr>
              <w:jc w:val="center"/>
              <w:spacing w:after="0"/>
              <w:rPr>
                <w:sz w:val="20"/>
                <w:szCs w:val="20"/>
                <w:color w:val="auto"/>
              </w:rPr>
            </w:pPr>
            <w:r>
              <w:rPr>
                <w:rFonts w:ascii="Arial" w:cs="Arial" w:eastAsia="Arial" w:hAnsi="Arial"/>
                <w:sz w:val="15"/>
                <w:szCs w:val="15"/>
                <w:color w:val="074A75"/>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gridSpan w:val="2"/>
          </w:tcPr>
          <w:p>
            <w:pPr>
              <w:jc w:val="right"/>
              <w:ind w:right="150"/>
              <w:spacing w:after="0"/>
              <w:rPr>
                <w:sz w:val="20"/>
                <w:szCs w:val="20"/>
                <w:color w:val="auto"/>
              </w:rPr>
            </w:pPr>
            <w:r>
              <w:rPr>
                <w:rFonts w:ascii="Arial" w:cs="Arial" w:eastAsia="Arial" w:hAnsi="Arial"/>
                <w:sz w:val="15"/>
                <w:szCs w:val="15"/>
                <w:color w:val="58585A"/>
              </w:rPr>
              <w:t>How performance determined pay in 2023</w:t>
            </w:r>
          </w:p>
        </w:tc>
        <w:tc>
          <w:tcPr>
            <w:tcW w:w="0" w:type="dxa"/>
            <w:vAlign w:val="bottom"/>
          </w:tcPr>
          <w:p>
            <w:pPr>
              <w:spacing w:after="0"/>
              <w:rPr>
                <w:sz w:val="1"/>
                <w:szCs w:val="1"/>
                <w:color w:val="auto"/>
              </w:rPr>
            </w:pPr>
          </w:p>
        </w:tc>
      </w:tr>
      <w:tr>
        <w:trPr>
          <w:trHeight w:val="60"/>
        </w:trPr>
        <w:tc>
          <w:tcPr>
            <w:tcW w:w="540" w:type="dxa"/>
            <w:vAlign w:val="bottom"/>
            <w:tcBorders>
              <w:bottom w:val="single" w:sz="8" w:color="E7E7E8"/>
            </w:tcBorders>
            <w:shd w:val="clear" w:color="auto" w:fill="E7E7E8"/>
          </w:tcPr>
          <w:p>
            <w:pPr>
              <w:spacing w:after="0"/>
              <w:rPr>
                <w:sz w:val="5"/>
                <w:szCs w:val="5"/>
                <w:color w:val="auto"/>
              </w:rPr>
            </w:pPr>
          </w:p>
        </w:tc>
        <w:tc>
          <w:tcPr>
            <w:tcW w:w="100" w:type="dxa"/>
            <w:vAlign w:val="bottom"/>
            <w:tcBorders>
              <w:bottom w:val="single" w:sz="8" w:color="E7E7E8"/>
            </w:tcBorders>
            <w:shd w:val="clear" w:color="auto" w:fill="E7E7E8"/>
          </w:tcPr>
          <w:p>
            <w:pPr>
              <w:spacing w:after="0"/>
              <w:rPr>
                <w:sz w:val="5"/>
                <w:szCs w:val="5"/>
                <w:color w:val="auto"/>
              </w:rPr>
            </w:pPr>
          </w:p>
        </w:tc>
        <w:tc>
          <w:tcPr>
            <w:tcW w:w="240" w:type="dxa"/>
            <w:vAlign w:val="bottom"/>
            <w:tcBorders>
              <w:bottom w:val="single" w:sz="8" w:color="E7E7E8"/>
            </w:tcBorders>
            <w:shd w:val="clear" w:color="auto" w:fill="E7E7E8"/>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2240" w:type="dxa"/>
            <w:vAlign w:val="bottom"/>
            <w:tcBorders>
              <w:bottom w:val="single" w:sz="8" w:color="E7E7E8"/>
            </w:tcBorders>
          </w:tcPr>
          <w:p>
            <w:pPr>
              <w:spacing w:after="0"/>
              <w:rPr>
                <w:sz w:val="5"/>
                <w:szCs w:val="5"/>
                <w:color w:val="auto"/>
              </w:rPr>
            </w:pPr>
          </w:p>
        </w:tc>
        <w:tc>
          <w:tcPr>
            <w:tcW w:w="980" w:type="dxa"/>
            <w:vAlign w:val="bottom"/>
            <w:tcBorders>
              <w:bottom w:val="single" w:sz="8" w:color="E7E7E8"/>
              <w:right w:val="single" w:sz="8" w:color="E7E7E8"/>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540" w:type="dxa"/>
            <w:vAlign w:val="bottom"/>
            <w:tcBorders>
              <w:bottom w:val="single" w:sz="8" w:color="EEEFEF"/>
            </w:tcBorders>
          </w:tcPr>
          <w:p>
            <w:pPr>
              <w:spacing w:after="0"/>
              <w:rPr>
                <w:sz w:val="22"/>
                <w:szCs w:val="22"/>
                <w:color w:val="auto"/>
              </w:rPr>
            </w:pPr>
          </w:p>
        </w:tc>
        <w:tc>
          <w:tcPr>
            <w:tcW w:w="100" w:type="dxa"/>
            <w:vAlign w:val="bottom"/>
            <w:tcBorders>
              <w:bottom w:val="single" w:sz="8" w:color="EEEFEF"/>
            </w:tcBorders>
          </w:tcPr>
          <w:p>
            <w:pPr>
              <w:spacing w:after="0"/>
              <w:rPr>
                <w:sz w:val="22"/>
                <w:szCs w:val="22"/>
                <w:color w:val="auto"/>
              </w:rPr>
            </w:pPr>
          </w:p>
        </w:tc>
        <w:tc>
          <w:tcPr>
            <w:tcW w:w="240" w:type="dxa"/>
            <w:vAlign w:val="bottom"/>
            <w:tcBorders>
              <w:bottom w:val="single" w:sz="8" w:color="EEEFEF"/>
            </w:tcBorders>
          </w:tcPr>
          <w:p>
            <w:pPr>
              <w:spacing w:after="0"/>
              <w:rPr>
                <w:sz w:val="22"/>
                <w:szCs w:val="22"/>
                <w:color w:val="auto"/>
              </w:rPr>
            </w:pPr>
          </w:p>
        </w:tc>
        <w:tc>
          <w:tcPr>
            <w:tcW w:w="280" w:type="dxa"/>
            <w:vAlign w:val="bottom"/>
            <w:tcBorders>
              <w:bottom w:val="single" w:sz="8" w:color="EEEFEF"/>
            </w:tcBorders>
          </w:tcPr>
          <w:p>
            <w:pPr>
              <w:spacing w:after="0"/>
              <w:rPr>
                <w:sz w:val="22"/>
                <w:szCs w:val="22"/>
                <w:color w:val="auto"/>
              </w:rPr>
            </w:pPr>
          </w:p>
        </w:tc>
        <w:tc>
          <w:tcPr>
            <w:tcW w:w="2600" w:type="dxa"/>
            <w:vAlign w:val="bottom"/>
            <w:tcBorders>
              <w:bottom w:val="single" w:sz="8" w:color="EEEFEF"/>
            </w:tcBorders>
          </w:tcPr>
          <w:p>
            <w:pPr>
              <w:spacing w:after="0"/>
              <w:rPr>
                <w:sz w:val="22"/>
                <w:szCs w:val="22"/>
                <w:color w:val="auto"/>
              </w:rPr>
            </w:pPr>
          </w:p>
        </w:tc>
        <w:tc>
          <w:tcPr>
            <w:tcW w:w="280" w:type="dxa"/>
            <w:vAlign w:val="bottom"/>
            <w:tcBorders>
              <w:bottom w:val="single" w:sz="8" w:color="EEEFEF"/>
            </w:tcBorders>
          </w:tcPr>
          <w:p>
            <w:pPr>
              <w:spacing w:after="0"/>
              <w:rPr>
                <w:sz w:val="22"/>
                <w:szCs w:val="22"/>
                <w:color w:val="auto"/>
              </w:rPr>
            </w:pPr>
          </w:p>
        </w:tc>
        <w:tc>
          <w:tcPr>
            <w:tcW w:w="3700" w:type="dxa"/>
            <w:vAlign w:val="bottom"/>
            <w:tcBorders>
              <w:bottom w:val="single" w:sz="8" w:color="EEEFEF"/>
            </w:tcBorders>
          </w:tcPr>
          <w:p>
            <w:pPr>
              <w:spacing w:after="0"/>
              <w:rPr>
                <w:sz w:val="22"/>
                <w:szCs w:val="22"/>
                <w:color w:val="auto"/>
              </w:rPr>
            </w:pPr>
          </w:p>
        </w:tc>
        <w:tc>
          <w:tcPr>
            <w:tcW w:w="300" w:type="dxa"/>
            <w:vAlign w:val="bottom"/>
            <w:tcBorders>
              <w:bottom w:val="single" w:sz="8" w:color="EEEFEF"/>
            </w:tcBorders>
          </w:tcPr>
          <w:p>
            <w:pPr>
              <w:spacing w:after="0"/>
              <w:rPr>
                <w:sz w:val="22"/>
                <w:szCs w:val="22"/>
                <w:color w:val="auto"/>
              </w:rPr>
            </w:pPr>
          </w:p>
        </w:tc>
        <w:tc>
          <w:tcPr>
            <w:tcW w:w="2240" w:type="dxa"/>
            <w:vAlign w:val="bottom"/>
            <w:tcBorders>
              <w:bottom w:val="single" w:sz="8" w:color="EEEFEF"/>
            </w:tcBorders>
          </w:tcPr>
          <w:p>
            <w:pPr>
              <w:spacing w:after="0"/>
              <w:rPr>
                <w:sz w:val="22"/>
                <w:szCs w:val="22"/>
                <w:color w:val="auto"/>
              </w:rPr>
            </w:pPr>
          </w:p>
        </w:tc>
        <w:tc>
          <w:tcPr>
            <w:tcW w:w="980" w:type="dxa"/>
            <w:vAlign w:val="bottom"/>
            <w:tcBorders>
              <w:bottom w:val="single" w:sz="8" w:color="EEEFE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40" w:type="dxa"/>
            <w:vAlign w:val="bottom"/>
            <w:vMerge w:val="restart"/>
          </w:tcPr>
          <w:p>
            <w:pPr>
              <w:jc w:val="right"/>
              <w:spacing w:after="0"/>
              <w:rPr>
                <w:sz w:val="20"/>
                <w:szCs w:val="20"/>
                <w:color w:val="auto"/>
              </w:rPr>
            </w:pPr>
            <w:r>
              <w:rPr>
                <w:rFonts w:ascii="Arial" w:cs="Arial" w:eastAsia="Arial" w:hAnsi="Arial"/>
                <w:sz w:val="32"/>
                <w:szCs w:val="32"/>
                <w:color w:val="074A75"/>
              </w:rPr>
              <w:t>2</w:t>
            </w:r>
          </w:p>
        </w:tc>
        <w:tc>
          <w:tcPr>
            <w:tcW w:w="100" w:type="dxa"/>
            <w:vAlign w:val="bottom"/>
            <w:shd w:val="clear" w:color="auto" w:fill="EEEFEF"/>
          </w:tcPr>
          <w:p>
            <w:pPr>
              <w:spacing w:after="0"/>
              <w:rPr>
                <w:sz w:val="19"/>
                <w:szCs w:val="19"/>
                <w:color w:val="auto"/>
              </w:rPr>
            </w:pPr>
          </w:p>
        </w:tc>
        <w:tc>
          <w:tcPr>
            <w:tcW w:w="7400" w:type="dxa"/>
            <w:vAlign w:val="bottom"/>
            <w:tcBorders>
              <w:right w:val="single" w:sz="8" w:color="EEEFEF"/>
            </w:tcBorders>
            <w:gridSpan w:val="6"/>
            <w:vMerge w:val="restart"/>
            <w:shd w:val="clear" w:color="auto" w:fill="EEEFEF"/>
          </w:tcPr>
          <w:p>
            <w:pPr>
              <w:ind w:left="20"/>
              <w:spacing w:after="0"/>
              <w:rPr>
                <w:sz w:val="20"/>
                <w:szCs w:val="20"/>
                <w:color w:val="auto"/>
              </w:rPr>
            </w:pPr>
            <w:r>
              <w:rPr>
                <w:rFonts w:ascii="Arial" w:cs="Arial" w:eastAsia="Arial" w:hAnsi="Arial"/>
                <w:sz w:val="20"/>
                <w:szCs w:val="20"/>
                <w:b w:val="1"/>
                <w:bCs w:val="1"/>
                <w:color w:val="auto"/>
              </w:rPr>
              <w:t>HOW WE PERFORMED AGAINST OUR BUSINESS STRATEGY</w:t>
            </w:r>
          </w:p>
        </w:tc>
        <w:tc>
          <w:tcPr>
            <w:tcW w:w="2240" w:type="dxa"/>
            <w:vAlign w:val="bottom"/>
            <w:shd w:val="clear" w:color="auto" w:fill="EEEFEF"/>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074A75"/>
              </w:rPr>
              <w:t>Pages 50</w:t>
            </w:r>
          </w:p>
        </w:tc>
        <w:tc>
          <w:tcPr>
            <w:tcW w:w="0" w:type="dxa"/>
            <w:vAlign w:val="bottom"/>
          </w:tcPr>
          <w:p>
            <w:pPr>
              <w:spacing w:after="0"/>
              <w:rPr>
                <w:sz w:val="1"/>
                <w:szCs w:val="1"/>
                <w:color w:val="auto"/>
              </w:rPr>
            </w:pPr>
          </w:p>
        </w:tc>
      </w:tr>
      <w:tr>
        <w:trPr>
          <w:trHeight w:val="262"/>
        </w:trPr>
        <w:tc>
          <w:tcPr>
            <w:tcW w:w="540" w:type="dxa"/>
            <w:vAlign w:val="bottom"/>
            <w:vMerge w:val="continue"/>
          </w:tcPr>
          <w:p>
            <w:pPr>
              <w:spacing w:after="0"/>
              <w:rPr>
                <w:sz w:val="22"/>
                <w:szCs w:val="22"/>
                <w:color w:val="auto"/>
              </w:rPr>
            </w:pPr>
          </w:p>
        </w:tc>
        <w:tc>
          <w:tcPr>
            <w:tcW w:w="100" w:type="dxa"/>
            <w:vAlign w:val="bottom"/>
            <w:shd w:val="clear" w:color="auto" w:fill="EEEFEF"/>
          </w:tcPr>
          <w:p>
            <w:pPr>
              <w:spacing w:after="0"/>
              <w:rPr>
                <w:sz w:val="22"/>
                <w:szCs w:val="22"/>
                <w:color w:val="auto"/>
              </w:rPr>
            </w:pPr>
          </w:p>
        </w:tc>
        <w:tc>
          <w:tcPr>
            <w:tcW w:w="7400" w:type="dxa"/>
            <w:vAlign w:val="bottom"/>
            <w:tcBorders>
              <w:right w:val="single" w:sz="8" w:color="EEEFEF"/>
            </w:tcBorders>
            <w:gridSpan w:val="6"/>
            <w:vMerge w:val="continue"/>
            <w:shd w:val="clear" w:color="auto" w:fill="EEEFEF"/>
          </w:tcPr>
          <w:p>
            <w:pPr>
              <w:spacing w:after="0"/>
              <w:rPr>
                <w:sz w:val="22"/>
                <w:szCs w:val="22"/>
                <w:color w:val="auto"/>
              </w:rPr>
            </w:pPr>
          </w:p>
        </w:tc>
        <w:tc>
          <w:tcPr>
            <w:tcW w:w="2240" w:type="dxa"/>
            <w:vAlign w:val="bottom"/>
            <w:shd w:val="clear" w:color="auto" w:fill="EEEFEF"/>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074A75"/>
              </w:rPr>
              <w:t>- 54</w:t>
            </w: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100" w:type="dxa"/>
            <w:vAlign w:val="bottom"/>
            <w:shd w:val="clear" w:color="auto" w:fill="EEEFEF"/>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67462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674624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FFFFFF"/>
        </w:rPr>
        <w:t>2023 Business Results</w:t>
      </w:r>
    </w:p>
    <w:p>
      <w:pPr>
        <w:spacing w:after="0" w:line="60" w:lineRule="exact"/>
        <w:rPr>
          <w:sz w:val="20"/>
          <w:szCs w:val="20"/>
          <w:color w:val="auto"/>
        </w:rPr>
      </w:pPr>
    </w:p>
    <w:p>
      <w:pPr>
        <w:ind w:left="120" w:right="300"/>
        <w:spacing w:after="0" w:line="257" w:lineRule="auto"/>
        <w:rPr>
          <w:sz w:val="20"/>
          <w:szCs w:val="20"/>
          <w:color w:val="auto"/>
        </w:rPr>
      </w:pPr>
      <w:r>
        <w:rPr>
          <w:rFonts w:ascii="Arial" w:cs="Arial" w:eastAsia="Arial" w:hAnsi="Arial"/>
          <w:sz w:val="17"/>
          <w:szCs w:val="17"/>
          <w:color w:val="auto"/>
        </w:rPr>
        <w:t>In assessing OC members' performance in the context of the Firm's 2023 business results, the CMDC recognized the Firm's continued focus on serving our clients and customers around the world amid ongoing, growing geopolitical tensions, economic uncertainty, elevated inflation and higher rates, while investing in and executing on long-term strategic initiatives. The Firm:</w:t>
      </w:r>
    </w:p>
    <w:p>
      <w:pPr>
        <w:spacing w:after="0" w:line="1" w:lineRule="exact"/>
        <w:rPr>
          <w:sz w:val="20"/>
          <w:szCs w:val="20"/>
          <w:color w:val="auto"/>
        </w:rPr>
      </w:pPr>
    </w:p>
    <w:p>
      <w:pPr>
        <w:ind w:left="320" w:hanging="200"/>
        <w:spacing w:after="0"/>
        <w:tabs>
          <w:tab w:leader="none" w:pos="320" w:val="left"/>
        </w:tabs>
        <w:numPr>
          <w:ilvl w:val="0"/>
          <w:numId w:val="119"/>
        </w:numPr>
        <w:rPr>
          <w:rFonts w:ascii="Arial" w:cs="Arial" w:eastAsia="Arial" w:hAnsi="Arial"/>
          <w:sz w:val="18"/>
          <w:szCs w:val="18"/>
          <w:color w:val="074A75"/>
        </w:rPr>
      </w:pPr>
      <w:r>
        <w:rPr>
          <w:rFonts w:ascii="Arial" w:cs="Arial" w:eastAsia="Arial" w:hAnsi="Arial"/>
          <w:sz w:val="17"/>
          <w:szCs w:val="17"/>
          <w:color w:val="auto"/>
        </w:rPr>
        <w:t>Experienced growth across all of our market-leading lines of business</w:t>
      </w:r>
    </w:p>
    <w:p>
      <w:pPr>
        <w:spacing w:after="0" w:line="13" w:lineRule="exact"/>
        <w:rPr>
          <w:rFonts w:ascii="Arial" w:cs="Arial" w:eastAsia="Arial" w:hAnsi="Arial"/>
          <w:sz w:val="18"/>
          <w:szCs w:val="18"/>
          <w:color w:val="074A75"/>
        </w:rPr>
      </w:pPr>
    </w:p>
    <w:p>
      <w:pPr>
        <w:ind w:left="320" w:hanging="200"/>
        <w:spacing w:after="0"/>
        <w:tabs>
          <w:tab w:leader="none" w:pos="320" w:val="left"/>
        </w:tabs>
        <w:numPr>
          <w:ilvl w:val="0"/>
          <w:numId w:val="119"/>
        </w:numPr>
        <w:rPr>
          <w:rFonts w:ascii="Arial" w:cs="Arial" w:eastAsia="Arial" w:hAnsi="Arial"/>
          <w:sz w:val="18"/>
          <w:szCs w:val="18"/>
          <w:color w:val="074A75"/>
        </w:rPr>
      </w:pPr>
      <w:r>
        <w:rPr>
          <w:rFonts w:ascii="Arial" w:cs="Arial" w:eastAsia="Arial" w:hAnsi="Arial"/>
          <w:sz w:val="17"/>
          <w:szCs w:val="17"/>
          <w:color w:val="auto"/>
        </w:rPr>
        <w:t>Maintained a fortress balance sheet</w:t>
      </w:r>
    </w:p>
    <w:p>
      <w:pPr>
        <w:spacing w:after="0" w:line="9" w:lineRule="exact"/>
        <w:rPr>
          <w:rFonts w:ascii="Arial" w:cs="Arial" w:eastAsia="Arial" w:hAnsi="Arial"/>
          <w:sz w:val="18"/>
          <w:szCs w:val="18"/>
          <w:color w:val="074A75"/>
        </w:rPr>
      </w:pPr>
    </w:p>
    <w:p>
      <w:pPr>
        <w:ind w:left="320" w:hanging="200"/>
        <w:spacing w:after="0"/>
        <w:tabs>
          <w:tab w:leader="none" w:pos="320" w:val="left"/>
        </w:tabs>
        <w:numPr>
          <w:ilvl w:val="0"/>
          <w:numId w:val="119"/>
        </w:numPr>
        <w:rPr>
          <w:rFonts w:ascii="Arial" w:cs="Arial" w:eastAsia="Arial" w:hAnsi="Arial"/>
          <w:sz w:val="18"/>
          <w:szCs w:val="18"/>
          <w:color w:val="074A75"/>
        </w:rPr>
      </w:pPr>
      <w:r>
        <w:rPr>
          <w:rFonts w:ascii="Arial" w:cs="Arial" w:eastAsia="Arial" w:hAnsi="Arial"/>
          <w:sz w:val="17"/>
          <w:szCs w:val="17"/>
          <w:color w:val="auto"/>
        </w:rPr>
        <w:t>Achieved strong results - among other metrics, the CMDC considered that the Firm achieved:</w:t>
      </w:r>
    </w:p>
    <w:p>
      <w:pPr>
        <w:spacing w:after="0" w:line="21" w:lineRule="exact"/>
        <w:rPr>
          <w:rFonts w:ascii="Arial" w:cs="Arial" w:eastAsia="Arial" w:hAnsi="Arial"/>
          <w:sz w:val="18"/>
          <w:szCs w:val="18"/>
          <w:color w:val="074A75"/>
        </w:rPr>
      </w:pPr>
    </w:p>
    <w:p>
      <w:pPr>
        <w:ind w:left="500" w:hanging="185"/>
        <w:spacing w:after="0" w:line="208" w:lineRule="auto"/>
        <w:tabs>
          <w:tab w:leader="none" w:pos="500" w:val="left"/>
        </w:tabs>
        <w:numPr>
          <w:ilvl w:val="1"/>
          <w:numId w:val="119"/>
        </w:numPr>
        <w:rPr>
          <w:rFonts w:ascii="Arial" w:cs="Arial" w:eastAsia="Arial" w:hAnsi="Arial"/>
          <w:sz w:val="18"/>
          <w:szCs w:val="18"/>
          <w:color w:val="074A75"/>
        </w:rPr>
      </w:pPr>
      <w:r>
        <w:rPr>
          <w:rFonts w:ascii="Arial" w:cs="Arial" w:eastAsia="Arial" w:hAnsi="Arial"/>
          <w:sz w:val="17"/>
          <w:szCs w:val="17"/>
          <w:color w:val="auto"/>
        </w:rPr>
        <w:t>Managed revenue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of $162.4 billion — a record for the sixth consecutive year</w:t>
      </w:r>
    </w:p>
    <w:p>
      <w:pPr>
        <w:ind w:left="500" w:hanging="185"/>
        <w:spacing w:after="0" w:line="204" w:lineRule="auto"/>
        <w:tabs>
          <w:tab w:leader="none" w:pos="500" w:val="left"/>
        </w:tabs>
        <w:numPr>
          <w:ilvl w:val="1"/>
          <w:numId w:val="119"/>
        </w:numPr>
        <w:rPr>
          <w:rFonts w:ascii="Arial" w:cs="Arial" w:eastAsia="Arial" w:hAnsi="Arial"/>
          <w:sz w:val="18"/>
          <w:szCs w:val="18"/>
          <w:color w:val="074A75"/>
        </w:rPr>
      </w:pPr>
      <w:r>
        <w:rPr>
          <w:rFonts w:ascii="Arial" w:cs="Arial" w:eastAsia="Arial" w:hAnsi="Arial"/>
          <w:sz w:val="17"/>
          <w:szCs w:val="17"/>
          <w:color w:val="auto"/>
        </w:rPr>
        <w:t>Pre-tax income ex. LLR</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of $69.0 billion</w:t>
      </w:r>
    </w:p>
    <w:p>
      <w:pPr>
        <w:ind w:left="500" w:hanging="185"/>
        <w:spacing w:after="0"/>
        <w:tabs>
          <w:tab w:leader="none" w:pos="500" w:val="left"/>
        </w:tabs>
        <w:numPr>
          <w:ilvl w:val="1"/>
          <w:numId w:val="119"/>
        </w:numPr>
        <w:rPr>
          <w:rFonts w:ascii="Arial" w:cs="Arial" w:eastAsia="Arial" w:hAnsi="Arial"/>
          <w:sz w:val="18"/>
          <w:szCs w:val="18"/>
          <w:color w:val="074A75"/>
        </w:rPr>
      </w:pPr>
      <w:r>
        <w:rPr>
          <w:rFonts w:ascii="Arial" w:cs="Arial" w:eastAsia="Arial" w:hAnsi="Arial"/>
          <w:sz w:val="17"/>
          <w:szCs w:val="17"/>
          <w:color w:val="auto"/>
        </w:rPr>
        <w:t>Record net income of $49.6 billion, or $16.23 per share</w:t>
      </w:r>
    </w:p>
    <w:p>
      <w:pPr>
        <w:spacing w:after="0" w:line="5" w:lineRule="exact"/>
        <w:rPr>
          <w:rFonts w:ascii="Arial" w:cs="Arial" w:eastAsia="Arial" w:hAnsi="Arial"/>
          <w:sz w:val="18"/>
          <w:szCs w:val="18"/>
          <w:color w:val="074A75"/>
        </w:rPr>
      </w:pPr>
    </w:p>
    <w:p>
      <w:pPr>
        <w:ind w:left="500" w:hanging="185"/>
        <w:spacing w:after="0"/>
        <w:tabs>
          <w:tab w:leader="none" w:pos="500" w:val="left"/>
        </w:tabs>
        <w:numPr>
          <w:ilvl w:val="1"/>
          <w:numId w:val="119"/>
        </w:numPr>
        <w:rPr>
          <w:rFonts w:ascii="Arial" w:cs="Arial" w:eastAsia="Arial" w:hAnsi="Arial"/>
          <w:sz w:val="18"/>
          <w:szCs w:val="18"/>
          <w:color w:val="074A75"/>
        </w:rPr>
      </w:pPr>
      <w:r>
        <w:rPr>
          <w:rFonts w:ascii="Arial" w:cs="Arial" w:eastAsia="Arial" w:hAnsi="Arial"/>
          <w:sz w:val="17"/>
          <w:szCs w:val="17"/>
          <w:color w:val="auto"/>
        </w:rPr>
        <w:t>ROTCE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of 21%, which is among the highest of our peers</w:t>
      </w:r>
    </w:p>
    <w:p>
      <w:pPr>
        <w:spacing w:after="0" w:line="126" w:lineRule="exact"/>
        <w:rPr>
          <w:sz w:val="20"/>
          <w:szCs w:val="20"/>
          <w:color w:val="auto"/>
        </w:rPr>
      </w:pPr>
    </w:p>
    <w:tbl>
      <w:tblPr>
        <w:tblLayout w:type="fixed"/>
        <w:tblInd w:w="540" w:type="dxa"/>
        <w:tblCellMar>
          <w:top w:w="0" w:type="dxa"/>
          <w:left w:w="0" w:type="dxa"/>
          <w:bottom w:w="0" w:type="dxa"/>
          <w:right w:w="0" w:type="dxa"/>
        </w:tblCellMar>
      </w:tblPr>
      <w:tr>
        <w:trPr>
          <w:trHeight w:val="448"/>
        </w:trPr>
        <w:tc>
          <w:tcPr>
            <w:tcW w:w="2200" w:type="dxa"/>
            <w:vAlign w:val="bottom"/>
          </w:tcPr>
          <w:p>
            <w:pPr>
              <w:ind w:left="14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162.4</w:t>
            </w:r>
            <w:r>
              <w:rPr>
                <w:rFonts w:ascii="Arial" w:cs="Arial" w:eastAsia="Arial" w:hAnsi="Arial"/>
                <w:sz w:val="23"/>
                <w:szCs w:val="23"/>
                <w:color w:val="074A75"/>
              </w:rPr>
              <w:t>B</w:t>
            </w:r>
            <w:r>
              <w:rPr>
                <w:rFonts w:ascii="Arial" w:cs="Arial" w:eastAsia="Arial" w:hAnsi="Arial"/>
                <w:sz w:val="31"/>
                <w:szCs w:val="31"/>
                <w:color w:val="074A75"/>
              </w:rPr>
              <w:t xml:space="preserve"> </w:t>
            </w:r>
            <w:r>
              <w:rPr>
                <w:rFonts w:ascii="Arial" w:cs="Arial" w:eastAsia="Arial" w:hAnsi="Arial"/>
                <w:sz w:val="16"/>
                <w:szCs w:val="16"/>
                <w:i w:val="1"/>
                <w:iCs w:val="1"/>
                <w:color w:val="074A75"/>
              </w:rPr>
              <w:t>↑23%</w:t>
            </w:r>
          </w:p>
        </w:tc>
        <w:tc>
          <w:tcPr>
            <w:tcW w:w="220" w:type="dxa"/>
            <w:vAlign w:val="bottom"/>
            <w:shd w:val="clear" w:color="auto" w:fill="EEEFEF"/>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69.0</w:t>
            </w:r>
            <w:r>
              <w:rPr>
                <w:rFonts w:ascii="Arial" w:cs="Arial" w:eastAsia="Arial" w:hAnsi="Arial"/>
                <w:sz w:val="23"/>
                <w:szCs w:val="23"/>
                <w:color w:val="074A75"/>
                <w:w w:val="95"/>
              </w:rPr>
              <w:t>B</w:t>
            </w:r>
            <w:r>
              <w:rPr>
                <w:rFonts w:ascii="Arial" w:cs="Arial" w:eastAsia="Arial" w:hAnsi="Arial"/>
                <w:sz w:val="31"/>
                <w:szCs w:val="31"/>
                <w:color w:val="074A75"/>
                <w:w w:val="95"/>
              </w:rPr>
              <w:t xml:space="preserve"> </w:t>
            </w:r>
            <w:r>
              <w:rPr>
                <w:rFonts w:ascii="Arial" w:cs="Arial" w:eastAsia="Arial" w:hAnsi="Arial"/>
                <w:sz w:val="16"/>
                <w:szCs w:val="16"/>
                <w:i w:val="1"/>
                <w:iCs w:val="1"/>
                <w:color w:val="074A75"/>
                <w:w w:val="95"/>
              </w:rPr>
              <w:t>↑29%</w:t>
            </w:r>
          </w:p>
        </w:tc>
        <w:tc>
          <w:tcPr>
            <w:tcW w:w="200" w:type="dxa"/>
            <w:vAlign w:val="bottom"/>
            <w:shd w:val="clear" w:color="auto" w:fill="EEEFEF"/>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9"/>
                <w:szCs w:val="39"/>
                <w:color w:val="074A75"/>
                <w:w w:val="96"/>
                <w:vertAlign w:val="superscript"/>
              </w:rPr>
              <w:t>$</w:t>
            </w:r>
            <w:r>
              <w:rPr>
                <w:rFonts w:ascii="Arial" w:cs="Arial" w:eastAsia="Arial" w:hAnsi="Arial"/>
                <w:sz w:val="31"/>
                <w:szCs w:val="31"/>
                <w:color w:val="074A75"/>
                <w:w w:val="96"/>
              </w:rPr>
              <w:t>49.6</w:t>
            </w:r>
            <w:r>
              <w:rPr>
                <w:rFonts w:ascii="Arial" w:cs="Arial" w:eastAsia="Arial" w:hAnsi="Arial"/>
                <w:sz w:val="23"/>
                <w:szCs w:val="23"/>
                <w:color w:val="074A75"/>
                <w:w w:val="96"/>
              </w:rPr>
              <w:t>B</w:t>
            </w:r>
            <w:r>
              <w:rPr>
                <w:rFonts w:ascii="Arial" w:cs="Arial" w:eastAsia="Arial" w:hAnsi="Arial"/>
                <w:sz w:val="31"/>
                <w:szCs w:val="31"/>
                <w:color w:val="074A75"/>
                <w:w w:val="96"/>
              </w:rPr>
              <w:t xml:space="preserve"> </w:t>
            </w:r>
            <w:r>
              <w:rPr>
                <w:rFonts w:ascii="Arial" w:cs="Arial" w:eastAsia="Arial" w:hAnsi="Arial"/>
                <w:sz w:val="16"/>
                <w:szCs w:val="16"/>
                <w:i w:val="1"/>
                <w:iCs w:val="1"/>
                <w:color w:val="074A75"/>
                <w:w w:val="96"/>
              </w:rPr>
              <w:t>↑32%</w:t>
            </w:r>
          </w:p>
        </w:tc>
        <w:tc>
          <w:tcPr>
            <w:tcW w:w="200" w:type="dxa"/>
            <w:vAlign w:val="bottom"/>
            <w:shd w:val="clear" w:color="auto" w:fill="EEEFEF"/>
          </w:tcPr>
          <w:p>
            <w:pPr>
              <w:spacing w:after="0"/>
              <w:rPr>
                <w:sz w:val="24"/>
                <w:szCs w:val="24"/>
                <w:color w:val="auto"/>
              </w:rPr>
            </w:pPr>
          </w:p>
        </w:tc>
        <w:tc>
          <w:tcPr>
            <w:tcW w:w="1820" w:type="dxa"/>
            <w:vAlign w:val="bottom"/>
          </w:tcPr>
          <w:p>
            <w:pPr>
              <w:jc w:val="center"/>
              <w:ind w:left="545"/>
              <w:spacing w:after="0"/>
              <w:rPr>
                <w:sz w:val="20"/>
                <w:szCs w:val="20"/>
                <w:color w:val="auto"/>
              </w:rPr>
            </w:pPr>
            <w:r>
              <w:rPr>
                <w:rFonts w:ascii="Arial" w:cs="Arial" w:eastAsia="Arial" w:hAnsi="Arial"/>
                <w:sz w:val="31"/>
                <w:szCs w:val="31"/>
                <w:color w:val="074A75"/>
                <w:w w:val="94"/>
              </w:rPr>
              <w:t>21</w:t>
            </w:r>
            <w:r>
              <w:rPr>
                <w:rFonts w:ascii="Arial" w:cs="Arial" w:eastAsia="Arial" w:hAnsi="Arial"/>
                <w:sz w:val="39"/>
                <w:szCs w:val="39"/>
                <w:color w:val="074A75"/>
                <w:w w:val="94"/>
                <w:vertAlign w:val="superscript"/>
              </w:rPr>
              <w:t>%</w:t>
            </w:r>
            <w:r>
              <w:rPr>
                <w:rFonts w:ascii="Arial" w:cs="Arial" w:eastAsia="Arial" w:hAnsi="Arial"/>
                <w:sz w:val="31"/>
                <w:szCs w:val="31"/>
                <w:color w:val="074A75"/>
                <w:w w:val="94"/>
              </w:rPr>
              <w:t xml:space="preserve"> </w:t>
            </w:r>
            <w:r>
              <w:rPr>
                <w:rFonts w:ascii="Arial" w:cs="Arial" w:eastAsia="Arial" w:hAnsi="Arial"/>
                <w:sz w:val="16"/>
                <w:szCs w:val="16"/>
                <w:i w:val="1"/>
                <w:iCs w:val="1"/>
                <w:color w:val="074A75"/>
                <w:w w:val="94"/>
              </w:rPr>
              <w:t>↑3% pts</w:t>
            </w:r>
          </w:p>
        </w:tc>
      </w:tr>
      <w:tr>
        <w:trPr>
          <w:trHeight w:val="267"/>
        </w:trPr>
        <w:tc>
          <w:tcPr>
            <w:tcW w:w="2200" w:type="dxa"/>
            <w:vAlign w:val="bottom"/>
          </w:tcPr>
          <w:p>
            <w:pPr>
              <w:ind w:left="140"/>
              <w:spacing w:after="0"/>
              <w:rPr>
                <w:sz w:val="20"/>
                <w:szCs w:val="20"/>
                <w:color w:val="auto"/>
              </w:rPr>
            </w:pPr>
            <w:r>
              <w:rPr>
                <w:rFonts w:ascii="Arial" w:cs="Arial" w:eastAsia="Arial" w:hAnsi="Arial"/>
                <w:sz w:val="15"/>
                <w:szCs w:val="15"/>
                <w:color w:val="auto"/>
              </w:rPr>
              <w:t>RECORD REVENUE</w:t>
            </w:r>
            <w:r>
              <w:rPr>
                <w:rFonts w:ascii="Arial" w:cs="Arial" w:eastAsia="Arial" w:hAnsi="Arial"/>
                <w:sz w:val="19"/>
                <w:szCs w:val="19"/>
                <w:color w:val="auto"/>
                <w:vertAlign w:val="superscript"/>
              </w:rPr>
              <w:t>1</w:t>
            </w:r>
          </w:p>
        </w:tc>
        <w:tc>
          <w:tcPr>
            <w:tcW w:w="220" w:type="dxa"/>
            <w:vAlign w:val="bottom"/>
            <w:shd w:val="clear" w:color="auto" w:fill="EEEFEF"/>
          </w:tcPr>
          <w:p>
            <w:pPr>
              <w:spacing w:after="0"/>
              <w:rPr>
                <w:sz w:val="23"/>
                <w:szCs w:val="23"/>
                <w:color w:val="auto"/>
              </w:rPr>
            </w:pPr>
          </w:p>
        </w:tc>
        <w:tc>
          <w:tcPr>
            <w:tcW w:w="2660" w:type="dxa"/>
            <w:vAlign w:val="bottom"/>
          </w:tcPr>
          <w:p>
            <w:pPr>
              <w:jc w:val="center"/>
              <w:spacing w:after="0"/>
              <w:rPr>
                <w:sz w:val="20"/>
                <w:szCs w:val="20"/>
                <w:color w:val="auto"/>
              </w:rPr>
            </w:pPr>
            <w:r>
              <w:rPr>
                <w:rFonts w:ascii="Arial" w:cs="Arial" w:eastAsia="Arial" w:hAnsi="Arial"/>
                <w:sz w:val="15"/>
                <w:szCs w:val="15"/>
                <w:color w:val="auto"/>
                <w:w w:val="99"/>
              </w:rPr>
              <w:t>PRE-TAX INCOME EX. LLR</w:t>
            </w:r>
            <w:r>
              <w:rPr>
                <w:rFonts w:ascii="Arial" w:cs="Arial" w:eastAsia="Arial" w:hAnsi="Arial"/>
                <w:sz w:val="19"/>
                <w:szCs w:val="19"/>
                <w:color w:val="auto"/>
                <w:w w:val="99"/>
                <w:vertAlign w:val="superscript"/>
              </w:rPr>
              <w:t>1</w:t>
            </w:r>
          </w:p>
        </w:tc>
        <w:tc>
          <w:tcPr>
            <w:tcW w:w="200" w:type="dxa"/>
            <w:vAlign w:val="bottom"/>
            <w:shd w:val="clear" w:color="auto" w:fill="EEEFEF"/>
          </w:tcPr>
          <w:p>
            <w:pPr>
              <w:spacing w:after="0"/>
              <w:rPr>
                <w:sz w:val="23"/>
                <w:szCs w:val="23"/>
                <w:color w:val="auto"/>
              </w:rPr>
            </w:pPr>
          </w:p>
        </w:tc>
        <w:tc>
          <w:tcPr>
            <w:tcW w:w="2660" w:type="dxa"/>
            <w:vAlign w:val="bottom"/>
          </w:tcPr>
          <w:p>
            <w:pPr>
              <w:jc w:val="center"/>
              <w:spacing w:after="0"/>
              <w:rPr>
                <w:sz w:val="20"/>
                <w:szCs w:val="20"/>
                <w:color w:val="auto"/>
              </w:rPr>
            </w:pPr>
            <w:r>
              <w:rPr>
                <w:rFonts w:ascii="Arial" w:cs="Arial" w:eastAsia="Arial" w:hAnsi="Arial"/>
                <w:sz w:val="15"/>
                <w:szCs w:val="15"/>
                <w:color w:val="auto"/>
              </w:rPr>
              <w:t>RECORD NET INCOME</w:t>
            </w:r>
          </w:p>
        </w:tc>
        <w:tc>
          <w:tcPr>
            <w:tcW w:w="200" w:type="dxa"/>
            <w:vAlign w:val="bottom"/>
            <w:shd w:val="clear" w:color="auto" w:fill="EEEFEF"/>
          </w:tcPr>
          <w:p>
            <w:pPr>
              <w:spacing w:after="0"/>
              <w:rPr>
                <w:sz w:val="23"/>
                <w:szCs w:val="23"/>
                <w:color w:val="auto"/>
              </w:rPr>
            </w:pPr>
          </w:p>
        </w:tc>
        <w:tc>
          <w:tcPr>
            <w:tcW w:w="1820" w:type="dxa"/>
            <w:vAlign w:val="bottom"/>
          </w:tcPr>
          <w:p>
            <w:pPr>
              <w:jc w:val="center"/>
              <w:ind w:left="545"/>
              <w:spacing w:after="0"/>
              <w:rPr>
                <w:sz w:val="20"/>
                <w:szCs w:val="20"/>
                <w:color w:val="auto"/>
              </w:rPr>
            </w:pPr>
            <w:r>
              <w:rPr>
                <w:rFonts w:ascii="Arial" w:cs="Arial" w:eastAsia="Arial" w:hAnsi="Arial"/>
                <w:sz w:val="15"/>
                <w:szCs w:val="15"/>
                <w:color w:val="auto"/>
              </w:rPr>
              <w:t>ROTCE</w:t>
            </w:r>
            <w:r>
              <w:rPr>
                <w:rFonts w:ascii="Arial" w:cs="Arial" w:eastAsia="Arial" w:hAnsi="Arial"/>
                <w:sz w:val="19"/>
                <w:szCs w:val="19"/>
                <w:color w:val="auto"/>
                <w:vertAlign w:val="superscript"/>
              </w:rPr>
              <w:t>1</w:t>
            </w:r>
          </w:p>
        </w:tc>
      </w:tr>
      <w:tr>
        <w:trPr>
          <w:trHeight w:val="110"/>
        </w:trPr>
        <w:tc>
          <w:tcPr>
            <w:tcW w:w="2200" w:type="dxa"/>
            <w:vAlign w:val="bottom"/>
            <w:tcBorders>
              <w:bottom w:val="single" w:sz="8" w:color="EEEFEF"/>
            </w:tcBorders>
          </w:tcPr>
          <w:p>
            <w:pPr>
              <w:spacing w:after="0"/>
              <w:rPr>
                <w:sz w:val="9"/>
                <w:szCs w:val="9"/>
                <w:color w:val="auto"/>
              </w:rPr>
            </w:pPr>
          </w:p>
        </w:tc>
        <w:tc>
          <w:tcPr>
            <w:tcW w:w="220" w:type="dxa"/>
            <w:vAlign w:val="bottom"/>
            <w:tcBorders>
              <w:bottom w:val="single" w:sz="8" w:color="EEEFEF"/>
            </w:tcBorders>
            <w:shd w:val="clear" w:color="auto" w:fill="EEEFEF"/>
          </w:tcPr>
          <w:p>
            <w:pPr>
              <w:spacing w:after="0"/>
              <w:rPr>
                <w:sz w:val="9"/>
                <w:szCs w:val="9"/>
                <w:color w:val="auto"/>
              </w:rPr>
            </w:pPr>
          </w:p>
        </w:tc>
        <w:tc>
          <w:tcPr>
            <w:tcW w:w="2660" w:type="dxa"/>
            <w:vAlign w:val="bottom"/>
            <w:tcBorders>
              <w:bottom w:val="single" w:sz="8" w:color="EEEFEF"/>
            </w:tcBorders>
          </w:tcPr>
          <w:p>
            <w:pPr>
              <w:spacing w:after="0"/>
              <w:rPr>
                <w:sz w:val="9"/>
                <w:szCs w:val="9"/>
                <w:color w:val="auto"/>
              </w:rPr>
            </w:pPr>
          </w:p>
        </w:tc>
        <w:tc>
          <w:tcPr>
            <w:tcW w:w="200" w:type="dxa"/>
            <w:vAlign w:val="bottom"/>
            <w:tcBorders>
              <w:bottom w:val="single" w:sz="8" w:color="EEEFEF"/>
            </w:tcBorders>
            <w:shd w:val="clear" w:color="auto" w:fill="EEEFEF"/>
          </w:tcPr>
          <w:p>
            <w:pPr>
              <w:spacing w:after="0"/>
              <w:rPr>
                <w:sz w:val="9"/>
                <w:szCs w:val="9"/>
                <w:color w:val="auto"/>
              </w:rPr>
            </w:pPr>
          </w:p>
        </w:tc>
        <w:tc>
          <w:tcPr>
            <w:tcW w:w="2660" w:type="dxa"/>
            <w:vAlign w:val="bottom"/>
            <w:tcBorders>
              <w:bottom w:val="single" w:sz="8" w:color="EEEFEF"/>
            </w:tcBorders>
          </w:tcPr>
          <w:p>
            <w:pPr>
              <w:spacing w:after="0"/>
              <w:rPr>
                <w:sz w:val="9"/>
                <w:szCs w:val="9"/>
                <w:color w:val="auto"/>
              </w:rPr>
            </w:pPr>
          </w:p>
        </w:tc>
        <w:tc>
          <w:tcPr>
            <w:tcW w:w="200" w:type="dxa"/>
            <w:vAlign w:val="bottom"/>
            <w:tcBorders>
              <w:bottom w:val="single" w:sz="8" w:color="EEEFEF"/>
            </w:tcBorders>
            <w:shd w:val="clear" w:color="auto" w:fill="EEEFEF"/>
          </w:tcPr>
          <w:p>
            <w:pPr>
              <w:spacing w:after="0"/>
              <w:rPr>
                <w:sz w:val="9"/>
                <w:szCs w:val="9"/>
                <w:color w:val="auto"/>
              </w:rPr>
            </w:pPr>
          </w:p>
        </w:tc>
        <w:tc>
          <w:tcPr>
            <w:tcW w:w="1820" w:type="dxa"/>
            <w:vAlign w:val="bottom"/>
          </w:tcPr>
          <w:p>
            <w:pPr>
              <w:spacing w:after="0"/>
              <w:rPr>
                <w:sz w:val="9"/>
                <w:szCs w:val="9"/>
                <w:color w:val="auto"/>
              </w:rPr>
            </w:pPr>
          </w:p>
        </w:tc>
      </w:tr>
    </w:tbl>
    <w:p>
      <w:pPr>
        <w:spacing w:after="0" w:line="113" w:lineRule="exact"/>
        <w:rPr>
          <w:sz w:val="20"/>
          <w:szCs w:val="20"/>
          <w:color w:val="auto"/>
        </w:rPr>
      </w:pPr>
    </w:p>
    <w:p>
      <w:pPr>
        <w:jc w:val="both"/>
        <w:ind w:left="120" w:right="180"/>
        <w:spacing w:after="0" w:line="242" w:lineRule="auto"/>
        <w:rPr>
          <w:sz w:val="20"/>
          <w:szCs w:val="20"/>
          <w:color w:val="auto"/>
        </w:rPr>
      </w:pPr>
      <w:r>
        <w:rPr>
          <w:rFonts w:ascii="Arial" w:cs="Arial" w:eastAsia="Arial" w:hAnsi="Arial"/>
          <w:sz w:val="17"/>
          <w:szCs w:val="17"/>
          <w:color w:val="auto"/>
        </w:rPr>
        <w:t>In addition, the Firm successfully navigated and supported our clients and customers through the regional bank turmoil as well as completed the acquisition of First Republic Bank. Excluding the impact of First Republic Bank</w:t>
      </w:r>
      <w:r>
        <w:rPr>
          <w:rFonts w:ascii="Arial" w:cs="Arial" w:eastAsia="Arial" w:hAnsi="Arial"/>
          <w:sz w:val="22"/>
          <w:szCs w:val="22"/>
          <w:color w:val="auto"/>
          <w:vertAlign w:val="superscript"/>
        </w:rPr>
        <w:t>2</w:t>
      </w:r>
      <w:r>
        <w:rPr>
          <w:rFonts w:ascii="Arial" w:cs="Arial" w:eastAsia="Arial" w:hAnsi="Arial"/>
          <w:sz w:val="17"/>
          <w:szCs w:val="17"/>
          <w:color w:val="auto"/>
        </w:rPr>
        <w:t>, the Firm achieved managed revenue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of $154.2 billion (up 17%), pre-tax income ex. LLR</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of $63.2 billion (up 19%), net income of $45.4 billion (up 21%), or $14.84 per share, and ROTCE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of 19%.</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 summary of the qualitative factors the CMDC considered in assessing OC members' 2023 performance is provided below.</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Risk, Controls &amp; Conduct</w:t>
      </w:r>
    </w:p>
    <w:p>
      <w:pPr>
        <w:spacing w:after="0" w:line="60" w:lineRule="exact"/>
        <w:rPr>
          <w:sz w:val="20"/>
          <w:szCs w:val="20"/>
          <w:color w:val="auto"/>
        </w:rPr>
      </w:pPr>
    </w:p>
    <w:p>
      <w:pPr>
        <w:ind w:left="320" w:hanging="200"/>
        <w:spacing w:after="0"/>
        <w:tabs>
          <w:tab w:leader="none" w:pos="320" w:val="left"/>
        </w:tabs>
        <w:numPr>
          <w:ilvl w:val="0"/>
          <w:numId w:val="120"/>
        </w:numPr>
        <w:rPr>
          <w:rFonts w:ascii="Arial" w:cs="Arial" w:eastAsia="Arial" w:hAnsi="Arial"/>
          <w:sz w:val="17"/>
          <w:szCs w:val="17"/>
          <w:color w:val="074A75"/>
        </w:rPr>
      </w:pPr>
      <w:r>
        <w:rPr>
          <w:rFonts w:ascii="Arial" w:cs="Arial" w:eastAsia="Arial" w:hAnsi="Arial"/>
          <w:sz w:val="17"/>
          <w:szCs w:val="17"/>
          <w:color w:val="auto"/>
        </w:rPr>
        <w:t>Continued to focus on:</w:t>
      </w:r>
    </w:p>
    <w:p>
      <w:pPr>
        <w:spacing w:after="0" w:line="23" w:lineRule="exact"/>
        <w:rPr>
          <w:rFonts w:ascii="Arial" w:cs="Arial" w:eastAsia="Arial" w:hAnsi="Arial"/>
          <w:sz w:val="17"/>
          <w:szCs w:val="17"/>
          <w:color w:val="074A75"/>
        </w:rPr>
      </w:pPr>
    </w:p>
    <w:p>
      <w:pPr>
        <w:ind w:left="520" w:hanging="205"/>
        <w:spacing w:after="0"/>
        <w:tabs>
          <w:tab w:leader="none" w:pos="52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Maintaining a satisfactory risk and controls environment as well as strong risk discipline across the organization</w:t>
      </w:r>
    </w:p>
    <w:p>
      <w:pPr>
        <w:spacing w:after="0" w:line="7" w:lineRule="exact"/>
        <w:rPr>
          <w:rFonts w:ascii="Arial" w:cs="Arial" w:eastAsia="Arial" w:hAnsi="Arial"/>
          <w:sz w:val="17"/>
          <w:szCs w:val="17"/>
          <w:color w:val="auto"/>
        </w:rPr>
      </w:pPr>
    </w:p>
    <w:p>
      <w:pPr>
        <w:ind w:left="520" w:hanging="205"/>
        <w:spacing w:after="0"/>
        <w:tabs>
          <w:tab w:leader="none" w:pos="520" w:val="left"/>
        </w:tabs>
        <w:numPr>
          <w:ilvl w:val="1"/>
          <w:numId w:val="120"/>
        </w:numPr>
        <w:rPr>
          <w:rFonts w:ascii="Arial" w:cs="Arial" w:eastAsia="Arial" w:hAnsi="Arial"/>
          <w:sz w:val="17"/>
          <w:szCs w:val="17"/>
          <w:color w:val="074A75"/>
        </w:rPr>
      </w:pPr>
      <w:r>
        <w:rPr>
          <w:rFonts w:ascii="Arial" w:cs="Arial" w:eastAsia="Arial" w:hAnsi="Arial"/>
          <w:sz w:val="17"/>
          <w:szCs w:val="17"/>
          <w:color w:val="auto"/>
        </w:rPr>
        <w:t>Investing significantly in our cyber defense capabilities and strengthening partnerships to enhance our defenses</w:t>
      </w:r>
    </w:p>
    <w:p>
      <w:pPr>
        <w:spacing w:after="0" w:line="7" w:lineRule="exact"/>
        <w:rPr>
          <w:rFonts w:ascii="Arial" w:cs="Arial" w:eastAsia="Arial" w:hAnsi="Arial"/>
          <w:sz w:val="17"/>
          <w:szCs w:val="17"/>
          <w:color w:val="074A75"/>
        </w:rPr>
      </w:pPr>
    </w:p>
    <w:p>
      <w:pPr>
        <w:ind w:left="500" w:right="700" w:hanging="185"/>
        <w:spacing w:after="0" w:line="252" w:lineRule="auto"/>
        <w:tabs>
          <w:tab w:leader="none" w:pos="501" w:val="left"/>
        </w:tabs>
        <w:numPr>
          <w:ilvl w:val="1"/>
          <w:numId w:val="120"/>
        </w:numPr>
        <w:rPr>
          <w:rFonts w:ascii="Arial" w:cs="Arial" w:eastAsia="Arial" w:hAnsi="Arial"/>
          <w:sz w:val="17"/>
          <w:szCs w:val="17"/>
          <w:color w:val="auto"/>
        </w:rPr>
      </w:pPr>
      <w:r>
        <w:rPr>
          <w:rFonts w:ascii="Arial" w:cs="Arial" w:eastAsia="Arial" w:hAnsi="Arial"/>
          <w:sz w:val="17"/>
          <w:szCs w:val="17"/>
          <w:color w:val="auto"/>
        </w:rPr>
        <w:t>Conducting deep dives into top risk areas, including those associated with geopolitical tensions, sustained inflation and regional bank failures</w:t>
      </w:r>
    </w:p>
    <w:p>
      <w:pPr>
        <w:ind w:left="520" w:hanging="205"/>
        <w:spacing w:after="0"/>
        <w:tabs>
          <w:tab w:leader="none" w:pos="520" w:val="left"/>
        </w:tabs>
        <w:numPr>
          <w:ilvl w:val="1"/>
          <w:numId w:val="120"/>
        </w:numPr>
        <w:rPr>
          <w:rFonts w:ascii="Arial" w:cs="Arial" w:eastAsia="Arial" w:hAnsi="Arial"/>
          <w:sz w:val="17"/>
          <w:szCs w:val="17"/>
          <w:color w:val="074A75"/>
        </w:rPr>
      </w:pPr>
      <w:r>
        <w:rPr>
          <w:rFonts w:ascii="Arial" w:cs="Arial" w:eastAsia="Arial" w:hAnsi="Arial"/>
          <w:sz w:val="17"/>
          <w:szCs w:val="17"/>
          <w:color w:val="auto"/>
        </w:rPr>
        <w:t>Setting the highest standards of leadership and expectations to drive the Firm’s culture, consistent with our Business Principles</w:t>
      </w:r>
    </w:p>
    <w:p>
      <w:pPr>
        <w:spacing w:after="0" w:line="16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Client/Customer/Stakeholder</w:t>
      </w:r>
    </w:p>
    <w:p>
      <w:pPr>
        <w:spacing w:after="0" w:line="63" w:lineRule="exact"/>
        <w:rPr>
          <w:sz w:val="20"/>
          <w:szCs w:val="20"/>
          <w:color w:val="auto"/>
        </w:rPr>
      </w:pPr>
    </w:p>
    <w:p>
      <w:pPr>
        <w:ind w:left="320" w:hanging="200"/>
        <w:spacing w:after="0"/>
        <w:tabs>
          <w:tab w:leader="none" w:pos="320" w:val="left"/>
        </w:tabs>
        <w:numPr>
          <w:ilvl w:val="0"/>
          <w:numId w:val="121"/>
        </w:numPr>
        <w:rPr>
          <w:rFonts w:ascii="Arial" w:cs="Arial" w:eastAsia="Arial" w:hAnsi="Arial"/>
          <w:sz w:val="17"/>
          <w:szCs w:val="17"/>
          <w:color w:val="074A75"/>
        </w:rPr>
      </w:pPr>
      <w:r>
        <w:rPr>
          <w:rFonts w:ascii="Arial" w:cs="Arial" w:eastAsia="Arial" w:hAnsi="Arial"/>
          <w:sz w:val="18"/>
          <w:szCs w:val="18"/>
          <w:color w:val="auto"/>
        </w:rPr>
        <w:t>Continued building products and services that serve the needs of our clients and customers</w:t>
      </w:r>
    </w:p>
    <w:p>
      <w:pPr>
        <w:spacing w:after="0" w:line="31" w:lineRule="exact"/>
        <w:rPr>
          <w:rFonts w:ascii="Arial" w:cs="Arial" w:eastAsia="Arial" w:hAnsi="Arial"/>
          <w:sz w:val="17"/>
          <w:szCs w:val="17"/>
          <w:color w:val="074A75"/>
        </w:rPr>
      </w:pPr>
    </w:p>
    <w:p>
      <w:pPr>
        <w:ind w:left="320" w:right="400" w:hanging="200"/>
        <w:spacing w:after="0" w:line="236" w:lineRule="auto"/>
        <w:tabs>
          <w:tab w:leader="none" w:pos="320" w:val="left"/>
        </w:tabs>
        <w:numPr>
          <w:ilvl w:val="0"/>
          <w:numId w:val="121"/>
        </w:numPr>
        <w:rPr>
          <w:rFonts w:ascii="Arial" w:cs="Arial" w:eastAsia="Arial" w:hAnsi="Arial"/>
          <w:sz w:val="17"/>
          <w:szCs w:val="17"/>
          <w:color w:val="074A75"/>
        </w:rPr>
      </w:pPr>
      <w:r>
        <w:rPr>
          <w:rFonts w:ascii="Arial" w:cs="Arial" w:eastAsia="Arial" w:hAnsi="Arial"/>
          <w:sz w:val="18"/>
          <w:szCs w:val="18"/>
          <w:color w:val="auto"/>
        </w:rPr>
        <w:t>U</w:t>
      </w:r>
      <w:r>
        <w:rPr>
          <w:rFonts w:ascii="Arial" w:cs="Arial" w:eastAsia="Arial" w:hAnsi="Arial"/>
          <w:sz w:val="17"/>
          <w:szCs w:val="17"/>
          <w:color w:val="auto"/>
        </w:rPr>
        <w:t>plifted our communities to help build a sustainable and inclusive global economy, including through financing and facilitating $675 billion of</w:t>
      </w:r>
      <w:r>
        <w:rPr>
          <w:rFonts w:ascii="Arial" w:cs="Arial" w:eastAsia="Arial" w:hAnsi="Arial"/>
          <w:sz w:val="18"/>
          <w:szCs w:val="18"/>
          <w:color w:val="auto"/>
        </w:rPr>
        <w:t xml:space="preserve"> </w:t>
      </w:r>
      <w:r>
        <w:rPr>
          <w:rFonts w:ascii="Arial" w:cs="Arial" w:eastAsia="Arial" w:hAnsi="Arial"/>
          <w:sz w:val="17"/>
          <w:szCs w:val="17"/>
          <w:color w:val="auto"/>
        </w:rPr>
        <w:t>our 2030 Sustainable Development Target of $2.5 trillion</w:t>
      </w:r>
    </w:p>
    <w:p>
      <w:pPr>
        <w:spacing w:after="0" w:line="1" w:lineRule="exact"/>
        <w:rPr>
          <w:rFonts w:ascii="Arial" w:cs="Arial" w:eastAsia="Arial" w:hAnsi="Arial"/>
          <w:sz w:val="17"/>
          <w:szCs w:val="17"/>
          <w:color w:val="074A75"/>
        </w:rPr>
      </w:pPr>
    </w:p>
    <w:p>
      <w:pPr>
        <w:ind w:left="320" w:right="500" w:hanging="200"/>
        <w:spacing w:after="0" w:line="252" w:lineRule="auto"/>
        <w:tabs>
          <w:tab w:leader="none" w:pos="320" w:val="left"/>
        </w:tabs>
        <w:numPr>
          <w:ilvl w:val="0"/>
          <w:numId w:val="121"/>
        </w:numPr>
        <w:rPr>
          <w:rFonts w:ascii="Arial" w:cs="Arial" w:eastAsia="Arial" w:hAnsi="Arial"/>
          <w:sz w:val="17"/>
          <w:szCs w:val="17"/>
          <w:color w:val="074A75"/>
        </w:rPr>
      </w:pPr>
      <w:r>
        <w:rPr>
          <w:rFonts w:ascii="Arial" w:cs="Arial" w:eastAsia="Arial" w:hAnsi="Arial"/>
          <w:sz w:val="17"/>
          <w:szCs w:val="17"/>
          <w:color w:val="auto"/>
        </w:rPr>
        <w:t>Drove inclusive economic growth for our employees, customers, clients and communities — reporting nearly $31 billion of progress toward objectives identified in our 2025 Racial Equity Commitment of $30 billion</w:t>
      </w:r>
    </w:p>
    <w:p>
      <w:pPr>
        <w:ind w:left="320" w:hanging="200"/>
        <w:spacing w:after="0"/>
        <w:tabs>
          <w:tab w:leader="none" w:pos="320" w:val="left"/>
        </w:tabs>
        <w:numPr>
          <w:ilvl w:val="0"/>
          <w:numId w:val="121"/>
        </w:numPr>
        <w:rPr>
          <w:rFonts w:ascii="Arial" w:cs="Arial" w:eastAsia="Arial" w:hAnsi="Arial"/>
          <w:sz w:val="17"/>
          <w:szCs w:val="17"/>
          <w:color w:val="074A75"/>
        </w:rPr>
      </w:pPr>
      <w:r>
        <w:rPr>
          <w:rFonts w:ascii="Arial" w:cs="Arial" w:eastAsia="Arial" w:hAnsi="Arial"/>
          <w:sz w:val="18"/>
          <w:szCs w:val="18"/>
          <w:color w:val="auto"/>
        </w:rPr>
        <w:t>Examples of external recognition</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we received across our leading franchises in 2023 include:</w:t>
      </w:r>
    </w:p>
    <w:p>
      <w:pPr>
        <w:spacing w:after="0" w:line="58" w:lineRule="exact"/>
        <w:rPr>
          <w:sz w:val="20"/>
          <w:szCs w:val="20"/>
          <w:color w:val="auto"/>
        </w:rPr>
      </w:pPr>
    </w:p>
    <w:tbl>
      <w:tblPr>
        <w:tblLayout w:type="fixed"/>
        <w:tblInd w:w="80" w:type="dxa"/>
        <w:tblCellMar>
          <w:top w:w="0" w:type="dxa"/>
          <w:left w:w="0" w:type="dxa"/>
          <w:bottom w:w="0" w:type="dxa"/>
          <w:right w:w="0" w:type="dxa"/>
        </w:tblCellMar>
      </w:tblPr>
      <w:tr>
        <w:trPr>
          <w:trHeight w:val="414"/>
        </w:trPr>
        <w:tc>
          <w:tcPr>
            <w:tcW w:w="2660" w:type="dxa"/>
            <w:vAlign w:val="bottom"/>
          </w:tcPr>
          <w:p>
            <w:pPr>
              <w:jc w:val="center"/>
              <w:spacing w:after="0"/>
              <w:rPr>
                <w:sz w:val="20"/>
                <w:szCs w:val="20"/>
                <w:color w:val="auto"/>
              </w:rPr>
            </w:pPr>
            <w:r>
              <w:rPr>
                <w:rFonts w:ascii="Arial" w:cs="Arial" w:eastAsia="Arial" w:hAnsi="Arial"/>
                <w:sz w:val="31"/>
                <w:szCs w:val="31"/>
                <w:color w:val="074A75"/>
                <w:w w:val="97"/>
              </w:rPr>
              <w:t>CCB</w:t>
            </w:r>
          </w:p>
        </w:tc>
        <w:tc>
          <w:tcPr>
            <w:tcW w:w="220" w:type="dxa"/>
            <w:vAlign w:val="bottom"/>
            <w:shd w:val="clear" w:color="auto" w:fill="EEEFEF"/>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1"/>
                <w:szCs w:val="31"/>
                <w:color w:val="074A75"/>
              </w:rPr>
              <w:t>CIB</w:t>
            </w:r>
          </w:p>
        </w:tc>
        <w:tc>
          <w:tcPr>
            <w:tcW w:w="200" w:type="dxa"/>
            <w:vAlign w:val="bottom"/>
            <w:shd w:val="clear" w:color="auto" w:fill="EEEFEF"/>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1"/>
                <w:szCs w:val="31"/>
                <w:color w:val="074A75"/>
                <w:w w:val="97"/>
              </w:rPr>
              <w:t>CB</w:t>
            </w:r>
          </w:p>
        </w:tc>
        <w:tc>
          <w:tcPr>
            <w:tcW w:w="200" w:type="dxa"/>
            <w:vAlign w:val="bottom"/>
            <w:shd w:val="clear" w:color="auto" w:fill="EEEFEF"/>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31"/>
                <w:szCs w:val="31"/>
                <w:color w:val="074A75"/>
                <w:w w:val="97"/>
              </w:rPr>
              <w:t>AWM</w:t>
            </w:r>
          </w:p>
        </w:tc>
      </w:tr>
      <w:tr>
        <w:trPr>
          <w:trHeight w:val="216"/>
        </w:trPr>
        <w:tc>
          <w:tcPr>
            <w:tcW w:w="2660" w:type="dxa"/>
            <w:vAlign w:val="bottom"/>
          </w:tcPr>
          <w:p>
            <w:pPr>
              <w:jc w:val="center"/>
              <w:spacing w:after="0"/>
              <w:rPr>
                <w:sz w:val="20"/>
                <w:szCs w:val="20"/>
                <w:color w:val="auto"/>
              </w:rPr>
            </w:pPr>
            <w:r>
              <w:rPr>
                <w:rFonts w:ascii="Arial" w:cs="Arial" w:eastAsia="Arial" w:hAnsi="Arial"/>
                <w:sz w:val="18"/>
                <w:szCs w:val="18"/>
                <w:color w:val="074A75"/>
              </w:rPr>
              <w:t>#1 U.S. Retail Deposit Market</w:t>
            </w:r>
          </w:p>
        </w:tc>
        <w:tc>
          <w:tcPr>
            <w:tcW w:w="220" w:type="dxa"/>
            <w:vAlign w:val="bottom"/>
            <w:shd w:val="clear" w:color="auto" w:fill="EEEFEF"/>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074A75"/>
                <w:w w:val="99"/>
              </w:rPr>
              <w:t>#1 Total Markets and Global IB</w:t>
            </w:r>
          </w:p>
        </w:tc>
        <w:tc>
          <w:tcPr>
            <w:tcW w:w="200" w:type="dxa"/>
            <w:vAlign w:val="bottom"/>
            <w:shd w:val="clear" w:color="auto" w:fill="EEEFEF"/>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074A75"/>
              </w:rPr>
              <w:t>#1 multifamily lender</w:t>
            </w:r>
          </w:p>
        </w:tc>
        <w:tc>
          <w:tcPr>
            <w:tcW w:w="200" w:type="dxa"/>
            <w:vAlign w:val="bottom"/>
            <w:shd w:val="clear" w:color="auto" w:fill="EEEFEF"/>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074A75"/>
                <w:w w:val="99"/>
              </w:rPr>
              <w:t>#1 Total Client Asset Flows</w:t>
            </w:r>
          </w:p>
        </w:tc>
      </w:tr>
      <w:tr>
        <w:trPr>
          <w:trHeight w:val="239"/>
        </w:trPr>
        <w:tc>
          <w:tcPr>
            <w:tcW w:w="2660" w:type="dxa"/>
            <w:vAlign w:val="bottom"/>
          </w:tcPr>
          <w:p>
            <w:pPr>
              <w:jc w:val="center"/>
              <w:spacing w:after="0"/>
              <w:rPr>
                <w:sz w:val="20"/>
                <w:szCs w:val="20"/>
                <w:color w:val="auto"/>
              </w:rPr>
            </w:pPr>
            <w:r>
              <w:rPr>
                <w:rFonts w:ascii="Arial" w:cs="Arial" w:eastAsia="Arial" w:hAnsi="Arial"/>
                <w:sz w:val="18"/>
                <w:szCs w:val="18"/>
                <w:color w:val="074A75"/>
                <w:w w:val="99"/>
              </w:rPr>
              <w:t>Share</w:t>
            </w:r>
          </w:p>
        </w:tc>
        <w:tc>
          <w:tcPr>
            <w:tcW w:w="220" w:type="dxa"/>
            <w:vAlign w:val="bottom"/>
            <w:shd w:val="clear" w:color="auto" w:fill="EEEFEF"/>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074A75"/>
                <w:w w:val="99"/>
              </w:rPr>
              <w:t>fees</w:t>
            </w:r>
          </w:p>
        </w:tc>
        <w:tc>
          <w:tcPr>
            <w:tcW w:w="200" w:type="dxa"/>
            <w:vAlign w:val="bottom"/>
            <w:shd w:val="clear" w:color="auto" w:fill="EEEFEF"/>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shd w:val="clear" w:color="auto" w:fill="EEEFEF"/>
          </w:tcPr>
          <w:p>
            <w:pPr>
              <w:spacing w:after="0"/>
              <w:rPr>
                <w:sz w:val="20"/>
                <w:szCs w:val="20"/>
                <w:color w:val="auto"/>
              </w:rPr>
            </w:pPr>
          </w:p>
        </w:tc>
        <w:tc>
          <w:tcPr>
            <w:tcW w:w="2460" w:type="dxa"/>
            <w:vAlign w:val="bottom"/>
          </w:tcPr>
          <w:p>
            <w:pPr>
              <w:spacing w:after="0"/>
              <w:rPr>
                <w:sz w:val="20"/>
                <w:szCs w:val="20"/>
                <w:color w:val="auto"/>
              </w:rPr>
            </w:pPr>
          </w:p>
        </w:tc>
      </w:tr>
      <w:tr>
        <w:trPr>
          <w:trHeight w:val="118"/>
        </w:trPr>
        <w:tc>
          <w:tcPr>
            <w:tcW w:w="2660" w:type="dxa"/>
            <w:vAlign w:val="bottom"/>
          </w:tcPr>
          <w:p>
            <w:pPr>
              <w:spacing w:after="0"/>
              <w:rPr>
                <w:sz w:val="10"/>
                <w:szCs w:val="10"/>
                <w:color w:val="auto"/>
              </w:rPr>
            </w:pPr>
          </w:p>
        </w:tc>
        <w:tc>
          <w:tcPr>
            <w:tcW w:w="220" w:type="dxa"/>
            <w:vAlign w:val="bottom"/>
            <w:shd w:val="clear" w:color="auto" w:fill="EEEFEF"/>
          </w:tcPr>
          <w:p>
            <w:pPr>
              <w:spacing w:after="0"/>
              <w:rPr>
                <w:sz w:val="10"/>
                <w:szCs w:val="10"/>
                <w:color w:val="auto"/>
              </w:rPr>
            </w:pPr>
          </w:p>
        </w:tc>
        <w:tc>
          <w:tcPr>
            <w:tcW w:w="2660" w:type="dxa"/>
            <w:vAlign w:val="bottom"/>
          </w:tcPr>
          <w:p>
            <w:pPr>
              <w:spacing w:after="0"/>
              <w:rPr>
                <w:sz w:val="10"/>
                <w:szCs w:val="10"/>
                <w:color w:val="auto"/>
              </w:rPr>
            </w:pPr>
          </w:p>
        </w:tc>
        <w:tc>
          <w:tcPr>
            <w:tcW w:w="200" w:type="dxa"/>
            <w:vAlign w:val="bottom"/>
            <w:shd w:val="clear" w:color="auto" w:fill="EEEFEF"/>
          </w:tcPr>
          <w:p>
            <w:pPr>
              <w:spacing w:after="0"/>
              <w:rPr>
                <w:sz w:val="10"/>
                <w:szCs w:val="10"/>
                <w:color w:val="auto"/>
              </w:rPr>
            </w:pPr>
          </w:p>
        </w:tc>
        <w:tc>
          <w:tcPr>
            <w:tcW w:w="2660" w:type="dxa"/>
            <w:vAlign w:val="bottom"/>
          </w:tcPr>
          <w:p>
            <w:pPr>
              <w:spacing w:after="0"/>
              <w:rPr>
                <w:sz w:val="10"/>
                <w:szCs w:val="10"/>
                <w:color w:val="auto"/>
              </w:rPr>
            </w:pPr>
          </w:p>
        </w:tc>
        <w:tc>
          <w:tcPr>
            <w:tcW w:w="200" w:type="dxa"/>
            <w:vAlign w:val="bottom"/>
            <w:shd w:val="clear" w:color="auto" w:fill="EEEFEF"/>
          </w:tcPr>
          <w:p>
            <w:pPr>
              <w:spacing w:after="0"/>
              <w:rPr>
                <w:sz w:val="10"/>
                <w:szCs w:val="10"/>
                <w:color w:val="auto"/>
              </w:rPr>
            </w:pPr>
          </w:p>
        </w:tc>
        <w:tc>
          <w:tcPr>
            <w:tcW w:w="2460" w:type="dxa"/>
            <w:vAlign w:val="bottom"/>
          </w:tcPr>
          <w:p>
            <w:pPr>
              <w:spacing w:after="0"/>
              <w:rPr>
                <w:sz w:val="10"/>
                <w:szCs w:val="10"/>
                <w:color w:val="auto"/>
              </w:rPr>
            </w:pPr>
          </w:p>
        </w:tc>
      </w:tr>
      <w:tr>
        <w:trPr>
          <w:trHeight w:val="108"/>
        </w:trPr>
        <w:tc>
          <w:tcPr>
            <w:tcW w:w="2660" w:type="dxa"/>
            <w:vAlign w:val="bottom"/>
            <w:shd w:val="clear" w:color="auto" w:fill="EEEFEF"/>
          </w:tcPr>
          <w:p>
            <w:pPr>
              <w:spacing w:after="0"/>
              <w:rPr>
                <w:sz w:val="9"/>
                <w:szCs w:val="9"/>
                <w:color w:val="auto"/>
              </w:rPr>
            </w:pPr>
          </w:p>
        </w:tc>
        <w:tc>
          <w:tcPr>
            <w:tcW w:w="220" w:type="dxa"/>
            <w:vAlign w:val="bottom"/>
            <w:shd w:val="clear" w:color="auto" w:fill="EEEFEF"/>
          </w:tcPr>
          <w:p>
            <w:pPr>
              <w:spacing w:after="0"/>
              <w:rPr>
                <w:sz w:val="9"/>
                <w:szCs w:val="9"/>
                <w:color w:val="auto"/>
              </w:rPr>
            </w:pPr>
          </w:p>
        </w:tc>
        <w:tc>
          <w:tcPr>
            <w:tcW w:w="2660" w:type="dxa"/>
            <w:vAlign w:val="bottom"/>
            <w:shd w:val="clear" w:color="auto" w:fill="EEEFEF"/>
          </w:tcPr>
          <w:p>
            <w:pPr>
              <w:spacing w:after="0"/>
              <w:rPr>
                <w:sz w:val="9"/>
                <w:szCs w:val="9"/>
                <w:color w:val="auto"/>
              </w:rPr>
            </w:pPr>
          </w:p>
        </w:tc>
        <w:tc>
          <w:tcPr>
            <w:tcW w:w="200" w:type="dxa"/>
            <w:vAlign w:val="bottom"/>
            <w:shd w:val="clear" w:color="auto" w:fill="EEEFEF"/>
          </w:tcPr>
          <w:p>
            <w:pPr>
              <w:spacing w:after="0"/>
              <w:rPr>
                <w:sz w:val="9"/>
                <w:szCs w:val="9"/>
                <w:color w:val="auto"/>
              </w:rPr>
            </w:pPr>
          </w:p>
        </w:tc>
        <w:tc>
          <w:tcPr>
            <w:tcW w:w="2660" w:type="dxa"/>
            <w:vAlign w:val="bottom"/>
            <w:shd w:val="clear" w:color="auto" w:fill="EEEFEF"/>
          </w:tcPr>
          <w:p>
            <w:pPr>
              <w:spacing w:after="0"/>
              <w:rPr>
                <w:sz w:val="9"/>
                <w:szCs w:val="9"/>
                <w:color w:val="auto"/>
              </w:rPr>
            </w:pPr>
          </w:p>
        </w:tc>
        <w:tc>
          <w:tcPr>
            <w:tcW w:w="200" w:type="dxa"/>
            <w:vAlign w:val="bottom"/>
            <w:shd w:val="clear" w:color="auto" w:fill="EEEFEF"/>
          </w:tcPr>
          <w:p>
            <w:pPr>
              <w:spacing w:after="0"/>
              <w:rPr>
                <w:sz w:val="9"/>
                <w:szCs w:val="9"/>
                <w:color w:val="auto"/>
              </w:rPr>
            </w:pPr>
          </w:p>
        </w:tc>
        <w:tc>
          <w:tcPr>
            <w:tcW w:w="2460" w:type="dxa"/>
            <w:vAlign w:val="bottom"/>
            <w:shd w:val="clear" w:color="auto" w:fill="EEEFEF"/>
          </w:tcPr>
          <w:p>
            <w:pPr>
              <w:spacing w:after="0"/>
              <w:rPr>
                <w:sz w:val="9"/>
                <w:szCs w:val="9"/>
                <w:color w:val="auto"/>
              </w:rPr>
            </w:pPr>
          </w:p>
        </w:tc>
      </w:tr>
    </w:tbl>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Teamwork &amp; Leadership</w:t>
      </w:r>
    </w:p>
    <w:p>
      <w:pPr>
        <w:spacing w:after="0" w:line="60" w:lineRule="exact"/>
        <w:rPr>
          <w:sz w:val="20"/>
          <w:szCs w:val="20"/>
          <w:color w:val="auto"/>
        </w:rPr>
      </w:pPr>
    </w:p>
    <w:p>
      <w:pPr>
        <w:ind w:left="320" w:right="940" w:hanging="200"/>
        <w:spacing w:after="0" w:line="258" w:lineRule="auto"/>
        <w:tabs>
          <w:tab w:leader="none" w:pos="320" w:val="left"/>
        </w:tabs>
        <w:numPr>
          <w:ilvl w:val="0"/>
          <w:numId w:val="122"/>
        </w:numPr>
        <w:rPr>
          <w:rFonts w:ascii="Arial" w:cs="Arial" w:eastAsia="Arial" w:hAnsi="Arial"/>
          <w:sz w:val="17"/>
          <w:szCs w:val="17"/>
          <w:color w:val="074A75"/>
        </w:rPr>
      </w:pPr>
      <w:r>
        <w:rPr>
          <w:rFonts w:ascii="Arial" w:cs="Arial" w:eastAsia="Arial" w:hAnsi="Arial"/>
          <w:sz w:val="17"/>
          <w:szCs w:val="17"/>
          <w:color w:val="auto"/>
        </w:rPr>
        <w:t>Continued executing our long-term succession planning strategy for the Firm’s senior leadership; recently announced leadership and organizational changes</w:t>
      </w:r>
    </w:p>
    <w:p>
      <w:pPr>
        <w:ind w:left="320" w:right="520" w:hanging="200"/>
        <w:spacing w:after="0" w:line="248" w:lineRule="auto"/>
        <w:tabs>
          <w:tab w:leader="none" w:pos="320" w:val="left"/>
        </w:tabs>
        <w:numPr>
          <w:ilvl w:val="0"/>
          <w:numId w:val="122"/>
        </w:numPr>
        <w:rPr>
          <w:rFonts w:ascii="Arial" w:cs="Arial" w:eastAsia="Arial" w:hAnsi="Arial"/>
          <w:sz w:val="17"/>
          <w:szCs w:val="17"/>
          <w:color w:val="074A75"/>
        </w:rPr>
      </w:pPr>
      <w:r>
        <w:rPr>
          <w:rFonts w:ascii="Arial" w:cs="Arial" w:eastAsia="Arial" w:hAnsi="Arial"/>
          <w:sz w:val="17"/>
          <w:szCs w:val="17"/>
          <w:color w:val="auto"/>
        </w:rPr>
        <w:t>Fostered a culture of respect and inclusion to promote innovation, creativity and productivity, enabling leaders and their teams to grow and succeed</w:t>
      </w:r>
    </w:p>
    <w:p>
      <w:pPr>
        <w:spacing w:after="0" w:line="1" w:lineRule="exact"/>
        <w:rPr>
          <w:rFonts w:ascii="Arial" w:cs="Arial" w:eastAsia="Arial" w:hAnsi="Arial"/>
          <w:sz w:val="17"/>
          <w:szCs w:val="17"/>
          <w:color w:val="074A75"/>
        </w:rPr>
      </w:pPr>
    </w:p>
    <w:p>
      <w:pPr>
        <w:ind w:left="320" w:hanging="200"/>
        <w:spacing w:after="0"/>
        <w:tabs>
          <w:tab w:leader="none" w:pos="320" w:val="left"/>
        </w:tabs>
        <w:numPr>
          <w:ilvl w:val="0"/>
          <w:numId w:val="122"/>
        </w:numPr>
        <w:rPr>
          <w:rFonts w:ascii="Arial" w:cs="Arial" w:eastAsia="Arial" w:hAnsi="Arial"/>
          <w:sz w:val="17"/>
          <w:szCs w:val="17"/>
          <w:color w:val="074A75"/>
        </w:rPr>
      </w:pPr>
      <w:r>
        <w:rPr>
          <w:rFonts w:ascii="Arial" w:cs="Arial" w:eastAsia="Arial" w:hAnsi="Arial"/>
          <w:sz w:val="17"/>
          <w:szCs w:val="17"/>
          <w:color w:val="auto"/>
        </w:rPr>
        <w:t>Enhanced programs and policies that support the needs of our employees and their families</w:t>
      </w:r>
    </w:p>
    <w:p>
      <w:pPr>
        <w:spacing w:after="0" w:line="255" w:lineRule="exact"/>
        <w:rPr>
          <w:sz w:val="20"/>
          <w:szCs w:val="20"/>
          <w:color w:val="auto"/>
        </w:rPr>
      </w:pPr>
    </w:p>
    <w:p>
      <w:pPr>
        <w:ind w:left="200" w:hanging="192"/>
        <w:spacing w:after="0"/>
        <w:tabs>
          <w:tab w:leader="none" w:pos="200" w:val="left"/>
        </w:tabs>
        <w:numPr>
          <w:ilvl w:val="0"/>
          <w:numId w:val="123"/>
        </w:numPr>
        <w:rPr>
          <w:rFonts w:ascii="Arial" w:cs="Arial" w:eastAsia="Arial" w:hAnsi="Arial"/>
          <w:sz w:val="16"/>
          <w:szCs w:val="16"/>
          <w:color w:val="auto"/>
          <w:vertAlign w:val="superscript"/>
        </w:rPr>
      </w:pPr>
      <w:r>
        <w:rPr>
          <w:rFonts w:ascii="Arial" w:cs="Arial" w:eastAsia="Arial" w:hAnsi="Arial"/>
          <w:sz w:val="13"/>
          <w:szCs w:val="13"/>
          <w:color w:val="auto"/>
        </w:rPr>
        <w:t>Managed Revenue, Pre-Tax Income (ex. LLR) and ROTCE are each non-GAAP financial measures; refer to Note 1 on page 113 for a further discussion of these measures.</w:t>
      </w:r>
    </w:p>
    <w:p>
      <w:pPr>
        <w:ind w:left="200" w:hanging="192"/>
        <w:spacing w:after="0" w:line="193" w:lineRule="auto"/>
        <w:tabs>
          <w:tab w:leader="none" w:pos="200" w:val="left"/>
        </w:tabs>
        <w:numPr>
          <w:ilvl w:val="0"/>
          <w:numId w:val="124"/>
        </w:numPr>
        <w:rPr>
          <w:rFonts w:ascii="Arial" w:cs="Arial" w:eastAsia="Arial" w:hAnsi="Arial"/>
          <w:sz w:val="16"/>
          <w:szCs w:val="16"/>
          <w:color w:val="auto"/>
          <w:vertAlign w:val="superscript"/>
        </w:rPr>
      </w:pPr>
      <w:r>
        <w:rPr>
          <w:rFonts w:ascii="Arial" w:cs="Arial" w:eastAsia="Arial" w:hAnsi="Arial"/>
          <w:sz w:val="13"/>
          <w:szCs w:val="13"/>
          <w:color w:val="auto"/>
        </w:rPr>
        <w:t>Refer to Note 9 on page 2.</w:t>
      </w:r>
    </w:p>
    <w:p>
      <w:pPr>
        <w:ind w:left="200" w:hanging="192"/>
        <w:spacing w:after="0" w:line="219" w:lineRule="auto"/>
        <w:tabs>
          <w:tab w:leader="none" w:pos="200" w:val="left"/>
        </w:tabs>
        <w:numPr>
          <w:ilvl w:val="0"/>
          <w:numId w:val="125"/>
        </w:numPr>
        <w:rPr>
          <w:rFonts w:ascii="Arial" w:cs="Arial" w:eastAsia="Arial" w:hAnsi="Arial"/>
          <w:sz w:val="16"/>
          <w:szCs w:val="16"/>
          <w:color w:val="auto"/>
          <w:vertAlign w:val="superscript"/>
        </w:rPr>
      </w:pPr>
      <w:r>
        <w:rPr>
          <w:rFonts w:ascii="Arial" w:cs="Arial" w:eastAsia="Arial" w:hAnsi="Arial"/>
          <w:sz w:val="13"/>
          <w:szCs w:val="13"/>
          <w:color w:val="auto"/>
        </w:rPr>
        <w:t>For recognition sources for CCB, CIB and AWM, refer to pages 57-60. CB recognition from Home Mortgage Disclosure Act Data as of FY2023.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198120</wp:posOffset>
            </wp:positionV>
            <wp:extent cx="274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37  </w:t>
      </w:r>
      <w:r>
        <w:rPr>
          <w:sz w:val="1"/>
          <w:szCs w:val="1"/>
          <w:color w:val="auto"/>
        </w:rPr>
        <w:drawing>
          <wp:inline distT="0" distB="0" distL="0" distR="0">
            <wp:extent cx="2203450" cy="15430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217805</wp:posOffset>
            </wp:positionV>
            <wp:extent cx="76835" cy="1460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217805</wp:posOffset>
            </wp:positionV>
            <wp:extent cx="76835" cy="146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 w:type="dxa"/>
            <w:vAlign w:val="bottom"/>
            <w:tcBorders>
              <w:top w:val="single" w:sz="8" w:color="E7E7E8"/>
            </w:tcBorders>
            <w:shd w:val="clear" w:color="auto" w:fill="E7E7E8"/>
          </w:tcPr>
          <w:p>
            <w:pPr>
              <w:spacing w:after="0"/>
              <w:rPr>
                <w:sz w:val="22"/>
                <w:szCs w:val="22"/>
                <w:color w:val="auto"/>
              </w:rPr>
            </w:pPr>
          </w:p>
        </w:tc>
        <w:tc>
          <w:tcPr>
            <w:tcW w:w="20" w:type="dxa"/>
            <w:vAlign w:val="bottom"/>
            <w:tcBorders>
              <w:top w:val="single" w:sz="8" w:color="E7E7E8"/>
            </w:tcBorders>
            <w:shd w:val="clear" w:color="auto" w:fill="E7E7E8"/>
          </w:tcPr>
          <w:p>
            <w:pPr>
              <w:spacing w:after="0"/>
              <w:rPr>
                <w:sz w:val="22"/>
                <w:szCs w:val="22"/>
                <w:color w:val="auto"/>
              </w:rPr>
            </w:pPr>
          </w:p>
        </w:tc>
        <w:tc>
          <w:tcPr>
            <w:tcW w:w="780" w:type="dxa"/>
            <w:vAlign w:val="bottom"/>
            <w:tcBorders>
              <w:top w:val="single" w:sz="8" w:color="E7E7E8"/>
            </w:tcBorders>
            <w:gridSpan w:val="3"/>
            <w:shd w:val="clear" w:color="auto" w:fill="E7E7E8"/>
          </w:tcPr>
          <w:p>
            <w:pPr>
              <w:jc w:val="center"/>
              <w:ind w:right="1"/>
              <w:spacing w:after="0"/>
              <w:rPr>
                <w:sz w:val="20"/>
                <w:szCs w:val="20"/>
                <w:color w:val="auto"/>
              </w:rPr>
            </w:pPr>
            <w:r>
              <w:rPr>
                <w:rFonts w:ascii="Arial" w:cs="Arial" w:eastAsia="Arial" w:hAnsi="Arial"/>
                <w:sz w:val="15"/>
                <w:szCs w:val="15"/>
                <w:color w:val="074A75"/>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300" w:type="dxa"/>
            <w:vAlign w:val="bottom"/>
            <w:tcBorders>
              <w:right w:val="single" w:sz="8" w:color="E7E7E8"/>
            </w:tcBorders>
          </w:tcPr>
          <w:p>
            <w:pPr>
              <w:spacing w:after="0"/>
              <w:rPr>
                <w:sz w:val="22"/>
                <w:szCs w:val="22"/>
                <w:color w:val="auto"/>
              </w:rPr>
            </w:pPr>
          </w:p>
        </w:tc>
        <w:tc>
          <w:tcPr>
            <w:tcW w:w="372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Borders>
              <w:right w:val="single" w:sz="8" w:color="E7E7E8"/>
            </w:tcBorders>
          </w:tcPr>
          <w:p>
            <w:pPr>
              <w:spacing w:after="0"/>
              <w:rPr>
                <w:sz w:val="22"/>
                <w:szCs w:val="22"/>
                <w:color w:val="auto"/>
              </w:rPr>
            </w:pPr>
          </w:p>
        </w:tc>
        <w:tc>
          <w:tcPr>
            <w:tcW w:w="3180" w:type="dxa"/>
            <w:vAlign w:val="bottom"/>
            <w:tcBorders>
              <w:top w:val="single" w:sz="8" w:color="E7E7E8"/>
            </w:tcBorders>
            <w:gridSpan w:val="2"/>
          </w:tcPr>
          <w:p>
            <w:pPr>
              <w:jc w:val="right"/>
              <w:ind w:right="110"/>
              <w:spacing w:after="0"/>
              <w:rPr>
                <w:sz w:val="20"/>
                <w:szCs w:val="20"/>
                <w:color w:val="auto"/>
              </w:rPr>
            </w:pPr>
            <w:r>
              <w:rPr>
                <w:rFonts w:ascii="Arial" w:cs="Arial" w:eastAsia="Arial" w:hAnsi="Arial"/>
                <w:sz w:val="15"/>
                <w:szCs w:val="15"/>
                <w:color w:val="58585A"/>
              </w:rPr>
              <w:t>How performance determined pay in 2023</w:t>
            </w:r>
          </w:p>
        </w:tc>
        <w:tc>
          <w:tcPr>
            <w:tcW w:w="20" w:type="dxa"/>
            <w:vAlign w:val="bottom"/>
            <w:tcBorders>
              <w:top w:val="single" w:sz="8" w:color="E7E7E8"/>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c>
          <w:tcPr>
            <w:tcW w:w="420" w:type="dxa"/>
            <w:vAlign w:val="bottom"/>
            <w:tcBorders>
              <w:bottom w:val="single" w:sz="8" w:color="E7E7E8"/>
            </w:tcBorders>
            <w:shd w:val="clear" w:color="auto" w:fill="E7E7E8"/>
          </w:tcPr>
          <w:p>
            <w:pPr>
              <w:spacing w:after="0"/>
              <w:rPr>
                <w:sz w:val="5"/>
                <w:szCs w:val="5"/>
                <w:color w:val="auto"/>
              </w:rPr>
            </w:pPr>
          </w:p>
        </w:tc>
        <w:tc>
          <w:tcPr>
            <w:tcW w:w="100" w:type="dxa"/>
            <w:vAlign w:val="bottom"/>
            <w:tcBorders>
              <w:bottom w:val="single" w:sz="8" w:color="E7E7E8"/>
            </w:tcBorders>
            <w:shd w:val="clear" w:color="auto" w:fill="E7E7E8"/>
          </w:tcPr>
          <w:p>
            <w:pPr>
              <w:spacing w:after="0"/>
              <w:rPr>
                <w:sz w:val="5"/>
                <w:szCs w:val="5"/>
                <w:color w:val="auto"/>
              </w:rPr>
            </w:pPr>
          </w:p>
        </w:tc>
        <w:tc>
          <w:tcPr>
            <w:tcW w:w="260" w:type="dxa"/>
            <w:vAlign w:val="bottom"/>
            <w:tcBorders>
              <w:bottom w:val="single" w:sz="8" w:color="E7E7E8"/>
            </w:tcBorders>
            <w:shd w:val="clear" w:color="auto" w:fill="E7E7E8"/>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2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220" w:type="dxa"/>
            <w:vAlign w:val="bottom"/>
            <w:tcBorders>
              <w:bottom w:val="single" w:sz="8" w:color="E7E7E8"/>
            </w:tcBorders>
          </w:tcPr>
          <w:p>
            <w:pPr>
              <w:spacing w:after="0"/>
              <w:rPr>
                <w:sz w:val="5"/>
                <w:szCs w:val="5"/>
                <w:color w:val="auto"/>
              </w:rPr>
            </w:pPr>
          </w:p>
        </w:tc>
        <w:tc>
          <w:tcPr>
            <w:tcW w:w="960" w:type="dxa"/>
            <w:vAlign w:val="bottom"/>
            <w:tcBorders>
              <w:bottom w:val="single" w:sz="8" w:color="E7E7E8"/>
            </w:tcBorders>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80" w:type="dxa"/>
            <w:vAlign w:val="bottom"/>
            <w:tcBorders>
              <w:bottom w:val="single" w:sz="8" w:color="EFEFEF"/>
            </w:tcBorders>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EFEFEF"/>
            </w:tcBorders>
          </w:tcPr>
          <w:p>
            <w:pPr>
              <w:spacing w:after="0"/>
              <w:rPr>
                <w:sz w:val="22"/>
                <w:szCs w:val="22"/>
                <w:color w:val="auto"/>
              </w:rPr>
            </w:pPr>
          </w:p>
        </w:tc>
        <w:tc>
          <w:tcPr>
            <w:tcW w:w="100" w:type="dxa"/>
            <w:vAlign w:val="bottom"/>
            <w:tcBorders>
              <w:bottom w:val="single" w:sz="8" w:color="EFEFEF"/>
            </w:tcBorders>
          </w:tcPr>
          <w:p>
            <w:pPr>
              <w:spacing w:after="0"/>
              <w:rPr>
                <w:sz w:val="22"/>
                <w:szCs w:val="22"/>
                <w:color w:val="auto"/>
              </w:rPr>
            </w:pPr>
          </w:p>
        </w:tc>
        <w:tc>
          <w:tcPr>
            <w:tcW w:w="260" w:type="dxa"/>
            <w:vAlign w:val="bottom"/>
            <w:tcBorders>
              <w:bottom w:val="single" w:sz="8" w:color="EFEFEF"/>
            </w:tcBorders>
          </w:tcPr>
          <w:p>
            <w:pPr>
              <w:spacing w:after="0"/>
              <w:rPr>
                <w:sz w:val="22"/>
                <w:szCs w:val="22"/>
                <w:color w:val="auto"/>
              </w:rPr>
            </w:pPr>
          </w:p>
        </w:tc>
        <w:tc>
          <w:tcPr>
            <w:tcW w:w="280" w:type="dxa"/>
            <w:vAlign w:val="bottom"/>
            <w:tcBorders>
              <w:bottom w:val="single" w:sz="8" w:color="EFEFEF"/>
            </w:tcBorders>
          </w:tcPr>
          <w:p>
            <w:pPr>
              <w:spacing w:after="0"/>
              <w:rPr>
                <w:sz w:val="22"/>
                <w:szCs w:val="22"/>
                <w:color w:val="auto"/>
              </w:rPr>
            </w:pPr>
          </w:p>
        </w:tc>
        <w:tc>
          <w:tcPr>
            <w:tcW w:w="2600" w:type="dxa"/>
            <w:vAlign w:val="bottom"/>
            <w:tcBorders>
              <w:bottom w:val="single" w:sz="8" w:color="EFEFEF"/>
            </w:tcBorders>
          </w:tcPr>
          <w:p>
            <w:pPr>
              <w:spacing w:after="0"/>
              <w:rPr>
                <w:sz w:val="22"/>
                <w:szCs w:val="22"/>
                <w:color w:val="auto"/>
              </w:rPr>
            </w:pPr>
          </w:p>
        </w:tc>
        <w:tc>
          <w:tcPr>
            <w:tcW w:w="300" w:type="dxa"/>
            <w:vAlign w:val="bottom"/>
            <w:tcBorders>
              <w:bottom w:val="single" w:sz="8" w:color="EFEFEF"/>
            </w:tcBorders>
          </w:tcPr>
          <w:p>
            <w:pPr>
              <w:spacing w:after="0"/>
              <w:rPr>
                <w:sz w:val="22"/>
                <w:szCs w:val="22"/>
                <w:color w:val="auto"/>
              </w:rPr>
            </w:pPr>
          </w:p>
        </w:tc>
        <w:tc>
          <w:tcPr>
            <w:tcW w:w="3720" w:type="dxa"/>
            <w:vAlign w:val="bottom"/>
            <w:tcBorders>
              <w:bottom w:val="single" w:sz="8" w:color="EFEFEF"/>
            </w:tcBorders>
          </w:tcPr>
          <w:p>
            <w:pPr>
              <w:spacing w:after="0"/>
              <w:rPr>
                <w:sz w:val="22"/>
                <w:szCs w:val="22"/>
                <w:color w:val="auto"/>
              </w:rPr>
            </w:pPr>
          </w:p>
        </w:tc>
        <w:tc>
          <w:tcPr>
            <w:tcW w:w="280" w:type="dxa"/>
            <w:vAlign w:val="bottom"/>
            <w:tcBorders>
              <w:bottom w:val="single" w:sz="8" w:color="EFEFEF"/>
            </w:tcBorders>
          </w:tcPr>
          <w:p>
            <w:pPr>
              <w:spacing w:after="0"/>
              <w:rPr>
                <w:sz w:val="22"/>
                <w:szCs w:val="22"/>
                <w:color w:val="auto"/>
              </w:rPr>
            </w:pPr>
          </w:p>
        </w:tc>
        <w:tc>
          <w:tcPr>
            <w:tcW w:w="2220" w:type="dxa"/>
            <w:vAlign w:val="bottom"/>
            <w:tcBorders>
              <w:bottom w:val="single" w:sz="8" w:color="EFEFEF"/>
            </w:tcBorders>
          </w:tcPr>
          <w:p>
            <w:pPr>
              <w:spacing w:after="0"/>
              <w:rPr>
                <w:sz w:val="22"/>
                <w:szCs w:val="22"/>
                <w:color w:val="auto"/>
              </w:rPr>
            </w:pPr>
          </w:p>
        </w:tc>
        <w:tc>
          <w:tcPr>
            <w:tcW w:w="960" w:type="dxa"/>
            <w:vAlign w:val="bottom"/>
            <w:tcBorders>
              <w:bottom w:val="single" w:sz="8" w:color="EFEFE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Arial" w:cs="Arial" w:eastAsia="Arial" w:hAnsi="Arial"/>
                <w:sz w:val="32"/>
                <w:szCs w:val="32"/>
                <w:color w:val="074A75"/>
              </w:rPr>
              <w:t>3</w:t>
            </w:r>
          </w:p>
        </w:tc>
        <w:tc>
          <w:tcPr>
            <w:tcW w:w="100" w:type="dxa"/>
            <w:vAlign w:val="bottom"/>
            <w:shd w:val="clear" w:color="auto" w:fill="EFEFEF"/>
          </w:tcPr>
          <w:p>
            <w:pPr>
              <w:spacing w:after="0"/>
              <w:rPr>
                <w:sz w:val="19"/>
                <w:szCs w:val="19"/>
                <w:color w:val="auto"/>
              </w:rPr>
            </w:pPr>
          </w:p>
        </w:tc>
        <w:tc>
          <w:tcPr>
            <w:tcW w:w="7440" w:type="dxa"/>
            <w:vAlign w:val="bottom"/>
            <w:tcBorders>
              <w:right w:val="single" w:sz="8" w:color="EFEFEF"/>
            </w:tcBorders>
            <w:gridSpan w:val="6"/>
            <w:vMerge w:val="restart"/>
            <w:shd w:val="clear" w:color="auto" w:fill="EFEFEF"/>
          </w:tcPr>
          <w:p>
            <w:pPr>
              <w:ind w:left="20"/>
              <w:spacing w:after="0"/>
              <w:rPr>
                <w:sz w:val="20"/>
                <w:szCs w:val="20"/>
                <w:color w:val="auto"/>
              </w:rPr>
            </w:pPr>
            <w:r>
              <w:rPr>
                <w:rFonts w:ascii="Arial" w:cs="Arial" w:eastAsia="Arial" w:hAnsi="Arial"/>
                <w:sz w:val="20"/>
                <w:szCs w:val="20"/>
                <w:b w:val="1"/>
                <w:bCs w:val="1"/>
                <w:color w:val="auto"/>
              </w:rPr>
              <w:t>HOW PERFORMANCE DETERMINED PAY IN 2023</w:t>
            </w:r>
          </w:p>
        </w:tc>
        <w:tc>
          <w:tcPr>
            <w:tcW w:w="2220" w:type="dxa"/>
            <w:vAlign w:val="bottom"/>
            <w:shd w:val="clear" w:color="auto" w:fill="EFEFEF"/>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74A75"/>
              </w:rPr>
              <w:t>Pages 55</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100" w:type="dxa"/>
            <w:vAlign w:val="bottom"/>
            <w:shd w:val="clear" w:color="auto" w:fill="EFEFEF"/>
          </w:tcPr>
          <w:p>
            <w:pPr>
              <w:spacing w:after="0"/>
              <w:rPr>
                <w:sz w:val="22"/>
                <w:szCs w:val="22"/>
                <w:color w:val="auto"/>
              </w:rPr>
            </w:pPr>
          </w:p>
        </w:tc>
        <w:tc>
          <w:tcPr>
            <w:tcW w:w="7440" w:type="dxa"/>
            <w:vAlign w:val="bottom"/>
            <w:tcBorders>
              <w:right w:val="single" w:sz="8" w:color="EFEFEF"/>
            </w:tcBorders>
            <w:gridSpan w:val="6"/>
            <w:vMerge w:val="continue"/>
            <w:shd w:val="clear" w:color="auto" w:fill="EFEFEF"/>
          </w:tcPr>
          <w:p>
            <w:pPr>
              <w:spacing w:after="0"/>
              <w:rPr>
                <w:sz w:val="22"/>
                <w:szCs w:val="22"/>
                <w:color w:val="auto"/>
              </w:rPr>
            </w:pPr>
          </w:p>
        </w:tc>
        <w:tc>
          <w:tcPr>
            <w:tcW w:w="2220" w:type="dxa"/>
            <w:vAlign w:val="bottom"/>
            <w:shd w:val="clear" w:color="auto" w:fill="EFEFEF"/>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074A75"/>
              </w:rPr>
              <w:t>- 61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80" w:type="dxa"/>
            <w:vAlign w:val="bottom"/>
            <w:shd w:val="clear" w:color="auto" w:fill="EFEFEF"/>
          </w:tcPr>
          <w:p>
            <w:pPr>
              <w:spacing w:after="0"/>
              <w:rPr>
                <w:sz w:val="10"/>
                <w:szCs w:val="10"/>
                <w:color w:val="auto"/>
              </w:rPr>
            </w:pPr>
          </w:p>
        </w:tc>
        <w:tc>
          <w:tcPr>
            <w:tcW w:w="20" w:type="dxa"/>
            <w:vAlign w:val="bottom"/>
            <w:shd w:val="clear" w:color="auto" w:fill="EFEFEF"/>
          </w:tcPr>
          <w:p>
            <w:pPr>
              <w:spacing w:after="0"/>
              <w:rPr>
                <w:sz w:val="10"/>
                <w:szCs w:val="10"/>
                <w:color w:val="auto"/>
              </w:rPr>
            </w:pPr>
          </w:p>
        </w:tc>
        <w:tc>
          <w:tcPr>
            <w:tcW w:w="420" w:type="dxa"/>
            <w:vAlign w:val="bottom"/>
            <w:shd w:val="clear" w:color="auto" w:fill="EFEFEF"/>
          </w:tcPr>
          <w:p>
            <w:pPr>
              <w:spacing w:after="0"/>
              <w:rPr>
                <w:sz w:val="10"/>
                <w:szCs w:val="10"/>
                <w:color w:val="auto"/>
              </w:rPr>
            </w:pPr>
          </w:p>
        </w:tc>
        <w:tc>
          <w:tcPr>
            <w:tcW w:w="100" w:type="dxa"/>
            <w:vAlign w:val="bottom"/>
            <w:shd w:val="clear" w:color="auto" w:fill="EFEFEF"/>
          </w:tcPr>
          <w:p>
            <w:pPr>
              <w:spacing w:after="0"/>
              <w:rPr>
                <w:sz w:val="10"/>
                <w:szCs w:val="10"/>
                <w:color w:val="auto"/>
              </w:rPr>
            </w:pPr>
          </w:p>
        </w:tc>
        <w:tc>
          <w:tcPr>
            <w:tcW w:w="260" w:type="dxa"/>
            <w:vAlign w:val="bottom"/>
            <w:shd w:val="clear" w:color="auto" w:fill="EFEFEF"/>
          </w:tcPr>
          <w:p>
            <w:pPr>
              <w:spacing w:after="0"/>
              <w:rPr>
                <w:sz w:val="10"/>
                <w:szCs w:val="10"/>
                <w:color w:val="auto"/>
              </w:rPr>
            </w:pPr>
          </w:p>
        </w:tc>
        <w:tc>
          <w:tcPr>
            <w:tcW w:w="280" w:type="dxa"/>
            <w:vAlign w:val="bottom"/>
            <w:tcBorders>
              <w:right w:val="single" w:sz="8" w:color="EFEFEF"/>
            </w:tcBorders>
            <w:shd w:val="clear" w:color="auto" w:fill="EFEFEF"/>
          </w:tcPr>
          <w:p>
            <w:pPr>
              <w:spacing w:after="0"/>
              <w:rPr>
                <w:sz w:val="10"/>
                <w:szCs w:val="10"/>
                <w:color w:val="auto"/>
              </w:rPr>
            </w:pPr>
          </w:p>
        </w:tc>
        <w:tc>
          <w:tcPr>
            <w:tcW w:w="2600" w:type="dxa"/>
            <w:vAlign w:val="bottom"/>
            <w:tcBorders>
              <w:right w:val="single" w:sz="8" w:color="EFEFEF"/>
            </w:tcBorders>
            <w:shd w:val="clear" w:color="auto" w:fill="EFEFEF"/>
          </w:tcPr>
          <w:p>
            <w:pPr>
              <w:spacing w:after="0"/>
              <w:rPr>
                <w:sz w:val="10"/>
                <w:szCs w:val="10"/>
                <w:color w:val="auto"/>
              </w:rPr>
            </w:pPr>
          </w:p>
        </w:tc>
        <w:tc>
          <w:tcPr>
            <w:tcW w:w="300" w:type="dxa"/>
            <w:vAlign w:val="bottom"/>
            <w:tcBorders>
              <w:right w:val="single" w:sz="8" w:color="EFEFEF"/>
            </w:tcBorders>
            <w:shd w:val="clear" w:color="auto" w:fill="EFEFEF"/>
          </w:tcPr>
          <w:p>
            <w:pPr>
              <w:spacing w:after="0"/>
              <w:rPr>
                <w:sz w:val="10"/>
                <w:szCs w:val="10"/>
                <w:color w:val="auto"/>
              </w:rPr>
            </w:pPr>
          </w:p>
        </w:tc>
        <w:tc>
          <w:tcPr>
            <w:tcW w:w="3720" w:type="dxa"/>
            <w:vAlign w:val="bottom"/>
            <w:tcBorders>
              <w:right w:val="single" w:sz="8" w:color="EFEFEF"/>
            </w:tcBorders>
            <w:shd w:val="clear" w:color="auto" w:fill="EFEFEF"/>
          </w:tcPr>
          <w:p>
            <w:pPr>
              <w:spacing w:after="0"/>
              <w:rPr>
                <w:sz w:val="10"/>
                <w:szCs w:val="10"/>
                <w:color w:val="auto"/>
              </w:rPr>
            </w:pPr>
          </w:p>
        </w:tc>
        <w:tc>
          <w:tcPr>
            <w:tcW w:w="280" w:type="dxa"/>
            <w:vAlign w:val="bottom"/>
            <w:tcBorders>
              <w:right w:val="single" w:sz="8" w:color="EFEFEF"/>
            </w:tcBorders>
            <w:shd w:val="clear" w:color="auto" w:fill="EFEFEF"/>
          </w:tcPr>
          <w:p>
            <w:pPr>
              <w:spacing w:after="0"/>
              <w:rPr>
                <w:sz w:val="10"/>
                <w:szCs w:val="10"/>
                <w:color w:val="auto"/>
              </w:rPr>
            </w:pPr>
          </w:p>
        </w:tc>
        <w:tc>
          <w:tcPr>
            <w:tcW w:w="2220" w:type="dxa"/>
            <w:vAlign w:val="bottom"/>
            <w:shd w:val="clear" w:color="auto" w:fill="EFEFEF"/>
          </w:tcPr>
          <w:p>
            <w:pPr>
              <w:spacing w:after="0"/>
              <w:rPr>
                <w:sz w:val="10"/>
                <w:szCs w:val="10"/>
                <w:color w:val="auto"/>
              </w:rPr>
            </w:pPr>
          </w:p>
        </w:tc>
        <w:tc>
          <w:tcPr>
            <w:tcW w:w="960" w:type="dxa"/>
            <w:vAlign w:val="bottom"/>
            <w:shd w:val="clear" w:color="auto" w:fill="EFEF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72523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725233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074A75"/>
        </w:rPr>
        <w:t>Pay decisions are based on current year and long-term performance, which is driven by the Firm's ongoing investments</w:t>
      </w:r>
    </w:p>
    <w:p>
      <w:pPr>
        <w:spacing w:after="0" w:line="195" w:lineRule="exact"/>
        <w:rPr>
          <w:sz w:val="20"/>
          <w:szCs w:val="20"/>
          <w:color w:val="auto"/>
        </w:rPr>
      </w:pPr>
    </w:p>
    <w:p>
      <w:pPr>
        <w:ind w:left="120" w:right="2420"/>
        <w:spacing w:after="0" w:line="266" w:lineRule="auto"/>
        <w:rPr>
          <w:sz w:val="20"/>
          <w:szCs w:val="20"/>
          <w:color w:val="auto"/>
        </w:rPr>
      </w:pPr>
      <w:r>
        <w:rPr>
          <w:rFonts w:ascii="Arial" w:cs="Arial" w:eastAsia="Arial" w:hAnsi="Arial"/>
          <w:sz w:val="17"/>
          <w:szCs w:val="17"/>
          <w:color w:val="auto"/>
        </w:rPr>
        <w:t>In addition to considering 2023 performance, including the factors on the prior page, the CMDC continues to assess long-term performance as part of its balanced and holistic review. The CMDC considered, in part, the following factors:</w:t>
      </w:r>
    </w:p>
    <w:p>
      <w:pPr>
        <w:spacing w:after="0" w:line="66" w:lineRule="exact"/>
        <w:rPr>
          <w:sz w:val="20"/>
          <w:szCs w:val="20"/>
          <w:color w:val="auto"/>
        </w:rPr>
      </w:pPr>
    </w:p>
    <w:p>
      <w:pPr>
        <w:ind w:left="320" w:hanging="200"/>
        <w:spacing w:after="0"/>
        <w:tabs>
          <w:tab w:leader="none" w:pos="320"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 xml:space="preserve">Exceptional Performance: </w:t>
      </w:r>
      <w:r>
        <w:rPr>
          <w:rFonts w:ascii="Arial" w:cs="Arial" w:eastAsia="Arial" w:hAnsi="Arial"/>
          <w:sz w:val="17"/>
          <w:szCs w:val="17"/>
          <w:color w:val="auto"/>
        </w:rPr>
        <w:t>the Firm's sustained strong relative outperformance compared to its peers</w:t>
      </w:r>
    </w:p>
    <w:p>
      <w:pPr>
        <w:spacing w:after="0" w:line="88" w:lineRule="exact"/>
        <w:rPr>
          <w:rFonts w:ascii="Arial" w:cs="Arial" w:eastAsia="Arial" w:hAnsi="Arial"/>
          <w:sz w:val="17"/>
          <w:szCs w:val="17"/>
          <w:color w:val="auto"/>
        </w:rPr>
      </w:pPr>
    </w:p>
    <w:p>
      <w:pPr>
        <w:ind w:left="320" w:hanging="200"/>
        <w:spacing w:after="0"/>
        <w:tabs>
          <w:tab w:leader="none" w:pos="320"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 xml:space="preserve">Scope: </w:t>
      </w:r>
      <w:r>
        <w:rPr>
          <w:rFonts w:ascii="Arial" w:cs="Arial" w:eastAsia="Arial" w:hAnsi="Arial"/>
          <w:sz w:val="17"/>
          <w:szCs w:val="17"/>
          <w:color w:val="auto"/>
        </w:rPr>
        <w:t>our larger size, scale, complexity and global reach</w:t>
      </w:r>
    </w:p>
    <w:p>
      <w:pPr>
        <w:spacing w:after="0" w:line="74" w:lineRule="exact"/>
        <w:rPr>
          <w:rFonts w:ascii="Arial" w:cs="Arial" w:eastAsia="Arial" w:hAnsi="Arial"/>
          <w:sz w:val="17"/>
          <w:szCs w:val="17"/>
          <w:color w:val="auto"/>
        </w:rPr>
      </w:pPr>
    </w:p>
    <w:p>
      <w:pPr>
        <w:ind w:left="320" w:right="2580" w:hanging="200"/>
        <w:spacing w:after="0" w:line="284" w:lineRule="auto"/>
        <w:tabs>
          <w:tab w:leader="none" w:pos="320"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Pay-for-Performance Alignment</w:t>
      </w:r>
      <w:r>
        <w:rPr>
          <w:rFonts w:ascii="Arial" w:cs="Arial" w:eastAsia="Arial" w:hAnsi="Arial"/>
          <w:sz w:val="17"/>
          <w:szCs w:val="17"/>
          <w:color w:val="auto"/>
        </w:rPr>
        <w:t>: Mr. Dimon's annual compensation continues to demonstrate strong pay-for-performance alignment</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Below are examples of the long-term performance factors the CMDC considered as part of its determination of Mr.</w:t>
      </w: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5460" w:type="dxa"/>
            <w:vAlign w:val="bottom"/>
          </w:tcPr>
          <w:p>
            <w:pPr>
              <w:ind w:left="40"/>
              <w:spacing w:after="0"/>
              <w:rPr>
                <w:sz w:val="20"/>
                <w:szCs w:val="20"/>
                <w:color w:val="auto"/>
              </w:rPr>
            </w:pPr>
            <w:r>
              <w:rPr>
                <w:rFonts w:ascii="Arial" w:cs="Arial" w:eastAsia="Arial" w:hAnsi="Arial"/>
                <w:sz w:val="17"/>
                <w:szCs w:val="17"/>
                <w:color w:val="auto"/>
              </w:rPr>
              <w:t>Dimon's 2023 annual compensation of $36 million.</w:t>
            </w:r>
          </w:p>
        </w:tc>
        <w:tc>
          <w:tcPr>
            <w:tcW w:w="160" w:type="dxa"/>
            <w:vAlign w:val="bottom"/>
          </w:tcPr>
          <w:p>
            <w:pPr>
              <w:spacing w:after="0"/>
              <w:rPr>
                <w:sz w:val="20"/>
                <w:szCs w:val="20"/>
                <w:color w:val="auto"/>
              </w:rPr>
            </w:pPr>
          </w:p>
        </w:tc>
        <w:tc>
          <w:tcPr>
            <w:tcW w:w="5540" w:type="dxa"/>
            <w:vAlign w:val="bottom"/>
            <w:gridSpan w:val="2"/>
          </w:tcPr>
          <w:p>
            <w:pPr>
              <w:ind w:left="3820"/>
              <w:spacing w:after="0"/>
              <w:rPr>
                <w:sz w:val="20"/>
                <w:szCs w:val="20"/>
                <w:color w:val="auto"/>
              </w:rPr>
            </w:pPr>
            <w:r>
              <w:rPr>
                <w:rFonts w:ascii="Arial" w:cs="Arial" w:eastAsia="Arial" w:hAnsi="Arial"/>
                <w:sz w:val="17"/>
                <w:szCs w:val="17"/>
                <w:b w:val="1"/>
                <w:bCs w:val="1"/>
                <w:color w:val="205A85"/>
              </w:rPr>
              <w:t>James Dimon</w:t>
            </w:r>
          </w:p>
        </w:tc>
        <w:tc>
          <w:tcPr>
            <w:tcW w:w="0" w:type="dxa"/>
            <w:vAlign w:val="bottom"/>
          </w:tcPr>
          <w:p>
            <w:pPr>
              <w:spacing w:after="0"/>
              <w:rPr>
                <w:sz w:val="1"/>
                <w:szCs w:val="1"/>
                <w:color w:val="auto"/>
              </w:rPr>
            </w:pPr>
          </w:p>
        </w:tc>
      </w:tr>
      <w:tr>
        <w:trPr>
          <w:trHeight w:val="123"/>
        </w:trPr>
        <w:tc>
          <w:tcPr>
            <w:tcW w:w="5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460" w:type="dxa"/>
            <w:vAlign w:val="bottom"/>
            <w:vMerge w:val="restart"/>
            <w:shd w:val="clear" w:color="auto" w:fill="EFEFEF"/>
          </w:tcPr>
          <w:p>
            <w:pPr>
              <w:jc w:val="center"/>
              <w:spacing w:after="0"/>
              <w:rPr>
                <w:sz w:val="20"/>
                <w:szCs w:val="20"/>
                <w:color w:val="auto"/>
              </w:rPr>
            </w:pPr>
            <w:r>
              <w:rPr>
                <w:rFonts w:ascii="Arial" w:cs="Arial" w:eastAsia="Arial" w:hAnsi="Arial"/>
                <w:sz w:val="17"/>
                <w:szCs w:val="17"/>
                <w:b w:val="1"/>
                <w:bCs w:val="1"/>
                <w:color w:val="00497F"/>
                <w:w w:val="99"/>
              </w:rPr>
              <w:t>Exceptional ROTCE</w:t>
            </w:r>
            <w:r>
              <w:rPr>
                <w:rFonts w:ascii="Arial" w:cs="Arial" w:eastAsia="Arial" w:hAnsi="Arial"/>
                <w:sz w:val="22"/>
                <w:szCs w:val="22"/>
                <w:b w:val="1"/>
                <w:bCs w:val="1"/>
                <w:color w:val="00497F"/>
                <w:w w:val="99"/>
                <w:vertAlign w:val="superscript"/>
              </w:rPr>
              <w:t>1</w:t>
            </w:r>
            <w:r>
              <w:rPr>
                <w:rFonts w:ascii="Arial" w:cs="Arial" w:eastAsia="Arial" w:hAnsi="Arial"/>
                <w:sz w:val="17"/>
                <w:szCs w:val="17"/>
                <w:b w:val="1"/>
                <w:bCs w:val="1"/>
                <w:color w:val="00497F"/>
                <w:w w:val="99"/>
              </w:rPr>
              <w:t xml:space="preserve"> Performance</w:t>
            </w:r>
          </w:p>
        </w:tc>
        <w:tc>
          <w:tcPr>
            <w:tcW w:w="160" w:type="dxa"/>
            <w:vAlign w:val="bottom"/>
            <w:shd w:val="clear" w:color="auto" w:fill="EFEFEF"/>
          </w:tcPr>
          <w:p>
            <w:pPr>
              <w:spacing w:after="0"/>
              <w:rPr>
                <w:sz w:val="8"/>
                <w:szCs w:val="8"/>
                <w:color w:val="auto"/>
              </w:rPr>
            </w:pPr>
          </w:p>
        </w:tc>
        <w:tc>
          <w:tcPr>
            <w:tcW w:w="5440" w:type="dxa"/>
            <w:vAlign w:val="bottom"/>
            <w:vMerge w:val="restart"/>
            <w:shd w:val="clear" w:color="auto" w:fill="EFEFEF"/>
          </w:tcPr>
          <w:p>
            <w:pPr>
              <w:jc w:val="center"/>
              <w:spacing w:after="0"/>
              <w:rPr>
                <w:sz w:val="20"/>
                <w:szCs w:val="20"/>
                <w:color w:val="auto"/>
              </w:rPr>
            </w:pPr>
            <w:r>
              <w:rPr>
                <w:rFonts w:ascii="Arial" w:cs="Arial" w:eastAsia="Arial" w:hAnsi="Arial"/>
                <w:sz w:val="17"/>
                <w:szCs w:val="17"/>
                <w:b w:val="1"/>
                <w:bCs w:val="1"/>
                <w:color w:val="00497F"/>
              </w:rPr>
              <w:t>Strong Shareholder Returns</w:t>
            </w:r>
          </w:p>
        </w:tc>
        <w:tc>
          <w:tcPr>
            <w:tcW w:w="100" w:type="dxa"/>
            <w:vAlign w:val="bottom"/>
            <w:shd w:val="clear" w:color="auto" w:fill="EFEFEF"/>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460" w:type="dxa"/>
            <w:vAlign w:val="bottom"/>
            <w:vMerge w:val="continue"/>
            <w:shd w:val="clear" w:color="auto" w:fill="EFEFEF"/>
          </w:tcPr>
          <w:p>
            <w:pPr>
              <w:spacing w:after="0"/>
              <w:rPr>
                <w:sz w:val="24"/>
                <w:szCs w:val="24"/>
                <w:color w:val="auto"/>
              </w:rPr>
            </w:pPr>
          </w:p>
        </w:tc>
        <w:tc>
          <w:tcPr>
            <w:tcW w:w="160" w:type="dxa"/>
            <w:vAlign w:val="bottom"/>
            <w:shd w:val="clear" w:color="auto" w:fill="EFEFEF"/>
          </w:tcPr>
          <w:p>
            <w:pPr>
              <w:spacing w:after="0"/>
              <w:rPr>
                <w:sz w:val="24"/>
                <w:szCs w:val="24"/>
                <w:color w:val="auto"/>
              </w:rPr>
            </w:pPr>
          </w:p>
        </w:tc>
        <w:tc>
          <w:tcPr>
            <w:tcW w:w="5440" w:type="dxa"/>
            <w:vAlign w:val="bottom"/>
            <w:vMerge w:val="continue"/>
            <w:shd w:val="clear" w:color="auto" w:fill="EFEFE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460" w:type="dxa"/>
            <w:vAlign w:val="bottom"/>
            <w:shd w:val="clear" w:color="auto" w:fill="EFEFEF"/>
          </w:tcPr>
          <w:p>
            <w:pPr>
              <w:jc w:val="center"/>
              <w:spacing w:after="0"/>
              <w:rPr>
                <w:sz w:val="20"/>
                <w:szCs w:val="20"/>
                <w:color w:val="auto"/>
              </w:rPr>
            </w:pPr>
            <w:r>
              <w:rPr>
                <w:rFonts w:ascii="Arial" w:cs="Arial" w:eastAsia="Arial" w:hAnsi="Arial"/>
                <w:sz w:val="17"/>
                <w:szCs w:val="17"/>
                <w:color w:val="auto"/>
                <w:w w:val="99"/>
              </w:rPr>
              <w:t>In the past 10 years, achieving reported ROTCE</w:t>
            </w:r>
            <w:r>
              <w:rPr>
                <w:rFonts w:ascii="Arial" w:cs="Arial" w:eastAsia="Arial" w:hAnsi="Arial"/>
                <w:sz w:val="22"/>
                <w:szCs w:val="22"/>
                <w:color w:val="auto"/>
                <w:w w:val="99"/>
                <w:vertAlign w:val="superscript"/>
              </w:rPr>
              <w:t>1</w:t>
            </w:r>
            <w:r>
              <w:rPr>
                <w:rFonts w:ascii="Arial" w:cs="Arial" w:eastAsia="Arial" w:hAnsi="Arial"/>
                <w:sz w:val="17"/>
                <w:szCs w:val="17"/>
                <w:color w:val="auto"/>
                <w:w w:val="99"/>
              </w:rPr>
              <w:t xml:space="preserve"> of ≥18% has been</w:t>
            </w:r>
          </w:p>
        </w:tc>
        <w:tc>
          <w:tcPr>
            <w:tcW w:w="160" w:type="dxa"/>
            <w:vAlign w:val="bottom"/>
          </w:tcPr>
          <w:p>
            <w:pPr>
              <w:spacing w:after="0"/>
              <w:rPr>
                <w:sz w:val="24"/>
                <w:szCs w:val="24"/>
                <w:color w:val="auto"/>
              </w:rPr>
            </w:pPr>
          </w:p>
        </w:tc>
        <w:tc>
          <w:tcPr>
            <w:tcW w:w="5440" w:type="dxa"/>
            <w:vAlign w:val="bottom"/>
            <w:shd w:val="clear" w:color="auto" w:fill="EFEFEF"/>
          </w:tcPr>
          <w:p>
            <w:pPr>
              <w:jc w:val="center"/>
              <w:spacing w:after="0"/>
              <w:rPr>
                <w:sz w:val="20"/>
                <w:szCs w:val="20"/>
                <w:color w:val="auto"/>
              </w:rPr>
            </w:pPr>
            <w:r>
              <w:rPr>
                <w:rFonts w:ascii="Arial" w:cs="Arial" w:eastAsia="Arial" w:hAnsi="Arial"/>
                <w:sz w:val="17"/>
                <w:szCs w:val="17"/>
                <w:color w:val="auto"/>
              </w:rPr>
              <w:t>An investment made in JPMC 10 years ago would have significantly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FEFEF"/>
          </w:tcPr>
          <w:p>
            <w:pPr>
              <w:jc w:val="center"/>
              <w:spacing w:after="0"/>
              <w:rPr>
                <w:sz w:val="20"/>
                <w:szCs w:val="20"/>
                <w:color w:val="auto"/>
              </w:rPr>
            </w:pPr>
            <w:r>
              <w:rPr>
                <w:rFonts w:ascii="Arial" w:cs="Arial" w:eastAsia="Arial" w:hAnsi="Arial"/>
                <w:sz w:val="17"/>
                <w:szCs w:val="17"/>
                <w:color w:val="auto"/>
              </w:rPr>
              <w:t>rare. JPMorgan Chase achieved it 4 times and our 10 PSU peers</w:t>
            </w:r>
          </w:p>
        </w:tc>
        <w:tc>
          <w:tcPr>
            <w:tcW w:w="160" w:type="dxa"/>
            <w:vAlign w:val="bottom"/>
          </w:tcPr>
          <w:p>
            <w:pPr>
              <w:spacing w:after="0"/>
              <w:rPr>
                <w:sz w:val="17"/>
                <w:szCs w:val="17"/>
                <w:color w:val="auto"/>
              </w:rPr>
            </w:pPr>
          </w:p>
        </w:tc>
        <w:tc>
          <w:tcPr>
            <w:tcW w:w="5440" w:type="dxa"/>
            <w:vAlign w:val="bottom"/>
            <w:shd w:val="clear" w:color="auto" w:fill="EFEFEF"/>
          </w:tcPr>
          <w:p>
            <w:pPr>
              <w:jc w:val="center"/>
              <w:spacing w:after="0"/>
              <w:rPr>
                <w:sz w:val="20"/>
                <w:szCs w:val="20"/>
                <w:color w:val="auto"/>
              </w:rPr>
            </w:pPr>
            <w:r>
              <w:rPr>
                <w:rFonts w:ascii="Arial" w:cs="Arial" w:eastAsia="Arial" w:hAnsi="Arial"/>
                <w:sz w:val="17"/>
                <w:szCs w:val="17"/>
                <w:color w:val="auto"/>
              </w:rPr>
              <w:t>outperformed that of the S&amp;P Financials and KBW Bank indices by 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5460" w:type="dxa"/>
            <w:vAlign w:val="bottom"/>
            <w:shd w:val="clear" w:color="auto" w:fill="EFEFEF"/>
          </w:tcPr>
          <w:p>
            <w:pPr>
              <w:jc w:val="center"/>
              <w:spacing w:after="0"/>
              <w:rPr>
                <w:sz w:val="20"/>
                <w:szCs w:val="20"/>
                <w:color w:val="auto"/>
              </w:rPr>
            </w:pPr>
            <w:r>
              <w:rPr>
                <w:rFonts w:ascii="Arial" w:cs="Arial" w:eastAsia="Arial" w:hAnsi="Arial"/>
                <w:sz w:val="17"/>
                <w:szCs w:val="17"/>
                <w:color w:val="auto"/>
                <w:w w:val="99"/>
              </w:rPr>
              <w:t>combined have only achieved it 6 times</w:t>
            </w:r>
            <w:r>
              <w:rPr>
                <w:rFonts w:ascii="Arial" w:cs="Arial" w:eastAsia="Arial" w:hAnsi="Arial"/>
                <w:sz w:val="22"/>
                <w:szCs w:val="22"/>
                <w:color w:val="auto"/>
                <w:w w:val="99"/>
                <w:vertAlign w:val="superscript"/>
              </w:rPr>
              <w:t>2</w:t>
            </w:r>
            <w:r>
              <w:rPr>
                <w:rFonts w:ascii="Arial" w:cs="Arial" w:eastAsia="Arial" w:hAnsi="Arial"/>
                <w:sz w:val="17"/>
                <w:szCs w:val="17"/>
                <w:color w:val="auto"/>
                <w:w w:val="99"/>
              </w:rPr>
              <w:t>.</w:t>
            </w:r>
          </w:p>
        </w:tc>
        <w:tc>
          <w:tcPr>
            <w:tcW w:w="160" w:type="dxa"/>
            <w:vAlign w:val="bottom"/>
          </w:tcPr>
          <w:p>
            <w:pPr>
              <w:spacing w:after="0"/>
              <w:rPr>
                <w:sz w:val="24"/>
                <w:szCs w:val="24"/>
                <w:color w:val="auto"/>
              </w:rPr>
            </w:pPr>
          </w:p>
        </w:tc>
        <w:tc>
          <w:tcPr>
            <w:tcW w:w="5440" w:type="dxa"/>
            <w:vAlign w:val="bottom"/>
            <w:shd w:val="clear" w:color="auto" w:fill="EFEFEF"/>
          </w:tcPr>
          <w:p>
            <w:pPr>
              <w:jc w:val="center"/>
              <w:spacing w:after="0"/>
              <w:rPr>
                <w:sz w:val="20"/>
                <w:szCs w:val="20"/>
                <w:color w:val="auto"/>
              </w:rPr>
            </w:pPr>
            <w:r>
              <w:rPr>
                <w:rFonts w:ascii="Arial" w:cs="Arial" w:eastAsia="Arial" w:hAnsi="Arial"/>
                <w:sz w:val="17"/>
                <w:szCs w:val="17"/>
                <w:color w:val="auto"/>
                <w:w w:val="99"/>
              </w:rPr>
              <w:t>and 204 percentage points, respectively.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460" w:type="dxa"/>
            <w:vAlign w:val="bottom"/>
            <w:shd w:val="clear" w:color="auto" w:fill="EFEFEF"/>
          </w:tcPr>
          <w:p>
            <w:pPr>
              <w:spacing w:after="0"/>
              <w:rPr>
                <w:sz w:val="6"/>
                <w:szCs w:val="6"/>
                <w:color w:val="auto"/>
              </w:rPr>
            </w:pPr>
          </w:p>
        </w:tc>
        <w:tc>
          <w:tcPr>
            <w:tcW w:w="160" w:type="dxa"/>
            <w:vAlign w:val="bottom"/>
          </w:tcPr>
          <w:p>
            <w:pPr>
              <w:spacing w:after="0"/>
              <w:rPr>
                <w:sz w:val="6"/>
                <w:szCs w:val="6"/>
                <w:color w:val="auto"/>
              </w:rPr>
            </w:pPr>
          </w:p>
        </w:tc>
        <w:tc>
          <w:tcPr>
            <w:tcW w:w="5440" w:type="dxa"/>
            <w:vAlign w:val="bottom"/>
            <w:shd w:val="clear" w:color="auto" w:fill="EFEFE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7"/>
        </w:trPr>
        <w:tc>
          <w:tcPr>
            <w:tcW w:w="5460" w:type="dxa"/>
            <w:vAlign w:val="bottom"/>
          </w:tcPr>
          <w:p>
            <w:pPr>
              <w:jc w:val="center"/>
              <w:spacing w:after="0"/>
              <w:rPr>
                <w:sz w:val="20"/>
                <w:szCs w:val="20"/>
                <w:color w:val="auto"/>
              </w:rPr>
            </w:pPr>
            <w:r>
              <w:rPr>
                <w:rFonts w:ascii="Arial" w:cs="Arial" w:eastAsia="Arial" w:hAnsi="Arial"/>
                <w:sz w:val="16"/>
                <w:szCs w:val="16"/>
                <w:b w:val="1"/>
                <w:bCs w:val="1"/>
                <w:i w:val="1"/>
                <w:iCs w:val="1"/>
                <w:color w:val="074A75"/>
              </w:rPr>
              <w:t>Years of Exceptional (≥18%) ROTCE</w:t>
            </w:r>
            <w:r>
              <w:rPr>
                <w:rFonts w:ascii="Arial" w:cs="Arial" w:eastAsia="Arial" w:hAnsi="Arial"/>
                <w:sz w:val="21"/>
                <w:szCs w:val="21"/>
                <w:b w:val="1"/>
                <w:bCs w:val="1"/>
                <w:i w:val="1"/>
                <w:iCs w:val="1"/>
                <w:color w:val="074A75"/>
                <w:vertAlign w:val="superscript"/>
              </w:rPr>
              <w:t>1</w:t>
            </w:r>
            <w:r>
              <w:rPr>
                <w:rFonts w:ascii="Arial" w:cs="Arial" w:eastAsia="Arial" w:hAnsi="Arial"/>
                <w:sz w:val="16"/>
                <w:szCs w:val="16"/>
                <w:b w:val="1"/>
                <w:bCs w:val="1"/>
                <w:i w:val="1"/>
                <w:iCs w:val="1"/>
                <w:color w:val="074A75"/>
              </w:rPr>
              <w:t xml:space="preserve"> Performance</w:t>
            </w:r>
          </w:p>
        </w:tc>
        <w:tc>
          <w:tcPr>
            <w:tcW w:w="160" w:type="dxa"/>
            <w:vAlign w:val="bottom"/>
          </w:tcPr>
          <w:p>
            <w:pPr>
              <w:spacing w:after="0"/>
              <w:rPr>
                <w:sz w:val="24"/>
                <w:szCs w:val="24"/>
                <w:color w:val="auto"/>
              </w:rPr>
            </w:pPr>
          </w:p>
        </w:tc>
        <w:tc>
          <w:tcPr>
            <w:tcW w:w="554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074A75"/>
              </w:rPr>
              <w:t>Total Shareholder Returns ("TSR")</w:t>
            </w:r>
            <w:r>
              <w:rPr>
                <w:rFonts w:ascii="Arial" w:cs="Arial" w:eastAsia="Arial" w:hAnsi="Arial"/>
                <w:sz w:val="21"/>
                <w:szCs w:val="21"/>
                <w:b w:val="1"/>
                <w:bCs w:val="1"/>
                <w:i w:val="1"/>
                <w:iCs w:val="1"/>
                <w:color w:val="074A75"/>
                <w:vertAlign w:val="superscript"/>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334"/>
        </w:trPr>
        <w:tc>
          <w:tcPr>
            <w:tcW w:w="5460" w:type="dxa"/>
            <w:vAlign w:val="bottom"/>
            <w:shd w:val="clear" w:color="auto" w:fill="EFEFEF"/>
          </w:tcPr>
          <w:p>
            <w:pPr>
              <w:jc w:val="center"/>
              <w:spacing w:after="0"/>
              <w:rPr>
                <w:sz w:val="20"/>
                <w:szCs w:val="20"/>
                <w:color w:val="auto"/>
              </w:rPr>
            </w:pPr>
            <w:r>
              <w:rPr>
                <w:rFonts w:ascii="Arial" w:cs="Arial" w:eastAsia="Arial" w:hAnsi="Arial"/>
                <w:sz w:val="17"/>
                <w:szCs w:val="17"/>
                <w:b w:val="1"/>
                <w:bCs w:val="1"/>
                <w:color w:val="00497F"/>
              </w:rPr>
              <w:t>Substantial Size &amp; Scale</w:t>
            </w:r>
          </w:p>
        </w:tc>
        <w:tc>
          <w:tcPr>
            <w:tcW w:w="160" w:type="dxa"/>
            <w:vAlign w:val="bottom"/>
          </w:tcPr>
          <w:p>
            <w:pPr>
              <w:spacing w:after="0"/>
              <w:rPr>
                <w:sz w:val="24"/>
                <w:szCs w:val="24"/>
                <w:color w:val="auto"/>
              </w:rPr>
            </w:pPr>
          </w:p>
        </w:tc>
        <w:tc>
          <w:tcPr>
            <w:tcW w:w="5540" w:type="dxa"/>
            <w:vAlign w:val="bottom"/>
            <w:shd w:val="clear" w:color="auto" w:fill="EFEFEF"/>
          </w:tcPr>
          <w:p>
            <w:pPr>
              <w:jc w:val="center"/>
              <w:spacing w:after="0"/>
              <w:rPr>
                <w:sz w:val="20"/>
                <w:szCs w:val="20"/>
                <w:color w:val="auto"/>
              </w:rPr>
            </w:pPr>
            <w:r>
              <w:rPr>
                <w:rFonts w:ascii="Arial" w:cs="Arial" w:eastAsia="Arial" w:hAnsi="Arial"/>
                <w:sz w:val="17"/>
                <w:szCs w:val="17"/>
                <w:b w:val="1"/>
                <w:bCs w:val="1"/>
                <w:color w:val="00497F"/>
              </w:rPr>
              <w:t>Leading CEO Pay-for-Performance Alignment</w:t>
            </w:r>
          </w:p>
        </w:tc>
      </w:tr>
      <w:tr>
        <w:trPr>
          <w:trHeight w:val="332"/>
        </w:trPr>
        <w:tc>
          <w:tcPr>
            <w:tcW w:w="5460" w:type="dxa"/>
            <w:vAlign w:val="bottom"/>
            <w:shd w:val="clear" w:color="auto" w:fill="EFEFEF"/>
          </w:tcPr>
          <w:p>
            <w:pPr>
              <w:jc w:val="center"/>
              <w:spacing w:after="0"/>
              <w:rPr>
                <w:sz w:val="20"/>
                <w:szCs w:val="20"/>
                <w:color w:val="auto"/>
              </w:rPr>
            </w:pPr>
            <w:r>
              <w:rPr>
                <w:rFonts w:ascii="Arial" w:cs="Arial" w:eastAsia="Arial" w:hAnsi="Arial"/>
                <w:sz w:val="17"/>
                <w:szCs w:val="17"/>
                <w:color w:val="auto"/>
              </w:rPr>
              <w:t>Our revenue &amp; market capitalization</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continue to exceed that of our</w:t>
            </w:r>
          </w:p>
        </w:tc>
        <w:tc>
          <w:tcPr>
            <w:tcW w:w="160" w:type="dxa"/>
            <w:vAlign w:val="bottom"/>
          </w:tcPr>
          <w:p>
            <w:pPr>
              <w:spacing w:after="0"/>
              <w:rPr>
                <w:sz w:val="24"/>
                <w:szCs w:val="24"/>
                <w:color w:val="auto"/>
              </w:rPr>
            </w:pPr>
          </w:p>
        </w:tc>
        <w:tc>
          <w:tcPr>
            <w:tcW w:w="5540" w:type="dxa"/>
            <w:vAlign w:val="bottom"/>
            <w:shd w:val="clear" w:color="auto" w:fill="EFEFEF"/>
          </w:tcPr>
          <w:p>
            <w:pPr>
              <w:jc w:val="center"/>
              <w:spacing w:after="0"/>
              <w:rPr>
                <w:sz w:val="20"/>
                <w:szCs w:val="20"/>
                <w:color w:val="auto"/>
              </w:rPr>
            </w:pPr>
            <w:r>
              <w:rPr>
                <w:rFonts w:ascii="Arial" w:cs="Arial" w:eastAsia="Arial" w:hAnsi="Arial"/>
                <w:sz w:val="17"/>
                <w:szCs w:val="17"/>
                <w:color w:val="auto"/>
              </w:rPr>
              <w:t>Our relative annual CEO pay-for-performance alignment has been</w:t>
            </w:r>
          </w:p>
        </w:tc>
      </w:tr>
      <w:tr>
        <w:trPr>
          <w:trHeight w:val="202"/>
        </w:trPr>
        <w:tc>
          <w:tcPr>
            <w:tcW w:w="5460" w:type="dxa"/>
            <w:vAlign w:val="bottom"/>
            <w:shd w:val="clear" w:color="auto" w:fill="EFEFEF"/>
          </w:tcPr>
          <w:p>
            <w:pPr>
              <w:jc w:val="center"/>
              <w:spacing w:after="0"/>
              <w:rPr>
                <w:sz w:val="20"/>
                <w:szCs w:val="20"/>
                <w:color w:val="auto"/>
              </w:rPr>
            </w:pPr>
            <w:r>
              <w:rPr>
                <w:rFonts w:ascii="Arial" w:cs="Arial" w:eastAsia="Arial" w:hAnsi="Arial"/>
                <w:sz w:val="17"/>
                <w:szCs w:val="17"/>
                <w:color w:val="auto"/>
              </w:rPr>
              <w:t>primary peers, demonstrating our significantly larger size and scale.</w:t>
            </w:r>
          </w:p>
        </w:tc>
        <w:tc>
          <w:tcPr>
            <w:tcW w:w="160" w:type="dxa"/>
            <w:vAlign w:val="bottom"/>
          </w:tcPr>
          <w:p>
            <w:pPr>
              <w:spacing w:after="0"/>
              <w:rPr>
                <w:sz w:val="17"/>
                <w:szCs w:val="17"/>
                <w:color w:val="auto"/>
              </w:rPr>
            </w:pPr>
          </w:p>
        </w:tc>
        <w:tc>
          <w:tcPr>
            <w:tcW w:w="5540" w:type="dxa"/>
            <w:vAlign w:val="bottom"/>
            <w:shd w:val="clear" w:color="auto" w:fill="EFEFEF"/>
          </w:tcPr>
          <w:p>
            <w:pPr>
              <w:jc w:val="center"/>
              <w:spacing w:after="0"/>
              <w:rPr>
                <w:sz w:val="20"/>
                <w:szCs w:val="20"/>
                <w:color w:val="auto"/>
              </w:rPr>
            </w:pPr>
            <w:r>
              <w:rPr>
                <w:rFonts w:ascii="Arial" w:cs="Arial" w:eastAsia="Arial" w:hAnsi="Arial"/>
                <w:sz w:val="17"/>
                <w:szCs w:val="17"/>
                <w:color w:val="auto"/>
              </w:rPr>
              <w:t>consistently stronger than our primary peers, reflected by our more</w:t>
            </w:r>
          </w:p>
        </w:tc>
      </w:tr>
      <w:tr>
        <w:trPr>
          <w:trHeight w:val="225"/>
        </w:trPr>
        <w:tc>
          <w:tcPr>
            <w:tcW w:w="5460" w:type="dxa"/>
            <w:vAlign w:val="bottom"/>
            <w:shd w:val="clear" w:color="auto" w:fill="EFEFEF"/>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shd w:val="clear" w:color="auto" w:fill="EFEFEF"/>
          </w:tcPr>
          <w:p>
            <w:pPr>
              <w:jc w:val="center"/>
              <w:spacing w:after="0"/>
              <w:rPr>
                <w:sz w:val="20"/>
                <w:szCs w:val="20"/>
                <w:color w:val="auto"/>
              </w:rPr>
            </w:pPr>
            <w:r>
              <w:rPr>
                <w:rFonts w:ascii="Arial" w:cs="Arial" w:eastAsia="Arial" w:hAnsi="Arial"/>
                <w:sz w:val="17"/>
                <w:szCs w:val="17"/>
                <w:color w:val="auto"/>
              </w:rPr>
              <w:t>efficient annual CEO pay allocation ratio.</w:t>
            </w:r>
          </w:p>
        </w:tc>
      </w:tr>
      <w:tr>
        <w:trPr>
          <w:trHeight w:val="148"/>
        </w:trPr>
        <w:tc>
          <w:tcPr>
            <w:tcW w:w="5460" w:type="dxa"/>
            <w:vAlign w:val="bottom"/>
            <w:shd w:val="clear" w:color="auto" w:fill="EFEFEF"/>
          </w:tcPr>
          <w:p>
            <w:pPr>
              <w:spacing w:after="0"/>
              <w:rPr>
                <w:sz w:val="12"/>
                <w:szCs w:val="12"/>
                <w:color w:val="auto"/>
              </w:rPr>
            </w:pPr>
          </w:p>
        </w:tc>
        <w:tc>
          <w:tcPr>
            <w:tcW w:w="160" w:type="dxa"/>
            <w:vAlign w:val="bottom"/>
          </w:tcPr>
          <w:p>
            <w:pPr>
              <w:spacing w:after="0"/>
              <w:rPr>
                <w:sz w:val="12"/>
                <w:szCs w:val="12"/>
                <w:color w:val="auto"/>
              </w:rPr>
            </w:pPr>
          </w:p>
        </w:tc>
        <w:tc>
          <w:tcPr>
            <w:tcW w:w="5540" w:type="dxa"/>
            <w:vAlign w:val="bottom"/>
            <w:shd w:val="clear" w:color="auto" w:fill="EFEFEF"/>
          </w:tcPr>
          <w:p>
            <w:pPr>
              <w:spacing w:after="0"/>
              <w:rPr>
                <w:sz w:val="12"/>
                <w:szCs w:val="12"/>
                <w:color w:val="auto"/>
              </w:rPr>
            </w:pPr>
          </w:p>
        </w:tc>
      </w:tr>
      <w:tr>
        <w:trPr>
          <w:trHeight w:val="397"/>
        </w:trPr>
        <w:tc>
          <w:tcPr>
            <w:tcW w:w="5460" w:type="dxa"/>
            <w:vAlign w:val="bottom"/>
          </w:tcPr>
          <w:p>
            <w:pPr>
              <w:jc w:val="center"/>
              <w:spacing w:after="0"/>
              <w:rPr>
                <w:sz w:val="20"/>
                <w:szCs w:val="20"/>
                <w:color w:val="auto"/>
              </w:rPr>
            </w:pPr>
            <w:r>
              <w:rPr>
                <w:rFonts w:ascii="Arial" w:cs="Arial" w:eastAsia="Arial" w:hAnsi="Arial"/>
                <w:sz w:val="16"/>
                <w:szCs w:val="16"/>
                <w:b w:val="1"/>
                <w:bCs w:val="1"/>
                <w:i w:val="1"/>
                <w:iCs w:val="1"/>
                <w:color w:val="074A75"/>
              </w:rPr>
              <w:t>3-Year Average Revenue &amp; Market Cap vs. Peers (2021-2023)</w:t>
            </w:r>
          </w:p>
        </w:tc>
        <w:tc>
          <w:tcPr>
            <w:tcW w:w="160" w:type="dxa"/>
            <w:vAlign w:val="bottom"/>
          </w:tcPr>
          <w:p>
            <w:pPr>
              <w:spacing w:after="0"/>
              <w:rPr>
                <w:sz w:val="24"/>
                <w:szCs w:val="24"/>
                <w:color w:val="auto"/>
              </w:rPr>
            </w:pPr>
          </w:p>
        </w:tc>
        <w:tc>
          <w:tcPr>
            <w:tcW w:w="5540" w:type="dxa"/>
            <w:vAlign w:val="bottom"/>
          </w:tcPr>
          <w:p>
            <w:pPr>
              <w:ind w:left="280"/>
              <w:spacing w:after="0"/>
              <w:rPr>
                <w:sz w:val="20"/>
                <w:szCs w:val="20"/>
                <w:color w:val="auto"/>
              </w:rPr>
            </w:pPr>
            <w:r>
              <w:rPr>
                <w:rFonts w:ascii="Arial" w:cs="Arial" w:eastAsia="Arial" w:hAnsi="Arial"/>
                <w:sz w:val="16"/>
                <w:szCs w:val="16"/>
                <w:b w:val="1"/>
                <w:bCs w:val="1"/>
                <w:i w:val="1"/>
                <w:iCs w:val="1"/>
                <w:color w:val="074A75"/>
              </w:rPr>
              <w:t>3-Year Average Annual CEO Pay as a % of Profits (2021-2023)</w:t>
            </w:r>
            <w:r>
              <w:rPr>
                <w:rFonts w:ascii="Arial" w:cs="Arial" w:eastAsia="Arial" w:hAnsi="Arial"/>
                <w:sz w:val="21"/>
                <w:szCs w:val="21"/>
                <w:b w:val="1"/>
                <w:bCs w:val="1"/>
                <w:i w:val="1"/>
                <w:iCs w:val="1"/>
                <w:color w:val="074A75"/>
                <w:vertAlign w:val="superscript"/>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hanging="192"/>
        <w:spacing w:after="0"/>
        <w:tabs>
          <w:tab w:leader="none" w:pos="200" w:val="left"/>
        </w:tabs>
        <w:numPr>
          <w:ilvl w:val="0"/>
          <w:numId w:val="127"/>
        </w:numPr>
        <w:rPr>
          <w:rFonts w:ascii="Arial" w:cs="Arial" w:eastAsia="Arial" w:hAnsi="Arial"/>
          <w:sz w:val="16"/>
          <w:szCs w:val="16"/>
          <w:color w:val="auto"/>
          <w:vertAlign w:val="superscript"/>
        </w:rPr>
      </w:pPr>
      <w:r>
        <w:rPr>
          <w:rFonts w:ascii="Arial" w:cs="Arial" w:eastAsia="Arial" w:hAnsi="Arial"/>
          <w:sz w:val="13"/>
          <w:szCs w:val="13"/>
          <w:color w:val="auto"/>
        </w:rPr>
        <w:t>ROTCE is a non-GAAP financial measure; refer to Note 1 on page 113 for a further discussion of this measure.</w:t>
      </w:r>
    </w:p>
    <w:p>
      <w:pPr>
        <w:ind w:left="200" w:hanging="192"/>
        <w:spacing w:after="0" w:line="193" w:lineRule="auto"/>
        <w:tabs>
          <w:tab w:leader="none" w:pos="200" w:val="left"/>
        </w:tabs>
        <w:numPr>
          <w:ilvl w:val="0"/>
          <w:numId w:val="128"/>
        </w:numPr>
        <w:rPr>
          <w:rFonts w:ascii="Arial" w:cs="Arial" w:eastAsia="Arial" w:hAnsi="Arial"/>
          <w:sz w:val="16"/>
          <w:szCs w:val="16"/>
          <w:color w:val="auto"/>
          <w:vertAlign w:val="superscript"/>
        </w:rPr>
      </w:pPr>
      <w:r>
        <w:rPr>
          <w:rFonts w:ascii="Arial" w:cs="Arial" w:eastAsia="Arial" w:hAnsi="Arial"/>
          <w:sz w:val="13"/>
          <w:szCs w:val="13"/>
          <w:color w:val="auto"/>
        </w:rPr>
        <w:t>Peer ROTCE, Revenue, Net Income, and CEO Compensation based on public disclosures (Form 10-K, Form 8-K, Annual Proxy Filings); Market Capitalization from S&amp;P CapIQ database.</w:t>
      </w:r>
    </w:p>
    <w:p>
      <w:pPr>
        <w:ind w:left="200" w:hanging="192"/>
        <w:spacing w:after="0" w:line="212" w:lineRule="auto"/>
        <w:tabs>
          <w:tab w:leader="none" w:pos="200" w:val="left"/>
        </w:tabs>
        <w:numPr>
          <w:ilvl w:val="0"/>
          <w:numId w:val="129"/>
        </w:numPr>
        <w:rPr>
          <w:rFonts w:ascii="Arial" w:cs="Arial" w:eastAsia="Arial" w:hAnsi="Arial"/>
          <w:sz w:val="16"/>
          <w:szCs w:val="16"/>
          <w:color w:val="auto"/>
          <w:vertAlign w:val="superscript"/>
        </w:rPr>
      </w:pPr>
      <w:r>
        <w:rPr>
          <w:rFonts w:ascii="Arial" w:cs="Arial" w:eastAsia="Arial" w:hAnsi="Arial"/>
          <w:sz w:val="13"/>
          <w:szCs w:val="13"/>
          <w:color w:val="auto"/>
        </w:rPr>
        <w:t>TSR shows the actual return of the stock price, with dividends reinvested.</w:t>
      </w:r>
    </w:p>
    <w:p>
      <w:pPr>
        <w:ind w:left="200" w:right="60" w:hanging="192"/>
        <w:spacing w:after="0" w:line="224" w:lineRule="auto"/>
        <w:tabs>
          <w:tab w:leader="none" w:pos="200" w:val="left"/>
        </w:tabs>
        <w:numPr>
          <w:ilvl w:val="0"/>
          <w:numId w:val="130"/>
        </w:numPr>
        <w:rPr>
          <w:rFonts w:ascii="Arial" w:cs="Arial" w:eastAsia="Arial" w:hAnsi="Arial"/>
          <w:sz w:val="16"/>
          <w:szCs w:val="16"/>
          <w:color w:val="auto"/>
          <w:vertAlign w:val="superscript"/>
        </w:rPr>
      </w:pPr>
      <w:r>
        <w:rPr>
          <w:rFonts w:ascii="Arial" w:cs="Arial" w:eastAsia="Arial" w:hAnsi="Arial"/>
          <w:sz w:val="13"/>
          <w:szCs w:val="13"/>
          <w:color w:val="auto"/>
        </w:rPr>
        <w:t>Annual compensation comprises base salary, cash bonus paid and long-term incentive compensation (target value) in connection with the performance year, which may be different from amounts reported in the Summary Compensation Table. Refer to Note 1 on page 55 for further information. The percentage of profits paid is equal to three-year average annual CEO compensation divided by three-year average net income. Excludes special awards.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135"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074A75"/>
        </w:rPr>
        <w:t>On pages 39-62, we provide a more in-depth discussion of our executive compensation program.</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442"/>
        </w:trPr>
        <w:tc>
          <w:tcPr>
            <w:tcW w:w="1440" w:type="dxa"/>
            <w:vAlign w:val="bottom"/>
            <w:vMerge w:val="restart"/>
            <w:shd w:val="clear" w:color="auto" w:fill="E7E7E8"/>
          </w:tcPr>
          <w:p>
            <w:pPr>
              <w:jc w:val="right"/>
              <w:spacing w:after="0"/>
              <w:rPr>
                <w:sz w:val="20"/>
                <w:szCs w:val="20"/>
                <w:color w:val="auto"/>
              </w:rPr>
            </w:pPr>
            <w:r>
              <w:rPr>
                <w:rFonts w:ascii="Arial" w:cs="Arial" w:eastAsia="Arial" w:hAnsi="Arial"/>
                <w:sz w:val="104"/>
                <w:szCs w:val="104"/>
                <w:color w:val="074A75"/>
              </w:rPr>
              <w:t>1</w:t>
            </w:r>
          </w:p>
        </w:tc>
        <w:tc>
          <w:tcPr>
            <w:tcW w:w="9800" w:type="dxa"/>
            <w:vAlign w:val="bottom"/>
          </w:tcPr>
          <w:p>
            <w:pPr>
              <w:ind w:left="160"/>
              <w:spacing w:after="0"/>
              <w:rPr>
                <w:sz w:val="20"/>
                <w:szCs w:val="20"/>
                <w:color w:val="auto"/>
              </w:rPr>
            </w:pPr>
            <w:r>
              <w:rPr>
                <w:rFonts w:ascii="Arial" w:cs="Arial" w:eastAsia="Arial" w:hAnsi="Arial"/>
                <w:sz w:val="36"/>
                <w:szCs w:val="36"/>
                <w:color w:val="074A75"/>
              </w:rPr>
              <w:t>How we think about pay decisions</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800" w:type="dxa"/>
            <w:vAlign w:val="bottom"/>
          </w:tcPr>
          <w:p>
            <w:pPr>
              <w:ind w:left="160"/>
              <w:spacing w:after="0"/>
              <w:rPr>
                <w:sz w:val="20"/>
                <w:szCs w:val="20"/>
                <w:color w:val="auto"/>
              </w:rPr>
            </w:pPr>
            <w:r>
              <w:rPr>
                <w:rFonts w:ascii="Arial" w:cs="Arial" w:eastAsia="Arial" w:hAnsi="Arial"/>
                <w:sz w:val="18"/>
                <w:szCs w:val="18"/>
                <w:i w:val="1"/>
                <w:iCs w:val="1"/>
                <w:color w:val="074A75"/>
              </w:rPr>
              <w:t>The Firm’s Business Principles and strategic framework form the basis of our OC members’ strategic priorities. The</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800" w:type="dxa"/>
            <w:vAlign w:val="bottom"/>
          </w:tcPr>
          <w:p>
            <w:pPr>
              <w:ind w:left="160"/>
              <w:spacing w:after="0"/>
              <w:rPr>
                <w:sz w:val="20"/>
                <w:szCs w:val="20"/>
                <w:color w:val="auto"/>
              </w:rPr>
            </w:pPr>
            <w:r>
              <w:rPr>
                <w:rFonts w:ascii="Arial" w:cs="Arial" w:eastAsia="Arial" w:hAnsi="Arial"/>
                <w:sz w:val="18"/>
                <w:szCs w:val="18"/>
                <w:i w:val="1"/>
                <w:iCs w:val="1"/>
                <w:color w:val="074A75"/>
              </w:rPr>
              <w:t>CMDC references those strategic priorities and the Firm’s compensation philosophy to assess OC members’</w:t>
            </w:r>
          </w:p>
        </w:tc>
        <w:tc>
          <w:tcPr>
            <w:tcW w:w="0" w:type="dxa"/>
            <w:vAlign w:val="bottom"/>
          </w:tcPr>
          <w:p>
            <w:pPr>
              <w:spacing w:after="0"/>
              <w:rPr>
                <w:sz w:val="1"/>
                <w:szCs w:val="1"/>
                <w:color w:val="auto"/>
              </w:rPr>
            </w:pPr>
          </w:p>
        </w:tc>
      </w:tr>
      <w:tr>
        <w:trPr>
          <w:trHeight w:val="435"/>
        </w:trPr>
        <w:tc>
          <w:tcPr>
            <w:tcW w:w="1440" w:type="dxa"/>
            <w:vAlign w:val="bottom"/>
            <w:vMerge w:val="continue"/>
            <w:shd w:val="clear" w:color="auto" w:fill="E7E7E8"/>
          </w:tcPr>
          <w:p>
            <w:pPr>
              <w:spacing w:after="0"/>
              <w:rPr>
                <w:sz w:val="24"/>
                <w:szCs w:val="24"/>
                <w:color w:val="auto"/>
              </w:rPr>
            </w:pPr>
          </w:p>
        </w:tc>
        <w:tc>
          <w:tcPr>
            <w:tcW w:w="9800" w:type="dxa"/>
            <w:vAlign w:val="bottom"/>
          </w:tcPr>
          <w:p>
            <w:pPr>
              <w:ind w:left="160"/>
              <w:spacing w:after="0"/>
              <w:rPr>
                <w:sz w:val="20"/>
                <w:szCs w:val="20"/>
                <w:color w:val="auto"/>
              </w:rPr>
            </w:pPr>
            <w:r>
              <w:rPr>
                <w:rFonts w:ascii="Arial" w:cs="Arial" w:eastAsia="Arial" w:hAnsi="Arial"/>
                <w:sz w:val="18"/>
                <w:szCs w:val="18"/>
                <w:i w:val="1"/>
                <w:iCs w:val="1"/>
                <w:color w:val="074A75"/>
              </w:rPr>
              <w:t>performance and to determine their respective total compensation levels and pay mix.</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9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EEEFEF"/>
          </w:tcPr>
          <w:p>
            <w:pPr>
              <w:spacing w:after="0"/>
              <w:rPr>
                <w:sz w:val="11"/>
                <w:szCs w:val="11"/>
                <w:color w:val="auto"/>
              </w:rPr>
            </w:pPr>
          </w:p>
        </w:tc>
        <w:tc>
          <w:tcPr>
            <w:tcW w:w="9800" w:type="dxa"/>
            <w:vAlign w:val="bottom"/>
            <w:shd w:val="clear" w:color="auto" w:fill="EEEF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4319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431925"/>
                    </a:xfrm>
                    <a:prstGeom prst="rect">
                      <a:avLst/>
                    </a:prstGeom>
                    <a:noFill/>
                  </pic:spPr>
                </pic:pic>
              </a:graphicData>
            </a:graphic>
          </wp:anchor>
        </w:drawing>
      </w:r>
    </w:p>
    <w:p>
      <w:pPr>
        <w:ind w:left="280"/>
        <w:spacing w:after="0"/>
        <w:rPr>
          <w:sz w:val="20"/>
          <w:szCs w:val="20"/>
          <w:color w:val="auto"/>
        </w:rPr>
      </w:pPr>
      <w:r>
        <w:rPr>
          <w:rFonts w:ascii="Arial" w:cs="Arial" w:eastAsia="Arial" w:hAnsi="Arial"/>
          <w:sz w:val="29"/>
          <w:szCs w:val="29"/>
          <w:color w:val="074A75"/>
        </w:rPr>
        <w:t>Business Principles</w:t>
      </w:r>
    </w:p>
    <w:p>
      <w:pPr>
        <w:spacing w:after="0" w:line="282" w:lineRule="exact"/>
        <w:rPr>
          <w:sz w:val="20"/>
          <w:szCs w:val="20"/>
          <w:color w:val="auto"/>
        </w:rPr>
      </w:pPr>
    </w:p>
    <w:p>
      <w:pPr>
        <w:ind w:left="280" w:right="860"/>
        <w:spacing w:after="0" w:line="277" w:lineRule="auto"/>
        <w:rPr>
          <w:sz w:val="20"/>
          <w:szCs w:val="20"/>
          <w:color w:val="auto"/>
        </w:rPr>
      </w:pPr>
      <w:r>
        <w:rPr>
          <w:rFonts w:ascii="Arial" w:cs="Arial" w:eastAsia="Arial" w:hAnsi="Arial"/>
          <w:sz w:val="18"/>
          <w:szCs w:val="18"/>
          <w:color w:val="auto"/>
        </w:rPr>
        <w:t xml:space="preserve">In addition to our Purpose and Values, the Firm’s Business Principles and culture are fundamental to our success in </w:t>
      </w:r>
      <w:r>
        <w:rPr>
          <w:rFonts w:ascii="Arial" w:cs="Arial" w:eastAsia="Arial" w:hAnsi="Arial"/>
          <w:sz w:val="18"/>
          <w:szCs w:val="18"/>
          <w:b w:val="1"/>
          <w:bCs w:val="1"/>
          <w:color w:val="auto"/>
        </w:rPr>
        <w:t>how</w:t>
      </w:r>
      <w:r>
        <w:rPr>
          <w:rFonts w:ascii="Arial" w:cs="Arial" w:eastAsia="Arial" w:hAnsi="Arial"/>
          <w:sz w:val="18"/>
          <w:szCs w:val="18"/>
          <w:color w:val="auto"/>
        </w:rPr>
        <w:t xml:space="preserve"> we do business over the long-term.</w:t>
      </w:r>
    </w:p>
    <w:tbl>
      <w:tblPr>
        <w:tblLayout w:type="fixed"/>
        <w:tblInd w:w="0" w:type="dxa"/>
        <w:tblCellMar>
          <w:top w:w="0" w:type="dxa"/>
          <w:left w:w="0" w:type="dxa"/>
          <w:bottom w:w="0" w:type="dxa"/>
          <w:right w:w="0" w:type="dxa"/>
        </w:tblCellMar>
      </w:tblPr>
      <w:tr>
        <w:trPr>
          <w:trHeight w:val="189"/>
        </w:trPr>
        <w:tc>
          <w:tcPr>
            <w:tcW w:w="260" w:type="dxa"/>
            <w:vAlign w:val="bottom"/>
          </w:tcPr>
          <w:p>
            <w:pPr>
              <w:spacing w:after="0"/>
              <w:rPr>
                <w:sz w:val="16"/>
                <w:szCs w:val="16"/>
                <w:color w:val="auto"/>
              </w:rPr>
            </w:pPr>
          </w:p>
        </w:tc>
        <w:tc>
          <w:tcPr>
            <w:tcW w:w="440" w:type="dxa"/>
            <w:vAlign w:val="bottom"/>
            <w:shd w:val="clear" w:color="auto" w:fill="EEEFEF"/>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440" w:type="dxa"/>
            <w:vAlign w:val="bottom"/>
            <w:shd w:val="clear" w:color="auto" w:fill="EEEFEF"/>
          </w:tcPr>
          <w:p>
            <w:pPr>
              <w:spacing w:after="0"/>
              <w:rPr>
                <w:sz w:val="19"/>
                <w:szCs w:val="1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8"/>
              </w:rPr>
              <w:t>Exceptional</w:t>
            </w:r>
          </w:p>
        </w:tc>
        <w:tc>
          <w:tcPr>
            <w:tcW w:w="180" w:type="dxa"/>
            <w:vAlign w:val="bottom"/>
            <w:shd w:val="clear" w:color="auto" w:fill="EEEFEF"/>
          </w:tcPr>
          <w:p>
            <w:pPr>
              <w:spacing w:after="0"/>
              <w:rPr>
                <w:sz w:val="19"/>
                <w:szCs w:val="19"/>
                <w:color w:val="auto"/>
              </w:rPr>
            </w:pPr>
          </w:p>
        </w:tc>
        <w:tc>
          <w:tcPr>
            <w:tcW w:w="2320" w:type="dxa"/>
            <w:vAlign w:val="bottom"/>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A Commitment to</w:t>
            </w:r>
          </w:p>
        </w:tc>
        <w:tc>
          <w:tcPr>
            <w:tcW w:w="180" w:type="dxa"/>
            <w:vAlign w:val="bottom"/>
            <w:shd w:val="clear" w:color="auto" w:fill="EEEFEF"/>
          </w:tcPr>
          <w:p>
            <w:pPr>
              <w:spacing w:after="0"/>
              <w:rPr>
                <w:sz w:val="19"/>
                <w:szCs w:val="19"/>
                <w:color w:val="auto"/>
              </w:rPr>
            </w:pPr>
          </w:p>
        </w:tc>
        <w:tc>
          <w:tcPr>
            <w:tcW w:w="234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Operational</w:t>
            </w:r>
          </w:p>
        </w:tc>
        <w:tc>
          <w:tcPr>
            <w:tcW w:w="180" w:type="dxa"/>
            <w:vAlign w:val="bottom"/>
            <w:shd w:val="clear" w:color="auto" w:fill="EEEFEF"/>
          </w:tcPr>
          <w:p>
            <w:pPr>
              <w:spacing w:after="0"/>
              <w:rPr>
                <w:sz w:val="19"/>
                <w:szCs w:val="19"/>
                <w:color w:val="auto"/>
              </w:rPr>
            </w:pPr>
          </w:p>
        </w:tc>
        <w:tc>
          <w:tcPr>
            <w:tcW w:w="2380" w:type="dxa"/>
            <w:vAlign w:val="bottom"/>
            <w:vMerge w:val="restart"/>
            <w:shd w:val="clear" w:color="auto" w:fill="074A75"/>
          </w:tcPr>
          <w:p>
            <w:pPr>
              <w:ind w:left="520"/>
              <w:spacing w:after="0"/>
              <w:rPr>
                <w:sz w:val="20"/>
                <w:szCs w:val="20"/>
                <w:color w:val="auto"/>
              </w:rPr>
            </w:pPr>
            <w:r>
              <w:rPr>
                <w:rFonts w:ascii="Arial" w:cs="Arial" w:eastAsia="Arial" w:hAnsi="Arial"/>
                <w:sz w:val="18"/>
                <w:szCs w:val="18"/>
                <w:b w:val="1"/>
                <w:bCs w:val="1"/>
                <w:color w:val="FFFFFF"/>
              </w:rPr>
              <w:t>Great Team and</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40" w:type="dxa"/>
            <w:vAlign w:val="bottom"/>
            <w:shd w:val="clear" w:color="auto" w:fill="EEEFEF"/>
          </w:tcPr>
          <w:p>
            <w:pPr>
              <w:spacing w:after="0"/>
              <w:rPr>
                <w:sz w:val="9"/>
                <w:szCs w:val="9"/>
                <w:color w:val="auto"/>
              </w:rPr>
            </w:pPr>
          </w:p>
        </w:tc>
        <w:tc>
          <w:tcPr>
            <w:tcW w:w="232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Integrity, Fairness</w:t>
            </w:r>
          </w:p>
        </w:tc>
        <w:tc>
          <w:tcPr>
            <w:tcW w:w="180" w:type="dxa"/>
            <w:vAlign w:val="bottom"/>
            <w:shd w:val="clear" w:color="auto" w:fill="EEEFEF"/>
          </w:tcPr>
          <w:p>
            <w:pPr>
              <w:spacing w:after="0"/>
              <w:rPr>
                <w:sz w:val="9"/>
                <w:szCs w:val="9"/>
                <w:color w:val="auto"/>
              </w:rPr>
            </w:pPr>
          </w:p>
        </w:tc>
        <w:tc>
          <w:tcPr>
            <w:tcW w:w="234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80" w:type="dxa"/>
            <w:vAlign w:val="bottom"/>
            <w:vMerge w:val="continue"/>
            <w:shd w:val="clear" w:color="auto" w:fill="074A75"/>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40" w:type="dxa"/>
            <w:vAlign w:val="bottom"/>
            <w:shd w:val="clear" w:color="auto" w:fill="EEEFEF"/>
          </w:tcPr>
          <w:p>
            <w:pPr>
              <w:spacing w:after="0"/>
              <w:rPr>
                <w:sz w:val="9"/>
                <w:szCs w:val="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rPr>
              <w:t>Client Service</w:t>
            </w:r>
          </w:p>
        </w:tc>
        <w:tc>
          <w:tcPr>
            <w:tcW w:w="180" w:type="dxa"/>
            <w:vAlign w:val="bottom"/>
            <w:shd w:val="clear" w:color="auto" w:fill="EEEFEF"/>
          </w:tcPr>
          <w:p>
            <w:pPr>
              <w:spacing w:after="0"/>
              <w:rPr>
                <w:sz w:val="9"/>
                <w:szCs w:val="9"/>
                <w:color w:val="auto"/>
              </w:rPr>
            </w:pPr>
          </w:p>
        </w:tc>
        <w:tc>
          <w:tcPr>
            <w:tcW w:w="232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4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rPr>
              <w:t>Excellence</w:t>
            </w:r>
          </w:p>
        </w:tc>
        <w:tc>
          <w:tcPr>
            <w:tcW w:w="180" w:type="dxa"/>
            <w:vAlign w:val="bottom"/>
            <w:shd w:val="clear" w:color="auto" w:fill="EEEFEF"/>
          </w:tcPr>
          <w:p>
            <w:pPr>
              <w:spacing w:after="0"/>
              <w:rPr>
                <w:sz w:val="9"/>
                <w:szCs w:val="9"/>
                <w:color w:val="auto"/>
              </w:rPr>
            </w:pPr>
          </w:p>
        </w:tc>
        <w:tc>
          <w:tcPr>
            <w:tcW w:w="2380" w:type="dxa"/>
            <w:vAlign w:val="bottom"/>
            <w:vMerge w:val="restart"/>
            <w:shd w:val="clear" w:color="auto" w:fill="074A75"/>
          </w:tcPr>
          <w:p>
            <w:pPr>
              <w:ind w:left="500"/>
              <w:spacing w:after="0"/>
              <w:rPr>
                <w:sz w:val="20"/>
                <w:szCs w:val="20"/>
                <w:color w:val="auto"/>
              </w:rPr>
            </w:pPr>
            <w:r>
              <w:rPr>
                <w:rFonts w:ascii="Arial" w:cs="Arial" w:eastAsia="Arial" w:hAnsi="Arial"/>
                <w:sz w:val="18"/>
                <w:szCs w:val="18"/>
                <w:b w:val="1"/>
                <w:bCs w:val="1"/>
                <w:color w:val="FFFFFF"/>
              </w:rPr>
              <w:t>Winning Culture</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440" w:type="dxa"/>
            <w:vAlign w:val="bottom"/>
            <w:shd w:val="clear" w:color="auto" w:fill="EEEFEF"/>
          </w:tcPr>
          <w:p>
            <w:pPr>
              <w:spacing w:after="0"/>
              <w:rPr>
                <w:sz w:val="12"/>
                <w:szCs w:val="12"/>
                <w:color w:val="auto"/>
              </w:rPr>
            </w:pPr>
          </w:p>
        </w:tc>
        <w:tc>
          <w:tcPr>
            <w:tcW w:w="2320" w:type="dxa"/>
            <w:vAlign w:val="bottom"/>
            <w:vMerge w:val="continue"/>
            <w:shd w:val="clear" w:color="auto" w:fill="074A75"/>
          </w:tcPr>
          <w:p>
            <w:pPr>
              <w:spacing w:after="0"/>
              <w:rPr>
                <w:sz w:val="12"/>
                <w:szCs w:val="12"/>
                <w:color w:val="auto"/>
              </w:rPr>
            </w:pPr>
          </w:p>
        </w:tc>
        <w:tc>
          <w:tcPr>
            <w:tcW w:w="180" w:type="dxa"/>
            <w:vAlign w:val="bottom"/>
            <w:shd w:val="clear" w:color="auto" w:fill="EEEFEF"/>
          </w:tcPr>
          <w:p>
            <w:pPr>
              <w:spacing w:after="0"/>
              <w:rPr>
                <w:sz w:val="12"/>
                <w:szCs w:val="12"/>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and Responsibility</w:t>
            </w:r>
          </w:p>
        </w:tc>
        <w:tc>
          <w:tcPr>
            <w:tcW w:w="180" w:type="dxa"/>
            <w:vAlign w:val="bottom"/>
            <w:shd w:val="clear" w:color="auto" w:fill="EEEFEF"/>
          </w:tcPr>
          <w:p>
            <w:pPr>
              <w:spacing w:after="0"/>
              <w:rPr>
                <w:sz w:val="12"/>
                <w:szCs w:val="12"/>
                <w:color w:val="auto"/>
              </w:rPr>
            </w:pPr>
          </w:p>
        </w:tc>
        <w:tc>
          <w:tcPr>
            <w:tcW w:w="2340" w:type="dxa"/>
            <w:vAlign w:val="bottom"/>
            <w:vMerge w:val="continue"/>
            <w:shd w:val="clear" w:color="auto" w:fill="074A75"/>
          </w:tcPr>
          <w:p>
            <w:pPr>
              <w:spacing w:after="0"/>
              <w:rPr>
                <w:sz w:val="12"/>
                <w:szCs w:val="12"/>
                <w:color w:val="auto"/>
              </w:rPr>
            </w:pPr>
          </w:p>
        </w:tc>
        <w:tc>
          <w:tcPr>
            <w:tcW w:w="180" w:type="dxa"/>
            <w:vAlign w:val="bottom"/>
            <w:shd w:val="clear" w:color="auto" w:fill="EEEFEF"/>
          </w:tcPr>
          <w:p>
            <w:pPr>
              <w:spacing w:after="0"/>
              <w:rPr>
                <w:sz w:val="12"/>
                <w:szCs w:val="12"/>
                <w:color w:val="auto"/>
              </w:rPr>
            </w:pPr>
          </w:p>
        </w:tc>
        <w:tc>
          <w:tcPr>
            <w:tcW w:w="2380" w:type="dxa"/>
            <w:vAlign w:val="bottom"/>
            <w:vMerge w:val="continue"/>
            <w:shd w:val="clear" w:color="auto" w:fill="074A75"/>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440" w:type="dxa"/>
            <w:vAlign w:val="bottom"/>
            <w:shd w:val="clear" w:color="auto" w:fill="EEEFEF"/>
          </w:tcPr>
          <w:p>
            <w:pPr>
              <w:spacing w:after="0"/>
              <w:rPr>
                <w:sz w:val="10"/>
                <w:szCs w:val="10"/>
                <w:color w:val="auto"/>
              </w:rPr>
            </w:pPr>
          </w:p>
        </w:tc>
        <w:tc>
          <w:tcPr>
            <w:tcW w:w="2320" w:type="dxa"/>
            <w:vAlign w:val="bottom"/>
            <w:shd w:val="clear" w:color="auto" w:fill="074A75"/>
          </w:tcPr>
          <w:p>
            <w:pPr>
              <w:spacing w:after="0"/>
              <w:rPr>
                <w:sz w:val="10"/>
                <w:szCs w:val="10"/>
                <w:color w:val="auto"/>
              </w:rPr>
            </w:pPr>
          </w:p>
        </w:tc>
        <w:tc>
          <w:tcPr>
            <w:tcW w:w="180" w:type="dxa"/>
            <w:vAlign w:val="bottom"/>
            <w:shd w:val="clear" w:color="auto" w:fill="EEEFEF"/>
          </w:tcPr>
          <w:p>
            <w:pPr>
              <w:spacing w:after="0"/>
              <w:rPr>
                <w:sz w:val="10"/>
                <w:szCs w:val="10"/>
                <w:color w:val="auto"/>
              </w:rPr>
            </w:pPr>
          </w:p>
        </w:tc>
        <w:tc>
          <w:tcPr>
            <w:tcW w:w="2320" w:type="dxa"/>
            <w:vAlign w:val="bottom"/>
            <w:vMerge w:val="continue"/>
            <w:shd w:val="clear" w:color="auto" w:fill="074A75"/>
          </w:tcPr>
          <w:p>
            <w:pPr>
              <w:spacing w:after="0"/>
              <w:rPr>
                <w:sz w:val="10"/>
                <w:szCs w:val="10"/>
                <w:color w:val="auto"/>
              </w:rPr>
            </w:pPr>
          </w:p>
        </w:tc>
        <w:tc>
          <w:tcPr>
            <w:tcW w:w="180" w:type="dxa"/>
            <w:vAlign w:val="bottom"/>
            <w:shd w:val="clear" w:color="auto" w:fill="EEEFEF"/>
          </w:tcPr>
          <w:p>
            <w:pPr>
              <w:spacing w:after="0"/>
              <w:rPr>
                <w:sz w:val="10"/>
                <w:szCs w:val="10"/>
                <w:color w:val="auto"/>
              </w:rPr>
            </w:pPr>
          </w:p>
        </w:tc>
        <w:tc>
          <w:tcPr>
            <w:tcW w:w="2340" w:type="dxa"/>
            <w:vAlign w:val="bottom"/>
            <w:shd w:val="clear" w:color="auto" w:fill="074A75"/>
          </w:tcPr>
          <w:p>
            <w:pPr>
              <w:spacing w:after="0"/>
              <w:rPr>
                <w:sz w:val="10"/>
                <w:szCs w:val="10"/>
                <w:color w:val="auto"/>
              </w:rPr>
            </w:pPr>
          </w:p>
        </w:tc>
        <w:tc>
          <w:tcPr>
            <w:tcW w:w="180" w:type="dxa"/>
            <w:vAlign w:val="bottom"/>
            <w:shd w:val="clear" w:color="auto" w:fill="EEEFEF"/>
          </w:tcPr>
          <w:p>
            <w:pPr>
              <w:spacing w:after="0"/>
              <w:rPr>
                <w:sz w:val="10"/>
                <w:szCs w:val="10"/>
                <w:color w:val="auto"/>
              </w:rPr>
            </w:pPr>
          </w:p>
        </w:tc>
        <w:tc>
          <w:tcPr>
            <w:tcW w:w="2380" w:type="dxa"/>
            <w:vAlign w:val="bottom"/>
            <w:shd w:val="clear" w:color="auto" w:fill="074A75"/>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4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4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80" w:type="dxa"/>
            <w:vAlign w:val="bottom"/>
            <w:shd w:val="clear" w:color="auto" w:fill="EEEFEF"/>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shd w:val="clear" w:color="auto" w:fill="EEEFEF"/>
          </w:tcPr>
          <w:p>
            <w:pPr>
              <w:spacing w:after="0"/>
              <w:rPr>
                <w:sz w:val="11"/>
                <w:szCs w:val="11"/>
                <w:color w:val="auto"/>
              </w:rPr>
            </w:pPr>
          </w:p>
        </w:tc>
        <w:tc>
          <w:tcPr>
            <w:tcW w:w="44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4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80" w:type="dxa"/>
            <w:vAlign w:val="bottom"/>
            <w:shd w:val="clear" w:color="auto" w:fill="EEEFEF"/>
          </w:tcPr>
          <w:p>
            <w:pPr>
              <w:spacing w:after="0"/>
              <w:rPr>
                <w:sz w:val="11"/>
                <w:szCs w:val="11"/>
                <w:color w:val="auto"/>
              </w:rPr>
            </w:pPr>
          </w:p>
        </w:tc>
        <w:tc>
          <w:tcPr>
            <w:tcW w:w="640" w:type="dxa"/>
            <w:vAlign w:val="bottom"/>
            <w:shd w:val="clear" w:color="auto" w:fill="EEEF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36944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3694430"/>
                    </a:xfrm>
                    <a:prstGeom prst="rect">
                      <a:avLst/>
                    </a:prstGeom>
                    <a:noFill/>
                  </pic:spPr>
                </pic:pic>
              </a:graphicData>
            </a:graphic>
          </wp:anchor>
        </w:drawing>
      </w:r>
    </w:p>
    <w:p>
      <w:pPr>
        <w:ind w:left="280"/>
        <w:spacing w:after="0"/>
        <w:rPr>
          <w:sz w:val="20"/>
          <w:szCs w:val="20"/>
          <w:color w:val="auto"/>
        </w:rPr>
      </w:pPr>
      <w:r>
        <w:rPr>
          <w:rFonts w:ascii="Arial" w:cs="Arial" w:eastAsia="Arial" w:hAnsi="Arial"/>
          <w:sz w:val="29"/>
          <w:szCs w:val="29"/>
          <w:color w:val="074A75"/>
        </w:rPr>
        <w:t>Strategic Framework</w:t>
      </w:r>
    </w:p>
    <w:p>
      <w:pPr>
        <w:spacing w:after="0" w:line="323" w:lineRule="exact"/>
        <w:rPr>
          <w:sz w:val="20"/>
          <w:szCs w:val="20"/>
          <w:color w:val="auto"/>
        </w:rPr>
      </w:pPr>
    </w:p>
    <w:p>
      <w:pPr>
        <w:ind w:left="280" w:right="780"/>
        <w:spacing w:after="0" w:line="258" w:lineRule="auto"/>
        <w:rPr>
          <w:sz w:val="20"/>
          <w:szCs w:val="20"/>
          <w:color w:val="auto"/>
        </w:rPr>
      </w:pPr>
      <w:r>
        <w:rPr>
          <w:rFonts w:ascii="Arial" w:cs="Arial" w:eastAsia="Arial" w:hAnsi="Arial"/>
          <w:sz w:val="18"/>
          <w:szCs w:val="18"/>
          <w:color w:val="auto"/>
        </w:rPr>
        <w:t>Guided by our Business Principles, our strategic framework provides holistic direction for the Firm and ultimately focuses on four primary strategic tenets listed below.</w:t>
      </w:r>
    </w:p>
    <w:p>
      <w:pPr>
        <w:ind w:left="280" w:right="440"/>
        <w:spacing w:after="0" w:line="271" w:lineRule="auto"/>
        <w:rPr>
          <w:sz w:val="20"/>
          <w:szCs w:val="20"/>
          <w:color w:val="auto"/>
        </w:rPr>
      </w:pPr>
      <w:r>
        <w:rPr>
          <w:rFonts w:ascii="Arial" w:cs="Arial" w:eastAsia="Arial" w:hAnsi="Arial"/>
          <w:sz w:val="18"/>
          <w:szCs w:val="18"/>
          <w:color w:val="auto"/>
        </w:rPr>
        <w:t>Each year, the Operating Committee reviews the strategic framework, which is approved by the Board. In 2023, the CMDC approved the Firm’s strategic framework as the priorities of the CEO, including the 15 strategic priorities listed below.</w:t>
      </w:r>
    </w:p>
    <w:p>
      <w:pPr>
        <w:sectPr>
          <w:pgSz w:w="11900" w:h="16838" w:orient="portrait"/>
          <w:cols w:equalWidth="0" w:num="1">
            <w:col w:w="11260"/>
          </w:cols>
          <w:pgMar w:left="320" w:top="157" w:right="319" w:bottom="622" w:gutter="0" w:footer="0" w:header="0"/>
        </w:sectPr>
      </w:pPr>
    </w:p>
    <w:p>
      <w:pPr>
        <w:spacing w:after="0" w:line="248"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FFFFFF"/>
        </w:rPr>
        <w:t>Exceptional</w:t>
      </w:r>
    </w:p>
    <w:p>
      <w:pPr>
        <w:spacing w:after="0" w:line="2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FFFFFF"/>
        </w:rPr>
        <w:t>Client Franchises</w:t>
      </w:r>
    </w:p>
    <w:p>
      <w:pPr>
        <w:spacing w:after="0" w:line="275"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FFFFFF"/>
        </w:rPr>
        <w:t>Unwavering</w:t>
      </w:r>
    </w:p>
    <w:p>
      <w:pPr>
        <w:spacing w:after="0" w:line="2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FFFFFF"/>
        </w:rPr>
        <w:t>Principles</w:t>
      </w:r>
    </w:p>
    <w:p>
      <w:pPr>
        <w:spacing w:after="0" w:line="369"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FFFFFF"/>
        </w:rPr>
        <w:t>Long-Term</w:t>
      </w:r>
    </w:p>
    <w:p>
      <w:pPr>
        <w:spacing w:after="0" w:line="27"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FFFFFF"/>
        </w:rPr>
        <w:t>Shareholder Value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6" w:hanging="206"/>
        <w:spacing w:after="0"/>
        <w:tabs>
          <w:tab w:leader="none" w:pos="206" w:val="left"/>
        </w:tabs>
        <w:numPr>
          <w:ilvl w:val="0"/>
          <w:numId w:val="131"/>
        </w:numPr>
        <w:rPr>
          <w:rFonts w:ascii="Arial" w:cs="Arial" w:eastAsia="Arial" w:hAnsi="Arial"/>
          <w:sz w:val="17"/>
          <w:szCs w:val="17"/>
          <w:color w:val="064A75"/>
        </w:rPr>
      </w:pPr>
      <w:r>
        <w:rPr>
          <w:rFonts w:ascii="Arial" w:cs="Arial" w:eastAsia="Arial" w:hAnsi="Arial"/>
          <w:sz w:val="17"/>
          <w:szCs w:val="17"/>
          <w:b w:val="1"/>
          <w:bCs w:val="1"/>
          <w:color w:val="auto"/>
        </w:rPr>
        <w:t xml:space="preserve">Customer centric </w:t>
      </w:r>
      <w:r>
        <w:rPr>
          <w:rFonts w:ascii="Arial" w:cs="Arial" w:eastAsia="Arial" w:hAnsi="Arial"/>
          <w:sz w:val="17"/>
          <w:szCs w:val="17"/>
          <w:color w:val="auto"/>
        </w:rPr>
        <w:t>and</w:t>
      </w:r>
      <w:r>
        <w:rPr>
          <w:rFonts w:ascii="Arial" w:cs="Arial" w:eastAsia="Arial" w:hAnsi="Arial"/>
          <w:sz w:val="17"/>
          <w:szCs w:val="17"/>
          <w:b w:val="1"/>
          <w:bCs w:val="1"/>
          <w:color w:val="auto"/>
        </w:rPr>
        <w:t xml:space="preserve"> easy to do business with</w:t>
      </w:r>
    </w:p>
    <w:p>
      <w:pPr>
        <w:spacing w:after="0" w:line="38" w:lineRule="exact"/>
        <w:rPr>
          <w:rFonts w:ascii="Arial" w:cs="Arial" w:eastAsia="Arial" w:hAnsi="Arial"/>
          <w:sz w:val="17"/>
          <w:szCs w:val="17"/>
          <w:color w:val="064A75"/>
        </w:rPr>
      </w:pPr>
    </w:p>
    <w:p>
      <w:pPr>
        <w:ind w:left="206" w:hanging="206"/>
        <w:spacing w:after="0"/>
        <w:tabs>
          <w:tab w:leader="none" w:pos="206" w:val="left"/>
        </w:tabs>
        <w:numPr>
          <w:ilvl w:val="0"/>
          <w:numId w:val="131"/>
        </w:numPr>
        <w:rPr>
          <w:rFonts w:ascii="Arial" w:cs="Arial" w:eastAsia="Arial" w:hAnsi="Arial"/>
          <w:sz w:val="18"/>
          <w:szCs w:val="18"/>
          <w:color w:val="064A75"/>
        </w:rPr>
      </w:pPr>
      <w:r>
        <w:rPr>
          <w:rFonts w:ascii="Arial" w:cs="Arial" w:eastAsia="Arial" w:hAnsi="Arial"/>
          <w:sz w:val="18"/>
          <w:szCs w:val="18"/>
          <w:b w:val="1"/>
          <w:bCs w:val="1"/>
          <w:color w:val="auto"/>
        </w:rPr>
        <w:t xml:space="preserve">Comprehensive </w:t>
      </w:r>
      <w:r>
        <w:rPr>
          <w:rFonts w:ascii="Arial" w:cs="Arial" w:eastAsia="Arial" w:hAnsi="Arial"/>
          <w:sz w:val="18"/>
          <w:szCs w:val="18"/>
          <w:color w:val="auto"/>
        </w:rPr>
        <w:t>set of products and services</w:t>
      </w:r>
    </w:p>
    <w:p>
      <w:pPr>
        <w:spacing w:after="0" w:line="220" w:lineRule="exact"/>
        <w:rPr>
          <w:rFonts w:ascii="Arial" w:cs="Arial" w:eastAsia="Arial" w:hAnsi="Arial"/>
          <w:sz w:val="18"/>
          <w:szCs w:val="18"/>
          <w:color w:val="064A75"/>
        </w:rPr>
      </w:pPr>
    </w:p>
    <w:p>
      <w:pPr>
        <w:ind w:left="206" w:hanging="206"/>
        <w:spacing w:after="0"/>
        <w:tabs>
          <w:tab w:leader="none" w:pos="206" w:val="left"/>
        </w:tabs>
        <w:numPr>
          <w:ilvl w:val="0"/>
          <w:numId w:val="131"/>
        </w:numPr>
        <w:rPr>
          <w:rFonts w:ascii="Arial" w:cs="Arial" w:eastAsia="Arial" w:hAnsi="Arial"/>
          <w:sz w:val="18"/>
          <w:szCs w:val="18"/>
          <w:color w:val="064A75"/>
        </w:rPr>
      </w:pPr>
      <w:r>
        <w:rPr>
          <w:rFonts w:ascii="Arial" w:cs="Arial" w:eastAsia="Arial" w:hAnsi="Arial"/>
          <w:sz w:val="18"/>
          <w:szCs w:val="18"/>
          <w:b w:val="1"/>
          <w:bCs w:val="1"/>
          <w:color w:val="auto"/>
        </w:rPr>
        <w:t>Fortress balance sheet</w:t>
      </w:r>
    </w:p>
    <w:p>
      <w:pPr>
        <w:spacing w:after="0" w:line="27" w:lineRule="exact"/>
        <w:rPr>
          <w:rFonts w:ascii="Arial" w:cs="Arial" w:eastAsia="Arial" w:hAnsi="Arial"/>
          <w:sz w:val="18"/>
          <w:szCs w:val="18"/>
          <w:color w:val="064A75"/>
        </w:rPr>
      </w:pPr>
    </w:p>
    <w:p>
      <w:pPr>
        <w:ind w:left="206" w:hanging="206"/>
        <w:spacing w:after="0"/>
        <w:tabs>
          <w:tab w:leader="none" w:pos="206" w:val="left"/>
        </w:tabs>
        <w:numPr>
          <w:ilvl w:val="0"/>
          <w:numId w:val="131"/>
        </w:numPr>
        <w:rPr>
          <w:rFonts w:ascii="Arial" w:cs="Arial" w:eastAsia="Arial" w:hAnsi="Arial"/>
          <w:sz w:val="18"/>
          <w:szCs w:val="18"/>
          <w:color w:val="064A75"/>
        </w:rPr>
      </w:pPr>
      <w:r>
        <w:rPr>
          <w:rFonts w:ascii="Arial" w:cs="Arial" w:eastAsia="Arial" w:hAnsi="Arial"/>
          <w:sz w:val="18"/>
          <w:szCs w:val="18"/>
          <w:b w:val="1"/>
          <w:bCs w:val="1"/>
          <w:color w:val="auto"/>
        </w:rPr>
        <w:t xml:space="preserve">Risk governance </w:t>
      </w:r>
      <w:r>
        <w:rPr>
          <w:rFonts w:ascii="Arial" w:cs="Arial" w:eastAsia="Arial" w:hAnsi="Arial"/>
          <w:sz w:val="18"/>
          <w:szCs w:val="18"/>
          <w:color w:val="auto"/>
        </w:rPr>
        <w:t>and</w:t>
      </w:r>
      <w:r>
        <w:rPr>
          <w:rFonts w:ascii="Arial" w:cs="Arial" w:eastAsia="Arial" w:hAnsi="Arial"/>
          <w:sz w:val="18"/>
          <w:szCs w:val="18"/>
          <w:b w:val="1"/>
          <w:bCs w:val="1"/>
          <w:color w:val="auto"/>
        </w:rPr>
        <w:t xml:space="preserve"> controls</w:t>
      </w:r>
    </w:p>
    <w:p>
      <w:pPr>
        <w:spacing w:after="0" w:line="301" w:lineRule="exact"/>
        <w:rPr>
          <w:rFonts w:ascii="Arial" w:cs="Arial" w:eastAsia="Arial" w:hAnsi="Arial"/>
          <w:sz w:val="18"/>
          <w:szCs w:val="18"/>
          <w:color w:val="064A75"/>
        </w:rPr>
      </w:pPr>
    </w:p>
    <w:p>
      <w:pPr>
        <w:ind w:left="186" w:right="660" w:hanging="186"/>
        <w:spacing w:after="0" w:line="260" w:lineRule="auto"/>
        <w:tabs>
          <w:tab w:leader="none" w:pos="190" w:val="left"/>
        </w:tabs>
        <w:numPr>
          <w:ilvl w:val="0"/>
          <w:numId w:val="131"/>
        </w:numPr>
        <w:rPr>
          <w:rFonts w:ascii="Arial" w:cs="Arial" w:eastAsia="Arial" w:hAnsi="Arial"/>
          <w:sz w:val="18"/>
          <w:szCs w:val="18"/>
          <w:color w:val="064A75"/>
        </w:rPr>
      </w:pPr>
      <w:r>
        <w:rPr>
          <w:rFonts w:ascii="Arial" w:cs="Arial" w:eastAsia="Arial" w:hAnsi="Arial"/>
          <w:sz w:val="18"/>
          <w:szCs w:val="18"/>
          <w:color w:val="auto"/>
        </w:rPr>
        <w:t xml:space="preserve">Continuously </w:t>
      </w:r>
      <w:r>
        <w:rPr>
          <w:rFonts w:ascii="Arial" w:cs="Arial" w:eastAsia="Arial" w:hAnsi="Arial"/>
          <w:sz w:val="18"/>
          <w:szCs w:val="18"/>
          <w:b w:val="1"/>
          <w:bCs w:val="1"/>
          <w:color w:val="auto"/>
        </w:rPr>
        <w:t>investing</w:t>
      </w:r>
      <w:r>
        <w:rPr>
          <w:rFonts w:ascii="Arial" w:cs="Arial" w:eastAsia="Arial" w:hAnsi="Arial"/>
          <w:sz w:val="18"/>
          <w:szCs w:val="18"/>
          <w:color w:val="auto"/>
        </w:rPr>
        <w:t xml:space="preserve"> in the future while maintaining </w:t>
      </w:r>
      <w:r>
        <w:rPr>
          <w:rFonts w:ascii="Arial" w:cs="Arial" w:eastAsia="Arial" w:hAnsi="Arial"/>
          <w:sz w:val="18"/>
          <w:szCs w:val="18"/>
          <w:b w:val="1"/>
          <w:bCs w:val="1"/>
          <w:color w:val="auto"/>
        </w:rPr>
        <w:t>expense discipline</w:t>
      </w:r>
    </w:p>
    <w:p>
      <w:pPr>
        <w:spacing w:after="0" w:line="1" w:lineRule="exact"/>
        <w:rPr>
          <w:rFonts w:ascii="Arial" w:cs="Arial" w:eastAsia="Arial" w:hAnsi="Arial"/>
          <w:sz w:val="18"/>
          <w:szCs w:val="18"/>
          <w:color w:val="064A75"/>
        </w:rPr>
      </w:pPr>
    </w:p>
    <w:p>
      <w:pPr>
        <w:ind w:left="206" w:hanging="206"/>
        <w:spacing w:after="0"/>
        <w:tabs>
          <w:tab w:leader="none" w:pos="206" w:val="left"/>
        </w:tabs>
        <w:numPr>
          <w:ilvl w:val="0"/>
          <w:numId w:val="131"/>
        </w:numPr>
        <w:rPr>
          <w:rFonts w:ascii="Arial" w:cs="Arial" w:eastAsia="Arial" w:hAnsi="Arial"/>
          <w:sz w:val="18"/>
          <w:szCs w:val="18"/>
          <w:color w:val="064A75"/>
        </w:rPr>
      </w:pPr>
      <w:r>
        <w:rPr>
          <w:rFonts w:ascii="Arial" w:cs="Arial" w:eastAsia="Arial" w:hAnsi="Arial"/>
          <w:sz w:val="18"/>
          <w:szCs w:val="18"/>
          <w:color w:val="auto"/>
        </w:rPr>
        <w:t xml:space="preserve">Focus on </w:t>
      </w:r>
      <w:r>
        <w:rPr>
          <w:rFonts w:ascii="Arial" w:cs="Arial" w:eastAsia="Arial" w:hAnsi="Arial"/>
          <w:sz w:val="18"/>
          <w:szCs w:val="18"/>
          <w:b w:val="1"/>
          <w:bCs w:val="1"/>
          <w:color w:val="auto"/>
        </w:rPr>
        <w:t>customer experience</w:t>
      </w:r>
      <w:r>
        <w:rPr>
          <w:rFonts w:ascii="Arial" w:cs="Arial" w:eastAsia="Arial" w:hAnsi="Arial"/>
          <w:sz w:val="18"/>
          <w:szCs w:val="18"/>
          <w:color w:val="auto"/>
        </w:rPr>
        <w:t xml:space="preserve"> and </w:t>
      </w:r>
      <w:r>
        <w:rPr>
          <w:rFonts w:ascii="Arial" w:cs="Arial" w:eastAsia="Arial" w:hAnsi="Arial"/>
          <w:sz w:val="18"/>
          <w:szCs w:val="18"/>
          <w:b w:val="1"/>
          <w:bCs w:val="1"/>
          <w:color w:val="auto"/>
        </w:rPr>
        <w:t>innovation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91" w:hanging="191"/>
        <w:spacing w:after="0"/>
        <w:tabs>
          <w:tab w:leader="none" w:pos="191" w:val="left"/>
        </w:tabs>
        <w:numPr>
          <w:ilvl w:val="0"/>
          <w:numId w:val="132"/>
        </w:numPr>
        <w:rPr>
          <w:rFonts w:ascii="Arial" w:cs="Arial" w:eastAsia="Arial" w:hAnsi="Arial"/>
          <w:sz w:val="18"/>
          <w:szCs w:val="18"/>
          <w:color w:val="064A75"/>
        </w:rPr>
      </w:pPr>
      <w:r>
        <w:rPr>
          <w:rFonts w:ascii="Arial" w:cs="Arial" w:eastAsia="Arial" w:hAnsi="Arial"/>
          <w:sz w:val="18"/>
          <w:szCs w:val="18"/>
          <w:color w:val="auto"/>
        </w:rPr>
        <w:t xml:space="preserve">Focus on </w:t>
      </w:r>
      <w:r>
        <w:rPr>
          <w:rFonts w:ascii="Arial" w:cs="Arial" w:eastAsia="Arial" w:hAnsi="Arial"/>
          <w:sz w:val="18"/>
          <w:szCs w:val="18"/>
          <w:b w:val="1"/>
          <w:bCs w:val="1"/>
          <w:color w:val="auto"/>
        </w:rPr>
        <w:t>safety</w:t>
      </w:r>
      <w:r>
        <w:rPr>
          <w:rFonts w:ascii="Arial" w:cs="Arial" w:eastAsia="Arial" w:hAnsi="Arial"/>
          <w:sz w:val="18"/>
          <w:szCs w:val="18"/>
          <w:color w:val="auto"/>
        </w:rPr>
        <w:t xml:space="preserve"> and </w:t>
      </w:r>
      <w:r>
        <w:rPr>
          <w:rFonts w:ascii="Arial" w:cs="Arial" w:eastAsia="Arial" w:hAnsi="Arial"/>
          <w:sz w:val="18"/>
          <w:szCs w:val="18"/>
          <w:b w:val="1"/>
          <w:bCs w:val="1"/>
          <w:color w:val="auto"/>
        </w:rPr>
        <w:t>security</w:t>
      </w:r>
    </w:p>
    <w:p>
      <w:pPr>
        <w:spacing w:after="0" w:line="27" w:lineRule="exact"/>
        <w:rPr>
          <w:rFonts w:ascii="Arial" w:cs="Arial" w:eastAsia="Arial" w:hAnsi="Arial"/>
          <w:sz w:val="18"/>
          <w:szCs w:val="18"/>
          <w:color w:val="064A75"/>
        </w:rPr>
      </w:pPr>
    </w:p>
    <w:p>
      <w:pPr>
        <w:ind w:left="191" w:hanging="191"/>
        <w:spacing w:after="0"/>
        <w:tabs>
          <w:tab w:leader="none" w:pos="191" w:val="left"/>
        </w:tabs>
        <w:numPr>
          <w:ilvl w:val="0"/>
          <w:numId w:val="132"/>
        </w:numPr>
        <w:rPr>
          <w:rFonts w:ascii="Arial" w:cs="Arial" w:eastAsia="Arial" w:hAnsi="Arial"/>
          <w:sz w:val="18"/>
          <w:szCs w:val="18"/>
          <w:color w:val="064A75"/>
        </w:rPr>
      </w:pPr>
      <w:r>
        <w:rPr>
          <w:rFonts w:ascii="Arial" w:cs="Arial" w:eastAsia="Arial" w:hAnsi="Arial"/>
          <w:sz w:val="18"/>
          <w:szCs w:val="18"/>
          <w:b w:val="1"/>
          <w:bCs w:val="1"/>
          <w:color w:val="auto"/>
        </w:rPr>
        <w:t>Powerful brands</w:t>
      </w:r>
    </w:p>
    <w:p>
      <w:pPr>
        <w:spacing w:after="0" w:line="220" w:lineRule="exact"/>
        <w:rPr>
          <w:rFonts w:ascii="Arial" w:cs="Arial" w:eastAsia="Arial" w:hAnsi="Arial"/>
          <w:sz w:val="18"/>
          <w:szCs w:val="18"/>
          <w:color w:val="064A75"/>
        </w:rPr>
      </w:pPr>
    </w:p>
    <w:p>
      <w:pPr>
        <w:ind w:left="191" w:hanging="191"/>
        <w:spacing w:after="0"/>
        <w:tabs>
          <w:tab w:leader="none" w:pos="191" w:val="left"/>
        </w:tabs>
        <w:numPr>
          <w:ilvl w:val="0"/>
          <w:numId w:val="132"/>
        </w:numPr>
        <w:rPr>
          <w:rFonts w:ascii="Arial" w:cs="Arial" w:eastAsia="Arial" w:hAnsi="Arial"/>
          <w:sz w:val="18"/>
          <w:szCs w:val="18"/>
          <w:color w:val="064A75"/>
        </w:rPr>
      </w:pPr>
      <w:r>
        <w:rPr>
          <w:rFonts w:ascii="Arial" w:cs="Arial" w:eastAsia="Arial" w:hAnsi="Arial"/>
          <w:sz w:val="18"/>
          <w:szCs w:val="18"/>
          <w:b w:val="1"/>
          <w:bCs w:val="1"/>
          <w:color w:val="auto"/>
        </w:rPr>
        <w:t xml:space="preserve">Culture </w:t>
      </w:r>
      <w:r>
        <w:rPr>
          <w:rFonts w:ascii="Arial" w:cs="Arial" w:eastAsia="Arial" w:hAnsi="Arial"/>
          <w:sz w:val="18"/>
          <w:szCs w:val="18"/>
          <w:color w:val="auto"/>
        </w:rPr>
        <w:t>and</w:t>
      </w:r>
      <w:r>
        <w:rPr>
          <w:rFonts w:ascii="Arial" w:cs="Arial" w:eastAsia="Arial" w:hAnsi="Arial"/>
          <w:sz w:val="18"/>
          <w:szCs w:val="18"/>
          <w:b w:val="1"/>
          <w:bCs w:val="1"/>
          <w:color w:val="auto"/>
        </w:rPr>
        <w:t xml:space="preserve"> conduct</w:t>
      </w:r>
    </w:p>
    <w:p>
      <w:pPr>
        <w:spacing w:after="0" w:line="27" w:lineRule="exact"/>
        <w:rPr>
          <w:rFonts w:ascii="Arial" w:cs="Arial" w:eastAsia="Arial" w:hAnsi="Arial"/>
          <w:sz w:val="18"/>
          <w:szCs w:val="18"/>
          <w:color w:val="064A75"/>
        </w:rPr>
      </w:pPr>
    </w:p>
    <w:p>
      <w:pPr>
        <w:ind w:left="191" w:hanging="191"/>
        <w:spacing w:after="0"/>
        <w:tabs>
          <w:tab w:leader="none" w:pos="191" w:val="left"/>
        </w:tabs>
        <w:numPr>
          <w:ilvl w:val="0"/>
          <w:numId w:val="132"/>
        </w:numPr>
        <w:rPr>
          <w:rFonts w:ascii="Arial" w:cs="Arial" w:eastAsia="Arial" w:hAnsi="Arial"/>
          <w:sz w:val="18"/>
          <w:szCs w:val="18"/>
          <w:color w:val="064A75"/>
        </w:rPr>
      </w:pPr>
      <w:r>
        <w:rPr>
          <w:rFonts w:ascii="Arial" w:cs="Arial" w:eastAsia="Arial" w:hAnsi="Arial"/>
          <w:sz w:val="18"/>
          <w:szCs w:val="18"/>
          <w:b w:val="1"/>
          <w:bCs w:val="1"/>
          <w:color w:val="auto"/>
        </w:rPr>
        <w:t>Operational resilience</w:t>
      </w:r>
    </w:p>
    <w:p>
      <w:pPr>
        <w:spacing w:after="0" w:line="200" w:lineRule="exact"/>
        <w:rPr>
          <w:rFonts w:ascii="Arial" w:cs="Arial" w:eastAsia="Arial" w:hAnsi="Arial"/>
          <w:sz w:val="18"/>
          <w:szCs w:val="18"/>
          <w:color w:val="064A75"/>
        </w:rPr>
      </w:pPr>
    </w:p>
    <w:p>
      <w:pPr>
        <w:spacing w:after="0" w:line="209" w:lineRule="exact"/>
        <w:rPr>
          <w:rFonts w:ascii="Arial" w:cs="Arial" w:eastAsia="Arial" w:hAnsi="Arial"/>
          <w:sz w:val="18"/>
          <w:szCs w:val="18"/>
          <w:color w:val="064A75"/>
        </w:rPr>
      </w:pPr>
    </w:p>
    <w:p>
      <w:pPr>
        <w:ind w:left="191" w:right="1200" w:hanging="191"/>
        <w:spacing w:after="0" w:line="287" w:lineRule="auto"/>
        <w:tabs>
          <w:tab w:leader="none" w:pos="195" w:val="left"/>
        </w:tabs>
        <w:numPr>
          <w:ilvl w:val="0"/>
          <w:numId w:val="132"/>
        </w:numPr>
        <w:rPr>
          <w:rFonts w:ascii="Arial" w:cs="Arial" w:eastAsia="Arial" w:hAnsi="Arial"/>
          <w:sz w:val="18"/>
          <w:szCs w:val="18"/>
          <w:color w:val="064A75"/>
        </w:rPr>
      </w:pPr>
      <w:r>
        <w:rPr>
          <w:rFonts w:ascii="Arial" w:cs="Arial" w:eastAsia="Arial" w:hAnsi="Arial"/>
          <w:sz w:val="18"/>
          <w:szCs w:val="18"/>
          <w:b w:val="1"/>
          <w:bCs w:val="1"/>
          <w:color w:val="auto"/>
        </w:rPr>
        <w:t xml:space="preserve">Employer of choice </w:t>
      </w:r>
      <w:r>
        <w:rPr>
          <w:rFonts w:ascii="Arial" w:cs="Arial" w:eastAsia="Arial" w:hAnsi="Arial"/>
          <w:sz w:val="18"/>
          <w:szCs w:val="18"/>
          <w:color w:val="auto"/>
        </w:rPr>
        <w:t>for top talent from</w:t>
      </w:r>
      <w:r>
        <w:rPr>
          <w:rFonts w:ascii="Arial" w:cs="Arial" w:eastAsia="Arial" w:hAnsi="Arial"/>
          <w:sz w:val="18"/>
          <w:szCs w:val="18"/>
          <w:b w:val="1"/>
          <w:bCs w:val="1"/>
          <w:color w:val="auto"/>
        </w:rPr>
        <w:t xml:space="preserve"> </w:t>
      </w:r>
      <w:r>
        <w:rPr>
          <w:rFonts w:ascii="Arial" w:cs="Arial" w:eastAsia="Arial" w:hAnsi="Arial"/>
          <w:sz w:val="18"/>
          <w:szCs w:val="18"/>
          <w:color w:val="auto"/>
        </w:rPr>
        <w:t>all backgrounds</w:t>
      </w:r>
    </w:p>
    <w:p>
      <w:pPr>
        <w:spacing w:after="0" w:line="103" w:lineRule="exact"/>
        <w:rPr>
          <w:sz w:val="20"/>
          <w:szCs w:val="20"/>
          <w:color w:val="auto"/>
        </w:rPr>
      </w:pPr>
    </w:p>
    <w:p>
      <w:pPr>
        <w:sectPr>
          <w:pgSz w:w="11900" w:h="16838" w:orient="portrait"/>
          <w:cols w:equalWidth="0" w:num="3">
            <w:col w:w="1960" w:space="334"/>
            <w:col w:w="4206" w:space="249"/>
            <w:col w:w="4511"/>
          </w:cols>
          <w:pgMar w:left="320" w:top="157" w:right="319" w:bottom="622" w:gutter="0" w:footer="0" w:header="0"/>
          <w:type w:val="continuous"/>
        </w:sectPr>
      </w:pPr>
    </w:p>
    <w:tbl>
      <w:tblPr>
        <w:tblLayout w:type="fixed"/>
        <w:tblInd w:w="260" w:type="dxa"/>
        <w:tblCellMar>
          <w:top w:w="0" w:type="dxa"/>
          <w:left w:w="0" w:type="dxa"/>
          <w:bottom w:w="0" w:type="dxa"/>
          <w:right w:w="0" w:type="dxa"/>
        </w:tblCellMar>
      </w:tblPr>
      <w:tr>
        <w:trPr>
          <w:trHeight w:val="108"/>
        </w:trPr>
        <w:tc>
          <w:tcPr>
            <w:tcW w:w="1800" w:type="dxa"/>
            <w:vAlign w:val="bottom"/>
            <w:shd w:val="clear" w:color="auto" w:fill="EEEFEF"/>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shd w:val="clear" w:color="auto" w:fill="EEEFEF"/>
          </w:tcPr>
          <w:p>
            <w:pPr>
              <w:spacing w:after="0"/>
              <w:rPr>
                <w:sz w:val="9"/>
                <w:szCs w:val="9"/>
                <w:color w:val="auto"/>
              </w:rPr>
            </w:pPr>
          </w:p>
        </w:tc>
        <w:tc>
          <w:tcPr>
            <w:tcW w:w="4060" w:type="dxa"/>
            <w:vAlign w:val="bottom"/>
            <w:shd w:val="clear" w:color="auto" w:fill="EEEFEF"/>
          </w:tcPr>
          <w:p>
            <w:pPr>
              <w:spacing w:after="0"/>
              <w:rPr>
                <w:sz w:val="9"/>
                <w:szCs w:val="9"/>
                <w:color w:val="auto"/>
              </w:rPr>
            </w:pPr>
          </w:p>
        </w:tc>
        <w:tc>
          <w:tcPr>
            <w:tcW w:w="4320" w:type="dxa"/>
            <w:vAlign w:val="bottom"/>
            <w:shd w:val="clear" w:color="auto" w:fill="EEEFEF"/>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800" w:type="dxa"/>
            <w:vAlign w:val="bottom"/>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rPr>
              <w:t>Sustainable</w:t>
            </w:r>
          </w:p>
        </w:tc>
        <w:tc>
          <w:tcPr>
            <w:tcW w:w="220" w:type="dxa"/>
            <w:vAlign w:val="bottom"/>
            <w:tcBorders>
              <w:left w:val="single" w:sz="8" w:color="3E693D"/>
            </w:tcBorders>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064A75"/>
              </w:rPr>
              <w:t>•</w:t>
            </w:r>
          </w:p>
        </w:tc>
        <w:tc>
          <w:tcPr>
            <w:tcW w:w="4060" w:type="dxa"/>
            <w:vAlign w:val="bottom"/>
          </w:tcPr>
          <w:p>
            <w:pPr>
              <w:ind w:left="80"/>
              <w:spacing w:after="0"/>
              <w:rPr>
                <w:sz w:val="20"/>
                <w:szCs w:val="20"/>
                <w:color w:val="auto"/>
              </w:rPr>
            </w:pPr>
            <w:r>
              <w:rPr>
                <w:rFonts w:ascii="Arial" w:cs="Arial" w:eastAsia="Arial" w:hAnsi="Arial"/>
                <w:sz w:val="18"/>
                <w:szCs w:val="18"/>
                <w:color w:val="auto"/>
              </w:rPr>
              <w:t xml:space="preserve">Investing in and </w:t>
            </w:r>
            <w:r>
              <w:rPr>
                <w:rFonts w:ascii="Arial" w:cs="Arial" w:eastAsia="Arial" w:hAnsi="Arial"/>
                <w:sz w:val="18"/>
                <w:szCs w:val="18"/>
                <w:b w:val="1"/>
                <w:bCs w:val="1"/>
                <w:color w:val="auto"/>
              </w:rPr>
              <w:t>supporting</w:t>
            </w:r>
            <w:r>
              <w:rPr>
                <w:rFonts w:ascii="Arial" w:cs="Arial" w:eastAsia="Arial" w:hAnsi="Arial"/>
                <w:sz w:val="18"/>
                <w:szCs w:val="18"/>
                <w:color w:val="auto"/>
              </w:rPr>
              <w:t xml:space="preserve"> our </w:t>
            </w:r>
            <w:r>
              <w:rPr>
                <w:rFonts w:ascii="Arial" w:cs="Arial" w:eastAsia="Arial" w:hAnsi="Arial"/>
                <w:sz w:val="18"/>
                <w:szCs w:val="18"/>
                <w:b w:val="1"/>
                <w:bCs w:val="1"/>
                <w:color w:val="auto"/>
              </w:rPr>
              <w:t>communities</w:t>
            </w:r>
          </w:p>
        </w:tc>
        <w:tc>
          <w:tcPr>
            <w:tcW w:w="4320" w:type="dxa"/>
            <w:vAlign w:val="bottom"/>
            <w:vMerge w:val="restart"/>
          </w:tcPr>
          <w:p>
            <w:pPr>
              <w:ind w:left="26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color w:val="000000"/>
              </w:rPr>
              <w:t>Serving a</w:t>
            </w:r>
            <w:r>
              <w:rPr>
                <w:rFonts w:ascii="Arial" w:cs="Arial" w:eastAsia="Arial" w:hAnsi="Arial"/>
                <w:sz w:val="18"/>
                <w:szCs w:val="18"/>
                <w:color w:val="064A75"/>
              </w:rPr>
              <w:t xml:space="preserve"> </w:t>
            </w:r>
            <w:r>
              <w:rPr>
                <w:rFonts w:ascii="Arial" w:cs="Arial" w:eastAsia="Arial" w:hAnsi="Arial"/>
                <w:sz w:val="18"/>
                <w:szCs w:val="18"/>
                <w:b w:val="1"/>
                <w:bCs w:val="1"/>
                <w:color w:val="000000"/>
              </w:rPr>
              <w:t>diverse</w:t>
            </w:r>
            <w:r>
              <w:rPr>
                <w:rFonts w:ascii="Arial" w:cs="Arial" w:eastAsia="Arial" w:hAnsi="Arial"/>
                <w:sz w:val="18"/>
                <w:szCs w:val="18"/>
                <w:color w:val="064A75"/>
              </w:rPr>
              <w:t xml:space="preserve"> </w:t>
            </w:r>
            <w:r>
              <w:rPr>
                <w:rFonts w:ascii="Arial" w:cs="Arial" w:eastAsia="Arial" w:hAnsi="Arial"/>
                <w:sz w:val="18"/>
                <w:szCs w:val="18"/>
                <w:color w:val="000000"/>
              </w:rPr>
              <w:t>customer base</w:t>
            </w:r>
          </w:p>
        </w:tc>
        <w:tc>
          <w:tcPr>
            <w:tcW w:w="0" w:type="dxa"/>
            <w:vAlign w:val="bottom"/>
          </w:tcPr>
          <w:p>
            <w:pPr>
              <w:spacing w:after="0"/>
              <w:rPr>
                <w:sz w:val="1"/>
                <w:szCs w:val="1"/>
                <w:color w:val="auto"/>
              </w:rPr>
            </w:pPr>
          </w:p>
        </w:tc>
      </w:tr>
      <w:tr>
        <w:trPr>
          <w:trHeight w:val="108"/>
        </w:trPr>
        <w:tc>
          <w:tcPr>
            <w:tcW w:w="1800" w:type="dxa"/>
            <w:vAlign w:val="bottom"/>
            <w:vMerge w:val="continue"/>
            <w:shd w:val="clear" w:color="auto" w:fill="3E693D"/>
          </w:tcPr>
          <w:p>
            <w:pPr>
              <w:spacing w:after="0"/>
              <w:rPr>
                <w:sz w:val="9"/>
                <w:szCs w:val="9"/>
                <w:color w:val="auto"/>
              </w:rPr>
            </w:pPr>
          </w:p>
        </w:tc>
        <w:tc>
          <w:tcPr>
            <w:tcW w:w="220" w:type="dxa"/>
            <w:vAlign w:val="bottom"/>
            <w:tcBorders>
              <w:left w:val="single" w:sz="8" w:color="3E693D"/>
            </w:tcBorders>
          </w:tcPr>
          <w:p>
            <w:pPr>
              <w:spacing w:after="0"/>
              <w:rPr>
                <w:sz w:val="9"/>
                <w:szCs w:val="9"/>
                <w:color w:val="auto"/>
              </w:rPr>
            </w:pPr>
          </w:p>
        </w:tc>
        <w:tc>
          <w:tcPr>
            <w:tcW w:w="140" w:type="dxa"/>
            <w:vAlign w:val="bottom"/>
            <w:vMerge w:val="restart"/>
          </w:tcPr>
          <w:p>
            <w:pPr>
              <w:ind w:left="20"/>
              <w:spacing w:after="0" w:line="195" w:lineRule="exact"/>
              <w:rPr>
                <w:sz w:val="20"/>
                <w:szCs w:val="20"/>
                <w:color w:val="auto"/>
              </w:rPr>
            </w:pPr>
            <w:r>
              <w:rPr>
                <w:rFonts w:ascii="Arial" w:cs="Arial" w:eastAsia="Arial" w:hAnsi="Arial"/>
                <w:sz w:val="18"/>
                <w:szCs w:val="18"/>
                <w:color w:val="064A75"/>
              </w:rPr>
              <w:t>•</w:t>
            </w:r>
          </w:p>
        </w:tc>
        <w:tc>
          <w:tcPr>
            <w:tcW w:w="4060" w:type="dxa"/>
            <w:vAlign w:val="bottom"/>
            <w:vMerge w:val="restart"/>
          </w:tcPr>
          <w:p>
            <w:pPr>
              <w:ind w:left="80"/>
              <w:spacing w:after="0" w:line="195" w:lineRule="exact"/>
              <w:rPr>
                <w:sz w:val="20"/>
                <w:szCs w:val="20"/>
                <w:color w:val="auto"/>
              </w:rPr>
            </w:pPr>
            <w:r>
              <w:rPr>
                <w:rFonts w:ascii="Arial" w:cs="Arial" w:eastAsia="Arial" w:hAnsi="Arial"/>
                <w:sz w:val="18"/>
                <w:szCs w:val="18"/>
                <w:color w:val="auto"/>
              </w:rPr>
              <w:t xml:space="preserve">Integrating </w:t>
            </w:r>
            <w:r>
              <w:rPr>
                <w:rFonts w:ascii="Arial" w:cs="Arial" w:eastAsia="Arial" w:hAnsi="Arial"/>
                <w:sz w:val="18"/>
                <w:szCs w:val="18"/>
                <w:b w:val="1"/>
                <w:bCs w:val="1"/>
                <w:color w:val="auto"/>
              </w:rPr>
              <w:t>environmental sustainability</w:t>
            </w:r>
            <w:r>
              <w:rPr>
                <w:rFonts w:ascii="Arial" w:cs="Arial" w:eastAsia="Arial" w:hAnsi="Arial"/>
                <w:sz w:val="18"/>
                <w:szCs w:val="18"/>
                <w:color w:val="auto"/>
              </w:rPr>
              <w:t xml:space="preserve"> into</w:t>
            </w:r>
          </w:p>
        </w:tc>
        <w:tc>
          <w:tcPr>
            <w:tcW w:w="4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800" w:type="dxa"/>
            <w:vAlign w:val="bottom"/>
            <w:tcBorders>
              <w:bottom w:val="single" w:sz="8" w:color="3E693D"/>
            </w:tcBorders>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rPr>
              <w:t>Business Practices</w:t>
            </w:r>
          </w:p>
        </w:tc>
        <w:tc>
          <w:tcPr>
            <w:tcW w:w="220" w:type="dxa"/>
            <w:vAlign w:val="bottom"/>
            <w:tcBorders>
              <w:left w:val="single" w:sz="8" w:color="3E693D"/>
              <w:bottom w:val="single" w:sz="8" w:color="3E693D"/>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4060" w:type="dxa"/>
            <w:vAlign w:val="bottom"/>
            <w:vMerge w:val="continue"/>
          </w:tcPr>
          <w:p>
            <w:pPr>
              <w:spacing w:after="0"/>
              <w:rPr>
                <w:sz w:val="7"/>
                <w:szCs w:val="7"/>
                <w:color w:val="auto"/>
              </w:rPr>
            </w:pPr>
          </w:p>
        </w:tc>
        <w:tc>
          <w:tcPr>
            <w:tcW w:w="4320" w:type="dxa"/>
            <w:vAlign w:val="bottom"/>
            <w:vMerge w:val="restart"/>
          </w:tcPr>
          <w:p>
            <w:pPr>
              <w:ind w:left="26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color w:val="000000"/>
              </w:rPr>
              <w:t>Promoting</w:t>
            </w:r>
            <w:r>
              <w:rPr>
                <w:rFonts w:ascii="Arial" w:cs="Arial" w:eastAsia="Arial" w:hAnsi="Arial"/>
                <w:sz w:val="18"/>
                <w:szCs w:val="18"/>
                <w:color w:val="064A75"/>
              </w:rPr>
              <w:t xml:space="preserve"> </w:t>
            </w:r>
            <w:r>
              <w:rPr>
                <w:rFonts w:ascii="Arial" w:cs="Arial" w:eastAsia="Arial" w:hAnsi="Arial"/>
                <w:sz w:val="18"/>
                <w:szCs w:val="18"/>
                <w:b w:val="1"/>
                <w:bCs w:val="1"/>
                <w:color w:val="000000"/>
              </w:rPr>
              <w:t>sound governance</w:t>
            </w:r>
          </w:p>
        </w:tc>
        <w:tc>
          <w:tcPr>
            <w:tcW w:w="0" w:type="dxa"/>
            <w:vAlign w:val="bottom"/>
          </w:tcPr>
          <w:p>
            <w:pPr>
              <w:spacing w:after="0"/>
              <w:rPr>
                <w:sz w:val="1"/>
                <w:szCs w:val="1"/>
                <w:color w:val="auto"/>
              </w:rPr>
            </w:pPr>
          </w:p>
        </w:tc>
      </w:tr>
      <w:tr>
        <w:trPr>
          <w:trHeight w:val="140"/>
        </w:trPr>
        <w:tc>
          <w:tcPr>
            <w:tcW w:w="1800" w:type="dxa"/>
            <w:vAlign w:val="bottom"/>
            <w:vMerge w:val="continue"/>
            <w:shd w:val="clear" w:color="auto" w:fill="3E693D"/>
          </w:tcPr>
          <w:p>
            <w:pPr>
              <w:spacing w:after="0"/>
              <w:rPr>
                <w:sz w:val="12"/>
                <w:szCs w:val="12"/>
                <w:color w:val="auto"/>
              </w:rPr>
            </w:pPr>
          </w:p>
        </w:tc>
        <w:tc>
          <w:tcPr>
            <w:tcW w:w="220" w:type="dxa"/>
            <w:vAlign w:val="bottom"/>
            <w:tcBorders>
              <w:left w:val="single" w:sz="8" w:color="3E693D"/>
            </w:tcBorders>
          </w:tcPr>
          <w:p>
            <w:pPr>
              <w:spacing w:after="0"/>
              <w:rPr>
                <w:sz w:val="12"/>
                <w:szCs w:val="12"/>
                <w:color w:val="auto"/>
              </w:rPr>
            </w:pPr>
          </w:p>
        </w:tc>
        <w:tc>
          <w:tcPr>
            <w:tcW w:w="140" w:type="dxa"/>
            <w:vAlign w:val="bottom"/>
          </w:tcPr>
          <w:p>
            <w:pPr>
              <w:spacing w:after="0"/>
              <w:rPr>
                <w:sz w:val="12"/>
                <w:szCs w:val="12"/>
                <w:color w:val="auto"/>
              </w:rPr>
            </w:pPr>
          </w:p>
        </w:tc>
        <w:tc>
          <w:tcPr>
            <w:tcW w:w="4060" w:type="dxa"/>
            <w:vAlign w:val="bottom"/>
            <w:vMerge w:val="restart"/>
          </w:tcPr>
          <w:p>
            <w:pPr>
              <w:ind w:left="60"/>
              <w:spacing w:after="0"/>
              <w:rPr>
                <w:sz w:val="20"/>
                <w:szCs w:val="20"/>
                <w:color w:val="auto"/>
              </w:rPr>
            </w:pPr>
            <w:r>
              <w:rPr>
                <w:rFonts w:ascii="Arial" w:cs="Arial" w:eastAsia="Arial" w:hAnsi="Arial"/>
                <w:sz w:val="18"/>
                <w:szCs w:val="18"/>
                <w:color w:val="auto"/>
              </w:rPr>
              <w:t>business and operating decisions</w:t>
            </w:r>
          </w:p>
        </w:tc>
        <w:tc>
          <w:tcPr>
            <w:tcW w:w="4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800" w:type="dxa"/>
            <w:vAlign w:val="bottom"/>
            <w:shd w:val="clear" w:color="auto" w:fill="3E693D"/>
          </w:tcPr>
          <w:p>
            <w:pPr>
              <w:spacing w:after="0"/>
              <w:rPr>
                <w:sz w:val="8"/>
                <w:szCs w:val="8"/>
                <w:color w:val="auto"/>
              </w:rPr>
            </w:pPr>
          </w:p>
        </w:tc>
        <w:tc>
          <w:tcPr>
            <w:tcW w:w="220" w:type="dxa"/>
            <w:vAlign w:val="bottom"/>
            <w:tcBorders>
              <w:left w:val="single" w:sz="8" w:color="3E693D"/>
            </w:tcBorders>
          </w:tcPr>
          <w:p>
            <w:pPr>
              <w:spacing w:after="0"/>
              <w:rPr>
                <w:sz w:val="8"/>
                <w:szCs w:val="8"/>
                <w:color w:val="auto"/>
              </w:rPr>
            </w:pPr>
          </w:p>
        </w:tc>
        <w:tc>
          <w:tcPr>
            <w:tcW w:w="140" w:type="dxa"/>
            <w:vAlign w:val="bottom"/>
          </w:tcPr>
          <w:p>
            <w:pPr>
              <w:spacing w:after="0"/>
              <w:rPr>
                <w:sz w:val="8"/>
                <w:szCs w:val="8"/>
                <w:color w:val="auto"/>
              </w:rPr>
            </w:pPr>
          </w:p>
        </w:tc>
        <w:tc>
          <w:tcPr>
            <w:tcW w:w="4060" w:type="dxa"/>
            <w:vAlign w:val="bottom"/>
            <w:vMerge w:val="continue"/>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800" w:type="dxa"/>
            <w:vAlign w:val="bottom"/>
            <w:tcBorders>
              <w:bottom w:val="single" w:sz="8" w:color="3E693D"/>
            </w:tcBorders>
            <w:shd w:val="clear" w:color="auto" w:fill="3E693D"/>
          </w:tcPr>
          <w:p>
            <w:pPr>
              <w:spacing w:after="0"/>
              <w:rPr>
                <w:sz w:val="2"/>
                <w:szCs w:val="2"/>
                <w:color w:val="auto"/>
              </w:rPr>
            </w:pPr>
          </w:p>
        </w:tc>
        <w:tc>
          <w:tcPr>
            <w:tcW w:w="220" w:type="dxa"/>
            <w:vAlign w:val="bottom"/>
            <w:tcBorders>
              <w:left w:val="single" w:sz="8" w:color="3E693D"/>
            </w:tcBorders>
          </w:tcPr>
          <w:p>
            <w:pPr>
              <w:spacing w:after="0"/>
              <w:rPr>
                <w:sz w:val="2"/>
                <w:szCs w:val="2"/>
                <w:color w:val="auto"/>
              </w:rPr>
            </w:pPr>
          </w:p>
        </w:tc>
        <w:tc>
          <w:tcPr>
            <w:tcW w:w="140" w:type="dxa"/>
            <w:vAlign w:val="bottom"/>
            <w:tcBorders>
              <w:bottom w:val="single" w:sz="8" w:color="EEEFEF"/>
            </w:tcBorders>
          </w:tcPr>
          <w:p>
            <w:pPr>
              <w:spacing w:after="0"/>
              <w:rPr>
                <w:sz w:val="2"/>
                <w:szCs w:val="2"/>
                <w:color w:val="auto"/>
              </w:rPr>
            </w:pPr>
          </w:p>
        </w:tc>
        <w:tc>
          <w:tcPr>
            <w:tcW w:w="4060" w:type="dxa"/>
            <w:vAlign w:val="bottom"/>
            <w:tcBorders>
              <w:bottom w:val="single" w:sz="8" w:color="EEEFEF"/>
            </w:tcBorders>
          </w:tcPr>
          <w:p>
            <w:pPr>
              <w:spacing w:after="0"/>
              <w:rPr>
                <w:sz w:val="2"/>
                <w:szCs w:val="2"/>
                <w:color w:val="auto"/>
              </w:rPr>
            </w:pPr>
          </w:p>
        </w:tc>
        <w:tc>
          <w:tcPr>
            <w:tcW w:w="4320" w:type="dxa"/>
            <w:vAlign w:val="bottom"/>
            <w:tcBorders>
              <w:bottom w:val="single" w:sz="8" w:color="EEEFEF"/>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800" w:type="dxa"/>
            <w:vAlign w:val="bottom"/>
            <w:shd w:val="clear" w:color="auto" w:fill="EEEFEF"/>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shd w:val="clear" w:color="auto" w:fill="EEEFEF"/>
          </w:tcPr>
          <w:p>
            <w:pPr>
              <w:spacing w:after="0"/>
              <w:rPr>
                <w:sz w:val="7"/>
                <w:szCs w:val="7"/>
                <w:color w:val="auto"/>
              </w:rPr>
            </w:pPr>
          </w:p>
        </w:tc>
        <w:tc>
          <w:tcPr>
            <w:tcW w:w="4060" w:type="dxa"/>
            <w:vAlign w:val="bottom"/>
            <w:shd w:val="clear" w:color="auto" w:fill="EEEFEF"/>
          </w:tcPr>
          <w:p>
            <w:pPr>
              <w:spacing w:after="0"/>
              <w:rPr>
                <w:sz w:val="7"/>
                <w:szCs w:val="7"/>
                <w:color w:val="auto"/>
              </w:rPr>
            </w:pPr>
          </w:p>
        </w:tc>
        <w:tc>
          <w:tcPr>
            <w:tcW w:w="4320" w:type="dxa"/>
            <w:vAlign w:val="bottom"/>
            <w:shd w:val="clear" w:color="auto" w:fill="EEEFEF"/>
          </w:tcPr>
          <w:p>
            <w:pPr>
              <w:spacing w:after="0"/>
              <w:rPr>
                <w:sz w:val="7"/>
                <w:szCs w:val="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280" w:right="540"/>
        <w:spacing w:after="0" w:line="268" w:lineRule="auto"/>
        <w:rPr>
          <w:sz w:val="20"/>
          <w:szCs w:val="20"/>
          <w:color w:val="auto"/>
        </w:rPr>
      </w:pPr>
      <w:r>
        <w:rPr>
          <w:rFonts w:ascii="Arial" w:cs="Arial" w:eastAsia="Arial" w:hAnsi="Arial"/>
          <w:sz w:val="18"/>
          <w:szCs w:val="18"/>
          <w:color w:val="auto"/>
        </w:rPr>
        <w:t xml:space="preserve">Our businesses develop strategic initiatives that map to the strategic framework and are designed to reinforce the Firm’s operating principles to be complete, global, diversified and at scale. Execution of our strategy forms the basis of </w:t>
      </w:r>
      <w:r>
        <w:rPr>
          <w:rFonts w:ascii="Arial" w:cs="Arial" w:eastAsia="Arial" w:hAnsi="Arial"/>
          <w:sz w:val="18"/>
          <w:szCs w:val="18"/>
          <w:b w:val="1"/>
          <w:bCs w:val="1"/>
          <w:color w:val="auto"/>
        </w:rPr>
        <w:t>what</w:t>
      </w:r>
      <w:r>
        <w:rPr>
          <w:rFonts w:ascii="Arial" w:cs="Arial" w:eastAsia="Arial" w:hAnsi="Arial"/>
          <w:sz w:val="18"/>
          <w:szCs w:val="18"/>
          <w:color w:val="auto"/>
        </w:rPr>
        <w:t xml:space="preserve"> we achieve through our current and multi-year 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20916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29"/>
          <w:szCs w:val="29"/>
          <w:color w:val="074A75"/>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-207645</wp:posOffset>
            </wp:positionV>
            <wp:extent cx="6978015" cy="9772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78015" cy="977265"/>
                    </a:xfrm>
                    <a:prstGeom prst="rect">
                      <a:avLst/>
                    </a:prstGeom>
                    <a:noFill/>
                  </pic:spPr>
                </pic:pic>
              </a:graphicData>
            </a:graphic>
          </wp:anchor>
        </w:drawing>
      </w:r>
    </w:p>
    <w:p>
      <w:pPr>
        <w:spacing w:after="0" w:line="281" w:lineRule="exact"/>
        <w:rPr>
          <w:sz w:val="20"/>
          <w:szCs w:val="20"/>
          <w:color w:val="auto"/>
        </w:rPr>
      </w:pPr>
    </w:p>
    <w:p>
      <w:pPr>
        <w:ind w:left="260" w:right="580"/>
        <w:spacing w:after="0" w:line="268" w:lineRule="auto"/>
        <w:rPr>
          <w:sz w:val="20"/>
          <w:szCs w:val="20"/>
          <w:color w:val="auto"/>
        </w:rPr>
      </w:pPr>
      <w:r>
        <w:rPr>
          <w:rFonts w:ascii="Arial" w:cs="Arial" w:eastAsia="Arial" w:hAnsi="Arial"/>
          <w:sz w:val="18"/>
          <w:szCs w:val="18"/>
          <w:color w:val="auto"/>
        </w:rPr>
        <w:t>Also guided by our Business Principles, the Firm's compensation philosophy is fundamental to our goals of attracting, retaining and motivating our workforce in a competitive market. Our compensation philosophy provides the guiding principles that drive compensation-related decisions. The key tenets of our compensation philosophy are listed below.</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108"/>
        </w:trPr>
        <w:tc>
          <w:tcPr>
            <w:tcW w:w="1160" w:type="dxa"/>
            <w:vAlign w:val="bottom"/>
            <w:shd w:val="clear" w:color="auto" w:fill="EEEEEF"/>
          </w:tcPr>
          <w:p>
            <w:pPr>
              <w:spacing w:after="0"/>
              <w:rPr>
                <w:sz w:val="9"/>
                <w:szCs w:val="9"/>
                <w:color w:val="auto"/>
              </w:rPr>
            </w:pPr>
          </w:p>
        </w:tc>
        <w:tc>
          <w:tcPr>
            <w:tcW w:w="26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3E693D"/>
                <w:w w:val="99"/>
              </w:rPr>
              <w:t>Paying for performance</w:t>
            </w:r>
          </w:p>
        </w:tc>
        <w:tc>
          <w:tcPr>
            <w:tcW w:w="280" w:type="dxa"/>
            <w:vAlign w:val="bottom"/>
          </w:tcPr>
          <w:p>
            <w:pPr>
              <w:spacing w:after="0"/>
              <w:rPr>
                <w:sz w:val="9"/>
                <w:szCs w:val="9"/>
                <w:color w:val="auto"/>
              </w:rPr>
            </w:pPr>
          </w:p>
        </w:tc>
        <w:tc>
          <w:tcPr>
            <w:tcW w:w="2260" w:type="dxa"/>
            <w:vAlign w:val="bottom"/>
            <w:gridSpan w:val="3"/>
            <w:vMerge w:val="restart"/>
          </w:tcPr>
          <w:p>
            <w:pPr>
              <w:jc w:val="center"/>
              <w:ind w:left="290"/>
              <w:spacing w:after="0"/>
              <w:rPr>
                <w:sz w:val="20"/>
                <w:szCs w:val="20"/>
                <w:color w:val="auto"/>
              </w:rPr>
            </w:pPr>
            <w:r>
              <w:rPr>
                <w:rFonts w:ascii="Arial" w:cs="Arial" w:eastAsia="Arial" w:hAnsi="Arial"/>
                <w:sz w:val="18"/>
                <w:szCs w:val="18"/>
                <w:b w:val="1"/>
                <w:bCs w:val="1"/>
                <w:color w:val="3E693D"/>
                <w:w w:val="99"/>
              </w:rPr>
              <w:t>Encouraging a shared</w:t>
            </w: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960" w:type="dxa"/>
            <w:vAlign w:val="bottom"/>
            <w:gridSpan w:val="3"/>
            <w:vMerge w:val="restart"/>
          </w:tcPr>
          <w:p>
            <w:pPr>
              <w:jc w:val="center"/>
              <w:ind w:right="570"/>
              <w:spacing w:after="0"/>
              <w:rPr>
                <w:sz w:val="20"/>
                <w:szCs w:val="20"/>
                <w:color w:val="auto"/>
              </w:rPr>
            </w:pPr>
            <w:r>
              <w:rPr>
                <w:rFonts w:ascii="Arial" w:cs="Arial" w:eastAsia="Arial" w:hAnsi="Arial"/>
                <w:sz w:val="18"/>
                <w:szCs w:val="18"/>
                <w:b w:val="1"/>
                <w:bCs w:val="1"/>
                <w:color w:val="3E693D"/>
                <w:w w:val="99"/>
              </w:rPr>
              <w:t>Attracting and</w:t>
            </w: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160" w:type="dxa"/>
            <w:vAlign w:val="bottom"/>
            <w:shd w:val="clear" w:color="auto" w:fill="EEEEEF"/>
          </w:tcPr>
          <w:p>
            <w:pPr>
              <w:spacing w:after="0"/>
              <w:rPr>
                <w:sz w:val="19"/>
                <w:szCs w:val="19"/>
                <w:color w:val="auto"/>
              </w:rPr>
            </w:pPr>
          </w:p>
        </w:tc>
        <w:tc>
          <w:tcPr>
            <w:tcW w:w="2620" w:type="dxa"/>
            <w:vAlign w:val="bottom"/>
            <w:gridSpan w:val="3"/>
            <w:vMerge w:val="continue"/>
          </w:tcPr>
          <w:p>
            <w:pPr>
              <w:spacing w:after="0"/>
              <w:rPr>
                <w:sz w:val="19"/>
                <w:szCs w:val="19"/>
                <w:color w:val="auto"/>
              </w:rPr>
            </w:pPr>
          </w:p>
        </w:tc>
        <w:tc>
          <w:tcPr>
            <w:tcW w:w="280" w:type="dxa"/>
            <w:vAlign w:val="bottom"/>
            <w:shd w:val="clear" w:color="auto" w:fill="EEEEEF"/>
          </w:tcPr>
          <w:p>
            <w:pPr>
              <w:spacing w:after="0"/>
              <w:rPr>
                <w:sz w:val="19"/>
                <w:szCs w:val="19"/>
                <w:color w:val="auto"/>
              </w:rPr>
            </w:pPr>
          </w:p>
        </w:tc>
        <w:tc>
          <w:tcPr>
            <w:tcW w:w="226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shd w:val="clear" w:color="auto" w:fill="EEEEEF"/>
          </w:tcPr>
          <w:p>
            <w:pPr>
              <w:spacing w:after="0"/>
              <w:rPr>
                <w:sz w:val="19"/>
                <w:szCs w:val="19"/>
                <w:color w:val="auto"/>
              </w:rPr>
            </w:pPr>
          </w:p>
        </w:tc>
        <w:tc>
          <w:tcPr>
            <w:tcW w:w="68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1180" w:type="dxa"/>
            <w:vAlign w:val="bottom"/>
            <w:shd w:val="clear" w:color="auto" w:fill="EEEEEF"/>
          </w:tcPr>
          <w:p>
            <w:pPr>
              <w:spacing w:after="0"/>
              <w:rPr>
                <w:sz w:val="19"/>
                <w:szCs w:val="19"/>
                <w:color w:val="auto"/>
              </w:rPr>
            </w:pPr>
          </w:p>
        </w:tc>
        <w:tc>
          <w:tcPr>
            <w:tcW w:w="180" w:type="dxa"/>
            <w:vAlign w:val="bottom"/>
            <w:shd w:val="clear" w:color="auto" w:fill="EEEEE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160" w:type="dxa"/>
            <w:vAlign w:val="bottom"/>
            <w:shd w:val="clear" w:color="auto" w:fill="EEEEEF"/>
          </w:tcPr>
          <w:p>
            <w:pPr>
              <w:spacing w:after="0"/>
              <w:rPr>
                <w:sz w:val="9"/>
                <w:szCs w:val="9"/>
                <w:color w:val="auto"/>
              </w:rPr>
            </w:pPr>
          </w:p>
        </w:tc>
        <w:tc>
          <w:tcPr>
            <w:tcW w:w="26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3E693D"/>
              </w:rPr>
              <w:t>and aligning with</w:t>
            </w:r>
          </w:p>
        </w:tc>
        <w:tc>
          <w:tcPr>
            <w:tcW w:w="280" w:type="dxa"/>
            <w:vAlign w:val="bottom"/>
            <w:shd w:val="clear" w:color="auto" w:fill="EEEEEF"/>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shd w:val="clear" w:color="auto" w:fill="EEEEEF"/>
          </w:tcPr>
          <w:p>
            <w:pPr>
              <w:spacing w:after="0"/>
              <w:rPr>
                <w:sz w:val="9"/>
                <w:szCs w:val="9"/>
                <w:color w:val="auto"/>
              </w:rPr>
            </w:pPr>
          </w:p>
        </w:tc>
        <w:tc>
          <w:tcPr>
            <w:tcW w:w="264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3E693D"/>
                <w:w w:val="99"/>
              </w:rPr>
              <w:t>retaining top talent from all</w:t>
            </w:r>
          </w:p>
        </w:tc>
        <w:tc>
          <w:tcPr>
            <w:tcW w:w="1180" w:type="dxa"/>
            <w:vAlign w:val="bottom"/>
            <w:shd w:val="clear" w:color="auto" w:fill="EEEEEF"/>
          </w:tcPr>
          <w:p>
            <w:pPr>
              <w:spacing w:after="0"/>
              <w:rPr>
                <w:sz w:val="9"/>
                <w:szCs w:val="9"/>
                <w:color w:val="auto"/>
              </w:rPr>
            </w:pPr>
          </w:p>
        </w:tc>
        <w:tc>
          <w:tcPr>
            <w:tcW w:w="180" w:type="dxa"/>
            <w:vAlign w:val="bottom"/>
            <w:shd w:val="clear" w:color="auto" w:fill="EEEEE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shd w:val="clear" w:color="auto" w:fill="EEEEEF"/>
          </w:tcPr>
          <w:p>
            <w:pPr>
              <w:spacing w:after="0"/>
              <w:rPr>
                <w:sz w:val="9"/>
                <w:szCs w:val="9"/>
                <w:color w:val="auto"/>
              </w:rPr>
            </w:pPr>
          </w:p>
        </w:tc>
        <w:tc>
          <w:tcPr>
            <w:tcW w:w="2620" w:type="dxa"/>
            <w:vAlign w:val="bottom"/>
            <w:gridSpan w:val="3"/>
            <w:vMerge w:val="continue"/>
          </w:tcPr>
          <w:p>
            <w:pPr>
              <w:spacing w:after="0"/>
              <w:rPr>
                <w:sz w:val="9"/>
                <w:szCs w:val="9"/>
                <w:color w:val="auto"/>
              </w:rPr>
            </w:pPr>
          </w:p>
        </w:tc>
        <w:tc>
          <w:tcPr>
            <w:tcW w:w="280" w:type="dxa"/>
            <w:vAlign w:val="bottom"/>
            <w:shd w:val="clear" w:color="auto" w:fill="EEEEEF"/>
          </w:tcPr>
          <w:p>
            <w:pPr>
              <w:spacing w:after="0"/>
              <w:rPr>
                <w:sz w:val="9"/>
                <w:szCs w:val="9"/>
                <w:color w:val="auto"/>
              </w:rPr>
            </w:pPr>
          </w:p>
        </w:tc>
        <w:tc>
          <w:tcPr>
            <w:tcW w:w="2260" w:type="dxa"/>
            <w:vAlign w:val="bottom"/>
            <w:gridSpan w:val="3"/>
            <w:vMerge w:val="restart"/>
          </w:tcPr>
          <w:p>
            <w:pPr>
              <w:jc w:val="center"/>
              <w:ind w:left="290"/>
              <w:spacing w:after="0"/>
              <w:rPr>
                <w:sz w:val="20"/>
                <w:szCs w:val="20"/>
                <w:color w:val="auto"/>
              </w:rPr>
            </w:pPr>
            <w:r>
              <w:rPr>
                <w:rFonts w:ascii="Arial" w:cs="Arial" w:eastAsia="Arial" w:hAnsi="Arial"/>
                <w:sz w:val="18"/>
                <w:szCs w:val="18"/>
                <w:b w:val="1"/>
                <w:bCs w:val="1"/>
                <w:color w:val="3E693D"/>
                <w:w w:val="99"/>
              </w:rPr>
              <w:t>success culture</w:t>
            </w:r>
          </w:p>
        </w:tc>
        <w:tc>
          <w:tcPr>
            <w:tcW w:w="360" w:type="dxa"/>
            <w:vAlign w:val="bottom"/>
          </w:tcPr>
          <w:p>
            <w:pPr>
              <w:spacing w:after="0"/>
              <w:rPr>
                <w:sz w:val="9"/>
                <w:szCs w:val="9"/>
                <w:color w:val="auto"/>
              </w:rPr>
            </w:pPr>
          </w:p>
        </w:tc>
        <w:tc>
          <w:tcPr>
            <w:tcW w:w="300" w:type="dxa"/>
            <w:vAlign w:val="bottom"/>
            <w:shd w:val="clear" w:color="auto" w:fill="EEEEEF"/>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180" w:type="dxa"/>
            <w:vAlign w:val="bottom"/>
            <w:shd w:val="clear" w:color="auto" w:fill="EEEEEF"/>
          </w:tcPr>
          <w:p>
            <w:pPr>
              <w:spacing w:after="0"/>
              <w:rPr>
                <w:sz w:val="9"/>
                <w:szCs w:val="9"/>
                <w:color w:val="auto"/>
              </w:rPr>
            </w:pPr>
          </w:p>
        </w:tc>
        <w:tc>
          <w:tcPr>
            <w:tcW w:w="180" w:type="dxa"/>
            <w:vAlign w:val="bottom"/>
            <w:shd w:val="clear" w:color="auto" w:fill="EEEEE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160" w:type="dxa"/>
            <w:vAlign w:val="bottom"/>
            <w:shd w:val="clear" w:color="auto" w:fill="EEEEEF"/>
          </w:tcPr>
          <w:p>
            <w:pPr>
              <w:spacing w:after="0"/>
              <w:rPr>
                <w:sz w:val="12"/>
                <w:szCs w:val="12"/>
                <w:color w:val="auto"/>
              </w:rPr>
            </w:pPr>
          </w:p>
        </w:tc>
        <w:tc>
          <w:tcPr>
            <w:tcW w:w="26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3E693D"/>
                <w:w w:val="99"/>
              </w:rPr>
              <w:t>shareholders’ interests</w:t>
            </w:r>
          </w:p>
        </w:tc>
        <w:tc>
          <w:tcPr>
            <w:tcW w:w="280" w:type="dxa"/>
            <w:vAlign w:val="bottom"/>
            <w:shd w:val="clear" w:color="auto" w:fill="EEEEEF"/>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shd w:val="clear" w:color="auto" w:fill="EEEEEF"/>
          </w:tcPr>
          <w:p>
            <w:pPr>
              <w:spacing w:after="0"/>
              <w:rPr>
                <w:sz w:val="12"/>
                <w:szCs w:val="12"/>
                <w:color w:val="auto"/>
              </w:rPr>
            </w:pPr>
          </w:p>
        </w:tc>
        <w:tc>
          <w:tcPr>
            <w:tcW w:w="680" w:type="dxa"/>
            <w:vAlign w:val="bottom"/>
          </w:tcPr>
          <w:p>
            <w:pPr>
              <w:spacing w:after="0"/>
              <w:rPr>
                <w:sz w:val="12"/>
                <w:szCs w:val="12"/>
                <w:color w:val="auto"/>
              </w:rPr>
            </w:pPr>
          </w:p>
        </w:tc>
        <w:tc>
          <w:tcPr>
            <w:tcW w:w="1960" w:type="dxa"/>
            <w:vAlign w:val="bottom"/>
            <w:gridSpan w:val="3"/>
            <w:vMerge w:val="restart"/>
          </w:tcPr>
          <w:p>
            <w:pPr>
              <w:jc w:val="center"/>
              <w:ind w:right="590"/>
              <w:spacing w:after="0"/>
              <w:rPr>
                <w:sz w:val="20"/>
                <w:szCs w:val="20"/>
                <w:color w:val="auto"/>
              </w:rPr>
            </w:pPr>
            <w:r>
              <w:rPr>
                <w:rFonts w:ascii="Arial" w:cs="Arial" w:eastAsia="Arial" w:hAnsi="Arial"/>
                <w:sz w:val="18"/>
                <w:szCs w:val="18"/>
                <w:b w:val="1"/>
                <w:bCs w:val="1"/>
                <w:color w:val="3E693D"/>
                <w:w w:val="99"/>
              </w:rPr>
              <w:t>backgrounds</w:t>
            </w:r>
          </w:p>
        </w:tc>
        <w:tc>
          <w:tcPr>
            <w:tcW w:w="1180" w:type="dxa"/>
            <w:vAlign w:val="bottom"/>
            <w:shd w:val="clear" w:color="auto" w:fill="EEEEEF"/>
          </w:tcPr>
          <w:p>
            <w:pPr>
              <w:spacing w:after="0"/>
              <w:rPr>
                <w:sz w:val="12"/>
                <w:szCs w:val="12"/>
                <w:color w:val="auto"/>
              </w:rPr>
            </w:pPr>
          </w:p>
        </w:tc>
        <w:tc>
          <w:tcPr>
            <w:tcW w:w="180" w:type="dxa"/>
            <w:vAlign w:val="bottom"/>
            <w:shd w:val="clear" w:color="auto" w:fill="EEEEE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160" w:type="dxa"/>
            <w:vAlign w:val="bottom"/>
            <w:tcBorders>
              <w:bottom w:val="single" w:sz="8" w:color="EEEEEF"/>
            </w:tcBorders>
            <w:shd w:val="clear" w:color="auto" w:fill="EEEEEF"/>
          </w:tcPr>
          <w:p>
            <w:pPr>
              <w:spacing w:after="0"/>
              <w:rPr>
                <w:sz w:val="10"/>
                <w:szCs w:val="10"/>
                <w:color w:val="auto"/>
              </w:rPr>
            </w:pPr>
          </w:p>
        </w:tc>
        <w:tc>
          <w:tcPr>
            <w:tcW w:w="2620" w:type="dxa"/>
            <w:vAlign w:val="bottom"/>
            <w:tcBorders>
              <w:bottom w:val="single" w:sz="8" w:color="1F5122"/>
            </w:tcBorders>
            <w:gridSpan w:val="3"/>
            <w:vMerge w:val="continue"/>
          </w:tcPr>
          <w:p>
            <w:pPr>
              <w:spacing w:after="0"/>
              <w:rPr>
                <w:sz w:val="10"/>
                <w:szCs w:val="10"/>
                <w:color w:val="auto"/>
              </w:rPr>
            </w:pPr>
          </w:p>
        </w:tc>
        <w:tc>
          <w:tcPr>
            <w:tcW w:w="280" w:type="dxa"/>
            <w:vAlign w:val="bottom"/>
            <w:tcBorders>
              <w:bottom w:val="single" w:sz="8" w:color="EEEEEF"/>
            </w:tcBorders>
            <w:shd w:val="clear" w:color="auto" w:fill="EEEEEF"/>
          </w:tcPr>
          <w:p>
            <w:pPr>
              <w:spacing w:after="0"/>
              <w:rPr>
                <w:sz w:val="10"/>
                <w:szCs w:val="10"/>
                <w:color w:val="auto"/>
              </w:rPr>
            </w:pPr>
          </w:p>
        </w:tc>
        <w:tc>
          <w:tcPr>
            <w:tcW w:w="1180" w:type="dxa"/>
            <w:vAlign w:val="bottom"/>
            <w:tcBorders>
              <w:bottom w:val="single" w:sz="8" w:color="1F5122"/>
            </w:tcBorders>
          </w:tcPr>
          <w:p>
            <w:pPr>
              <w:spacing w:after="0"/>
              <w:rPr>
                <w:sz w:val="10"/>
                <w:szCs w:val="10"/>
                <w:color w:val="auto"/>
              </w:rPr>
            </w:pPr>
          </w:p>
        </w:tc>
        <w:tc>
          <w:tcPr>
            <w:tcW w:w="280" w:type="dxa"/>
            <w:vAlign w:val="bottom"/>
            <w:tcBorders>
              <w:bottom w:val="single" w:sz="8" w:color="1F5122"/>
            </w:tcBorders>
          </w:tcPr>
          <w:p>
            <w:pPr>
              <w:spacing w:after="0"/>
              <w:rPr>
                <w:sz w:val="10"/>
                <w:szCs w:val="10"/>
                <w:color w:val="auto"/>
              </w:rPr>
            </w:pPr>
          </w:p>
        </w:tc>
        <w:tc>
          <w:tcPr>
            <w:tcW w:w="800" w:type="dxa"/>
            <w:vAlign w:val="bottom"/>
            <w:tcBorders>
              <w:bottom w:val="single" w:sz="8" w:color="1F5122"/>
            </w:tcBorders>
          </w:tcPr>
          <w:p>
            <w:pPr>
              <w:spacing w:after="0"/>
              <w:rPr>
                <w:sz w:val="10"/>
                <w:szCs w:val="10"/>
                <w:color w:val="auto"/>
              </w:rPr>
            </w:pPr>
          </w:p>
        </w:tc>
        <w:tc>
          <w:tcPr>
            <w:tcW w:w="360" w:type="dxa"/>
            <w:vAlign w:val="bottom"/>
            <w:tcBorders>
              <w:bottom w:val="single" w:sz="8" w:color="1F5122"/>
            </w:tcBorders>
          </w:tcPr>
          <w:p>
            <w:pPr>
              <w:spacing w:after="0"/>
              <w:rPr>
                <w:sz w:val="10"/>
                <w:szCs w:val="10"/>
                <w:color w:val="auto"/>
              </w:rPr>
            </w:pPr>
          </w:p>
        </w:tc>
        <w:tc>
          <w:tcPr>
            <w:tcW w:w="300" w:type="dxa"/>
            <w:vAlign w:val="bottom"/>
            <w:tcBorders>
              <w:bottom w:val="single" w:sz="8" w:color="EEEEEF"/>
            </w:tcBorders>
            <w:shd w:val="clear" w:color="auto" w:fill="EEEEEF"/>
          </w:tcPr>
          <w:p>
            <w:pPr>
              <w:spacing w:after="0"/>
              <w:rPr>
                <w:sz w:val="10"/>
                <w:szCs w:val="10"/>
                <w:color w:val="auto"/>
              </w:rPr>
            </w:pPr>
          </w:p>
        </w:tc>
        <w:tc>
          <w:tcPr>
            <w:tcW w:w="680" w:type="dxa"/>
            <w:vAlign w:val="bottom"/>
            <w:tcBorders>
              <w:bottom w:val="single" w:sz="8" w:color="1F5122"/>
            </w:tcBorders>
          </w:tcPr>
          <w:p>
            <w:pPr>
              <w:spacing w:after="0"/>
              <w:rPr>
                <w:sz w:val="10"/>
                <w:szCs w:val="10"/>
                <w:color w:val="auto"/>
              </w:rPr>
            </w:pPr>
          </w:p>
        </w:tc>
        <w:tc>
          <w:tcPr>
            <w:tcW w:w="1960" w:type="dxa"/>
            <w:vAlign w:val="bottom"/>
            <w:tcBorders>
              <w:bottom w:val="single" w:sz="8" w:color="1F5122"/>
            </w:tcBorders>
            <w:gridSpan w:val="3"/>
            <w:vMerge w:val="continue"/>
          </w:tcPr>
          <w:p>
            <w:pPr>
              <w:spacing w:after="0"/>
              <w:rPr>
                <w:sz w:val="10"/>
                <w:szCs w:val="10"/>
                <w:color w:val="auto"/>
              </w:rPr>
            </w:pPr>
          </w:p>
        </w:tc>
        <w:tc>
          <w:tcPr>
            <w:tcW w:w="1180" w:type="dxa"/>
            <w:vAlign w:val="bottom"/>
            <w:tcBorders>
              <w:bottom w:val="single" w:sz="8" w:color="EEEEEF"/>
            </w:tcBorders>
            <w:shd w:val="clear" w:color="auto" w:fill="EEEEEF"/>
          </w:tcPr>
          <w:p>
            <w:pPr>
              <w:spacing w:after="0"/>
              <w:rPr>
                <w:sz w:val="10"/>
                <w:szCs w:val="10"/>
                <w:color w:val="auto"/>
              </w:rPr>
            </w:pPr>
          </w:p>
        </w:tc>
        <w:tc>
          <w:tcPr>
            <w:tcW w:w="180" w:type="dxa"/>
            <w:vAlign w:val="bottom"/>
            <w:tcBorders>
              <w:bottom w:val="single" w:sz="8" w:color="EEEEEF"/>
            </w:tcBorders>
            <w:shd w:val="clear" w:color="auto" w:fill="EEEEE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shd w:val="clear" w:color="auto" w:fill="EEEEEF"/>
          </w:tcPr>
          <w:p>
            <w:pPr>
              <w:spacing w:after="0"/>
              <w:rPr>
                <w:sz w:val="8"/>
                <w:szCs w:val="8"/>
                <w:color w:val="auto"/>
              </w:rPr>
            </w:pPr>
          </w:p>
        </w:tc>
        <w:tc>
          <w:tcPr>
            <w:tcW w:w="1160" w:type="dxa"/>
            <w:vAlign w:val="bottom"/>
            <w:shd w:val="clear" w:color="auto" w:fill="EEEEEF"/>
          </w:tcPr>
          <w:p>
            <w:pPr>
              <w:spacing w:after="0"/>
              <w:rPr>
                <w:sz w:val="8"/>
                <w:szCs w:val="8"/>
                <w:color w:val="auto"/>
              </w:rPr>
            </w:pPr>
          </w:p>
        </w:tc>
        <w:tc>
          <w:tcPr>
            <w:tcW w:w="280" w:type="dxa"/>
            <w:vAlign w:val="bottom"/>
            <w:shd w:val="clear" w:color="auto" w:fill="EEEEEF"/>
          </w:tcPr>
          <w:p>
            <w:pPr>
              <w:spacing w:after="0"/>
              <w:rPr>
                <w:sz w:val="8"/>
                <w:szCs w:val="8"/>
                <w:color w:val="auto"/>
              </w:rPr>
            </w:pPr>
          </w:p>
        </w:tc>
        <w:tc>
          <w:tcPr>
            <w:tcW w:w="1180" w:type="dxa"/>
            <w:vAlign w:val="bottom"/>
            <w:shd w:val="clear" w:color="auto" w:fill="EEEEEF"/>
          </w:tcPr>
          <w:p>
            <w:pPr>
              <w:spacing w:after="0"/>
              <w:rPr>
                <w:sz w:val="8"/>
                <w:szCs w:val="8"/>
                <w:color w:val="auto"/>
              </w:rPr>
            </w:pPr>
          </w:p>
        </w:tc>
        <w:tc>
          <w:tcPr>
            <w:tcW w:w="280" w:type="dxa"/>
            <w:vAlign w:val="bottom"/>
            <w:shd w:val="clear" w:color="auto" w:fill="EEEEEF"/>
          </w:tcPr>
          <w:p>
            <w:pPr>
              <w:spacing w:after="0"/>
              <w:rPr>
                <w:sz w:val="8"/>
                <w:szCs w:val="8"/>
                <w:color w:val="auto"/>
              </w:rPr>
            </w:pPr>
          </w:p>
        </w:tc>
        <w:tc>
          <w:tcPr>
            <w:tcW w:w="1180" w:type="dxa"/>
            <w:vAlign w:val="bottom"/>
            <w:shd w:val="clear" w:color="auto" w:fill="EEEEEF"/>
          </w:tcPr>
          <w:p>
            <w:pPr>
              <w:spacing w:after="0"/>
              <w:rPr>
                <w:sz w:val="8"/>
                <w:szCs w:val="8"/>
                <w:color w:val="auto"/>
              </w:rPr>
            </w:pPr>
          </w:p>
        </w:tc>
        <w:tc>
          <w:tcPr>
            <w:tcW w:w="280" w:type="dxa"/>
            <w:vAlign w:val="bottom"/>
            <w:shd w:val="clear" w:color="auto" w:fill="EEEEEF"/>
          </w:tcPr>
          <w:p>
            <w:pPr>
              <w:spacing w:after="0"/>
              <w:rPr>
                <w:sz w:val="8"/>
                <w:szCs w:val="8"/>
                <w:color w:val="auto"/>
              </w:rPr>
            </w:pPr>
          </w:p>
        </w:tc>
        <w:tc>
          <w:tcPr>
            <w:tcW w:w="800" w:type="dxa"/>
            <w:vAlign w:val="bottom"/>
            <w:shd w:val="clear" w:color="auto" w:fill="EEEEEF"/>
          </w:tcPr>
          <w:p>
            <w:pPr>
              <w:spacing w:after="0"/>
              <w:rPr>
                <w:sz w:val="8"/>
                <w:szCs w:val="8"/>
                <w:color w:val="auto"/>
              </w:rPr>
            </w:pPr>
          </w:p>
        </w:tc>
        <w:tc>
          <w:tcPr>
            <w:tcW w:w="360" w:type="dxa"/>
            <w:vAlign w:val="bottom"/>
            <w:shd w:val="clear" w:color="auto" w:fill="EEEEEF"/>
          </w:tcPr>
          <w:p>
            <w:pPr>
              <w:spacing w:after="0"/>
              <w:rPr>
                <w:sz w:val="8"/>
                <w:szCs w:val="8"/>
                <w:color w:val="auto"/>
              </w:rPr>
            </w:pPr>
          </w:p>
        </w:tc>
        <w:tc>
          <w:tcPr>
            <w:tcW w:w="300" w:type="dxa"/>
            <w:vAlign w:val="bottom"/>
            <w:shd w:val="clear" w:color="auto" w:fill="EEEEEF"/>
          </w:tcPr>
          <w:p>
            <w:pPr>
              <w:spacing w:after="0"/>
              <w:rPr>
                <w:sz w:val="8"/>
                <w:szCs w:val="8"/>
                <w:color w:val="auto"/>
              </w:rPr>
            </w:pPr>
          </w:p>
        </w:tc>
        <w:tc>
          <w:tcPr>
            <w:tcW w:w="680" w:type="dxa"/>
            <w:vAlign w:val="bottom"/>
            <w:shd w:val="clear" w:color="auto" w:fill="EEEEEF"/>
          </w:tcPr>
          <w:p>
            <w:pPr>
              <w:spacing w:after="0"/>
              <w:rPr>
                <w:sz w:val="8"/>
                <w:szCs w:val="8"/>
                <w:color w:val="auto"/>
              </w:rPr>
            </w:pPr>
          </w:p>
        </w:tc>
        <w:tc>
          <w:tcPr>
            <w:tcW w:w="500" w:type="dxa"/>
            <w:vAlign w:val="bottom"/>
            <w:shd w:val="clear" w:color="auto" w:fill="EEEEEF"/>
          </w:tcPr>
          <w:p>
            <w:pPr>
              <w:spacing w:after="0"/>
              <w:rPr>
                <w:sz w:val="8"/>
                <w:szCs w:val="8"/>
                <w:color w:val="auto"/>
              </w:rPr>
            </w:pPr>
          </w:p>
        </w:tc>
        <w:tc>
          <w:tcPr>
            <w:tcW w:w="260" w:type="dxa"/>
            <w:vAlign w:val="bottom"/>
            <w:shd w:val="clear" w:color="auto" w:fill="EEEEEF"/>
          </w:tcPr>
          <w:p>
            <w:pPr>
              <w:spacing w:after="0"/>
              <w:rPr>
                <w:sz w:val="8"/>
                <w:szCs w:val="8"/>
                <w:color w:val="auto"/>
              </w:rPr>
            </w:pPr>
          </w:p>
        </w:tc>
        <w:tc>
          <w:tcPr>
            <w:tcW w:w="1200" w:type="dxa"/>
            <w:vAlign w:val="bottom"/>
            <w:shd w:val="clear" w:color="auto" w:fill="EEEEEF"/>
          </w:tcPr>
          <w:p>
            <w:pPr>
              <w:spacing w:after="0"/>
              <w:rPr>
                <w:sz w:val="8"/>
                <w:szCs w:val="8"/>
                <w:color w:val="auto"/>
              </w:rPr>
            </w:pPr>
          </w:p>
        </w:tc>
        <w:tc>
          <w:tcPr>
            <w:tcW w:w="1180" w:type="dxa"/>
            <w:vAlign w:val="bottom"/>
            <w:shd w:val="clear" w:color="auto" w:fill="EEEEEF"/>
          </w:tcPr>
          <w:p>
            <w:pPr>
              <w:spacing w:after="0"/>
              <w:rPr>
                <w:sz w:val="8"/>
                <w:szCs w:val="8"/>
                <w:color w:val="auto"/>
              </w:rPr>
            </w:pPr>
          </w:p>
        </w:tc>
        <w:tc>
          <w:tcPr>
            <w:tcW w:w="180" w:type="dxa"/>
            <w:vAlign w:val="bottom"/>
            <w:shd w:val="clear" w:color="auto" w:fill="EEEEE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32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Integrating risk</w:t>
            </w:r>
          </w:p>
        </w:tc>
        <w:tc>
          <w:tcPr>
            <w:tcW w:w="280" w:type="dxa"/>
            <w:vAlign w:val="bottom"/>
            <w:shd w:val="clear" w:color="auto" w:fill="EEEEEF"/>
          </w:tcPr>
          <w:p>
            <w:pPr>
              <w:spacing w:after="0"/>
              <w:rPr>
                <w:sz w:val="19"/>
                <w:szCs w:val="19"/>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3E693D"/>
              </w:rPr>
              <w:t>No special perquisites</w:t>
            </w:r>
          </w:p>
        </w:tc>
        <w:tc>
          <w:tcPr>
            <w:tcW w:w="280" w:type="dxa"/>
            <w:vAlign w:val="bottom"/>
            <w:shd w:val="clear" w:color="auto" w:fill="EEEEEF"/>
          </w:tcPr>
          <w:p>
            <w:pPr>
              <w:spacing w:after="0"/>
              <w:rPr>
                <w:sz w:val="19"/>
                <w:szCs w:val="19"/>
                <w:color w:val="auto"/>
              </w:rPr>
            </w:pPr>
          </w:p>
        </w:tc>
        <w:tc>
          <w:tcPr>
            <w:tcW w:w="2140" w:type="dxa"/>
            <w:vAlign w:val="bottom"/>
            <w:gridSpan w:val="4"/>
            <w:vMerge w:val="restart"/>
          </w:tcPr>
          <w:p>
            <w:pPr>
              <w:jc w:val="center"/>
              <w:ind w:left="410"/>
              <w:spacing w:after="0"/>
              <w:rPr>
                <w:sz w:val="20"/>
                <w:szCs w:val="20"/>
                <w:color w:val="auto"/>
              </w:rPr>
            </w:pPr>
            <w:r>
              <w:rPr>
                <w:rFonts w:ascii="Arial" w:cs="Arial" w:eastAsia="Arial" w:hAnsi="Arial"/>
                <w:sz w:val="18"/>
                <w:szCs w:val="18"/>
                <w:b w:val="1"/>
                <w:bCs w:val="1"/>
                <w:color w:val="3E693D"/>
                <w:w w:val="99"/>
              </w:rPr>
              <w:t>Maintaining strong</w:t>
            </w:r>
          </w:p>
        </w:tc>
        <w:tc>
          <w:tcPr>
            <w:tcW w:w="500" w:type="dxa"/>
            <w:vAlign w:val="bottom"/>
          </w:tcPr>
          <w:p>
            <w:pPr>
              <w:spacing w:after="0"/>
              <w:rPr>
                <w:sz w:val="19"/>
                <w:szCs w:val="19"/>
                <w:color w:val="auto"/>
              </w:rPr>
            </w:pPr>
          </w:p>
        </w:tc>
        <w:tc>
          <w:tcPr>
            <w:tcW w:w="260" w:type="dxa"/>
            <w:vAlign w:val="bottom"/>
            <w:shd w:val="clear" w:color="auto" w:fill="EEEEEF"/>
          </w:tcPr>
          <w:p>
            <w:pPr>
              <w:spacing w:after="0"/>
              <w:rPr>
                <w:sz w:val="19"/>
                <w:szCs w:val="19"/>
                <w:color w:val="auto"/>
              </w:rPr>
            </w:pPr>
          </w:p>
        </w:tc>
        <w:tc>
          <w:tcPr>
            <w:tcW w:w="23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3E693D"/>
                <w:w w:val="99"/>
              </w:rPr>
              <w:t>Transparency with</w:t>
            </w:r>
          </w:p>
        </w:tc>
        <w:tc>
          <w:tcPr>
            <w:tcW w:w="180" w:type="dxa"/>
            <w:vAlign w:val="bottom"/>
            <w:shd w:val="clear" w:color="auto" w:fill="EEEEE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3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3E693D"/>
                <w:w w:val="99"/>
              </w:rPr>
              <w:t>management and</w:t>
            </w:r>
          </w:p>
        </w:tc>
        <w:tc>
          <w:tcPr>
            <w:tcW w:w="280" w:type="dxa"/>
            <w:vAlign w:val="bottom"/>
            <w:shd w:val="clear" w:color="auto" w:fill="EEEEEF"/>
          </w:tcPr>
          <w:p>
            <w:pPr>
              <w:spacing w:after="0"/>
              <w:rPr>
                <w:sz w:val="9"/>
                <w:szCs w:val="9"/>
                <w:color w:val="auto"/>
              </w:rPr>
            </w:pPr>
          </w:p>
        </w:tc>
        <w:tc>
          <w:tcPr>
            <w:tcW w:w="26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3E693D"/>
                <w:w w:val="99"/>
              </w:rPr>
              <w:t>and non-performance</w:t>
            </w:r>
          </w:p>
        </w:tc>
        <w:tc>
          <w:tcPr>
            <w:tcW w:w="280" w:type="dxa"/>
            <w:vAlign w:val="bottom"/>
            <w:shd w:val="clear" w:color="auto" w:fill="EEEEEF"/>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shd w:val="clear" w:color="auto" w:fill="EEEEEF"/>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180" w:type="dxa"/>
            <w:vAlign w:val="bottom"/>
            <w:shd w:val="clear" w:color="auto" w:fill="EEEEE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gridSpan w:val="2"/>
            <w:vMerge w:val="continue"/>
          </w:tcPr>
          <w:p>
            <w:pPr>
              <w:spacing w:after="0"/>
              <w:rPr>
                <w:sz w:val="9"/>
                <w:szCs w:val="9"/>
                <w:color w:val="auto"/>
              </w:rPr>
            </w:pPr>
          </w:p>
        </w:tc>
        <w:tc>
          <w:tcPr>
            <w:tcW w:w="280" w:type="dxa"/>
            <w:vAlign w:val="bottom"/>
            <w:shd w:val="clear" w:color="auto" w:fill="EEEEEF"/>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280" w:type="dxa"/>
            <w:vAlign w:val="bottom"/>
            <w:shd w:val="clear" w:color="auto" w:fill="EEEEEF"/>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gridSpan w:val="3"/>
            <w:vMerge w:val="restart"/>
          </w:tcPr>
          <w:p>
            <w:pPr>
              <w:jc w:val="center"/>
              <w:ind w:right="210"/>
              <w:spacing w:after="0"/>
              <w:rPr>
                <w:sz w:val="20"/>
                <w:szCs w:val="20"/>
                <w:color w:val="auto"/>
              </w:rPr>
            </w:pPr>
            <w:r>
              <w:rPr>
                <w:rFonts w:ascii="Arial" w:cs="Arial" w:eastAsia="Arial" w:hAnsi="Arial"/>
                <w:sz w:val="18"/>
                <w:szCs w:val="18"/>
                <w:b w:val="1"/>
                <w:bCs w:val="1"/>
                <w:color w:val="3E693D"/>
                <w:w w:val="98"/>
              </w:rPr>
              <w:t>governance</w:t>
            </w:r>
          </w:p>
        </w:tc>
        <w:tc>
          <w:tcPr>
            <w:tcW w:w="500" w:type="dxa"/>
            <w:vAlign w:val="bottom"/>
          </w:tcPr>
          <w:p>
            <w:pPr>
              <w:spacing w:after="0"/>
              <w:rPr>
                <w:sz w:val="9"/>
                <w:szCs w:val="9"/>
                <w:color w:val="auto"/>
              </w:rPr>
            </w:pPr>
          </w:p>
        </w:tc>
        <w:tc>
          <w:tcPr>
            <w:tcW w:w="260" w:type="dxa"/>
            <w:vAlign w:val="bottom"/>
            <w:shd w:val="clear" w:color="auto" w:fill="EEEEEF"/>
          </w:tcPr>
          <w:p>
            <w:pPr>
              <w:spacing w:after="0"/>
              <w:rPr>
                <w:sz w:val="9"/>
                <w:szCs w:val="9"/>
                <w:color w:val="auto"/>
              </w:rPr>
            </w:pPr>
          </w:p>
        </w:tc>
        <w:tc>
          <w:tcPr>
            <w:tcW w:w="23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3E693D"/>
                <w:w w:val="99"/>
              </w:rPr>
              <w:t>shareholders</w:t>
            </w:r>
          </w:p>
        </w:tc>
        <w:tc>
          <w:tcPr>
            <w:tcW w:w="180" w:type="dxa"/>
            <w:vAlign w:val="bottom"/>
            <w:shd w:val="clear" w:color="auto" w:fill="EEEEE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3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3E693D"/>
                <w:w w:val="99"/>
              </w:rPr>
              <w:t>compensation</w:t>
            </w:r>
          </w:p>
        </w:tc>
        <w:tc>
          <w:tcPr>
            <w:tcW w:w="280" w:type="dxa"/>
            <w:vAlign w:val="bottom"/>
            <w:shd w:val="clear" w:color="auto" w:fill="EEEEEF"/>
          </w:tcPr>
          <w:p>
            <w:pPr>
              <w:spacing w:after="0"/>
              <w:rPr>
                <w:sz w:val="12"/>
                <w:szCs w:val="12"/>
                <w:color w:val="auto"/>
              </w:rPr>
            </w:pPr>
          </w:p>
        </w:tc>
        <w:tc>
          <w:tcPr>
            <w:tcW w:w="26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3E693D"/>
              </w:rPr>
              <w:t>based compensation</w:t>
            </w:r>
          </w:p>
        </w:tc>
        <w:tc>
          <w:tcPr>
            <w:tcW w:w="280" w:type="dxa"/>
            <w:vAlign w:val="bottom"/>
            <w:shd w:val="clear" w:color="auto" w:fill="EEEEEF"/>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shd w:val="clear" w:color="auto" w:fill="EEEEEF"/>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80" w:type="dxa"/>
            <w:vAlign w:val="bottom"/>
            <w:shd w:val="clear" w:color="auto" w:fill="EEEEE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320" w:type="dxa"/>
            <w:vAlign w:val="bottom"/>
            <w:tcBorders>
              <w:bottom w:val="single" w:sz="8" w:color="1F5122"/>
            </w:tcBorders>
            <w:gridSpan w:val="2"/>
            <w:vMerge w:val="continue"/>
          </w:tcPr>
          <w:p>
            <w:pPr>
              <w:spacing w:after="0"/>
              <w:rPr>
                <w:sz w:val="10"/>
                <w:szCs w:val="10"/>
                <w:color w:val="auto"/>
              </w:rPr>
            </w:pPr>
          </w:p>
        </w:tc>
        <w:tc>
          <w:tcPr>
            <w:tcW w:w="280" w:type="dxa"/>
            <w:vAlign w:val="bottom"/>
            <w:tcBorders>
              <w:bottom w:val="single" w:sz="8" w:color="EEEEEF"/>
            </w:tcBorders>
            <w:shd w:val="clear" w:color="auto" w:fill="EEEEEF"/>
          </w:tcPr>
          <w:p>
            <w:pPr>
              <w:spacing w:after="0"/>
              <w:rPr>
                <w:sz w:val="10"/>
                <w:szCs w:val="10"/>
                <w:color w:val="auto"/>
              </w:rPr>
            </w:pPr>
          </w:p>
        </w:tc>
        <w:tc>
          <w:tcPr>
            <w:tcW w:w="2640" w:type="dxa"/>
            <w:vAlign w:val="bottom"/>
            <w:tcBorders>
              <w:bottom w:val="single" w:sz="8" w:color="1F5122"/>
            </w:tcBorders>
            <w:gridSpan w:val="3"/>
            <w:vMerge w:val="continue"/>
          </w:tcPr>
          <w:p>
            <w:pPr>
              <w:spacing w:after="0"/>
              <w:rPr>
                <w:sz w:val="10"/>
                <w:szCs w:val="10"/>
                <w:color w:val="auto"/>
              </w:rPr>
            </w:pPr>
          </w:p>
        </w:tc>
        <w:tc>
          <w:tcPr>
            <w:tcW w:w="280" w:type="dxa"/>
            <w:vAlign w:val="bottom"/>
            <w:tcBorders>
              <w:bottom w:val="single" w:sz="8" w:color="EEEEEF"/>
            </w:tcBorders>
            <w:shd w:val="clear" w:color="auto" w:fill="EEEEEF"/>
          </w:tcPr>
          <w:p>
            <w:pPr>
              <w:spacing w:after="0"/>
              <w:rPr>
                <w:sz w:val="10"/>
                <w:szCs w:val="10"/>
                <w:color w:val="auto"/>
              </w:rPr>
            </w:pPr>
          </w:p>
        </w:tc>
        <w:tc>
          <w:tcPr>
            <w:tcW w:w="800" w:type="dxa"/>
            <w:vAlign w:val="bottom"/>
            <w:tcBorders>
              <w:bottom w:val="single" w:sz="8" w:color="1F5122"/>
            </w:tcBorders>
          </w:tcPr>
          <w:p>
            <w:pPr>
              <w:spacing w:after="0"/>
              <w:rPr>
                <w:sz w:val="10"/>
                <w:szCs w:val="10"/>
                <w:color w:val="auto"/>
              </w:rPr>
            </w:pPr>
          </w:p>
        </w:tc>
        <w:tc>
          <w:tcPr>
            <w:tcW w:w="360" w:type="dxa"/>
            <w:vAlign w:val="bottom"/>
            <w:tcBorders>
              <w:bottom w:val="single" w:sz="8" w:color="1F5122"/>
            </w:tcBorders>
          </w:tcPr>
          <w:p>
            <w:pPr>
              <w:spacing w:after="0"/>
              <w:rPr>
                <w:sz w:val="10"/>
                <w:szCs w:val="10"/>
                <w:color w:val="auto"/>
              </w:rPr>
            </w:pPr>
          </w:p>
        </w:tc>
        <w:tc>
          <w:tcPr>
            <w:tcW w:w="300" w:type="dxa"/>
            <w:vAlign w:val="bottom"/>
            <w:tcBorders>
              <w:bottom w:val="single" w:sz="8" w:color="1F5122"/>
            </w:tcBorders>
          </w:tcPr>
          <w:p>
            <w:pPr>
              <w:spacing w:after="0"/>
              <w:rPr>
                <w:sz w:val="10"/>
                <w:szCs w:val="10"/>
                <w:color w:val="auto"/>
              </w:rPr>
            </w:pPr>
          </w:p>
        </w:tc>
        <w:tc>
          <w:tcPr>
            <w:tcW w:w="680" w:type="dxa"/>
            <w:vAlign w:val="bottom"/>
            <w:tcBorders>
              <w:bottom w:val="single" w:sz="8" w:color="1F5122"/>
            </w:tcBorders>
          </w:tcPr>
          <w:p>
            <w:pPr>
              <w:spacing w:after="0"/>
              <w:rPr>
                <w:sz w:val="10"/>
                <w:szCs w:val="10"/>
                <w:color w:val="auto"/>
              </w:rPr>
            </w:pPr>
          </w:p>
        </w:tc>
        <w:tc>
          <w:tcPr>
            <w:tcW w:w="500" w:type="dxa"/>
            <w:vAlign w:val="bottom"/>
            <w:tcBorders>
              <w:bottom w:val="single" w:sz="8" w:color="1F5122"/>
            </w:tcBorders>
          </w:tcPr>
          <w:p>
            <w:pPr>
              <w:spacing w:after="0"/>
              <w:rPr>
                <w:sz w:val="10"/>
                <w:szCs w:val="10"/>
                <w:color w:val="auto"/>
              </w:rPr>
            </w:pPr>
          </w:p>
        </w:tc>
        <w:tc>
          <w:tcPr>
            <w:tcW w:w="260" w:type="dxa"/>
            <w:vAlign w:val="bottom"/>
            <w:tcBorders>
              <w:bottom w:val="single" w:sz="8" w:color="EEEEEF"/>
            </w:tcBorders>
            <w:shd w:val="clear" w:color="auto" w:fill="EEEEEF"/>
          </w:tcPr>
          <w:p>
            <w:pPr>
              <w:spacing w:after="0"/>
              <w:rPr>
                <w:sz w:val="10"/>
                <w:szCs w:val="10"/>
                <w:color w:val="auto"/>
              </w:rPr>
            </w:pPr>
          </w:p>
        </w:tc>
        <w:tc>
          <w:tcPr>
            <w:tcW w:w="1200" w:type="dxa"/>
            <w:vAlign w:val="bottom"/>
            <w:tcBorders>
              <w:bottom w:val="single" w:sz="8" w:color="1F5122"/>
            </w:tcBorders>
          </w:tcPr>
          <w:p>
            <w:pPr>
              <w:spacing w:after="0"/>
              <w:rPr>
                <w:sz w:val="10"/>
                <w:szCs w:val="10"/>
                <w:color w:val="auto"/>
              </w:rPr>
            </w:pPr>
          </w:p>
        </w:tc>
        <w:tc>
          <w:tcPr>
            <w:tcW w:w="1180" w:type="dxa"/>
            <w:vAlign w:val="bottom"/>
            <w:tcBorders>
              <w:bottom w:val="single" w:sz="8" w:color="1F5122"/>
            </w:tcBorders>
          </w:tcPr>
          <w:p>
            <w:pPr>
              <w:spacing w:after="0"/>
              <w:rPr>
                <w:sz w:val="10"/>
                <w:szCs w:val="10"/>
                <w:color w:val="auto"/>
              </w:rPr>
            </w:pPr>
          </w:p>
        </w:tc>
        <w:tc>
          <w:tcPr>
            <w:tcW w:w="180" w:type="dxa"/>
            <w:vAlign w:val="bottom"/>
            <w:tcBorders>
              <w:bottom w:val="single" w:sz="8" w:color="EEEEEF"/>
            </w:tcBorders>
            <w:shd w:val="clear" w:color="auto" w:fill="EEEEE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60" w:type="dxa"/>
            <w:vAlign w:val="bottom"/>
            <w:shd w:val="clear" w:color="auto" w:fill="EEEEEF"/>
          </w:tcPr>
          <w:p>
            <w:pPr>
              <w:spacing w:after="0"/>
              <w:rPr>
                <w:sz w:val="11"/>
                <w:szCs w:val="11"/>
                <w:color w:val="auto"/>
              </w:rPr>
            </w:pPr>
          </w:p>
        </w:tc>
        <w:tc>
          <w:tcPr>
            <w:tcW w:w="1160" w:type="dxa"/>
            <w:vAlign w:val="bottom"/>
            <w:shd w:val="clear" w:color="auto" w:fill="EEEEEF"/>
          </w:tcPr>
          <w:p>
            <w:pPr>
              <w:spacing w:after="0"/>
              <w:rPr>
                <w:sz w:val="11"/>
                <w:szCs w:val="11"/>
                <w:color w:val="auto"/>
              </w:rPr>
            </w:pPr>
          </w:p>
        </w:tc>
        <w:tc>
          <w:tcPr>
            <w:tcW w:w="280" w:type="dxa"/>
            <w:vAlign w:val="bottom"/>
            <w:shd w:val="clear" w:color="auto" w:fill="EEEEEF"/>
          </w:tcPr>
          <w:p>
            <w:pPr>
              <w:spacing w:after="0"/>
              <w:rPr>
                <w:sz w:val="11"/>
                <w:szCs w:val="11"/>
                <w:color w:val="auto"/>
              </w:rPr>
            </w:pPr>
          </w:p>
        </w:tc>
        <w:tc>
          <w:tcPr>
            <w:tcW w:w="1180" w:type="dxa"/>
            <w:vAlign w:val="bottom"/>
            <w:shd w:val="clear" w:color="auto" w:fill="EEEEEF"/>
          </w:tcPr>
          <w:p>
            <w:pPr>
              <w:spacing w:after="0"/>
              <w:rPr>
                <w:sz w:val="11"/>
                <w:szCs w:val="11"/>
                <w:color w:val="auto"/>
              </w:rPr>
            </w:pPr>
          </w:p>
        </w:tc>
        <w:tc>
          <w:tcPr>
            <w:tcW w:w="280" w:type="dxa"/>
            <w:vAlign w:val="bottom"/>
            <w:shd w:val="clear" w:color="auto" w:fill="EEEEEF"/>
          </w:tcPr>
          <w:p>
            <w:pPr>
              <w:spacing w:after="0"/>
              <w:rPr>
                <w:sz w:val="11"/>
                <w:szCs w:val="11"/>
                <w:color w:val="auto"/>
              </w:rPr>
            </w:pPr>
          </w:p>
        </w:tc>
        <w:tc>
          <w:tcPr>
            <w:tcW w:w="1180" w:type="dxa"/>
            <w:vAlign w:val="bottom"/>
            <w:shd w:val="clear" w:color="auto" w:fill="EEEEEF"/>
          </w:tcPr>
          <w:p>
            <w:pPr>
              <w:spacing w:after="0"/>
              <w:rPr>
                <w:sz w:val="11"/>
                <w:szCs w:val="11"/>
                <w:color w:val="auto"/>
              </w:rPr>
            </w:pPr>
          </w:p>
        </w:tc>
        <w:tc>
          <w:tcPr>
            <w:tcW w:w="280" w:type="dxa"/>
            <w:vAlign w:val="bottom"/>
            <w:shd w:val="clear" w:color="auto" w:fill="EEEEEF"/>
          </w:tcPr>
          <w:p>
            <w:pPr>
              <w:spacing w:after="0"/>
              <w:rPr>
                <w:sz w:val="11"/>
                <w:szCs w:val="11"/>
                <w:color w:val="auto"/>
              </w:rPr>
            </w:pPr>
          </w:p>
        </w:tc>
        <w:tc>
          <w:tcPr>
            <w:tcW w:w="800" w:type="dxa"/>
            <w:vAlign w:val="bottom"/>
            <w:shd w:val="clear" w:color="auto" w:fill="EEEEEF"/>
          </w:tcPr>
          <w:p>
            <w:pPr>
              <w:spacing w:after="0"/>
              <w:rPr>
                <w:sz w:val="11"/>
                <w:szCs w:val="11"/>
                <w:color w:val="auto"/>
              </w:rPr>
            </w:pPr>
          </w:p>
        </w:tc>
        <w:tc>
          <w:tcPr>
            <w:tcW w:w="360" w:type="dxa"/>
            <w:vAlign w:val="bottom"/>
            <w:shd w:val="clear" w:color="auto" w:fill="EEEEEF"/>
          </w:tcPr>
          <w:p>
            <w:pPr>
              <w:spacing w:after="0"/>
              <w:rPr>
                <w:sz w:val="11"/>
                <w:szCs w:val="11"/>
                <w:color w:val="auto"/>
              </w:rPr>
            </w:pPr>
          </w:p>
        </w:tc>
        <w:tc>
          <w:tcPr>
            <w:tcW w:w="300" w:type="dxa"/>
            <w:vAlign w:val="bottom"/>
            <w:shd w:val="clear" w:color="auto" w:fill="EEEEEF"/>
          </w:tcPr>
          <w:p>
            <w:pPr>
              <w:spacing w:after="0"/>
              <w:rPr>
                <w:sz w:val="11"/>
                <w:szCs w:val="11"/>
                <w:color w:val="auto"/>
              </w:rPr>
            </w:pPr>
          </w:p>
        </w:tc>
        <w:tc>
          <w:tcPr>
            <w:tcW w:w="680" w:type="dxa"/>
            <w:vAlign w:val="bottom"/>
            <w:shd w:val="clear" w:color="auto" w:fill="EEEEEF"/>
          </w:tcPr>
          <w:p>
            <w:pPr>
              <w:spacing w:after="0"/>
              <w:rPr>
                <w:sz w:val="11"/>
                <w:szCs w:val="11"/>
                <w:color w:val="auto"/>
              </w:rPr>
            </w:pPr>
          </w:p>
        </w:tc>
        <w:tc>
          <w:tcPr>
            <w:tcW w:w="500" w:type="dxa"/>
            <w:vAlign w:val="bottom"/>
            <w:shd w:val="clear" w:color="auto" w:fill="EEEEEF"/>
          </w:tcPr>
          <w:p>
            <w:pPr>
              <w:spacing w:after="0"/>
              <w:rPr>
                <w:sz w:val="11"/>
                <w:szCs w:val="11"/>
                <w:color w:val="auto"/>
              </w:rPr>
            </w:pPr>
          </w:p>
        </w:tc>
        <w:tc>
          <w:tcPr>
            <w:tcW w:w="260" w:type="dxa"/>
            <w:vAlign w:val="bottom"/>
            <w:shd w:val="clear" w:color="auto" w:fill="EEEEEF"/>
          </w:tcPr>
          <w:p>
            <w:pPr>
              <w:spacing w:after="0"/>
              <w:rPr>
                <w:sz w:val="11"/>
                <w:szCs w:val="11"/>
                <w:color w:val="auto"/>
              </w:rPr>
            </w:pPr>
          </w:p>
        </w:tc>
        <w:tc>
          <w:tcPr>
            <w:tcW w:w="1200" w:type="dxa"/>
            <w:vAlign w:val="bottom"/>
            <w:shd w:val="clear" w:color="auto" w:fill="EEEEEF"/>
          </w:tcPr>
          <w:p>
            <w:pPr>
              <w:spacing w:after="0"/>
              <w:rPr>
                <w:sz w:val="11"/>
                <w:szCs w:val="11"/>
                <w:color w:val="auto"/>
              </w:rPr>
            </w:pPr>
          </w:p>
        </w:tc>
        <w:tc>
          <w:tcPr>
            <w:tcW w:w="1180" w:type="dxa"/>
            <w:vAlign w:val="bottom"/>
            <w:shd w:val="clear" w:color="auto" w:fill="EEEEEF"/>
          </w:tcPr>
          <w:p>
            <w:pPr>
              <w:spacing w:after="0"/>
              <w:rPr>
                <w:sz w:val="11"/>
                <w:szCs w:val="11"/>
                <w:color w:val="auto"/>
              </w:rPr>
            </w:pPr>
          </w:p>
        </w:tc>
        <w:tc>
          <w:tcPr>
            <w:tcW w:w="180" w:type="dxa"/>
            <w:vAlign w:val="bottom"/>
            <w:shd w:val="clear" w:color="auto" w:fill="EEEE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428625</wp:posOffset>
            </wp:positionV>
            <wp:extent cx="274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39  </w:t>
      </w:r>
      <w:r>
        <w:rPr>
          <w:sz w:val="1"/>
          <w:szCs w:val="1"/>
          <w:color w:val="auto"/>
        </w:rPr>
        <w:drawing>
          <wp:inline distT="0" distB="0" distL="0" distR="0">
            <wp:extent cx="2203450" cy="154305"/>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622"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Our pay practices and governance process</w:t>
      </w:r>
    </w:p>
    <w:p>
      <w:pPr>
        <w:spacing w:after="0" w:line="3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pay-for-performance compensation program is designed to align the long-term interests of our employees with those of our shareholders by emphasizing sustained value and reinforcing personal accountability. Highlighted below are pay practices that are integral to our compensation program, as well as certain pay practices that we chose not to implement.</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074A75"/>
        </w:rPr>
        <w:t>WE ADOPT SOUND PAY PRACTICES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30" w:type="dxa"/>
            <w:vAlign w:val="bottom"/>
            <w:shd w:val="clear" w:color="auto" w:fill="EEEFEF"/>
          </w:tcPr>
          <w:p>
            <w:pPr>
              <w:ind w:left="360"/>
              <w:spacing w:after="0"/>
              <w:rPr>
                <w:sz w:val="20"/>
                <w:szCs w:val="20"/>
                <w:color w:val="auto"/>
              </w:rPr>
            </w:pPr>
            <w:r>
              <w:rPr>
                <w:rFonts w:ascii="Arial" w:cs="Arial" w:eastAsia="Arial" w:hAnsi="Arial"/>
                <w:sz w:val="16"/>
                <w:szCs w:val="16"/>
                <w:b w:val="1"/>
                <w:bCs w:val="1"/>
                <w:color w:val="00497F"/>
              </w:rPr>
              <w:t xml:space="preserve">Principles-based compensation philosophy </w:t>
            </w:r>
            <w:r>
              <w:rPr>
                <w:rFonts w:ascii="Arial" w:cs="Arial" w:eastAsia="Arial" w:hAnsi="Arial"/>
                <w:sz w:val="16"/>
                <w:szCs w:val="16"/>
                <w:color w:val="000000"/>
              </w:rPr>
              <w:t>– Guiding principles</w:t>
            </w: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b w:val="1"/>
                <w:bCs w:val="1"/>
                <w:color w:val="074A75"/>
              </w:rPr>
              <w:t xml:space="preserve">Competitive benchmarking </w:t>
            </w:r>
            <w:r>
              <w:rPr>
                <w:rFonts w:ascii="Arial" w:cs="Arial" w:eastAsia="Arial" w:hAnsi="Arial"/>
                <w:sz w:val="16"/>
                <w:szCs w:val="16"/>
                <w:color w:val="000000"/>
              </w:rPr>
              <w:t>– We evaluate pay levels and pay</w:t>
            </w:r>
          </w:p>
        </w:tc>
      </w:tr>
      <w:tr>
        <w:trPr>
          <w:trHeight w:val="215"/>
        </w:trPr>
        <w:tc>
          <w:tcPr>
            <w:tcW w:w="5830" w:type="dxa"/>
            <w:vAlign w:val="bottom"/>
            <w:shd w:val="clear" w:color="auto" w:fill="EEEFEF"/>
          </w:tcPr>
          <w:p>
            <w:pPr>
              <w:ind w:left="360"/>
              <w:spacing w:after="0"/>
              <w:rPr>
                <w:sz w:val="20"/>
                <w:szCs w:val="20"/>
                <w:color w:val="auto"/>
              </w:rPr>
            </w:pPr>
            <w:r>
              <w:rPr>
                <w:rFonts w:ascii="Arial" w:cs="Arial" w:eastAsia="Arial" w:hAnsi="Arial"/>
                <w:sz w:val="16"/>
                <w:szCs w:val="16"/>
                <w:color w:val="auto"/>
              </w:rPr>
              <w:t>that drive compensation-related decision-making</w:t>
            </w: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color w:val="auto"/>
              </w:rPr>
              <w:t>practices against relevant market data</w:t>
            </w:r>
          </w:p>
        </w:tc>
      </w:tr>
      <w:tr>
        <w:trPr>
          <w:trHeight w:val="231"/>
        </w:trPr>
        <w:tc>
          <w:tcPr>
            <w:tcW w:w="5830" w:type="dxa"/>
            <w:vAlign w:val="bottom"/>
            <w:shd w:val="clear" w:color="auto" w:fill="EEEFEF"/>
          </w:tcPr>
          <w:p>
            <w:pPr>
              <w:ind w:left="360"/>
              <w:spacing w:after="0"/>
              <w:rPr>
                <w:sz w:val="20"/>
                <w:szCs w:val="20"/>
                <w:color w:val="auto"/>
              </w:rPr>
            </w:pPr>
            <w:r>
              <w:rPr>
                <w:rFonts w:ascii="Arial" w:cs="Arial" w:eastAsia="Arial" w:hAnsi="Arial"/>
                <w:sz w:val="16"/>
                <w:szCs w:val="16"/>
                <w:b w:val="1"/>
                <w:bCs w:val="1"/>
                <w:color w:val="00497F"/>
              </w:rPr>
              <w:t xml:space="preserve">Robust anti-hedging/anti-pledging provisions </w:t>
            </w:r>
            <w:r>
              <w:rPr>
                <w:rFonts w:ascii="Arial" w:cs="Arial" w:eastAsia="Arial" w:hAnsi="Arial"/>
                <w:sz w:val="16"/>
                <w:szCs w:val="16"/>
                <w:color w:val="000000"/>
              </w:rPr>
              <w:t>– Strict prohibition on</w:t>
            </w: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b w:val="1"/>
                <w:bCs w:val="1"/>
                <w:color w:val="074A75"/>
              </w:rPr>
              <w:t xml:space="preserve">Responsible use of equity </w:t>
            </w:r>
            <w:r>
              <w:rPr>
                <w:rFonts w:ascii="Arial" w:cs="Arial" w:eastAsia="Arial" w:hAnsi="Arial"/>
                <w:sz w:val="16"/>
                <w:szCs w:val="16"/>
                <w:color w:val="000000"/>
              </w:rPr>
              <w:t>– We</w:t>
            </w:r>
            <w:r>
              <w:rPr>
                <w:rFonts w:ascii="Arial" w:cs="Arial" w:eastAsia="Arial" w:hAnsi="Arial"/>
                <w:sz w:val="16"/>
                <w:szCs w:val="16"/>
                <w:b w:val="1"/>
                <w:bCs w:val="1"/>
                <w:color w:val="074A75"/>
              </w:rPr>
              <w:t xml:space="preserve"> </w:t>
            </w:r>
            <w:r>
              <w:rPr>
                <w:rFonts w:ascii="Arial" w:cs="Arial" w:eastAsia="Arial" w:hAnsi="Arial"/>
                <w:sz w:val="16"/>
                <w:szCs w:val="16"/>
                <w:color w:val="242424"/>
              </w:rPr>
              <w:t>used less than 1% of weighted</w:t>
            </w:r>
          </w:p>
        </w:tc>
      </w:tr>
      <w:tr>
        <w:trPr>
          <w:trHeight w:val="215"/>
        </w:trPr>
        <w:tc>
          <w:tcPr>
            <w:tcW w:w="5830" w:type="dxa"/>
            <w:vAlign w:val="bottom"/>
            <w:shd w:val="clear" w:color="auto" w:fill="EEEFEF"/>
          </w:tcPr>
          <w:p>
            <w:pPr>
              <w:ind w:left="360"/>
              <w:spacing w:after="0"/>
              <w:rPr>
                <w:sz w:val="20"/>
                <w:szCs w:val="20"/>
                <w:color w:val="auto"/>
              </w:rPr>
            </w:pPr>
            <w:r>
              <w:rPr>
                <w:rFonts w:ascii="Arial" w:cs="Arial" w:eastAsia="Arial" w:hAnsi="Arial"/>
                <w:sz w:val="16"/>
                <w:szCs w:val="16"/>
                <w:color w:val="auto"/>
              </w:rPr>
              <w:t>unvested awards and shares owned outright</w:t>
            </w: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color w:val="242424"/>
              </w:rPr>
              <w:t>average diluted shares in 2023 for employee compensation</w:t>
            </w:r>
          </w:p>
        </w:tc>
      </w:tr>
      <w:tr>
        <w:trPr>
          <w:trHeight w:val="231"/>
        </w:trPr>
        <w:tc>
          <w:tcPr>
            <w:tcW w:w="5830" w:type="dxa"/>
            <w:vAlign w:val="bottom"/>
            <w:shd w:val="clear" w:color="auto" w:fill="EEEFEF"/>
          </w:tcPr>
          <w:p>
            <w:pPr>
              <w:ind w:left="360"/>
              <w:spacing w:after="0"/>
              <w:rPr>
                <w:sz w:val="20"/>
                <w:szCs w:val="20"/>
                <w:color w:val="auto"/>
              </w:rPr>
            </w:pPr>
            <w:r>
              <w:rPr>
                <w:rFonts w:ascii="Arial" w:cs="Arial" w:eastAsia="Arial" w:hAnsi="Arial"/>
                <w:sz w:val="16"/>
                <w:szCs w:val="16"/>
                <w:b w:val="1"/>
                <w:bCs w:val="1"/>
                <w:color w:val="00497F"/>
              </w:rPr>
              <w:t xml:space="preserve">Strong clawback provisions </w:t>
            </w:r>
            <w:r>
              <w:rPr>
                <w:rFonts w:ascii="Arial" w:cs="Arial" w:eastAsia="Arial" w:hAnsi="Arial"/>
                <w:sz w:val="16"/>
                <w:szCs w:val="16"/>
                <w:color w:val="000000"/>
              </w:rPr>
              <w:t>– Enable us to cancel, reduce or require</w:t>
            </w: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b w:val="1"/>
                <w:bCs w:val="1"/>
                <w:color w:val="074A75"/>
              </w:rPr>
              <w:t xml:space="preserve">Risk, controls and conduct factors </w:t>
            </w:r>
            <w:r>
              <w:rPr>
                <w:rFonts w:ascii="Arial" w:cs="Arial" w:eastAsia="Arial" w:hAnsi="Arial"/>
                <w:sz w:val="16"/>
                <w:szCs w:val="16"/>
                <w:color w:val="000000"/>
              </w:rPr>
              <w:t>– We consider material issues as</w:t>
            </w:r>
          </w:p>
        </w:tc>
      </w:tr>
      <w:tr>
        <w:trPr>
          <w:trHeight w:val="215"/>
        </w:trPr>
        <w:tc>
          <w:tcPr>
            <w:tcW w:w="5830" w:type="dxa"/>
            <w:vAlign w:val="bottom"/>
            <w:shd w:val="clear" w:color="auto" w:fill="EEEFEF"/>
          </w:tcPr>
          <w:p>
            <w:pPr>
              <w:ind w:left="360"/>
              <w:spacing w:after="0"/>
              <w:rPr>
                <w:sz w:val="20"/>
                <w:szCs w:val="20"/>
                <w:color w:val="auto"/>
              </w:rPr>
            </w:pPr>
            <w:r>
              <w:rPr>
                <w:rFonts w:ascii="Arial" w:cs="Arial" w:eastAsia="Arial" w:hAnsi="Arial"/>
                <w:sz w:val="16"/>
                <w:szCs w:val="16"/>
                <w:color w:val="auto"/>
              </w:rPr>
              <w:t>repayment, if appropriate</w:t>
            </w: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color w:val="auto"/>
              </w:rPr>
              <w:t>part of performance and pay decisions when appropriate</w:t>
            </w:r>
          </w:p>
        </w:tc>
      </w:tr>
      <w:tr>
        <w:trPr>
          <w:trHeight w:val="231"/>
        </w:trPr>
        <w:tc>
          <w:tcPr>
            <w:tcW w:w="5830" w:type="dxa"/>
            <w:vAlign w:val="bottom"/>
            <w:shd w:val="clear" w:color="auto" w:fill="EEEFEF"/>
          </w:tcPr>
          <w:p>
            <w:pPr>
              <w:ind w:left="360"/>
              <w:spacing w:after="0"/>
              <w:rPr>
                <w:sz w:val="20"/>
                <w:szCs w:val="20"/>
                <w:color w:val="auto"/>
              </w:rPr>
            </w:pPr>
            <w:r>
              <w:rPr>
                <w:rFonts w:ascii="Arial" w:cs="Arial" w:eastAsia="Arial" w:hAnsi="Arial"/>
                <w:sz w:val="16"/>
                <w:szCs w:val="16"/>
                <w:b w:val="1"/>
                <w:bCs w:val="1"/>
                <w:color w:val="00497F"/>
              </w:rPr>
              <w:t xml:space="preserve">Majority of variable pay is in deferred equity </w:t>
            </w:r>
            <w:r>
              <w:rPr>
                <w:rFonts w:ascii="Arial" w:cs="Arial" w:eastAsia="Arial" w:hAnsi="Arial"/>
                <w:sz w:val="16"/>
                <w:szCs w:val="16"/>
                <w:color w:val="000000"/>
              </w:rPr>
              <w:t>– Most of OC annual</w:t>
            </w: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b w:val="1"/>
                <w:bCs w:val="1"/>
                <w:color w:val="074A75"/>
              </w:rPr>
              <w:t xml:space="preserve">Strong share holding requirements </w:t>
            </w:r>
            <w:r>
              <w:rPr>
                <w:rFonts w:ascii="Arial" w:cs="Arial" w:eastAsia="Arial" w:hAnsi="Arial"/>
                <w:sz w:val="16"/>
                <w:szCs w:val="16"/>
                <w:color w:val="000000"/>
              </w:rPr>
              <w:t>– OC members required to</w:t>
            </w:r>
          </w:p>
        </w:tc>
      </w:tr>
      <w:tr>
        <w:trPr>
          <w:trHeight w:val="215"/>
        </w:trPr>
        <w:tc>
          <w:tcPr>
            <w:tcW w:w="5830" w:type="dxa"/>
            <w:vAlign w:val="bottom"/>
            <w:shd w:val="clear" w:color="auto" w:fill="EEEFEF"/>
          </w:tcPr>
          <w:p>
            <w:pPr>
              <w:ind w:left="360"/>
              <w:spacing w:after="0"/>
              <w:rPr>
                <w:sz w:val="20"/>
                <w:szCs w:val="20"/>
                <w:color w:val="auto"/>
              </w:rPr>
            </w:pPr>
            <w:r>
              <w:rPr>
                <w:rFonts w:ascii="Arial" w:cs="Arial" w:eastAsia="Arial" w:hAnsi="Arial"/>
                <w:sz w:val="16"/>
                <w:szCs w:val="16"/>
                <w:color w:val="auto"/>
              </w:rPr>
              <w:t>variable compensation is deferred in PSUs and RSUs</w:t>
            </w: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color w:val="auto"/>
              </w:rPr>
              <w:t>retain significant portion of net shares to increase ownership</w:t>
            </w:r>
          </w:p>
        </w:tc>
      </w:tr>
      <w:tr>
        <w:trPr>
          <w:trHeight w:val="231"/>
        </w:trPr>
        <w:tc>
          <w:tcPr>
            <w:tcW w:w="5830" w:type="dxa"/>
            <w:vAlign w:val="bottom"/>
            <w:shd w:val="clear" w:color="auto" w:fill="EEEFEF"/>
          </w:tcPr>
          <w:p>
            <w:pPr>
              <w:ind w:left="360"/>
              <w:spacing w:after="0"/>
              <w:rPr>
                <w:sz w:val="20"/>
                <w:szCs w:val="20"/>
                <w:color w:val="auto"/>
              </w:rPr>
            </w:pPr>
            <w:r>
              <w:rPr>
                <w:rFonts w:ascii="Arial" w:cs="Arial" w:eastAsia="Arial" w:hAnsi="Arial"/>
                <w:sz w:val="16"/>
                <w:szCs w:val="16"/>
                <w:b w:val="1"/>
                <w:bCs w:val="1"/>
                <w:color w:val="00497F"/>
              </w:rPr>
              <w:t xml:space="preserve">Performance-based pay </w:t>
            </w:r>
            <w:r>
              <w:rPr>
                <w:rFonts w:ascii="Arial" w:cs="Arial" w:eastAsia="Arial" w:hAnsi="Arial"/>
                <w:sz w:val="16"/>
                <w:szCs w:val="16"/>
                <w:color w:val="000000"/>
              </w:rPr>
              <w:t>– OC variable pay is based on performance</w:t>
            </w: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b w:val="1"/>
                <w:bCs w:val="1"/>
                <w:color w:val="00497F"/>
              </w:rPr>
              <w:t xml:space="preserve">Robust shareholder engagement </w:t>
            </w:r>
            <w:r>
              <w:rPr>
                <w:rFonts w:ascii="Arial" w:cs="Arial" w:eastAsia="Arial" w:hAnsi="Arial"/>
                <w:sz w:val="16"/>
                <w:szCs w:val="16"/>
                <w:color w:val="000000"/>
              </w:rPr>
              <w:t>– Each year the Board receives</w:t>
            </w:r>
          </w:p>
        </w:tc>
      </w:tr>
      <w:tr>
        <w:trPr>
          <w:trHeight w:val="215"/>
        </w:trPr>
        <w:tc>
          <w:tcPr>
            <w:tcW w:w="5830" w:type="dxa"/>
            <w:vAlign w:val="bottom"/>
            <w:shd w:val="clear" w:color="auto" w:fill="EEEFEF"/>
          </w:tcPr>
          <w:p>
            <w:pPr>
              <w:ind w:left="360"/>
              <w:spacing w:after="0"/>
              <w:rPr>
                <w:sz w:val="20"/>
                <w:szCs w:val="20"/>
                <w:color w:val="auto"/>
              </w:rPr>
            </w:pPr>
            <w:r>
              <w:rPr>
                <w:rFonts w:ascii="Arial" w:cs="Arial" w:eastAsia="Arial" w:hAnsi="Arial"/>
                <w:sz w:val="16"/>
                <w:szCs w:val="16"/>
                <w:color w:val="auto"/>
              </w:rPr>
              <w:t>linked to shareholder value and safety &amp; soundness</w:t>
            </w: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color w:val="auto"/>
              </w:rPr>
              <w:t>feedback on our compensation programs and practices</w:t>
            </w:r>
          </w:p>
        </w:tc>
      </w:tr>
      <w:tr>
        <w:trPr>
          <w:trHeight w:val="231"/>
        </w:trPr>
        <w:tc>
          <w:tcPr>
            <w:tcW w:w="5830" w:type="dxa"/>
            <w:vAlign w:val="bottom"/>
            <w:shd w:val="clear" w:color="auto" w:fill="EEEFEF"/>
          </w:tcPr>
          <w:p>
            <w:pPr>
              <w:ind w:left="360"/>
              <w:spacing w:after="0"/>
              <w:rPr>
                <w:sz w:val="20"/>
                <w:szCs w:val="20"/>
                <w:color w:val="auto"/>
              </w:rPr>
            </w:pPr>
            <w:r>
              <w:rPr>
                <w:rFonts w:ascii="Arial" w:cs="Arial" w:eastAsia="Arial" w:hAnsi="Arial"/>
                <w:sz w:val="16"/>
                <w:szCs w:val="16"/>
                <w:b w:val="1"/>
                <w:bCs w:val="1"/>
                <w:color w:val="074A75"/>
              </w:rPr>
              <w:t>No new special awards for the current CEO and President &amp; COO</w:t>
            </w: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b w:val="1"/>
                <w:bCs w:val="1"/>
                <w:color w:val="074A75"/>
              </w:rPr>
              <w:t>Direct performance conditions for any rare future special awards</w:t>
            </w:r>
          </w:p>
        </w:tc>
      </w:tr>
      <w:tr>
        <w:trPr>
          <w:trHeight w:val="223"/>
        </w:trPr>
        <w:tc>
          <w:tcPr>
            <w:tcW w:w="5830" w:type="dxa"/>
            <w:vAlign w:val="bottom"/>
            <w:shd w:val="clear" w:color="auto" w:fill="EEEFEF"/>
          </w:tcPr>
          <w:p>
            <w:pPr>
              <w:spacing w:after="0"/>
              <w:rPr>
                <w:sz w:val="19"/>
                <w:szCs w:val="19"/>
                <w:color w:val="auto"/>
              </w:rPr>
            </w:pPr>
          </w:p>
        </w:tc>
        <w:tc>
          <w:tcPr>
            <w:tcW w:w="5410" w:type="dxa"/>
            <w:vAlign w:val="bottom"/>
            <w:shd w:val="clear" w:color="auto" w:fill="EEEFEF"/>
          </w:tcPr>
          <w:p>
            <w:pPr>
              <w:ind w:left="250"/>
              <w:spacing w:after="0"/>
              <w:rPr>
                <w:sz w:val="20"/>
                <w:szCs w:val="20"/>
                <w:color w:val="auto"/>
              </w:rPr>
            </w:pPr>
            <w:r>
              <w:rPr>
                <w:rFonts w:ascii="Arial" w:cs="Arial" w:eastAsia="Arial" w:hAnsi="Arial"/>
                <w:sz w:val="16"/>
                <w:szCs w:val="16"/>
                <w:b w:val="1"/>
                <w:bCs w:val="1"/>
                <w:color w:val="074A75"/>
              </w:rPr>
              <w:t>to NEOs</w:t>
            </w:r>
          </w:p>
        </w:tc>
      </w:tr>
      <w:tr>
        <w:trPr>
          <w:trHeight w:val="21"/>
        </w:trPr>
        <w:tc>
          <w:tcPr>
            <w:tcW w:w="5830" w:type="dxa"/>
            <w:vAlign w:val="bottom"/>
            <w:shd w:val="clear" w:color="auto" w:fill="EEEFEF"/>
          </w:tcPr>
          <w:p>
            <w:pPr>
              <w:spacing w:after="0" w:line="20" w:lineRule="exact"/>
              <w:rPr>
                <w:sz w:val="1"/>
                <w:szCs w:val="1"/>
                <w:color w:val="auto"/>
              </w:rPr>
            </w:pPr>
          </w:p>
        </w:tc>
        <w:tc>
          <w:tcPr>
            <w:tcW w:w="5410" w:type="dxa"/>
            <w:vAlign w:val="bottom"/>
            <w:shd w:val="clear" w:color="auto" w:fill="EEEFE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-1679575</wp:posOffset>
            </wp:positionV>
            <wp:extent cx="137160" cy="1371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-1679575</wp:posOffset>
            </wp:positionV>
            <wp:extent cx="137160" cy="1371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-1397000</wp:posOffset>
            </wp:positionV>
            <wp:extent cx="137160" cy="1371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-1397000</wp:posOffset>
            </wp:positionV>
            <wp:extent cx="137160" cy="1371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-1113790</wp:posOffset>
            </wp:positionV>
            <wp:extent cx="137160" cy="1371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-1113790</wp:posOffset>
            </wp:positionV>
            <wp:extent cx="137160" cy="1371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-831215</wp:posOffset>
            </wp:positionV>
            <wp:extent cx="137160" cy="1371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-831215</wp:posOffset>
            </wp:positionV>
            <wp:extent cx="137160" cy="1371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-548005</wp:posOffset>
            </wp:positionV>
            <wp:extent cx="137160"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-548005</wp:posOffset>
            </wp:positionV>
            <wp:extent cx="137160" cy="1371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-265430</wp:posOffset>
            </wp:positionV>
            <wp:extent cx="137160" cy="1371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-265430</wp:posOffset>
            </wp:positionV>
            <wp:extent cx="137160" cy="1371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074A75"/>
        </w:rPr>
        <w:t>WE AVOID POOR PAY PRACTICES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b w:val="1"/>
                <w:bCs w:val="1"/>
                <w:color w:val="074A75"/>
              </w:rPr>
              <w:t xml:space="preserve">No golden parachute agreements </w:t>
            </w:r>
            <w:r>
              <w:rPr>
                <w:rFonts w:ascii="Arial" w:cs="Arial" w:eastAsia="Arial" w:hAnsi="Arial"/>
                <w:sz w:val="16"/>
                <w:szCs w:val="16"/>
                <w:color w:val="000000"/>
              </w:rPr>
              <w:t>– We do not provide additional</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b w:val="1"/>
                <w:bCs w:val="1"/>
                <w:color w:val="074A75"/>
              </w:rPr>
              <w:t xml:space="preserve">No guaranteed bonuses </w:t>
            </w:r>
            <w:r>
              <w:rPr>
                <w:rFonts w:ascii="Arial" w:cs="Arial" w:eastAsia="Arial" w:hAnsi="Arial"/>
                <w:sz w:val="16"/>
                <w:szCs w:val="16"/>
                <w:color w:val="000000"/>
              </w:rPr>
              <w:t>– We do not provide guaranteed bonuses,</w:t>
            </w:r>
          </w:p>
        </w:tc>
      </w:tr>
      <w:tr>
        <w:trPr>
          <w:trHeight w:val="215"/>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payments or benefits as a result of a change-in-control event</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color w:val="auto"/>
              </w:rPr>
              <w:t>except for select individuals at hire</w:t>
            </w:r>
          </w:p>
        </w:tc>
      </w:tr>
      <w:tr>
        <w:trPr>
          <w:trHeight w:val="231"/>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b w:val="1"/>
                <w:bCs w:val="1"/>
                <w:color w:val="00497F"/>
              </w:rPr>
              <w:t xml:space="preserve">No special severance </w:t>
            </w:r>
            <w:r>
              <w:rPr>
                <w:rFonts w:ascii="Arial" w:cs="Arial" w:eastAsia="Arial" w:hAnsi="Arial"/>
                <w:sz w:val="16"/>
                <w:szCs w:val="16"/>
                <w:color w:val="000000"/>
              </w:rPr>
              <w:t>– We do not provide special severance. All</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b w:val="1"/>
                <w:bCs w:val="1"/>
                <w:color w:val="074A75"/>
              </w:rPr>
              <w:t>No special executive benefits</w:t>
            </w:r>
          </w:p>
        </w:tc>
      </w:tr>
      <w:tr>
        <w:trPr>
          <w:trHeight w:val="203"/>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employees, including OC members, participate at the same level of</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private club dues or excessive tax gross-ups for benefits</w:t>
            </w:r>
          </w:p>
        </w:tc>
      </w:tr>
      <w:tr>
        <w:trPr>
          <w:trHeight w:val="189"/>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severance, based on years of service, capped at 52 weeks with a</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401(k) Savings Plan matching contribution</w:t>
            </w:r>
          </w:p>
        </w:tc>
      </w:tr>
      <w:tr>
        <w:trPr>
          <w:trHeight w:val="189"/>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maximum credited salary</w:t>
            </w: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special health or medical benefits</w:t>
            </w:r>
          </w:p>
        </w:tc>
      </w:tr>
      <w:tr>
        <w:trPr>
          <w:trHeight w:val="215"/>
        </w:trPr>
        <w:tc>
          <w:tcPr>
            <w:tcW w:w="5600" w:type="dxa"/>
            <w:vAlign w:val="bottom"/>
            <w:shd w:val="clear" w:color="auto" w:fill="EEEFEF"/>
          </w:tcPr>
          <w:p>
            <w:pPr>
              <w:spacing w:after="0"/>
              <w:rPr>
                <w:sz w:val="18"/>
                <w:szCs w:val="18"/>
                <w:color w:val="auto"/>
              </w:rPr>
            </w:pPr>
          </w:p>
        </w:tc>
        <w:tc>
          <w:tcPr>
            <w:tcW w:w="564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special pension credits</w:t>
            </w:r>
          </w:p>
        </w:tc>
      </w:tr>
      <w:tr>
        <w:trPr>
          <w:trHeight w:val="83"/>
        </w:trPr>
        <w:tc>
          <w:tcPr>
            <w:tcW w:w="5600" w:type="dxa"/>
            <w:vAlign w:val="bottom"/>
            <w:shd w:val="clear" w:color="auto" w:fill="EEEFEF"/>
          </w:tcPr>
          <w:p>
            <w:pPr>
              <w:spacing w:after="0"/>
              <w:rPr>
                <w:sz w:val="7"/>
                <w:szCs w:val="7"/>
                <w:color w:val="auto"/>
              </w:rPr>
            </w:pPr>
          </w:p>
        </w:tc>
        <w:tc>
          <w:tcPr>
            <w:tcW w:w="5640" w:type="dxa"/>
            <w:vAlign w:val="bottom"/>
            <w:shd w:val="clear" w:color="auto" w:fill="EEEFE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-951230</wp:posOffset>
            </wp:positionV>
            <wp:extent cx="137160" cy="1371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-951230</wp:posOffset>
            </wp:positionV>
            <wp:extent cx="137160"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-668020</wp:posOffset>
            </wp:positionV>
            <wp:extent cx="137160" cy="1371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-668020</wp:posOffset>
            </wp:positionV>
            <wp:extent cx="137160" cy="1371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074A75"/>
        </w:rPr>
        <w:t>GOVERNANCE RESPONSIBILITIES OF THE CMDC</w:t>
      </w:r>
    </w:p>
    <w:p>
      <w:pPr>
        <w:spacing w:after="0" w:line="4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CMDC oversees our compensation programs throughout the year, which enables the Committee to be proactive in its compensation planning to address both current and emerging developments or challenges. Key committee responsibilities related to compensation programs include:</w:t>
      </w:r>
    </w:p>
    <w:p>
      <w:pPr>
        <w:sectPr>
          <w:pgSz w:w="11900" w:h="16838" w:orient="portrait"/>
          <w:cols w:equalWidth="0" w:num="1">
            <w:col w:w="11260"/>
          </w:cols>
          <w:pgMar w:left="320" w:top="157" w:right="319" w:bottom="1440" w:gutter="0" w:footer="0" w:header="0"/>
        </w:sectPr>
      </w:pPr>
    </w:p>
    <w:p>
      <w:pPr>
        <w:spacing w:after="0" w:line="108" w:lineRule="exact"/>
        <w:rPr>
          <w:sz w:val="20"/>
          <w:szCs w:val="20"/>
          <w:color w:val="auto"/>
        </w:rPr>
      </w:pPr>
    </w:p>
    <w:p>
      <w:pPr>
        <w:ind w:left="200" w:right="60" w:hanging="192"/>
        <w:spacing w:after="0" w:line="287" w:lineRule="auto"/>
        <w:tabs>
          <w:tab w:leader="none" w:pos="204" w:val="left"/>
        </w:tabs>
        <w:numPr>
          <w:ilvl w:val="0"/>
          <w:numId w:val="133"/>
        </w:numPr>
        <w:rPr>
          <w:rFonts w:ascii="Arial" w:cs="Arial" w:eastAsia="Arial" w:hAnsi="Arial"/>
          <w:sz w:val="18"/>
          <w:szCs w:val="18"/>
          <w:color w:val="074A75"/>
        </w:rPr>
      </w:pPr>
      <w:r>
        <w:rPr>
          <w:rFonts w:ascii="Arial" w:cs="Arial" w:eastAsia="Arial" w:hAnsi="Arial"/>
          <w:sz w:val="18"/>
          <w:szCs w:val="18"/>
          <w:color w:val="auto"/>
        </w:rPr>
        <w:t>Periodically reviewing and approving a statement of the Firm’s compensation philosophy, principles and practices</w:t>
      </w:r>
    </w:p>
    <w:p>
      <w:pPr>
        <w:spacing w:after="0" w:line="17" w:lineRule="exact"/>
        <w:rPr>
          <w:rFonts w:ascii="Arial" w:cs="Arial" w:eastAsia="Arial" w:hAnsi="Arial"/>
          <w:sz w:val="18"/>
          <w:szCs w:val="18"/>
          <w:color w:val="074A75"/>
        </w:rPr>
      </w:pPr>
    </w:p>
    <w:p>
      <w:pPr>
        <w:ind w:left="200" w:right="160" w:hanging="192"/>
        <w:spacing w:after="0" w:line="262" w:lineRule="auto"/>
        <w:tabs>
          <w:tab w:leader="none" w:pos="204" w:val="left"/>
        </w:tabs>
        <w:numPr>
          <w:ilvl w:val="0"/>
          <w:numId w:val="133"/>
        </w:numPr>
        <w:rPr>
          <w:rFonts w:ascii="Arial" w:cs="Arial" w:eastAsia="Arial" w:hAnsi="Arial"/>
          <w:sz w:val="18"/>
          <w:szCs w:val="18"/>
          <w:color w:val="074A75"/>
        </w:rPr>
      </w:pPr>
      <w:r>
        <w:rPr>
          <w:rFonts w:ascii="Arial" w:cs="Arial" w:eastAsia="Arial" w:hAnsi="Arial"/>
          <w:sz w:val="18"/>
          <w:szCs w:val="18"/>
          <w:color w:val="auto"/>
        </w:rPr>
        <w:t>Reviewing the Firm’s compensation practices and the relationship among risk, risk management and compensation (including safety and soundness and avoiding practices that could encourage excessive risk-taking)</w:t>
      </w:r>
    </w:p>
    <w:p>
      <w:pPr>
        <w:spacing w:after="0" w:line="27" w:lineRule="exact"/>
        <w:rPr>
          <w:rFonts w:ascii="Arial" w:cs="Arial" w:eastAsia="Arial" w:hAnsi="Arial"/>
          <w:sz w:val="18"/>
          <w:szCs w:val="18"/>
          <w:color w:val="074A75"/>
        </w:rPr>
      </w:pPr>
    </w:p>
    <w:p>
      <w:pPr>
        <w:ind w:left="200" w:hanging="192"/>
        <w:spacing w:after="0" w:line="262" w:lineRule="auto"/>
        <w:tabs>
          <w:tab w:leader="none" w:pos="204" w:val="left"/>
        </w:tabs>
        <w:numPr>
          <w:ilvl w:val="0"/>
          <w:numId w:val="133"/>
        </w:numPr>
        <w:rPr>
          <w:rFonts w:ascii="Arial" w:cs="Arial" w:eastAsia="Arial" w:hAnsi="Arial"/>
          <w:sz w:val="18"/>
          <w:szCs w:val="18"/>
          <w:color w:val="074A75"/>
        </w:rPr>
      </w:pPr>
      <w:r>
        <w:rPr>
          <w:rFonts w:ascii="Arial" w:cs="Arial" w:eastAsia="Arial" w:hAnsi="Arial"/>
          <w:sz w:val="18"/>
          <w:szCs w:val="18"/>
          <w:color w:val="auto"/>
        </w:rPr>
        <w:t>Adopting pay practices and approving any necessary formulas, performance metrics or pool calculations in compliance with applicable U.S. and global regulatory, statutory or governance requirements</w:t>
      </w:r>
    </w:p>
    <w:p>
      <w:pPr>
        <w:spacing w:after="0" w:line="27" w:lineRule="exact"/>
        <w:rPr>
          <w:rFonts w:ascii="Arial" w:cs="Arial" w:eastAsia="Arial" w:hAnsi="Arial"/>
          <w:sz w:val="18"/>
          <w:szCs w:val="18"/>
          <w:color w:val="074A75"/>
        </w:rPr>
      </w:pPr>
    </w:p>
    <w:p>
      <w:pPr>
        <w:ind w:left="200" w:hanging="192"/>
        <w:spacing w:after="0" w:line="287" w:lineRule="auto"/>
        <w:tabs>
          <w:tab w:leader="none" w:pos="204" w:val="left"/>
        </w:tabs>
        <w:numPr>
          <w:ilvl w:val="0"/>
          <w:numId w:val="133"/>
        </w:numPr>
        <w:rPr>
          <w:rFonts w:ascii="Arial" w:cs="Arial" w:eastAsia="Arial" w:hAnsi="Arial"/>
          <w:sz w:val="18"/>
          <w:szCs w:val="18"/>
          <w:color w:val="074A75"/>
        </w:rPr>
      </w:pPr>
      <w:r>
        <w:rPr>
          <w:rFonts w:ascii="Arial" w:cs="Arial" w:eastAsia="Arial" w:hAnsi="Arial"/>
          <w:sz w:val="18"/>
          <w:szCs w:val="18"/>
          <w:color w:val="auto"/>
        </w:rPr>
        <w:t>Reviewing and approving overall incentive compensation pools (including equity/cash mix)</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96" w:right="460" w:hanging="196"/>
        <w:spacing w:after="0" w:line="287" w:lineRule="auto"/>
        <w:tabs>
          <w:tab w:leader="none" w:pos="200" w:val="left"/>
        </w:tabs>
        <w:numPr>
          <w:ilvl w:val="0"/>
          <w:numId w:val="134"/>
        </w:numPr>
        <w:rPr>
          <w:rFonts w:ascii="Arial" w:cs="Arial" w:eastAsia="Arial" w:hAnsi="Arial"/>
          <w:sz w:val="18"/>
          <w:szCs w:val="18"/>
          <w:color w:val="074A75"/>
        </w:rPr>
      </w:pPr>
      <w:r>
        <w:rPr>
          <w:rFonts w:ascii="Arial" w:cs="Arial" w:eastAsia="Arial" w:hAnsi="Arial"/>
          <w:sz w:val="18"/>
          <w:szCs w:val="18"/>
          <w:color w:val="auto"/>
        </w:rPr>
        <w:t>Reviewing the business-aligned incentive compensation plan governance, design and evaluation framework</w:t>
      </w:r>
    </w:p>
    <w:p>
      <w:pPr>
        <w:spacing w:after="0" w:line="17" w:lineRule="exact"/>
        <w:rPr>
          <w:rFonts w:ascii="Arial" w:cs="Arial" w:eastAsia="Arial" w:hAnsi="Arial"/>
          <w:sz w:val="18"/>
          <w:szCs w:val="18"/>
          <w:color w:val="074A75"/>
        </w:rPr>
      </w:pPr>
    </w:p>
    <w:p>
      <w:pPr>
        <w:ind w:left="196" w:right="280" w:hanging="196"/>
        <w:spacing w:after="0" w:line="262" w:lineRule="auto"/>
        <w:tabs>
          <w:tab w:leader="none" w:pos="200" w:val="left"/>
        </w:tabs>
        <w:numPr>
          <w:ilvl w:val="0"/>
          <w:numId w:val="134"/>
        </w:numPr>
        <w:rPr>
          <w:rFonts w:ascii="Arial" w:cs="Arial" w:eastAsia="Arial" w:hAnsi="Arial"/>
          <w:sz w:val="18"/>
          <w:szCs w:val="18"/>
          <w:color w:val="074A75"/>
        </w:rPr>
      </w:pPr>
      <w:r>
        <w:rPr>
          <w:rFonts w:ascii="Arial" w:cs="Arial" w:eastAsia="Arial" w:hAnsi="Arial"/>
          <w:sz w:val="18"/>
          <w:szCs w:val="18"/>
          <w:color w:val="auto"/>
        </w:rPr>
        <w:t>Reviewing over multiple meetings and approving compensation for our OC and, for the CEO, making a compensation recommendation to the Board for consideration and ratification by the independent directors</w:t>
      </w:r>
    </w:p>
    <w:p>
      <w:pPr>
        <w:spacing w:after="0" w:line="27" w:lineRule="exact"/>
        <w:rPr>
          <w:rFonts w:ascii="Arial" w:cs="Arial" w:eastAsia="Arial" w:hAnsi="Arial"/>
          <w:sz w:val="18"/>
          <w:szCs w:val="18"/>
          <w:color w:val="074A75"/>
        </w:rPr>
      </w:pPr>
    </w:p>
    <w:p>
      <w:pPr>
        <w:ind w:left="196" w:right="240" w:hanging="196"/>
        <w:spacing w:after="0" w:line="259" w:lineRule="auto"/>
        <w:tabs>
          <w:tab w:leader="none" w:pos="200" w:val="left"/>
        </w:tabs>
        <w:numPr>
          <w:ilvl w:val="0"/>
          <w:numId w:val="134"/>
        </w:numPr>
        <w:rPr>
          <w:rFonts w:ascii="Arial" w:cs="Arial" w:eastAsia="Arial" w:hAnsi="Arial"/>
          <w:sz w:val="18"/>
          <w:szCs w:val="18"/>
          <w:color w:val="074A75"/>
        </w:rPr>
      </w:pPr>
      <w:r>
        <w:rPr>
          <w:rFonts w:ascii="Arial" w:cs="Arial" w:eastAsia="Arial" w:hAnsi="Arial"/>
          <w:sz w:val="18"/>
          <w:szCs w:val="18"/>
          <w:color w:val="auto"/>
        </w:rPr>
        <w:t>Reviewing compensation for employees who are material risk-takers identified under Federal Reserve standards (“Tier 1 employees”), U.K. and/or European Union standards (“Identified Staff”) or other similar standards, collectively “Designated Employees”</w:t>
      </w:r>
    </w:p>
    <w:p>
      <w:pPr>
        <w:spacing w:after="0" w:line="30" w:lineRule="exact"/>
        <w:rPr>
          <w:rFonts w:ascii="Arial" w:cs="Arial" w:eastAsia="Arial" w:hAnsi="Arial"/>
          <w:sz w:val="18"/>
          <w:szCs w:val="18"/>
          <w:color w:val="074A75"/>
        </w:rPr>
      </w:pPr>
    </w:p>
    <w:p>
      <w:pPr>
        <w:ind w:left="196" w:right="200" w:hanging="196"/>
        <w:spacing w:after="0" w:line="287" w:lineRule="auto"/>
        <w:tabs>
          <w:tab w:leader="none" w:pos="200" w:val="left"/>
        </w:tabs>
        <w:numPr>
          <w:ilvl w:val="0"/>
          <w:numId w:val="134"/>
        </w:numPr>
        <w:rPr>
          <w:rFonts w:ascii="Arial" w:cs="Arial" w:eastAsia="Arial" w:hAnsi="Arial"/>
          <w:sz w:val="18"/>
          <w:szCs w:val="18"/>
          <w:color w:val="074A75"/>
        </w:rPr>
      </w:pPr>
      <w:r>
        <w:rPr>
          <w:rFonts w:ascii="Arial" w:cs="Arial" w:eastAsia="Arial" w:hAnsi="Arial"/>
          <w:sz w:val="18"/>
          <w:szCs w:val="18"/>
          <w:color w:val="auto"/>
        </w:rPr>
        <w:t>Reviewing and approving the design and terms of compensation awards, including recovery/clawback provisions</w:t>
      </w:r>
    </w:p>
    <w:p>
      <w:pPr>
        <w:spacing w:after="0" w:line="126" w:lineRule="exact"/>
        <w:rPr>
          <w:sz w:val="20"/>
          <w:szCs w:val="20"/>
          <w:color w:val="auto"/>
        </w:rPr>
      </w:pPr>
    </w:p>
    <w:p>
      <w:pPr>
        <w:sectPr>
          <w:pgSz w:w="11900" w:h="16838" w:orient="portrait"/>
          <w:cols w:equalWidth="0" w:num="2">
            <w:col w:w="5220" w:space="524"/>
            <w:col w:w="5516"/>
          </w:cols>
          <w:pgMar w:left="320" w:top="157" w:right="319" w:bottom="1440" w:gutter="0" w:footer="0" w:header="0"/>
          <w:type w:val="continuous"/>
        </w:sectPr>
      </w:pPr>
    </w:p>
    <w:p>
      <w:pPr>
        <w:spacing w:after="0"/>
        <w:rPr>
          <w:sz w:val="20"/>
          <w:szCs w:val="20"/>
          <w:color w:val="auto"/>
        </w:rPr>
      </w:pPr>
      <w:r>
        <w:rPr>
          <w:rFonts w:ascii="Arial" w:cs="Arial" w:eastAsia="Arial" w:hAnsi="Arial"/>
          <w:sz w:val="18"/>
          <w:szCs w:val="18"/>
          <w:color w:val="auto"/>
        </w:rPr>
        <w:t>The CMDC continues to retain the discretion to make awards and pay amounts that may not qualify as tax deductible.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329565</wp:posOffset>
            </wp:positionV>
            <wp:extent cx="77470" cy="1454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329565</wp:posOffset>
            </wp:positionV>
            <wp:extent cx="76835" cy="1454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329565</wp:posOffset>
            </wp:positionV>
            <wp:extent cx="77470" cy="1454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Our performance assessment process starts with planning and priority-setting</w:t>
      </w:r>
    </w:p>
    <w:p>
      <w:pPr>
        <w:spacing w:after="0" w:line="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CMDC uses a disciplined pay-for-performance framework to make decisions about the compensation of our OC members, so that their compensation is commensurate with the overall performance of the Firm, their respective businesses and their individual performance. The performance assessment process starts with strategic plans, budgets and priorities being established at those same levels, with the Board and CMDC engaging in regular discussions with the CEO and the Head of Human Resources ("HR") about individual OC members’ performance throughout the year, as appropriate.</w:t>
      </w:r>
    </w:p>
    <w:p>
      <w:pPr>
        <w:spacing w:after="0" w:line="36"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This approach (rather than determining pay levels during a single year-end process) enables the CMDC to make balanced and informed OC member pay decisions that are aligned with long-term performance against four broad dimensions, which consider short-, medium- and long-term priorities that drive sustained shareholder value.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BALANCED AND HOLISTIC APPROACH FOR ASSESSING PERFORMANCE</w:t>
      </w:r>
    </w:p>
    <w:p>
      <w:pPr>
        <w:spacing w:after="0" w:line="124"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In determining OC compensation, the CMDC considers both what progress has been made against long-term strategic priorities, and how that progress has been achieved. For example, consistently strong revenue, net income and ROTCE performance over the long-term are more important than any short-term fluctuations in business results.</w:t>
      </w:r>
    </w:p>
    <w:p>
      <w:pPr>
        <w:spacing w:after="0" w:line="6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CMDC applies an approximately 50% weighting to its consideration of absolute and relative business results against the Firm's strategic priorities over multiple years, i.e., "the what," and an approximately 50% weighting to its qualitative consideration of risk, controls &amp; conduct, customer/client/stakeholder and teamwork &amp; leadership, i.e., "the how."</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 single performance dimension in isolation determines total compensation; however, it is possible for a single significant shortcoming in any performance dimension to have a downward impact on variable compensation without limitation. The CMDC has historically exercised this kind of downward discretion by making significant reductions to OC member compensation related to risk &amp; control matters — and it will continue to do so in the future if appropriate. For example, in the past, the CMDC reduced Mr. Dimon's pay by 50% due to the "London Whale" trading incident despite the Firm achieving record earnings that year.</w:t>
      </w:r>
    </w:p>
    <w:p>
      <w:pPr>
        <w:spacing w:after="0" w:line="7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This assessment of performance, illustrated in the chart below, includes considerations of ESG-related factors that comprise responsible leadership, thoughtful governance and sustainability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36347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15175" cy="3634740"/>
                    </a:xfrm>
                    <a:prstGeom prst="rect">
                      <a:avLst/>
                    </a:prstGeom>
                    <a:noFill/>
                  </pic:spPr>
                </pic:pic>
              </a:graphicData>
            </a:graphic>
          </wp:anchor>
        </w:drawing>
      </w:r>
    </w:p>
    <w:p>
      <w:pPr>
        <w:spacing w:after="0" w:line="142"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FFFFFF"/>
        </w:rPr>
        <w:t>Business Principles</w:t>
      </w:r>
    </w:p>
    <w:p>
      <w:pPr>
        <w:spacing w:after="0" w:line="94"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FFFFFF"/>
        </w:rPr>
        <w:t>Strategic Framework</w:t>
      </w:r>
    </w:p>
    <w:p>
      <w:pPr>
        <w:spacing w:after="0" w:line="99" w:lineRule="exact"/>
        <w:rPr>
          <w:sz w:val="20"/>
          <w:szCs w:val="20"/>
          <w:color w:val="auto"/>
        </w:rPr>
      </w:pPr>
    </w:p>
    <w:p>
      <w:pPr>
        <w:jc w:val="center"/>
        <w:ind w:right="40"/>
        <w:spacing w:after="0" w:line="296" w:lineRule="auto"/>
        <w:rPr>
          <w:sz w:val="20"/>
          <w:szCs w:val="20"/>
          <w:color w:val="auto"/>
        </w:rPr>
      </w:pPr>
      <w:r>
        <w:rPr>
          <w:rFonts w:ascii="Arial" w:cs="Arial" w:eastAsia="Arial" w:hAnsi="Arial"/>
          <w:sz w:val="18"/>
          <w:szCs w:val="18"/>
          <w:b w:val="1"/>
          <w:bCs w:val="1"/>
          <w:color w:val="auto"/>
        </w:rPr>
        <w:t>Balanced and holistic assessment of results against long-term strategic priorities and other qualitative considerations, with significant shortcomings in any performance dimension having unlimited downward potential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60" w:type="dxa"/>
            <w:vAlign w:val="bottom"/>
          </w:tcPr>
          <w:p>
            <w:pPr>
              <w:spacing w:after="0"/>
              <w:rPr>
                <w:sz w:val="21"/>
                <w:szCs w:val="21"/>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 xml:space="preserve">~50% weighting on </w:t>
            </w:r>
            <w:r>
              <w:rPr>
                <w:rFonts w:ascii="Arial" w:cs="Arial" w:eastAsia="Arial" w:hAnsi="Arial"/>
                <w:sz w:val="18"/>
                <w:szCs w:val="18"/>
                <w:b w:val="1"/>
                <w:bCs w:val="1"/>
                <w:color w:val="auto"/>
              </w:rPr>
              <w:t>"the what"</w:t>
            </w:r>
          </w:p>
        </w:tc>
        <w:tc>
          <w:tcPr>
            <w:tcW w:w="1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 xml:space="preserve">~50% weighting on </w:t>
            </w:r>
            <w:r>
              <w:rPr>
                <w:rFonts w:ascii="Arial" w:cs="Arial" w:eastAsia="Arial" w:hAnsi="Arial"/>
                <w:sz w:val="18"/>
                <w:szCs w:val="18"/>
                <w:b w:val="1"/>
                <w:bCs w:val="1"/>
                <w:color w:val="auto"/>
              </w:rPr>
              <w:t>"the how"</w:t>
            </w:r>
          </w:p>
        </w:tc>
        <w:tc>
          <w:tcPr>
            <w:tcW w:w="1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160" w:type="dxa"/>
            <w:vAlign w:val="bottom"/>
            <w:tcBorders>
              <w:bottom w:val="single" w:sz="8" w:color="205A85"/>
            </w:tcBorders>
            <w:shd w:val="clear" w:color="auto" w:fill="205A85"/>
          </w:tcPr>
          <w:p>
            <w:pPr>
              <w:spacing w:after="0"/>
              <w:rPr>
                <w:sz w:val="24"/>
                <w:szCs w:val="24"/>
                <w:color w:val="auto"/>
              </w:rPr>
            </w:pPr>
          </w:p>
        </w:tc>
        <w:tc>
          <w:tcPr>
            <w:tcW w:w="2840" w:type="dxa"/>
            <w:vAlign w:val="bottom"/>
            <w:tcBorders>
              <w:bottom w:val="single" w:sz="8" w:color="205A85"/>
            </w:tcBorders>
            <w:shd w:val="clear" w:color="auto" w:fill="205A85"/>
          </w:tcPr>
          <w:p>
            <w:pPr>
              <w:ind w:left="640"/>
              <w:spacing w:after="0"/>
              <w:rPr>
                <w:sz w:val="20"/>
                <w:szCs w:val="20"/>
                <w:color w:val="auto"/>
              </w:rPr>
            </w:pPr>
            <w:r>
              <w:rPr>
                <w:rFonts w:ascii="Arial" w:cs="Arial" w:eastAsia="Arial" w:hAnsi="Arial"/>
                <w:sz w:val="18"/>
                <w:szCs w:val="18"/>
                <w:color w:val="FFFFFF"/>
              </w:rPr>
              <w:t>Business Results</w:t>
            </w:r>
          </w:p>
        </w:tc>
        <w:tc>
          <w:tcPr>
            <w:tcW w:w="160" w:type="dxa"/>
            <w:vAlign w:val="bottom"/>
            <w:tcBorders>
              <w:bottom w:val="single" w:sz="8" w:color="6484A5"/>
            </w:tcBorders>
            <w:shd w:val="clear" w:color="auto" w:fill="6484A5"/>
          </w:tcPr>
          <w:p>
            <w:pPr>
              <w:spacing w:after="0"/>
              <w:rPr>
                <w:sz w:val="24"/>
                <w:szCs w:val="24"/>
                <w:color w:val="auto"/>
              </w:rPr>
            </w:pPr>
          </w:p>
        </w:tc>
        <w:tc>
          <w:tcPr>
            <w:tcW w:w="2580" w:type="dxa"/>
            <w:vAlign w:val="bottom"/>
            <w:tcBorders>
              <w:bottom w:val="single" w:sz="8" w:color="6484A5"/>
            </w:tcBorders>
            <w:shd w:val="clear" w:color="auto" w:fill="6484A5"/>
          </w:tcPr>
          <w:p>
            <w:pPr>
              <w:ind w:left="200"/>
              <w:spacing w:after="0"/>
              <w:rPr>
                <w:sz w:val="20"/>
                <w:szCs w:val="20"/>
                <w:color w:val="auto"/>
              </w:rPr>
            </w:pPr>
            <w:r>
              <w:rPr>
                <w:rFonts w:ascii="Arial" w:cs="Arial" w:eastAsia="Arial" w:hAnsi="Arial"/>
                <w:sz w:val="18"/>
                <w:szCs w:val="18"/>
                <w:color w:val="FFFFFF"/>
              </w:rPr>
              <w:t>Risk, Controls &amp; Conduct</w:t>
            </w:r>
          </w:p>
        </w:tc>
        <w:tc>
          <w:tcPr>
            <w:tcW w:w="120" w:type="dxa"/>
            <w:vAlign w:val="bottom"/>
            <w:tcBorders>
              <w:bottom w:val="single" w:sz="8" w:color="929292"/>
            </w:tcBorders>
            <w:shd w:val="clear" w:color="auto" w:fill="929292"/>
          </w:tcPr>
          <w:p>
            <w:pPr>
              <w:spacing w:after="0"/>
              <w:rPr>
                <w:sz w:val="24"/>
                <w:szCs w:val="24"/>
                <w:color w:val="auto"/>
              </w:rPr>
            </w:pPr>
          </w:p>
        </w:tc>
        <w:tc>
          <w:tcPr>
            <w:tcW w:w="2620" w:type="dxa"/>
            <w:vAlign w:val="bottom"/>
            <w:tcBorders>
              <w:bottom w:val="single" w:sz="8" w:color="929292"/>
            </w:tcBorders>
            <w:shd w:val="clear" w:color="auto" w:fill="929292"/>
          </w:tcPr>
          <w:p>
            <w:pPr>
              <w:ind w:left="100"/>
              <w:spacing w:after="0"/>
              <w:rPr>
                <w:sz w:val="20"/>
                <w:szCs w:val="20"/>
                <w:color w:val="auto"/>
              </w:rPr>
            </w:pPr>
            <w:r>
              <w:rPr>
                <w:rFonts w:ascii="Arial" w:cs="Arial" w:eastAsia="Arial" w:hAnsi="Arial"/>
                <w:sz w:val="18"/>
                <w:szCs w:val="18"/>
                <w:color w:val="FFFFFF"/>
              </w:rPr>
              <w:t>Client/Customer/Stakeholder</w:t>
            </w:r>
          </w:p>
        </w:tc>
        <w:tc>
          <w:tcPr>
            <w:tcW w:w="160" w:type="dxa"/>
            <w:vAlign w:val="bottom"/>
            <w:tcBorders>
              <w:bottom w:val="single" w:sz="8" w:color="6D6D6D"/>
            </w:tcBorders>
            <w:shd w:val="clear" w:color="auto" w:fill="6D6D6D"/>
          </w:tcPr>
          <w:p>
            <w:pPr>
              <w:spacing w:after="0"/>
              <w:rPr>
                <w:sz w:val="24"/>
                <w:szCs w:val="24"/>
                <w:color w:val="auto"/>
              </w:rPr>
            </w:pPr>
          </w:p>
        </w:tc>
        <w:tc>
          <w:tcPr>
            <w:tcW w:w="2580" w:type="dxa"/>
            <w:vAlign w:val="bottom"/>
            <w:tcBorders>
              <w:bottom w:val="single" w:sz="8" w:color="6D6D6D"/>
            </w:tcBorders>
            <w:shd w:val="clear" w:color="auto" w:fill="6D6D6D"/>
          </w:tcPr>
          <w:p>
            <w:pPr>
              <w:ind w:left="240"/>
              <w:spacing w:after="0"/>
              <w:rPr>
                <w:sz w:val="20"/>
                <w:szCs w:val="20"/>
                <w:color w:val="auto"/>
              </w:rPr>
            </w:pPr>
            <w:r>
              <w:rPr>
                <w:rFonts w:ascii="Arial" w:cs="Arial" w:eastAsia="Arial" w:hAnsi="Arial"/>
                <w:sz w:val="18"/>
                <w:szCs w:val="18"/>
                <w:color w:val="FFFFFF"/>
              </w:rPr>
              <w:t>Teamwork &amp; Leadership</w:t>
            </w:r>
          </w:p>
        </w:tc>
        <w:tc>
          <w:tcPr>
            <w:tcW w:w="0" w:type="dxa"/>
            <w:vAlign w:val="bottom"/>
          </w:tcPr>
          <w:p>
            <w:pPr>
              <w:spacing w:after="0"/>
              <w:rPr>
                <w:sz w:val="1"/>
                <w:szCs w:val="1"/>
                <w:color w:val="auto"/>
              </w:rPr>
            </w:pPr>
          </w:p>
        </w:tc>
      </w:tr>
      <w:tr>
        <w:trPr>
          <w:trHeight w:val="251"/>
        </w:trPr>
        <w:tc>
          <w:tcPr>
            <w:tcW w:w="3000" w:type="dxa"/>
            <w:vAlign w:val="bottom"/>
            <w:tcBorders>
              <w:top w:val="single" w:sz="8" w:color="DBDBDB"/>
            </w:tcBorders>
            <w:gridSpan w:val="2"/>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b w:val="1"/>
                <w:bCs w:val="1"/>
                <w:color w:val="000000"/>
              </w:rPr>
              <w:t>Drive high performance, the</w:t>
            </w:r>
          </w:p>
        </w:tc>
        <w:tc>
          <w:tcPr>
            <w:tcW w:w="160" w:type="dxa"/>
            <w:vAlign w:val="bottom"/>
            <w:tcBorders>
              <w:top w:val="single" w:sz="8" w:color="DBDBDB"/>
            </w:tcBorders>
          </w:tcPr>
          <w:p>
            <w:pPr>
              <w:ind w:left="20"/>
              <w:spacing w:after="0"/>
              <w:rPr>
                <w:sz w:val="20"/>
                <w:szCs w:val="20"/>
                <w:color w:val="auto"/>
              </w:rPr>
            </w:pPr>
            <w:r>
              <w:rPr>
                <w:rFonts w:ascii="Arial" w:cs="Arial" w:eastAsia="Arial" w:hAnsi="Arial"/>
                <w:sz w:val="18"/>
                <w:szCs w:val="18"/>
                <w:color w:val="074A75"/>
              </w:rPr>
              <w:t>•</w:t>
            </w:r>
          </w:p>
        </w:tc>
        <w:tc>
          <w:tcPr>
            <w:tcW w:w="2580" w:type="dxa"/>
            <w:vAlign w:val="bottom"/>
            <w:tcBorders>
              <w:top w:val="single" w:sz="8" w:color="DBDBDB"/>
            </w:tcBorders>
          </w:tcPr>
          <w:p>
            <w:pPr>
              <w:ind w:left="60"/>
              <w:spacing w:after="0"/>
              <w:rPr>
                <w:sz w:val="20"/>
                <w:szCs w:val="20"/>
                <w:color w:val="auto"/>
              </w:rPr>
            </w:pPr>
            <w:r>
              <w:rPr>
                <w:rFonts w:ascii="Arial" w:cs="Arial" w:eastAsia="Arial" w:hAnsi="Arial"/>
                <w:sz w:val="18"/>
                <w:szCs w:val="18"/>
                <w:color w:val="auto"/>
              </w:rPr>
              <w:t>Sound governance</w:t>
            </w:r>
          </w:p>
        </w:tc>
        <w:tc>
          <w:tcPr>
            <w:tcW w:w="120" w:type="dxa"/>
            <w:vAlign w:val="bottom"/>
            <w:tcBorders>
              <w:top w:val="single" w:sz="8" w:color="DBDBDB"/>
            </w:tcBorders>
          </w:tcPr>
          <w:p>
            <w:pPr>
              <w:ind w:left="20"/>
              <w:spacing w:after="0"/>
              <w:rPr>
                <w:sz w:val="20"/>
                <w:szCs w:val="20"/>
                <w:color w:val="auto"/>
              </w:rPr>
            </w:pPr>
            <w:r>
              <w:rPr>
                <w:rFonts w:ascii="Arial" w:cs="Arial" w:eastAsia="Arial" w:hAnsi="Arial"/>
                <w:sz w:val="18"/>
                <w:szCs w:val="18"/>
                <w:color w:val="074A75"/>
              </w:rPr>
              <w:t>•</w:t>
            </w:r>
          </w:p>
        </w:tc>
        <w:tc>
          <w:tcPr>
            <w:tcW w:w="2780" w:type="dxa"/>
            <w:vAlign w:val="bottom"/>
            <w:tcBorders>
              <w:top w:val="single" w:sz="8" w:color="DBDBDB"/>
            </w:tcBorders>
            <w:gridSpan w:val="2"/>
          </w:tcPr>
          <w:p>
            <w:pPr>
              <w:ind w:left="100"/>
              <w:spacing w:after="0"/>
              <w:rPr>
                <w:sz w:val="20"/>
                <w:szCs w:val="20"/>
                <w:color w:val="auto"/>
              </w:rPr>
            </w:pPr>
            <w:r>
              <w:rPr>
                <w:rFonts w:ascii="Arial" w:cs="Arial" w:eastAsia="Arial" w:hAnsi="Arial"/>
                <w:sz w:val="18"/>
                <w:szCs w:val="18"/>
                <w:color w:val="auto"/>
              </w:rPr>
              <w:t xml:space="preserve">Focus on customer experience </w:t>
            </w:r>
            <w:r>
              <w:rPr>
                <w:rFonts w:ascii="Arial" w:cs="Arial" w:eastAsia="Arial" w:hAnsi="Arial"/>
                <w:sz w:val="18"/>
                <w:szCs w:val="18"/>
                <w:color w:val="074A75"/>
              </w:rPr>
              <w:t>•</w:t>
            </w:r>
          </w:p>
        </w:tc>
        <w:tc>
          <w:tcPr>
            <w:tcW w:w="2580" w:type="dxa"/>
            <w:vAlign w:val="bottom"/>
            <w:tcBorders>
              <w:top w:val="single" w:sz="8" w:color="DBDBDB"/>
            </w:tcBorders>
          </w:tcPr>
          <w:p>
            <w:pPr>
              <w:ind w:left="60"/>
              <w:spacing w:after="0"/>
              <w:rPr>
                <w:sz w:val="20"/>
                <w:szCs w:val="20"/>
                <w:color w:val="auto"/>
              </w:rPr>
            </w:pPr>
            <w:r>
              <w:rPr>
                <w:rFonts w:ascii="Arial" w:cs="Arial" w:eastAsia="Arial" w:hAnsi="Arial"/>
                <w:sz w:val="18"/>
                <w:szCs w:val="18"/>
                <w:color w:val="auto"/>
              </w:rPr>
              <w:t>Creating an open, respectful,</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840" w:type="dxa"/>
            <w:vAlign w:val="bottom"/>
          </w:tcPr>
          <w:p>
            <w:pPr>
              <w:ind w:left="60"/>
              <w:spacing w:after="0"/>
              <w:rPr>
                <w:sz w:val="20"/>
                <w:szCs w:val="20"/>
                <w:color w:val="auto"/>
              </w:rPr>
            </w:pPr>
            <w:r>
              <w:rPr>
                <w:rFonts w:ascii="Arial" w:cs="Arial" w:eastAsia="Arial" w:hAnsi="Arial"/>
                <w:sz w:val="18"/>
                <w:szCs w:val="18"/>
                <w:b w:val="1"/>
                <w:bCs w:val="1"/>
                <w:color w:val="auto"/>
              </w:rPr>
              <w:t>right way</w:t>
            </w:r>
          </w:p>
        </w:tc>
        <w:tc>
          <w:tcPr>
            <w:tcW w:w="160" w:type="dxa"/>
            <w:vAlign w:val="bottom"/>
          </w:tcPr>
          <w:p>
            <w:pPr>
              <w:spacing w:after="0"/>
              <w:rPr>
                <w:sz w:val="22"/>
                <w:szCs w:val="22"/>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and controls</w:t>
            </w:r>
          </w:p>
        </w:tc>
        <w:tc>
          <w:tcPr>
            <w:tcW w:w="120" w:type="dxa"/>
            <w:vAlign w:val="bottom"/>
          </w:tcPr>
          <w:p>
            <w:pPr>
              <w:ind w:left="20"/>
              <w:spacing w:after="0"/>
              <w:rPr>
                <w:sz w:val="20"/>
                <w:szCs w:val="20"/>
                <w:color w:val="auto"/>
              </w:rPr>
            </w:pPr>
            <w:r>
              <w:rPr>
                <w:rFonts w:ascii="Arial" w:cs="Arial" w:eastAsia="Arial" w:hAnsi="Arial"/>
                <w:sz w:val="18"/>
                <w:szCs w:val="18"/>
                <w:color w:val="074A75"/>
              </w:rPr>
              <w:t>•</w:t>
            </w:r>
          </w:p>
        </w:tc>
        <w:tc>
          <w:tcPr>
            <w:tcW w:w="2620" w:type="dxa"/>
            <w:vAlign w:val="bottom"/>
          </w:tcPr>
          <w:p>
            <w:pPr>
              <w:ind w:left="100"/>
              <w:spacing w:after="0"/>
              <w:rPr>
                <w:sz w:val="20"/>
                <w:szCs w:val="20"/>
                <w:color w:val="auto"/>
              </w:rPr>
            </w:pPr>
            <w:r>
              <w:rPr>
                <w:rFonts w:ascii="Arial" w:cs="Arial" w:eastAsia="Arial" w:hAnsi="Arial"/>
                <w:sz w:val="18"/>
                <w:szCs w:val="18"/>
                <w:color w:val="auto"/>
              </w:rPr>
              <w:t>Serving a diverse</w:t>
            </w:r>
          </w:p>
        </w:tc>
        <w:tc>
          <w:tcPr>
            <w:tcW w:w="160" w:type="dxa"/>
            <w:vAlign w:val="bottom"/>
          </w:tcPr>
          <w:p>
            <w:pPr>
              <w:spacing w:after="0"/>
              <w:rPr>
                <w:sz w:val="22"/>
                <w:szCs w:val="22"/>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inclusive culture</w:t>
            </w:r>
          </w:p>
        </w:tc>
        <w:tc>
          <w:tcPr>
            <w:tcW w:w="0" w:type="dxa"/>
            <w:vAlign w:val="bottom"/>
          </w:tcPr>
          <w:p>
            <w:pPr>
              <w:spacing w:after="0"/>
              <w:rPr>
                <w:sz w:val="1"/>
                <w:szCs w:val="1"/>
                <w:color w:val="auto"/>
              </w:rPr>
            </w:pPr>
          </w:p>
        </w:tc>
      </w:tr>
      <w:tr>
        <w:trPr>
          <w:trHeight w:val="216"/>
        </w:trPr>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Fortress balance sheet</w:t>
            </w:r>
          </w:p>
        </w:tc>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580" w:type="dxa"/>
            <w:vAlign w:val="bottom"/>
          </w:tcPr>
          <w:p>
            <w:pPr>
              <w:ind w:left="60"/>
              <w:spacing w:after="0"/>
              <w:rPr>
                <w:sz w:val="20"/>
                <w:szCs w:val="20"/>
                <w:color w:val="auto"/>
              </w:rPr>
            </w:pPr>
            <w:r>
              <w:rPr>
                <w:rFonts w:ascii="Arial" w:cs="Arial" w:eastAsia="Arial" w:hAnsi="Arial"/>
                <w:sz w:val="18"/>
                <w:szCs w:val="18"/>
                <w:color w:val="auto"/>
              </w:rPr>
              <w:t>Culture &amp; conduct</w:t>
            </w:r>
          </w:p>
        </w:tc>
        <w:tc>
          <w:tcPr>
            <w:tcW w:w="120" w:type="dxa"/>
            <w:vAlign w:val="bottom"/>
          </w:tcPr>
          <w:p>
            <w:pPr>
              <w:spacing w:after="0"/>
              <w:rPr>
                <w:sz w:val="18"/>
                <w:szCs w:val="18"/>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customer base</w:t>
            </w:r>
          </w:p>
        </w:tc>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580" w:type="dxa"/>
            <w:vAlign w:val="bottom"/>
          </w:tcPr>
          <w:p>
            <w:pPr>
              <w:ind w:left="60"/>
              <w:spacing w:after="0"/>
              <w:rPr>
                <w:sz w:val="20"/>
                <w:szCs w:val="20"/>
                <w:color w:val="auto"/>
              </w:rPr>
            </w:pPr>
            <w:r>
              <w:rPr>
                <w:rFonts w:ascii="Arial" w:cs="Arial" w:eastAsia="Arial" w:hAnsi="Arial"/>
                <w:sz w:val="18"/>
                <w:szCs w:val="18"/>
                <w:color w:val="auto"/>
              </w:rPr>
              <w:t>Active attraction, retention,</w:t>
            </w:r>
          </w:p>
        </w:tc>
        <w:tc>
          <w:tcPr>
            <w:tcW w:w="0" w:type="dxa"/>
            <w:vAlign w:val="bottom"/>
          </w:tcPr>
          <w:p>
            <w:pPr>
              <w:spacing w:after="0"/>
              <w:rPr>
                <w:sz w:val="1"/>
                <w:szCs w:val="1"/>
                <w:color w:val="auto"/>
              </w:rPr>
            </w:pPr>
          </w:p>
        </w:tc>
      </w:tr>
      <w:tr>
        <w:trPr>
          <w:trHeight w:val="221"/>
        </w:trPr>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Operational resilience</w:t>
            </w:r>
          </w:p>
        </w:tc>
        <w:tc>
          <w:tcPr>
            <w:tcW w:w="2740" w:type="dxa"/>
            <w:vAlign w:val="bottom"/>
            <w:gridSpan w:val="2"/>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Focus on safety &amp; security,</w:t>
            </w:r>
          </w:p>
        </w:tc>
        <w:tc>
          <w:tcPr>
            <w:tcW w:w="120" w:type="dxa"/>
            <w:vAlign w:val="bottom"/>
          </w:tcPr>
          <w:p>
            <w:pPr>
              <w:ind w:left="20"/>
              <w:spacing w:after="0"/>
              <w:rPr>
                <w:sz w:val="20"/>
                <w:szCs w:val="20"/>
                <w:color w:val="auto"/>
              </w:rPr>
            </w:pPr>
            <w:r>
              <w:rPr>
                <w:rFonts w:ascii="Arial" w:cs="Arial" w:eastAsia="Arial" w:hAnsi="Arial"/>
                <w:sz w:val="18"/>
                <w:szCs w:val="18"/>
                <w:color w:val="074A75"/>
              </w:rPr>
              <w:t>•</w:t>
            </w:r>
          </w:p>
        </w:tc>
        <w:tc>
          <w:tcPr>
            <w:tcW w:w="2620" w:type="dxa"/>
            <w:vAlign w:val="bottom"/>
          </w:tcPr>
          <w:p>
            <w:pPr>
              <w:ind w:left="100"/>
              <w:spacing w:after="0"/>
              <w:rPr>
                <w:sz w:val="20"/>
                <w:szCs w:val="20"/>
                <w:color w:val="auto"/>
              </w:rPr>
            </w:pPr>
            <w:r>
              <w:rPr>
                <w:rFonts w:ascii="Arial" w:cs="Arial" w:eastAsia="Arial" w:hAnsi="Arial"/>
                <w:sz w:val="18"/>
                <w:szCs w:val="18"/>
                <w:color w:val="auto"/>
              </w:rPr>
              <w:t>Customer centric and easy to</w:t>
            </w:r>
          </w:p>
        </w:tc>
        <w:tc>
          <w:tcPr>
            <w:tcW w:w="160" w:type="dxa"/>
            <w:vAlign w:val="bottom"/>
          </w:tcPr>
          <w:p>
            <w:pPr>
              <w:spacing w:after="0"/>
              <w:rPr>
                <w:sz w:val="19"/>
                <w:szCs w:val="19"/>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promotion and upskilling of</w:t>
            </w:r>
          </w:p>
        </w:tc>
        <w:tc>
          <w:tcPr>
            <w:tcW w:w="0" w:type="dxa"/>
            <w:vAlign w:val="bottom"/>
          </w:tcPr>
          <w:p>
            <w:pPr>
              <w:spacing w:after="0"/>
              <w:rPr>
                <w:sz w:val="1"/>
                <w:szCs w:val="1"/>
                <w:color w:val="auto"/>
              </w:rPr>
            </w:pPr>
          </w:p>
        </w:tc>
      </w:tr>
      <w:tr>
        <w:trPr>
          <w:trHeight w:val="251"/>
        </w:trPr>
        <w:tc>
          <w:tcPr>
            <w:tcW w:w="3000" w:type="dxa"/>
            <w:vAlign w:val="bottom"/>
            <w:gridSpan w:val="2"/>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Comprehensive set of products</w:t>
            </w:r>
          </w:p>
        </w:tc>
        <w:tc>
          <w:tcPr>
            <w:tcW w:w="160" w:type="dxa"/>
            <w:vAlign w:val="bottom"/>
          </w:tcPr>
          <w:p>
            <w:pPr>
              <w:spacing w:after="0"/>
              <w:rPr>
                <w:sz w:val="21"/>
                <w:szCs w:val="21"/>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including cyber</w:t>
            </w: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do business with</w:t>
            </w:r>
          </w:p>
        </w:tc>
        <w:tc>
          <w:tcPr>
            <w:tcW w:w="160" w:type="dxa"/>
            <w:vAlign w:val="bottom"/>
          </w:tcPr>
          <w:p>
            <w:pPr>
              <w:spacing w:after="0"/>
              <w:rPr>
                <w:sz w:val="21"/>
                <w:szCs w:val="21"/>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talent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and services</w:t>
            </w:r>
          </w:p>
        </w:tc>
        <w:tc>
          <w:tcPr>
            <w:tcW w:w="2740" w:type="dxa"/>
            <w:vAlign w:val="bottom"/>
            <w:gridSpan w:val="2"/>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Active management of control</w:t>
            </w:r>
          </w:p>
        </w:tc>
        <w:tc>
          <w:tcPr>
            <w:tcW w:w="120" w:type="dxa"/>
            <w:vAlign w:val="bottom"/>
          </w:tcPr>
          <w:p>
            <w:pPr>
              <w:ind w:left="20"/>
              <w:spacing w:after="0"/>
              <w:rPr>
                <w:sz w:val="20"/>
                <w:szCs w:val="20"/>
                <w:color w:val="auto"/>
              </w:rPr>
            </w:pPr>
            <w:r>
              <w:rPr>
                <w:rFonts w:ascii="Arial" w:cs="Arial" w:eastAsia="Arial" w:hAnsi="Arial"/>
                <w:sz w:val="18"/>
                <w:szCs w:val="18"/>
                <w:color w:val="074A75"/>
              </w:rPr>
              <w:t>•</w:t>
            </w:r>
          </w:p>
        </w:tc>
        <w:tc>
          <w:tcPr>
            <w:tcW w:w="2620" w:type="dxa"/>
            <w:vAlign w:val="bottom"/>
          </w:tcPr>
          <w:p>
            <w:pPr>
              <w:ind w:left="100"/>
              <w:spacing w:after="0"/>
              <w:rPr>
                <w:sz w:val="20"/>
                <w:szCs w:val="20"/>
                <w:color w:val="auto"/>
              </w:rPr>
            </w:pPr>
            <w:r>
              <w:rPr>
                <w:rFonts w:ascii="Arial" w:cs="Arial" w:eastAsia="Arial" w:hAnsi="Arial"/>
                <w:sz w:val="18"/>
                <w:szCs w:val="18"/>
                <w:color w:val="auto"/>
              </w:rPr>
              <w:t>Open and transparent</w:t>
            </w:r>
          </w:p>
        </w:tc>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580" w:type="dxa"/>
            <w:vAlign w:val="bottom"/>
          </w:tcPr>
          <w:p>
            <w:pPr>
              <w:ind w:left="60"/>
              <w:spacing w:after="0"/>
              <w:rPr>
                <w:sz w:val="20"/>
                <w:szCs w:val="20"/>
                <w:color w:val="auto"/>
              </w:rPr>
            </w:pPr>
            <w:r>
              <w:rPr>
                <w:rFonts w:ascii="Arial" w:cs="Arial" w:eastAsia="Arial" w:hAnsi="Arial"/>
                <w:sz w:val="18"/>
                <w:szCs w:val="18"/>
                <w:color w:val="auto"/>
              </w:rPr>
              <w:t>Employer of choice for top</w:t>
            </w: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Growing powerful brands</w:t>
            </w:r>
          </w:p>
        </w:tc>
        <w:tc>
          <w:tcPr>
            <w:tcW w:w="160" w:type="dxa"/>
            <w:vAlign w:val="bottom"/>
          </w:tcPr>
          <w:p>
            <w:pPr>
              <w:spacing w:after="0"/>
              <w:rPr>
                <w:sz w:val="21"/>
                <w:szCs w:val="21"/>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environment</w:t>
            </w: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dialogue</w:t>
            </w:r>
          </w:p>
        </w:tc>
        <w:tc>
          <w:tcPr>
            <w:tcW w:w="160" w:type="dxa"/>
            <w:vAlign w:val="bottom"/>
          </w:tcPr>
          <w:p>
            <w:pPr>
              <w:spacing w:after="0"/>
              <w:rPr>
                <w:sz w:val="21"/>
                <w:szCs w:val="21"/>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talent from all backgrounds</w:t>
            </w:r>
          </w:p>
        </w:tc>
        <w:tc>
          <w:tcPr>
            <w:tcW w:w="0" w:type="dxa"/>
            <w:vAlign w:val="bottom"/>
          </w:tcPr>
          <w:p>
            <w:pPr>
              <w:spacing w:after="0"/>
              <w:rPr>
                <w:sz w:val="1"/>
                <w:szCs w:val="1"/>
                <w:color w:val="auto"/>
              </w:rPr>
            </w:pPr>
          </w:p>
        </w:tc>
      </w:tr>
      <w:tr>
        <w:trPr>
          <w:trHeight w:val="256"/>
        </w:trPr>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Disciplined investment in</w:t>
            </w:r>
          </w:p>
        </w:tc>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580" w:type="dxa"/>
            <w:vAlign w:val="bottom"/>
          </w:tcPr>
          <w:p>
            <w:pPr>
              <w:ind w:left="60"/>
              <w:spacing w:after="0"/>
              <w:rPr>
                <w:sz w:val="20"/>
                <w:szCs w:val="20"/>
                <w:color w:val="auto"/>
              </w:rPr>
            </w:pPr>
            <w:r>
              <w:rPr>
                <w:rFonts w:ascii="Arial" w:cs="Arial" w:eastAsia="Arial" w:hAnsi="Arial"/>
                <w:sz w:val="18"/>
                <w:szCs w:val="18"/>
                <w:color w:val="auto"/>
              </w:rPr>
              <w:t>Embedding sustainable</w:t>
            </w:r>
          </w:p>
        </w:tc>
        <w:tc>
          <w:tcPr>
            <w:tcW w:w="120" w:type="dxa"/>
            <w:vAlign w:val="bottom"/>
          </w:tcPr>
          <w:p>
            <w:pPr>
              <w:ind w:left="20"/>
              <w:spacing w:after="0"/>
              <w:rPr>
                <w:sz w:val="20"/>
                <w:szCs w:val="20"/>
                <w:color w:val="auto"/>
              </w:rPr>
            </w:pPr>
            <w:r>
              <w:rPr>
                <w:rFonts w:ascii="Arial" w:cs="Arial" w:eastAsia="Arial" w:hAnsi="Arial"/>
                <w:sz w:val="18"/>
                <w:szCs w:val="18"/>
                <w:color w:val="074A75"/>
              </w:rPr>
              <w:t>•</w:t>
            </w:r>
          </w:p>
        </w:tc>
        <w:tc>
          <w:tcPr>
            <w:tcW w:w="2780" w:type="dxa"/>
            <w:vAlign w:val="bottom"/>
            <w:gridSpan w:val="2"/>
          </w:tcPr>
          <w:p>
            <w:pPr>
              <w:ind w:left="100"/>
              <w:spacing w:after="0" w:line="256" w:lineRule="exact"/>
              <w:rPr>
                <w:sz w:val="20"/>
                <w:szCs w:val="20"/>
                <w:color w:val="auto"/>
              </w:rPr>
            </w:pPr>
            <w:r>
              <w:rPr>
                <w:rFonts w:ascii="Arial" w:cs="Arial" w:eastAsia="Arial" w:hAnsi="Arial"/>
                <w:sz w:val="16"/>
                <w:szCs w:val="16"/>
                <w:color w:val="auto"/>
              </w:rPr>
              <w:t xml:space="preserve">Investing in and supporting our </w:t>
            </w:r>
            <w:r>
              <w:rPr>
                <w:rFonts w:ascii="Arial" w:cs="Arial" w:eastAsia="Arial" w:hAnsi="Arial"/>
                <w:sz w:val="29"/>
                <w:szCs w:val="29"/>
                <w:color w:val="074A75"/>
                <w:vertAlign w:val="superscript"/>
              </w:rPr>
              <w:t>•</w:t>
            </w:r>
          </w:p>
        </w:tc>
        <w:tc>
          <w:tcPr>
            <w:tcW w:w="2580" w:type="dxa"/>
            <w:vAlign w:val="bottom"/>
          </w:tcPr>
          <w:p>
            <w:pPr>
              <w:ind w:left="60"/>
              <w:spacing w:after="0"/>
              <w:rPr>
                <w:sz w:val="20"/>
                <w:szCs w:val="20"/>
                <w:color w:val="auto"/>
              </w:rPr>
            </w:pPr>
            <w:r>
              <w:rPr>
                <w:rFonts w:ascii="Arial" w:cs="Arial" w:eastAsia="Arial" w:hAnsi="Arial"/>
                <w:sz w:val="18"/>
                <w:szCs w:val="18"/>
                <w:color w:val="auto"/>
              </w:rPr>
              <w:t>Delivery on internal</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the future</w:t>
            </w:r>
          </w:p>
        </w:tc>
        <w:tc>
          <w:tcPr>
            <w:tcW w:w="16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business practices</w:t>
            </w:r>
          </w:p>
        </w:tc>
        <w:tc>
          <w:tcPr>
            <w:tcW w:w="120" w:type="dxa"/>
            <w:vAlign w:val="bottom"/>
          </w:tcPr>
          <w:p>
            <w:pPr>
              <w:spacing w:after="0"/>
              <w:rPr>
                <w:sz w:val="18"/>
                <w:szCs w:val="18"/>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communities</w:t>
            </w:r>
          </w:p>
        </w:tc>
        <w:tc>
          <w:tcPr>
            <w:tcW w:w="16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DEI initiatives</w:t>
            </w:r>
          </w:p>
        </w:tc>
        <w:tc>
          <w:tcPr>
            <w:tcW w:w="0" w:type="dxa"/>
            <w:vAlign w:val="bottom"/>
          </w:tcPr>
          <w:p>
            <w:pPr>
              <w:spacing w:after="0"/>
              <w:rPr>
                <w:sz w:val="1"/>
                <w:szCs w:val="1"/>
                <w:color w:val="auto"/>
              </w:rPr>
            </w:pPr>
          </w:p>
        </w:tc>
      </w:tr>
      <w:tr>
        <w:trPr>
          <w:trHeight w:val="243"/>
        </w:trPr>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Current &amp; multi-year</w:t>
            </w:r>
          </w:p>
        </w:tc>
        <w:tc>
          <w:tcPr>
            <w:tcW w:w="1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074A75"/>
              </w:rPr>
              <w:t>•</w:t>
            </w:r>
          </w:p>
        </w:tc>
        <w:tc>
          <w:tcPr>
            <w:tcW w:w="2620" w:type="dxa"/>
            <w:vAlign w:val="bottom"/>
          </w:tcPr>
          <w:p>
            <w:pPr>
              <w:ind w:left="100"/>
              <w:spacing w:after="0"/>
              <w:rPr>
                <w:sz w:val="20"/>
                <w:szCs w:val="20"/>
                <w:color w:val="auto"/>
              </w:rPr>
            </w:pPr>
            <w:r>
              <w:rPr>
                <w:rFonts w:ascii="Arial" w:cs="Arial" w:eastAsia="Arial" w:hAnsi="Arial"/>
                <w:sz w:val="18"/>
                <w:szCs w:val="18"/>
                <w:color w:val="auto"/>
              </w:rPr>
              <w:t>Delivery on external</w:t>
            </w:r>
          </w:p>
        </w:tc>
        <w:tc>
          <w:tcPr>
            <w:tcW w:w="160" w:type="dxa"/>
            <w:vAlign w:val="bottom"/>
          </w:tcPr>
          <w:p>
            <w:pPr>
              <w:ind w:left="20"/>
              <w:spacing w:after="0"/>
              <w:rPr>
                <w:sz w:val="20"/>
                <w:szCs w:val="20"/>
                <w:color w:val="auto"/>
              </w:rPr>
            </w:pPr>
            <w:r>
              <w:rPr>
                <w:rFonts w:ascii="Arial" w:cs="Arial" w:eastAsia="Arial" w:hAnsi="Arial"/>
                <w:sz w:val="18"/>
                <w:szCs w:val="18"/>
                <w:color w:val="074A75"/>
              </w:rPr>
              <w:t>•</w:t>
            </w:r>
          </w:p>
        </w:tc>
        <w:tc>
          <w:tcPr>
            <w:tcW w:w="2580" w:type="dxa"/>
            <w:vAlign w:val="bottom"/>
          </w:tcPr>
          <w:p>
            <w:pPr>
              <w:ind w:left="60"/>
              <w:spacing w:after="0"/>
              <w:rPr>
                <w:sz w:val="20"/>
                <w:szCs w:val="20"/>
                <w:color w:val="auto"/>
              </w:rPr>
            </w:pPr>
            <w:r>
              <w:rPr>
                <w:rFonts w:ascii="Arial" w:cs="Arial" w:eastAsia="Arial" w:hAnsi="Arial"/>
                <w:sz w:val="18"/>
                <w:szCs w:val="18"/>
                <w:color w:val="auto"/>
              </w:rPr>
              <w:t>Partnerships with</w:t>
            </w:r>
          </w:p>
        </w:tc>
        <w:tc>
          <w:tcPr>
            <w:tcW w:w="0" w:type="dxa"/>
            <w:vAlign w:val="bottom"/>
          </w:tcPr>
          <w:p>
            <w:pPr>
              <w:spacing w:after="0"/>
              <w:rPr>
                <w:sz w:val="1"/>
                <w:szCs w:val="1"/>
                <w:color w:val="auto"/>
              </w:rPr>
            </w:pPr>
          </w:p>
        </w:tc>
      </w:tr>
      <w:tr>
        <w:trPr>
          <w:trHeight w:val="251"/>
        </w:trPr>
        <w:tc>
          <w:tcPr>
            <w:tcW w:w="160" w:type="dxa"/>
            <w:vAlign w:val="bottom"/>
          </w:tcPr>
          <w:p>
            <w:pPr>
              <w:spacing w:after="0"/>
              <w:rPr>
                <w:sz w:val="21"/>
                <w:szCs w:val="21"/>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financial performance, including</w:t>
            </w:r>
          </w:p>
        </w:tc>
        <w:tc>
          <w:tcPr>
            <w:tcW w:w="1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DEI commitments</w:t>
            </w:r>
          </w:p>
        </w:tc>
        <w:tc>
          <w:tcPr>
            <w:tcW w:w="160" w:type="dxa"/>
            <w:vAlign w:val="bottom"/>
          </w:tcPr>
          <w:p>
            <w:pPr>
              <w:spacing w:after="0"/>
              <w:rPr>
                <w:sz w:val="21"/>
                <w:szCs w:val="21"/>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internal stakeholders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but not limited to:</w:t>
            </w: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074A75"/>
              </w:rPr>
              <w:t>•</w:t>
            </w:r>
          </w:p>
        </w:tc>
        <w:tc>
          <w:tcPr>
            <w:tcW w:w="2620" w:type="dxa"/>
            <w:vAlign w:val="bottom"/>
          </w:tcPr>
          <w:p>
            <w:pPr>
              <w:ind w:left="100"/>
              <w:spacing w:after="0"/>
              <w:rPr>
                <w:sz w:val="20"/>
                <w:szCs w:val="20"/>
                <w:color w:val="auto"/>
              </w:rPr>
            </w:pPr>
            <w:r>
              <w:rPr>
                <w:rFonts w:ascii="Arial" w:cs="Arial" w:eastAsia="Arial" w:hAnsi="Arial"/>
                <w:sz w:val="18"/>
                <w:szCs w:val="18"/>
                <w:color w:val="auto"/>
              </w:rPr>
              <w:t>Integrating environmental</w:t>
            </w: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2840" w:type="dxa"/>
            <w:vAlign w:val="bottom"/>
          </w:tcPr>
          <w:p>
            <w:pPr>
              <w:ind w:left="60"/>
              <w:spacing w:after="0"/>
              <w:rPr>
                <w:sz w:val="20"/>
                <w:szCs w:val="20"/>
                <w:color w:val="auto"/>
              </w:rPr>
            </w:pPr>
            <w:r>
              <w:rPr>
                <w:rFonts w:ascii="Arial" w:cs="Arial" w:eastAsia="Arial" w:hAnsi="Arial"/>
                <w:sz w:val="18"/>
                <w:szCs w:val="18"/>
                <w:i w:val="1"/>
                <w:iCs w:val="1"/>
                <w:color w:val="074A75"/>
              </w:rPr>
              <w:t xml:space="preserve">◦ </w:t>
            </w:r>
            <w:r>
              <w:rPr>
                <w:rFonts w:ascii="Arial" w:cs="Arial" w:eastAsia="Arial" w:hAnsi="Arial"/>
                <w:sz w:val="18"/>
                <w:szCs w:val="18"/>
                <w:i w:val="1"/>
                <w:iCs w:val="1"/>
                <w:color w:val="000000"/>
              </w:rPr>
              <w:t>Managed Revenue</w:t>
            </w: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sustainability into</w:t>
            </w: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2840" w:type="dxa"/>
            <w:vAlign w:val="bottom"/>
            <w:vMerge w:val="restart"/>
          </w:tcPr>
          <w:p>
            <w:pPr>
              <w:ind w:left="60"/>
              <w:spacing w:after="0"/>
              <w:rPr>
                <w:sz w:val="20"/>
                <w:szCs w:val="20"/>
                <w:color w:val="auto"/>
              </w:rPr>
            </w:pPr>
            <w:r>
              <w:rPr>
                <w:rFonts w:ascii="Arial" w:cs="Arial" w:eastAsia="Arial" w:hAnsi="Arial"/>
                <w:sz w:val="18"/>
                <w:szCs w:val="18"/>
                <w:i w:val="1"/>
                <w:iCs w:val="1"/>
                <w:color w:val="074A75"/>
              </w:rPr>
              <w:t xml:space="preserve">◦ </w:t>
            </w:r>
            <w:r>
              <w:rPr>
                <w:rFonts w:ascii="Arial" w:cs="Arial" w:eastAsia="Arial" w:hAnsi="Arial"/>
                <w:sz w:val="18"/>
                <w:szCs w:val="18"/>
                <w:i w:val="1"/>
                <w:iCs w:val="1"/>
                <w:color w:val="000000"/>
              </w:rPr>
              <w:t>Pre-tax income ex. LLR</w:t>
            </w:r>
          </w:p>
        </w:tc>
        <w:tc>
          <w:tcPr>
            <w:tcW w:w="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business decisions</w:t>
            </w:r>
          </w:p>
        </w:tc>
        <w:tc>
          <w:tcPr>
            <w:tcW w:w="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160" w:type="dxa"/>
            <w:vAlign w:val="bottom"/>
          </w:tcPr>
          <w:p>
            <w:pPr>
              <w:spacing w:after="0"/>
              <w:rPr>
                <w:sz w:val="6"/>
                <w:szCs w:val="6"/>
                <w:color w:val="auto"/>
              </w:rPr>
            </w:pPr>
          </w:p>
        </w:tc>
        <w:tc>
          <w:tcPr>
            <w:tcW w:w="28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400" w:hanging="180"/>
        <w:spacing w:after="0"/>
        <w:tabs>
          <w:tab w:leader="none" w:pos="400" w:val="left"/>
        </w:tabs>
        <w:numPr>
          <w:ilvl w:val="0"/>
          <w:numId w:val="135"/>
        </w:numPr>
        <w:rPr>
          <w:rFonts w:ascii="Arial" w:cs="Arial" w:eastAsia="Arial" w:hAnsi="Arial"/>
          <w:sz w:val="18"/>
          <w:szCs w:val="18"/>
          <w:i w:val="1"/>
          <w:iCs w:val="1"/>
          <w:color w:val="074A75"/>
        </w:rPr>
      </w:pPr>
      <w:r>
        <w:rPr>
          <w:rFonts w:ascii="Arial" w:cs="Arial" w:eastAsia="Arial" w:hAnsi="Arial"/>
          <w:sz w:val="18"/>
          <w:szCs w:val="18"/>
          <w:i w:val="1"/>
          <w:iCs w:val="1"/>
          <w:color w:val="auto"/>
        </w:rPr>
        <w:t>Net Income</w:t>
      </w:r>
    </w:p>
    <w:p>
      <w:pPr>
        <w:spacing w:after="0" w:line="49" w:lineRule="exact"/>
        <w:rPr>
          <w:rFonts w:ascii="Arial" w:cs="Arial" w:eastAsia="Arial" w:hAnsi="Arial"/>
          <w:sz w:val="18"/>
          <w:szCs w:val="18"/>
          <w:i w:val="1"/>
          <w:iCs w:val="1"/>
          <w:color w:val="074A75"/>
        </w:rPr>
      </w:pPr>
    </w:p>
    <w:p>
      <w:pPr>
        <w:ind w:left="400" w:hanging="180"/>
        <w:spacing w:after="0"/>
        <w:tabs>
          <w:tab w:leader="none" w:pos="400" w:val="left"/>
        </w:tabs>
        <w:numPr>
          <w:ilvl w:val="0"/>
          <w:numId w:val="135"/>
        </w:numPr>
        <w:rPr>
          <w:rFonts w:ascii="Arial" w:cs="Arial" w:eastAsia="Arial" w:hAnsi="Arial"/>
          <w:sz w:val="18"/>
          <w:szCs w:val="18"/>
          <w:i w:val="1"/>
          <w:iCs w:val="1"/>
          <w:color w:val="074A75"/>
        </w:rPr>
      </w:pPr>
      <w:r>
        <w:rPr>
          <w:rFonts w:ascii="Arial" w:cs="Arial" w:eastAsia="Arial" w:hAnsi="Arial"/>
          <w:sz w:val="18"/>
          <w:szCs w:val="18"/>
          <w:i w:val="1"/>
          <w:iCs w:val="1"/>
          <w:color w:val="auto"/>
        </w:rPr>
        <w:t>ROTCE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CMDC also considers other relevant factors such as market practices in their overall assessment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283210</wp:posOffset>
            </wp:positionV>
            <wp:extent cx="2743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41  </w:t>
      </w:r>
      <w:r>
        <w:rPr>
          <w:sz w:val="1"/>
          <w:szCs w:val="1"/>
          <w:color w:val="auto"/>
        </w:rPr>
        <w:drawing>
          <wp:inline distT="0" distB="0" distL="0" distR="0">
            <wp:extent cx="2203450" cy="154305"/>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329565</wp:posOffset>
            </wp:positionV>
            <wp:extent cx="77470" cy="1454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329565</wp:posOffset>
            </wp:positionV>
            <wp:extent cx="76835" cy="1454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329565</wp:posOffset>
            </wp:positionV>
            <wp:extent cx="77470" cy="1454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Pay determination and pay mix</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074A75"/>
        </w:rPr>
        <w:t>EVALUATING MARKET PRACTICES</w:t>
      </w:r>
    </w:p>
    <w:p>
      <w:pPr>
        <w:spacing w:after="0" w:line="110" w:lineRule="exact"/>
        <w:rPr>
          <w:sz w:val="20"/>
          <w:szCs w:val="20"/>
          <w:color w:val="auto"/>
        </w:rPr>
      </w:pPr>
    </w:p>
    <w:p>
      <w:pPr>
        <w:jc w:val="both"/>
        <w:ind w:right="220"/>
        <w:spacing w:after="0" w:line="287" w:lineRule="auto"/>
        <w:rPr>
          <w:sz w:val="20"/>
          <w:szCs w:val="20"/>
          <w:color w:val="auto"/>
        </w:rPr>
      </w:pPr>
      <w:r>
        <w:rPr>
          <w:rFonts w:ascii="Arial" w:cs="Arial" w:eastAsia="Arial" w:hAnsi="Arial"/>
          <w:sz w:val="18"/>
          <w:szCs w:val="18"/>
          <w:color w:val="auto"/>
        </w:rPr>
        <w:t>In order to effectively attract, properly motivate and retain our senior executives, the CMDC periodically reviews market data relating to pay levels, pay mix and pay practices.</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evaluating market data for OC members, the CMDC benchmarks against our primary financial services peer group, which consists of large financial services companies with which the Firm directly competes for both talent and business. The following companies comprise our primary financial services peer group, which remains unchanged from last year: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American Express</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w w:val="98"/>
              </w:rPr>
              <w:t>Goldman Sachs</w:t>
            </w:r>
          </w:p>
        </w:tc>
      </w:tr>
      <w:tr>
        <w:trPr>
          <w:trHeight w:val="283"/>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Bank of America</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w w:val="99"/>
              </w:rPr>
              <w:t>Morgan Stanley</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Citigroup</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rPr>
              <w:t>Wells Fargo</w:t>
            </w:r>
          </w:p>
        </w:tc>
      </w:tr>
    </w:tbl>
    <w:p>
      <w:pPr>
        <w:spacing w:after="0" w:line="15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Given the diversity of the Firm’s businesses, the CMDC may also periodically reference the pay plans and practices of other financial services companies as well as leading large, global firms across multiple industries. The CMDC considers the size, presence, brand and reputation of the companies, and the nature and mix of their businesses in using this data. These companies include some or all of the following: 3M, Alphabet, Amazon, Apple, AT&amp;T, Barclays, BlackRock, BNY Mellon, Boeing, Capital One Financial, Chevron, Coca-Cola, Comcast, CVS Health, Deutsche Bank, ExxonMobil, General Electric, HSBC, IBM, Johnson &amp; Johnson, Merck, Meta, Microsoft, Oracle, PayPal, PepsiCo, Pfizer, Procter &amp; Gamble, Raytheon, UBS, Verizon, Walmart and Walt Disney. Although these reference companies are not part of our primary financial services peer group, we believe that their practices can provide a relevant point of reference for maintaining a competitive talent and compensation program.</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074A75"/>
        </w:rPr>
        <w:t>DISCIPLINED PROCESS TO DETERMINE TOTAL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74A75"/>
        </w:rPr>
        <w:t>Pay level</w:t>
      </w:r>
    </w:p>
    <w:p>
      <w:pPr>
        <w:spacing w:after="0" w:line="11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In determining total compensation levels for individual OC members, the CMDC evaluates various pay scenarios in light of the following considerations to inform their judgment:</w:t>
      </w:r>
    </w:p>
    <w:p>
      <w:pPr>
        <w:spacing w:after="0" w:line="59" w:lineRule="exact"/>
        <w:rPr>
          <w:sz w:val="20"/>
          <w:szCs w:val="20"/>
          <w:color w:val="auto"/>
        </w:rPr>
      </w:pPr>
    </w:p>
    <w:p>
      <w:pPr>
        <w:ind w:left="200" w:hanging="192"/>
        <w:spacing w:after="0"/>
        <w:tabs>
          <w:tab w:leader="none" w:pos="200" w:val="left"/>
        </w:tabs>
        <w:numPr>
          <w:ilvl w:val="0"/>
          <w:numId w:val="136"/>
        </w:numPr>
        <w:rPr>
          <w:rFonts w:ascii="Arial" w:cs="Arial" w:eastAsia="Arial" w:hAnsi="Arial"/>
          <w:sz w:val="18"/>
          <w:szCs w:val="18"/>
          <w:color w:val="074A75"/>
        </w:rPr>
      </w:pPr>
      <w:r>
        <w:rPr>
          <w:rFonts w:ascii="Arial" w:cs="Arial" w:eastAsia="Arial" w:hAnsi="Arial"/>
          <w:sz w:val="18"/>
          <w:szCs w:val="18"/>
          <w:color w:val="auto"/>
        </w:rPr>
        <w:t>Performance, based on the four broad assessment dimensions and discussed on pages 50-54</w:t>
      </w:r>
    </w:p>
    <w:p>
      <w:pPr>
        <w:spacing w:after="0" w:line="63" w:lineRule="exact"/>
        <w:rPr>
          <w:rFonts w:ascii="Arial" w:cs="Arial" w:eastAsia="Arial" w:hAnsi="Arial"/>
          <w:sz w:val="18"/>
          <w:szCs w:val="18"/>
          <w:color w:val="074A75"/>
        </w:rPr>
      </w:pPr>
    </w:p>
    <w:p>
      <w:pPr>
        <w:ind w:left="200" w:hanging="192"/>
        <w:spacing w:after="0"/>
        <w:tabs>
          <w:tab w:leader="none" w:pos="200" w:val="left"/>
        </w:tabs>
        <w:numPr>
          <w:ilvl w:val="0"/>
          <w:numId w:val="136"/>
        </w:numPr>
        <w:rPr>
          <w:rFonts w:ascii="Arial" w:cs="Arial" w:eastAsia="Arial" w:hAnsi="Arial"/>
          <w:sz w:val="18"/>
          <w:szCs w:val="18"/>
          <w:color w:val="074A75"/>
        </w:rPr>
      </w:pPr>
      <w:r>
        <w:rPr>
          <w:rFonts w:ascii="Arial" w:cs="Arial" w:eastAsia="Arial" w:hAnsi="Arial"/>
          <w:sz w:val="18"/>
          <w:szCs w:val="18"/>
          <w:color w:val="auto"/>
        </w:rPr>
        <w:t>Value of the position to the organization and shareholders over time (i.e., “value of seat”)</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36"/>
        </w:numPr>
        <w:rPr>
          <w:rFonts w:ascii="Arial" w:cs="Arial" w:eastAsia="Arial" w:hAnsi="Arial"/>
          <w:sz w:val="18"/>
          <w:szCs w:val="18"/>
          <w:color w:val="074A75"/>
        </w:rPr>
      </w:pPr>
      <w:r>
        <w:rPr>
          <w:rFonts w:ascii="Arial" w:cs="Arial" w:eastAsia="Arial" w:hAnsi="Arial"/>
          <w:sz w:val="18"/>
          <w:szCs w:val="18"/>
          <w:color w:val="auto"/>
        </w:rPr>
        <w:t>The example they set for others by acting with integrity and strengthening the Firm’s culture, Purpose and Values</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36"/>
        </w:numPr>
        <w:rPr>
          <w:rFonts w:ascii="Arial" w:cs="Arial" w:eastAsia="Arial" w:hAnsi="Arial"/>
          <w:sz w:val="18"/>
          <w:szCs w:val="18"/>
          <w:color w:val="074A75"/>
        </w:rPr>
      </w:pPr>
      <w:r>
        <w:rPr>
          <w:rFonts w:ascii="Arial" w:cs="Arial" w:eastAsia="Arial" w:hAnsi="Arial"/>
          <w:sz w:val="18"/>
          <w:szCs w:val="18"/>
          <w:color w:val="auto"/>
        </w:rPr>
        <w:t>External talent market (i.e., market data)</w:t>
      </w:r>
    </w:p>
    <w:p>
      <w:pPr>
        <w:spacing w:after="0" w:line="104"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While market data provides the CMDC with useful information regarding our competitors, the CMDC does not target specific positioning (e.g.,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nor does it use a formulaic approach in determining competitive pay levels. Instead, the CMDC uses a range of data as a reference, which is considered in the context of each executive’s performance over a multi-year period, and the CMDC’s assessment of the value the individual delivers to the Firm.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074A75"/>
        </w:rPr>
        <w:t>Pay mix</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Once the CMDC determines OC members’ total incentive compensation, it then establishes the appropriate pay mix between an annual cash award and long-term equity, including PSUs and RSUs.</w:t>
      </w:r>
    </w:p>
    <w:p>
      <w:pPr>
        <w:spacing w:after="0" w:line="31"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For U.S. OC members other than the current CEO and President &amp; COO, the CMDC continued to apply the Firm’s standard cash/equity incentive mix formula to each of their 2023 incentive compensation awards. Per the Firm’s formula, the OC members were awarded 60% of their incentive compensation in long-term equity (30% in PSUs and 30% in RSUs), with the remaining 40% paid in cash</w:t>
      </w:r>
      <w:r>
        <w:rPr>
          <w:rFonts w:ascii="Arial" w:cs="Arial" w:eastAsia="Arial" w:hAnsi="Arial"/>
          <w:sz w:val="23"/>
          <w:szCs w:val="23"/>
          <w:color w:val="auto"/>
          <w:vertAlign w:val="superscript"/>
        </w:rPr>
        <w:t>1</w:t>
      </w:r>
      <w:r>
        <w:rPr>
          <w:rFonts w:ascii="Arial" w:cs="Arial" w:eastAsia="Arial" w:hAnsi="Arial"/>
          <w:sz w:val="18"/>
          <w:szCs w:val="18"/>
          <w:color w:val="auto"/>
        </w:rPr>
        <w:t>. The CMDC determined that a 50%/50% mix of time-based RSUs and at-risk PSUs continues to provide an appropriate balance to their equity exposure.</w:t>
      </w:r>
    </w:p>
    <w:p>
      <w:pPr>
        <w:spacing w:after="0" w:line="72" w:lineRule="exact"/>
        <w:rPr>
          <w:sz w:val="20"/>
          <w:szCs w:val="20"/>
          <w:color w:val="auto"/>
        </w:rPr>
      </w:pPr>
    </w:p>
    <w:p>
      <w:pPr>
        <w:jc w:val="both"/>
        <w:ind w:right="600"/>
        <w:spacing w:after="0" w:line="261" w:lineRule="auto"/>
        <w:rPr>
          <w:sz w:val="20"/>
          <w:szCs w:val="20"/>
          <w:color w:val="auto"/>
        </w:rPr>
      </w:pPr>
      <w:r>
        <w:rPr>
          <w:rFonts w:ascii="Arial" w:cs="Arial" w:eastAsia="Arial" w:hAnsi="Arial"/>
          <w:sz w:val="18"/>
          <w:szCs w:val="18"/>
          <w:color w:val="auto"/>
        </w:rPr>
        <w:t>The CMDC believes that this significant weighting of pay mix to equity is aligned with the interests of shareholders by encouraging OC members to focus on the long-term success of the Firm while mitigating excessive risk-taking, and provides a competitive annual cash incentive opportunity.</w:t>
      </w:r>
    </w:p>
    <w:p>
      <w:pPr>
        <w:spacing w:after="0" w:line="5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Messrs. Dimon and Pinto's annual cash incentive awards are subject to a cap of 25% of their respective total compensation, with PSUs comprising 100% of the equity portion of their incentive compensation. The CMDC determined to not award the maximum amount allowed by their respective caps in 2023, but to maintain a lower cash award of $5 million each for both Messrs. Dimon and Pinto.</w:t>
      </w:r>
    </w:p>
    <w:p>
      <w:pPr>
        <w:spacing w:after="0" w:line="388" w:lineRule="exact"/>
        <w:rPr>
          <w:sz w:val="20"/>
          <w:szCs w:val="20"/>
          <w:color w:val="auto"/>
        </w:rPr>
      </w:pPr>
    </w:p>
    <w:p>
      <w:pPr>
        <w:ind w:left="200" w:hanging="192"/>
        <w:spacing w:after="0"/>
        <w:tabs>
          <w:tab w:leader="none" w:pos="200" w:val="left"/>
        </w:tabs>
        <w:numPr>
          <w:ilvl w:val="0"/>
          <w:numId w:val="137"/>
        </w:numPr>
        <w:rPr>
          <w:rFonts w:ascii="Arial" w:cs="Arial" w:eastAsia="Arial" w:hAnsi="Arial"/>
          <w:sz w:val="16"/>
          <w:szCs w:val="16"/>
          <w:color w:val="auto"/>
          <w:vertAlign w:val="superscript"/>
        </w:rPr>
      </w:pPr>
      <w:r>
        <w:rPr>
          <w:rFonts w:ascii="Arial" w:cs="Arial" w:eastAsia="Arial" w:hAnsi="Arial"/>
          <w:sz w:val="13"/>
          <w:szCs w:val="13"/>
          <w:color w:val="auto"/>
        </w:rPr>
        <w:t>The CMDC has established a different pay mix for OC members in the U.K. due to local regulations for Identified Staff.</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074A75"/>
        </w:rPr>
        <w:t>Summary of pay elements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Our compensation program provides for an appropriate mix between base salary, cash and equity incentives that vest over time. The table below summarizes the elements of compensation for the 2023 performance year.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19"/>
                <w:szCs w:val="19"/>
                <w:color w:val="auto"/>
              </w:rPr>
            </w:pPr>
          </w:p>
        </w:tc>
        <w:tc>
          <w:tcPr>
            <w:tcW w:w="580" w:type="dxa"/>
            <w:vAlign w:val="bottom"/>
            <w:tcBorders>
              <w:bottom w:val="single" w:sz="8" w:color="494949"/>
            </w:tcBorders>
          </w:tcPr>
          <w:p>
            <w:pPr>
              <w:spacing w:after="0"/>
              <w:rPr>
                <w:sz w:val="19"/>
                <w:szCs w:val="19"/>
                <w:color w:val="auto"/>
              </w:rPr>
            </w:pPr>
          </w:p>
        </w:tc>
        <w:tc>
          <w:tcPr>
            <w:tcW w:w="1000" w:type="dxa"/>
            <w:vAlign w:val="bottom"/>
            <w:tcBorders>
              <w:bottom w:val="single" w:sz="8" w:color="494949"/>
            </w:tcBorders>
            <w:gridSpan w:val="2"/>
          </w:tcPr>
          <w:p>
            <w:pPr>
              <w:jc w:val="center"/>
              <w:spacing w:after="0"/>
              <w:rPr>
                <w:sz w:val="20"/>
                <w:szCs w:val="20"/>
                <w:color w:val="auto"/>
              </w:rPr>
            </w:pPr>
            <w:r>
              <w:rPr>
                <w:rFonts w:ascii="Arial" w:cs="Arial" w:eastAsia="Arial" w:hAnsi="Arial"/>
                <w:sz w:val="16"/>
                <w:szCs w:val="16"/>
                <w:color w:val="auto"/>
              </w:rPr>
              <w:t>% of Variable</w:t>
            </w:r>
          </w:p>
        </w:tc>
        <w:tc>
          <w:tcPr>
            <w:tcW w:w="660" w:type="dxa"/>
            <w:vAlign w:val="bottom"/>
            <w:tcBorders>
              <w:bottom w:val="single" w:sz="8" w:color="494949"/>
            </w:tcBorders>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205A85"/>
              </w:rPr>
              <w:t>President&amp;</w:t>
            </w:r>
          </w:p>
        </w:tc>
        <w:tc>
          <w:tcPr>
            <w:tcW w:w="660" w:type="dxa"/>
            <w:vAlign w:val="bottom"/>
          </w:tcPr>
          <w:p>
            <w:pPr>
              <w:jc w:val="center"/>
              <w:spacing w:after="0"/>
              <w:rPr>
                <w:sz w:val="20"/>
                <w:szCs w:val="20"/>
                <w:color w:val="auto"/>
              </w:rPr>
            </w:pPr>
            <w:r>
              <w:rPr>
                <w:rFonts w:ascii="Arial" w:cs="Arial" w:eastAsia="Arial" w:hAnsi="Arial"/>
                <w:sz w:val="16"/>
                <w:szCs w:val="16"/>
                <w:color w:val="205A85"/>
              </w:rPr>
              <w:t>Other</w:t>
            </w: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205A85"/>
              </w:rPr>
              <w:t>Subject to</w:t>
            </w:r>
          </w:p>
        </w:tc>
        <w:tc>
          <w:tcPr>
            <w:tcW w:w="0" w:type="dxa"/>
            <w:vAlign w:val="bottom"/>
          </w:tcPr>
          <w:p>
            <w:pPr>
              <w:spacing w:after="0"/>
              <w:rPr>
                <w:sz w:val="1"/>
                <w:szCs w:val="1"/>
                <w:color w:val="auto"/>
              </w:rPr>
            </w:pPr>
          </w:p>
        </w:tc>
      </w:tr>
      <w:tr>
        <w:trPr>
          <w:trHeight w:val="244"/>
        </w:trPr>
        <w:tc>
          <w:tcPr>
            <w:tcW w:w="860" w:type="dxa"/>
            <w:vAlign w:val="bottom"/>
          </w:tcPr>
          <w:p>
            <w:pPr>
              <w:ind w:left="20"/>
              <w:spacing w:after="0"/>
              <w:rPr>
                <w:sz w:val="20"/>
                <w:szCs w:val="20"/>
                <w:color w:val="auto"/>
              </w:rPr>
            </w:pPr>
            <w:r>
              <w:rPr>
                <w:rFonts w:ascii="Arial" w:cs="Arial" w:eastAsia="Arial" w:hAnsi="Arial"/>
                <w:sz w:val="16"/>
                <w:szCs w:val="16"/>
                <w:color w:val="205A85"/>
              </w:rPr>
              <w:t>Elements</w:t>
            </w:r>
          </w:p>
        </w:tc>
        <w:tc>
          <w:tcPr>
            <w:tcW w:w="580" w:type="dxa"/>
            <w:vAlign w:val="bottom"/>
          </w:tcPr>
          <w:p>
            <w:pPr>
              <w:jc w:val="center"/>
              <w:spacing w:after="0"/>
              <w:rPr>
                <w:sz w:val="20"/>
                <w:szCs w:val="20"/>
                <w:color w:val="auto"/>
              </w:rPr>
            </w:pPr>
            <w:r>
              <w:rPr>
                <w:rFonts w:ascii="Arial" w:cs="Arial" w:eastAsia="Arial" w:hAnsi="Arial"/>
                <w:sz w:val="16"/>
                <w:szCs w:val="16"/>
                <w:color w:val="205A85"/>
              </w:rPr>
              <w:t>CEO</w:t>
            </w:r>
          </w:p>
        </w:tc>
        <w:tc>
          <w:tcPr>
            <w:tcW w:w="8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205A85"/>
              </w:rPr>
              <w:t>COO</w:t>
            </w:r>
          </w:p>
        </w:tc>
        <w:tc>
          <w:tcPr>
            <w:tcW w:w="660" w:type="dxa"/>
            <w:vAlign w:val="bottom"/>
          </w:tcPr>
          <w:p>
            <w:pPr>
              <w:jc w:val="center"/>
              <w:spacing w:after="0"/>
              <w:rPr>
                <w:sz w:val="20"/>
                <w:szCs w:val="20"/>
                <w:color w:val="auto"/>
              </w:rPr>
            </w:pPr>
            <w:r>
              <w:rPr>
                <w:rFonts w:ascii="Arial" w:cs="Arial" w:eastAsia="Arial" w:hAnsi="Arial"/>
                <w:sz w:val="16"/>
                <w:szCs w:val="16"/>
                <w:color w:val="205A85"/>
                <w:w w:val="98"/>
              </w:rPr>
              <w:t>NEOs</w:t>
            </w:r>
          </w:p>
        </w:tc>
        <w:tc>
          <w:tcPr>
            <w:tcW w:w="4860" w:type="dxa"/>
            <w:vAlign w:val="bottom"/>
          </w:tcPr>
          <w:p>
            <w:pPr>
              <w:ind w:left="2000"/>
              <w:spacing w:after="0"/>
              <w:rPr>
                <w:sz w:val="20"/>
                <w:szCs w:val="20"/>
                <w:color w:val="auto"/>
              </w:rPr>
            </w:pPr>
            <w:r>
              <w:rPr>
                <w:rFonts w:ascii="Arial" w:cs="Arial" w:eastAsia="Arial" w:hAnsi="Arial"/>
                <w:sz w:val="16"/>
                <w:szCs w:val="16"/>
                <w:color w:val="205A85"/>
              </w:rPr>
              <w:t>Description</w:t>
            </w:r>
          </w:p>
        </w:tc>
        <w:tc>
          <w:tcPr>
            <w:tcW w:w="120" w:type="dxa"/>
            <w:vAlign w:val="bottom"/>
          </w:tcPr>
          <w:p>
            <w:pPr>
              <w:spacing w:after="0"/>
              <w:rPr>
                <w:sz w:val="21"/>
                <w:szCs w:val="21"/>
                <w:color w:val="auto"/>
              </w:rPr>
            </w:pPr>
          </w:p>
        </w:tc>
        <w:tc>
          <w:tcPr>
            <w:tcW w:w="2140" w:type="dxa"/>
            <w:vAlign w:val="bottom"/>
          </w:tcPr>
          <w:p>
            <w:pPr>
              <w:ind w:left="460"/>
              <w:spacing w:after="0"/>
              <w:rPr>
                <w:sz w:val="20"/>
                <w:szCs w:val="20"/>
                <w:color w:val="auto"/>
              </w:rPr>
            </w:pPr>
            <w:r>
              <w:rPr>
                <w:rFonts w:ascii="Arial" w:cs="Arial" w:eastAsia="Arial" w:hAnsi="Arial"/>
                <w:sz w:val="16"/>
                <w:szCs w:val="16"/>
                <w:color w:val="205A85"/>
              </w:rPr>
              <w:t>Vesting Period</w:t>
            </w:r>
          </w:p>
        </w:tc>
        <w:tc>
          <w:tcPr>
            <w:tcW w:w="1020" w:type="dxa"/>
            <w:vAlign w:val="bottom"/>
          </w:tcPr>
          <w:p>
            <w:pPr>
              <w:ind w:left="120"/>
              <w:spacing w:after="0"/>
              <w:rPr>
                <w:sz w:val="20"/>
                <w:szCs w:val="20"/>
                <w:color w:val="auto"/>
              </w:rPr>
            </w:pPr>
            <w:r>
              <w:rPr>
                <w:rFonts w:ascii="Arial" w:cs="Arial" w:eastAsia="Arial" w:hAnsi="Arial"/>
                <w:sz w:val="16"/>
                <w:szCs w:val="16"/>
                <w:color w:val="205A85"/>
              </w:rPr>
              <w:t>Clawback</w:t>
            </w:r>
            <w:r>
              <w:rPr>
                <w:rFonts w:ascii="Arial" w:cs="Arial" w:eastAsia="Arial" w:hAnsi="Arial"/>
                <w:sz w:val="21"/>
                <w:szCs w:val="21"/>
                <w:color w:val="205A85"/>
                <w:vertAlign w:val="superscript"/>
              </w:rPr>
              <w:t>1</w:t>
            </w:r>
          </w:p>
        </w:tc>
        <w:tc>
          <w:tcPr>
            <w:tcW w:w="0" w:type="dxa"/>
            <w:vAlign w:val="bottom"/>
          </w:tcPr>
          <w:p>
            <w:pPr>
              <w:spacing w:after="0"/>
              <w:rPr>
                <w:sz w:val="1"/>
                <w:szCs w:val="1"/>
                <w:color w:val="auto"/>
              </w:rPr>
            </w:pPr>
          </w:p>
        </w:tc>
      </w:tr>
      <w:tr>
        <w:trPr>
          <w:trHeight w:val="243"/>
        </w:trPr>
        <w:tc>
          <w:tcPr>
            <w:tcW w:w="860" w:type="dxa"/>
            <w:vAlign w:val="bottom"/>
            <w:tcBorders>
              <w:right w:val="single" w:sz="8" w:color="074A75"/>
            </w:tcBorders>
            <w:shd w:val="clear" w:color="auto" w:fill="074A75"/>
          </w:tcPr>
          <w:p>
            <w:pPr>
              <w:ind w:left="20"/>
              <w:spacing w:after="0"/>
              <w:rPr>
                <w:sz w:val="20"/>
                <w:szCs w:val="20"/>
                <w:color w:val="auto"/>
              </w:rPr>
            </w:pPr>
            <w:r>
              <w:rPr>
                <w:rFonts w:ascii="Arial" w:cs="Arial" w:eastAsia="Arial" w:hAnsi="Arial"/>
                <w:sz w:val="16"/>
                <w:szCs w:val="16"/>
                <w:b w:val="1"/>
                <w:bCs w:val="1"/>
                <w:color w:val="FFFFFF"/>
              </w:rPr>
              <w:t>Fixed</w:t>
            </w:r>
          </w:p>
        </w:tc>
        <w:tc>
          <w:tcPr>
            <w:tcW w:w="580" w:type="dxa"/>
            <w:vAlign w:val="bottom"/>
            <w:shd w:val="clear" w:color="auto" w:fill="074A75"/>
          </w:tcPr>
          <w:p>
            <w:pPr>
              <w:spacing w:after="0"/>
              <w:rPr>
                <w:sz w:val="21"/>
                <w:szCs w:val="21"/>
                <w:color w:val="auto"/>
              </w:rPr>
            </w:pPr>
          </w:p>
        </w:tc>
        <w:tc>
          <w:tcPr>
            <w:tcW w:w="80" w:type="dxa"/>
            <w:vAlign w:val="bottom"/>
            <w:tcBorders>
              <w:right w:val="single" w:sz="8" w:color="074A75"/>
            </w:tcBorders>
            <w:shd w:val="clear" w:color="auto" w:fill="074A75"/>
          </w:tcPr>
          <w:p>
            <w:pPr>
              <w:spacing w:after="0"/>
              <w:rPr>
                <w:sz w:val="21"/>
                <w:szCs w:val="21"/>
                <w:color w:val="auto"/>
              </w:rPr>
            </w:pPr>
          </w:p>
        </w:tc>
        <w:tc>
          <w:tcPr>
            <w:tcW w:w="920" w:type="dxa"/>
            <w:vAlign w:val="bottom"/>
            <w:tcBorders>
              <w:right w:val="single" w:sz="8" w:color="074A75"/>
            </w:tcBorders>
            <w:shd w:val="clear" w:color="auto" w:fill="074A75"/>
          </w:tcPr>
          <w:p>
            <w:pPr>
              <w:spacing w:after="0"/>
              <w:rPr>
                <w:sz w:val="21"/>
                <w:szCs w:val="21"/>
                <w:color w:val="auto"/>
              </w:rPr>
            </w:pPr>
          </w:p>
        </w:tc>
        <w:tc>
          <w:tcPr>
            <w:tcW w:w="660" w:type="dxa"/>
            <w:vAlign w:val="bottom"/>
            <w:tcBorders>
              <w:right w:val="single" w:sz="8" w:color="074A75"/>
            </w:tcBorders>
            <w:shd w:val="clear" w:color="auto" w:fill="074A75"/>
          </w:tcPr>
          <w:p>
            <w:pPr>
              <w:spacing w:after="0"/>
              <w:rPr>
                <w:sz w:val="21"/>
                <w:szCs w:val="21"/>
                <w:color w:val="auto"/>
              </w:rPr>
            </w:pPr>
          </w:p>
        </w:tc>
        <w:tc>
          <w:tcPr>
            <w:tcW w:w="4860" w:type="dxa"/>
            <w:vAlign w:val="bottom"/>
            <w:tcBorders>
              <w:right w:val="single" w:sz="8" w:color="074A75"/>
            </w:tcBorders>
            <w:shd w:val="clear" w:color="auto" w:fill="074A75"/>
          </w:tcPr>
          <w:p>
            <w:pPr>
              <w:spacing w:after="0"/>
              <w:rPr>
                <w:sz w:val="21"/>
                <w:szCs w:val="21"/>
                <w:color w:val="auto"/>
              </w:rPr>
            </w:pPr>
          </w:p>
        </w:tc>
        <w:tc>
          <w:tcPr>
            <w:tcW w:w="120" w:type="dxa"/>
            <w:vAlign w:val="bottom"/>
            <w:shd w:val="clear" w:color="auto" w:fill="074A75"/>
          </w:tcPr>
          <w:p>
            <w:pPr>
              <w:spacing w:after="0"/>
              <w:rPr>
                <w:sz w:val="21"/>
                <w:szCs w:val="21"/>
                <w:color w:val="auto"/>
              </w:rPr>
            </w:pPr>
          </w:p>
        </w:tc>
        <w:tc>
          <w:tcPr>
            <w:tcW w:w="2140" w:type="dxa"/>
            <w:vAlign w:val="bottom"/>
            <w:tcBorders>
              <w:right w:val="single" w:sz="8" w:color="074A75"/>
            </w:tcBorders>
            <w:shd w:val="clear" w:color="auto" w:fill="074A75"/>
          </w:tcPr>
          <w:p>
            <w:pPr>
              <w:spacing w:after="0"/>
              <w:rPr>
                <w:sz w:val="21"/>
                <w:szCs w:val="21"/>
                <w:color w:val="auto"/>
              </w:rPr>
            </w:pPr>
          </w:p>
        </w:tc>
        <w:tc>
          <w:tcPr>
            <w:tcW w:w="1020" w:type="dxa"/>
            <w:vAlign w:val="bottom"/>
            <w:shd w:val="clear" w:color="auto" w:fill="074A75"/>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Salary</w:t>
            </w:r>
          </w:p>
        </w:tc>
        <w:tc>
          <w:tcPr>
            <w:tcW w:w="580" w:type="dxa"/>
            <w:vAlign w:val="bottom"/>
          </w:tcPr>
          <w:p>
            <w:pPr>
              <w:jc w:val="center"/>
              <w:spacing w:after="0"/>
              <w:rPr>
                <w:sz w:val="20"/>
                <w:szCs w:val="20"/>
                <w:color w:val="auto"/>
              </w:rPr>
            </w:pPr>
            <w:r>
              <w:rPr>
                <w:rFonts w:ascii="Arial" w:cs="Arial" w:eastAsia="Arial" w:hAnsi="Arial"/>
                <w:sz w:val="16"/>
                <w:szCs w:val="16"/>
                <w:color w:val="auto"/>
              </w:rPr>
              <w:t>N/A</w:t>
            </w:r>
          </w:p>
        </w:tc>
        <w:tc>
          <w:tcPr>
            <w:tcW w:w="80" w:type="dxa"/>
            <w:vAlign w:val="bottom"/>
            <w:tcBorders>
              <w:right w:val="single" w:sz="8" w:color="494949"/>
            </w:tcBorders>
          </w:tcPr>
          <w:p>
            <w:pPr>
              <w:spacing w:after="0"/>
              <w:rPr>
                <w:sz w:val="17"/>
                <w:szCs w:val="17"/>
                <w:color w:val="auto"/>
              </w:rPr>
            </w:pPr>
          </w:p>
        </w:tc>
        <w:tc>
          <w:tcPr>
            <w:tcW w:w="92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7"/>
              </w:rPr>
              <w:t>N/A</w:t>
            </w:r>
          </w:p>
        </w:tc>
        <w:tc>
          <w:tcPr>
            <w:tcW w:w="6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rPr>
              <w:t>N/A</w:t>
            </w: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Fixed portion of total pay that enables us to attract and retain</w:t>
            </w:r>
          </w:p>
        </w:tc>
        <w:tc>
          <w:tcPr>
            <w:tcW w:w="120" w:type="dxa"/>
            <w:vAlign w:val="bottom"/>
          </w:tcPr>
          <w:p>
            <w:pPr>
              <w:spacing w:after="0"/>
              <w:rPr>
                <w:sz w:val="20"/>
                <w:szCs w:val="20"/>
                <w:color w:val="auto"/>
              </w:rPr>
            </w:pPr>
            <w:r>
              <w:rPr>
                <w:rFonts w:ascii="Arial" w:cs="Arial" w:eastAsia="Arial" w:hAnsi="Arial"/>
                <w:sz w:val="16"/>
                <w:szCs w:val="16"/>
                <w:color w:val="205A85"/>
              </w:rPr>
              <w:t>•</w:t>
            </w:r>
          </w:p>
        </w:tc>
        <w:tc>
          <w:tcPr>
            <w:tcW w:w="214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auto"/>
              </w:rPr>
              <w:t>N/A</w:t>
            </w:r>
          </w:p>
        </w:tc>
        <w:tc>
          <w:tcPr>
            <w:tcW w:w="1020" w:type="dxa"/>
            <w:vAlign w:val="bottom"/>
          </w:tcPr>
          <w:p>
            <w:pPr>
              <w:ind w:left="20"/>
              <w:spacing w:after="0"/>
              <w:rPr>
                <w:sz w:val="20"/>
                <w:szCs w:val="20"/>
                <w:color w:val="auto"/>
              </w:rPr>
            </w:pPr>
            <w:r>
              <w:rPr>
                <w:rFonts w:ascii="Arial" w:cs="Arial" w:eastAsia="Arial" w:hAnsi="Arial"/>
                <w:sz w:val="16"/>
                <w:szCs w:val="16"/>
                <w:color w:val="205A85"/>
              </w:rPr>
              <w:t xml:space="preserve">•  </w:t>
            </w:r>
            <w:r>
              <w:rPr>
                <w:rFonts w:ascii="Arial" w:cs="Arial" w:eastAsia="Arial" w:hAnsi="Arial"/>
                <w:sz w:val="16"/>
                <w:szCs w:val="16"/>
                <w:color w:val="000000"/>
              </w:rPr>
              <w:t>N/A</w:t>
            </w:r>
          </w:p>
        </w:tc>
        <w:tc>
          <w:tcPr>
            <w:tcW w:w="0" w:type="dxa"/>
            <w:vAlign w:val="bottom"/>
          </w:tcPr>
          <w:p>
            <w:pPr>
              <w:spacing w:after="0"/>
              <w:rPr>
                <w:sz w:val="1"/>
                <w:szCs w:val="1"/>
                <w:color w:val="auto"/>
              </w:rPr>
            </w:pPr>
          </w:p>
        </w:tc>
      </w:tr>
      <w:tr>
        <w:trPr>
          <w:trHeight w:val="215"/>
        </w:trPr>
        <w:tc>
          <w:tcPr>
            <w:tcW w:w="860" w:type="dxa"/>
            <w:vAlign w:val="bottom"/>
            <w:tcBorders>
              <w:right w:val="single" w:sz="8" w:color="494949"/>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right w:val="single" w:sz="8" w:color="494949"/>
            </w:tcBorders>
          </w:tcPr>
          <w:p>
            <w:pPr>
              <w:spacing w:after="0"/>
              <w:rPr>
                <w:sz w:val="18"/>
                <w:szCs w:val="18"/>
                <w:color w:val="auto"/>
              </w:rPr>
            </w:pPr>
          </w:p>
        </w:tc>
        <w:tc>
          <w:tcPr>
            <w:tcW w:w="920" w:type="dxa"/>
            <w:vAlign w:val="bottom"/>
            <w:tcBorders>
              <w:right w:val="single" w:sz="8" w:color="494949"/>
            </w:tcBorders>
          </w:tcPr>
          <w:p>
            <w:pPr>
              <w:spacing w:after="0"/>
              <w:rPr>
                <w:sz w:val="18"/>
                <w:szCs w:val="18"/>
                <w:color w:val="auto"/>
              </w:rPr>
            </w:pPr>
          </w:p>
        </w:tc>
        <w:tc>
          <w:tcPr>
            <w:tcW w:w="660" w:type="dxa"/>
            <w:vAlign w:val="bottom"/>
            <w:tcBorders>
              <w:right w:val="single" w:sz="8" w:color="494949"/>
            </w:tcBorders>
          </w:tcPr>
          <w:p>
            <w:pPr>
              <w:spacing w:after="0"/>
              <w:rPr>
                <w:sz w:val="18"/>
                <w:szCs w:val="18"/>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talent</w:t>
            </w:r>
          </w:p>
        </w:tc>
        <w:tc>
          <w:tcPr>
            <w:tcW w:w="120" w:type="dxa"/>
            <w:vAlign w:val="bottom"/>
          </w:tcPr>
          <w:p>
            <w:pPr>
              <w:spacing w:after="0"/>
              <w:rPr>
                <w:sz w:val="18"/>
                <w:szCs w:val="18"/>
                <w:color w:val="auto"/>
              </w:rPr>
            </w:pPr>
          </w:p>
        </w:tc>
        <w:tc>
          <w:tcPr>
            <w:tcW w:w="2140" w:type="dxa"/>
            <w:vAlign w:val="bottom"/>
            <w:tcBorders>
              <w:right w:val="single" w:sz="8" w:color="494949"/>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860" w:type="dxa"/>
            <w:vAlign w:val="bottom"/>
            <w:tcBorders>
              <w:right w:val="single" w:sz="8" w:color="494949"/>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right w:val="single" w:sz="8" w:color="494949"/>
            </w:tcBorders>
          </w:tcPr>
          <w:p>
            <w:pPr>
              <w:spacing w:after="0"/>
              <w:rPr>
                <w:sz w:val="24"/>
                <w:szCs w:val="24"/>
                <w:color w:val="auto"/>
              </w:rPr>
            </w:pPr>
          </w:p>
        </w:tc>
        <w:tc>
          <w:tcPr>
            <w:tcW w:w="920" w:type="dxa"/>
            <w:vAlign w:val="bottom"/>
            <w:tcBorders>
              <w:right w:val="single" w:sz="8" w:color="494949"/>
            </w:tcBorders>
          </w:tcPr>
          <w:p>
            <w:pPr>
              <w:spacing w:after="0"/>
              <w:rPr>
                <w:sz w:val="24"/>
                <w:szCs w:val="24"/>
                <w:color w:val="auto"/>
              </w:rPr>
            </w:pPr>
          </w:p>
        </w:tc>
        <w:tc>
          <w:tcPr>
            <w:tcW w:w="660" w:type="dxa"/>
            <w:vAlign w:val="bottom"/>
            <w:tcBorders>
              <w:right w:val="single" w:sz="8" w:color="494949"/>
            </w:tcBorders>
          </w:tcPr>
          <w:p>
            <w:pPr>
              <w:spacing w:after="0"/>
              <w:rPr>
                <w:sz w:val="24"/>
                <w:szCs w:val="24"/>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Only fixed source of cash compensation</w:t>
            </w:r>
          </w:p>
        </w:tc>
        <w:tc>
          <w:tcPr>
            <w:tcW w:w="120" w:type="dxa"/>
            <w:vAlign w:val="bottom"/>
          </w:tcPr>
          <w:p>
            <w:pPr>
              <w:spacing w:after="0"/>
              <w:rPr>
                <w:sz w:val="24"/>
                <w:szCs w:val="24"/>
                <w:color w:val="auto"/>
              </w:rPr>
            </w:pPr>
          </w:p>
        </w:tc>
        <w:tc>
          <w:tcPr>
            <w:tcW w:w="2140" w:type="dxa"/>
            <w:vAlign w:val="bottom"/>
            <w:tcBorders>
              <w:right w:val="single" w:sz="8" w:color="494949"/>
            </w:tcBorders>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tcBorders>
              <w:right w:val="single" w:sz="8" w:color="074A75"/>
            </w:tcBorders>
            <w:shd w:val="clear" w:color="auto" w:fill="074A75"/>
          </w:tcPr>
          <w:p>
            <w:pPr>
              <w:ind w:left="20"/>
              <w:spacing w:after="0"/>
              <w:rPr>
                <w:sz w:val="20"/>
                <w:szCs w:val="20"/>
                <w:color w:val="auto"/>
              </w:rPr>
            </w:pPr>
            <w:r>
              <w:rPr>
                <w:rFonts w:ascii="Arial" w:cs="Arial" w:eastAsia="Arial" w:hAnsi="Arial"/>
                <w:sz w:val="16"/>
                <w:szCs w:val="16"/>
                <w:b w:val="1"/>
                <w:bCs w:val="1"/>
                <w:color w:val="FFFFFF"/>
              </w:rPr>
              <w:t>Variable</w:t>
            </w:r>
          </w:p>
        </w:tc>
        <w:tc>
          <w:tcPr>
            <w:tcW w:w="580" w:type="dxa"/>
            <w:vAlign w:val="bottom"/>
            <w:shd w:val="clear" w:color="auto" w:fill="074A75"/>
          </w:tcPr>
          <w:p>
            <w:pPr>
              <w:spacing w:after="0"/>
              <w:rPr>
                <w:sz w:val="21"/>
                <w:szCs w:val="21"/>
                <w:color w:val="auto"/>
              </w:rPr>
            </w:pPr>
          </w:p>
        </w:tc>
        <w:tc>
          <w:tcPr>
            <w:tcW w:w="80" w:type="dxa"/>
            <w:vAlign w:val="bottom"/>
            <w:tcBorders>
              <w:right w:val="single" w:sz="8" w:color="074A75"/>
            </w:tcBorders>
            <w:shd w:val="clear" w:color="auto" w:fill="074A75"/>
          </w:tcPr>
          <w:p>
            <w:pPr>
              <w:spacing w:after="0"/>
              <w:rPr>
                <w:sz w:val="21"/>
                <w:szCs w:val="21"/>
                <w:color w:val="auto"/>
              </w:rPr>
            </w:pPr>
          </w:p>
        </w:tc>
        <w:tc>
          <w:tcPr>
            <w:tcW w:w="920" w:type="dxa"/>
            <w:vAlign w:val="bottom"/>
            <w:tcBorders>
              <w:right w:val="single" w:sz="8" w:color="074A75"/>
            </w:tcBorders>
            <w:shd w:val="clear" w:color="auto" w:fill="074A75"/>
          </w:tcPr>
          <w:p>
            <w:pPr>
              <w:spacing w:after="0"/>
              <w:rPr>
                <w:sz w:val="21"/>
                <w:szCs w:val="21"/>
                <w:color w:val="auto"/>
              </w:rPr>
            </w:pPr>
          </w:p>
        </w:tc>
        <w:tc>
          <w:tcPr>
            <w:tcW w:w="660" w:type="dxa"/>
            <w:vAlign w:val="bottom"/>
            <w:tcBorders>
              <w:right w:val="single" w:sz="8" w:color="074A75"/>
            </w:tcBorders>
            <w:shd w:val="clear" w:color="auto" w:fill="074A75"/>
          </w:tcPr>
          <w:p>
            <w:pPr>
              <w:spacing w:after="0"/>
              <w:rPr>
                <w:sz w:val="21"/>
                <w:szCs w:val="21"/>
                <w:color w:val="auto"/>
              </w:rPr>
            </w:pPr>
          </w:p>
        </w:tc>
        <w:tc>
          <w:tcPr>
            <w:tcW w:w="4860" w:type="dxa"/>
            <w:vAlign w:val="bottom"/>
            <w:tcBorders>
              <w:right w:val="single" w:sz="8" w:color="074A75"/>
            </w:tcBorders>
            <w:shd w:val="clear" w:color="auto" w:fill="074A75"/>
          </w:tcPr>
          <w:p>
            <w:pPr>
              <w:spacing w:after="0"/>
              <w:rPr>
                <w:sz w:val="21"/>
                <w:szCs w:val="21"/>
                <w:color w:val="auto"/>
              </w:rPr>
            </w:pPr>
          </w:p>
        </w:tc>
        <w:tc>
          <w:tcPr>
            <w:tcW w:w="120" w:type="dxa"/>
            <w:vAlign w:val="bottom"/>
            <w:shd w:val="clear" w:color="auto" w:fill="074A75"/>
          </w:tcPr>
          <w:p>
            <w:pPr>
              <w:spacing w:after="0"/>
              <w:rPr>
                <w:sz w:val="21"/>
                <w:szCs w:val="21"/>
                <w:color w:val="auto"/>
              </w:rPr>
            </w:pPr>
          </w:p>
        </w:tc>
        <w:tc>
          <w:tcPr>
            <w:tcW w:w="2140" w:type="dxa"/>
            <w:vAlign w:val="bottom"/>
            <w:tcBorders>
              <w:right w:val="single" w:sz="8" w:color="074A75"/>
            </w:tcBorders>
            <w:shd w:val="clear" w:color="auto" w:fill="074A75"/>
          </w:tcPr>
          <w:p>
            <w:pPr>
              <w:spacing w:after="0"/>
              <w:rPr>
                <w:sz w:val="21"/>
                <w:szCs w:val="21"/>
                <w:color w:val="auto"/>
              </w:rPr>
            </w:pPr>
          </w:p>
        </w:tc>
        <w:tc>
          <w:tcPr>
            <w:tcW w:w="1020" w:type="dxa"/>
            <w:vAlign w:val="bottom"/>
            <w:tcBorders>
              <w:bottom w:val="single" w:sz="8" w:color="494949"/>
            </w:tcBorders>
            <w:shd w:val="clear" w:color="auto" w:fill="074A75"/>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860" w:type="dxa"/>
            <w:vAlign w:val="bottom"/>
            <w:tcBorders>
              <w:right w:val="single" w:sz="8" w:color="494949"/>
            </w:tcBorders>
          </w:tcPr>
          <w:p>
            <w:pPr>
              <w:ind w:left="20"/>
              <w:spacing w:after="0" w:line="182" w:lineRule="exact"/>
              <w:rPr>
                <w:sz w:val="20"/>
                <w:szCs w:val="20"/>
                <w:color w:val="auto"/>
              </w:rPr>
            </w:pPr>
            <w:r>
              <w:rPr>
                <w:rFonts w:ascii="Arial" w:cs="Arial" w:eastAsia="Arial" w:hAnsi="Arial"/>
                <w:sz w:val="16"/>
                <w:szCs w:val="16"/>
                <w:b w:val="1"/>
                <w:bCs w:val="1"/>
                <w:color w:val="auto"/>
              </w:rPr>
              <w:t>Cash</w:t>
            </w:r>
          </w:p>
        </w:tc>
        <w:tc>
          <w:tcPr>
            <w:tcW w:w="580" w:type="dxa"/>
            <w:vAlign w:val="bottom"/>
          </w:tcPr>
          <w:p>
            <w:pPr>
              <w:jc w:val="center"/>
              <w:spacing w:after="0" w:line="182" w:lineRule="exact"/>
              <w:rPr>
                <w:sz w:val="20"/>
                <w:szCs w:val="20"/>
                <w:color w:val="auto"/>
              </w:rPr>
            </w:pPr>
            <w:r>
              <w:rPr>
                <w:rFonts w:ascii="Arial" w:cs="Arial" w:eastAsia="Arial" w:hAnsi="Arial"/>
                <w:sz w:val="16"/>
                <w:szCs w:val="16"/>
                <w:color w:val="auto"/>
              </w:rPr>
              <w:t>~14%</w:t>
            </w:r>
          </w:p>
        </w:tc>
        <w:tc>
          <w:tcPr>
            <w:tcW w:w="80" w:type="dxa"/>
            <w:vAlign w:val="bottom"/>
            <w:tcBorders>
              <w:right w:val="single" w:sz="8" w:color="494949"/>
            </w:tcBorders>
          </w:tcPr>
          <w:p>
            <w:pPr>
              <w:spacing w:after="0"/>
              <w:rPr>
                <w:sz w:val="15"/>
                <w:szCs w:val="15"/>
                <w:color w:val="auto"/>
              </w:rPr>
            </w:pPr>
          </w:p>
        </w:tc>
        <w:tc>
          <w:tcPr>
            <w:tcW w:w="920" w:type="dxa"/>
            <w:vAlign w:val="bottom"/>
            <w:tcBorders>
              <w:right w:val="single" w:sz="8" w:color="494949"/>
            </w:tcBorders>
          </w:tcPr>
          <w:p>
            <w:pPr>
              <w:jc w:val="center"/>
              <w:spacing w:after="0" w:line="182" w:lineRule="exact"/>
              <w:rPr>
                <w:sz w:val="20"/>
                <w:szCs w:val="20"/>
                <w:color w:val="auto"/>
              </w:rPr>
            </w:pPr>
            <w:r>
              <w:rPr>
                <w:rFonts w:ascii="Arial" w:cs="Arial" w:eastAsia="Arial" w:hAnsi="Arial"/>
                <w:sz w:val="16"/>
                <w:szCs w:val="16"/>
                <w:color w:val="auto"/>
              </w:rPr>
              <w:t>~18%</w:t>
            </w:r>
          </w:p>
        </w:tc>
        <w:tc>
          <w:tcPr>
            <w:tcW w:w="660" w:type="dxa"/>
            <w:vAlign w:val="bottom"/>
            <w:tcBorders>
              <w:right w:val="single" w:sz="8" w:color="494949"/>
            </w:tcBorders>
          </w:tcPr>
          <w:p>
            <w:pPr>
              <w:jc w:val="center"/>
              <w:spacing w:after="0" w:line="182" w:lineRule="exact"/>
              <w:rPr>
                <w:sz w:val="20"/>
                <w:szCs w:val="20"/>
                <w:color w:val="auto"/>
              </w:rPr>
            </w:pPr>
            <w:r>
              <w:rPr>
                <w:rFonts w:ascii="Arial" w:cs="Arial" w:eastAsia="Arial" w:hAnsi="Arial"/>
                <w:sz w:val="16"/>
                <w:szCs w:val="16"/>
                <w:color w:val="auto"/>
                <w:w w:val="99"/>
              </w:rPr>
              <w:t>40%</w:t>
            </w:r>
          </w:p>
        </w:tc>
        <w:tc>
          <w:tcPr>
            <w:tcW w:w="4860" w:type="dxa"/>
            <w:vAlign w:val="bottom"/>
            <w:tcBorders>
              <w:right w:val="single" w:sz="8" w:color="494949"/>
            </w:tcBorders>
          </w:tcPr>
          <w:p>
            <w:pPr>
              <w:ind w:left="80"/>
              <w:spacing w:after="0" w:line="182" w:lineRule="exact"/>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Provides a competitive annual cash award opportunity</w:t>
            </w:r>
          </w:p>
        </w:tc>
        <w:tc>
          <w:tcPr>
            <w:tcW w:w="120" w:type="dxa"/>
            <w:vAlign w:val="bottom"/>
          </w:tcPr>
          <w:p>
            <w:pPr>
              <w:spacing w:after="0" w:line="182" w:lineRule="exact"/>
              <w:rPr>
                <w:sz w:val="20"/>
                <w:szCs w:val="20"/>
                <w:color w:val="auto"/>
              </w:rPr>
            </w:pPr>
            <w:r>
              <w:rPr>
                <w:rFonts w:ascii="Arial" w:cs="Arial" w:eastAsia="Arial" w:hAnsi="Arial"/>
                <w:sz w:val="16"/>
                <w:szCs w:val="16"/>
                <w:color w:val="205A85"/>
              </w:rPr>
              <w:t>•</w:t>
            </w:r>
          </w:p>
        </w:tc>
        <w:tc>
          <w:tcPr>
            <w:tcW w:w="2140" w:type="dxa"/>
            <w:vAlign w:val="bottom"/>
            <w:tcBorders>
              <w:right w:val="single" w:sz="8" w:color="494949"/>
            </w:tcBorders>
          </w:tcPr>
          <w:p>
            <w:pPr>
              <w:ind w:left="80"/>
              <w:spacing w:after="0" w:line="182" w:lineRule="exact"/>
              <w:rPr>
                <w:sz w:val="20"/>
                <w:szCs w:val="20"/>
                <w:color w:val="auto"/>
              </w:rPr>
            </w:pPr>
            <w:r>
              <w:rPr>
                <w:rFonts w:ascii="Arial" w:cs="Arial" w:eastAsia="Arial" w:hAnsi="Arial"/>
                <w:sz w:val="16"/>
                <w:szCs w:val="16"/>
                <w:color w:val="auto"/>
              </w:rPr>
              <w:t>Immediately vested</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6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Award</w:t>
            </w:r>
          </w:p>
        </w:tc>
        <w:tc>
          <w:tcPr>
            <w:tcW w:w="580" w:type="dxa"/>
            <w:vAlign w:val="bottom"/>
          </w:tcPr>
          <w:p>
            <w:pPr>
              <w:spacing w:after="0"/>
              <w:rPr>
                <w:sz w:val="19"/>
                <w:szCs w:val="19"/>
                <w:color w:val="auto"/>
              </w:rPr>
            </w:pPr>
          </w:p>
        </w:tc>
        <w:tc>
          <w:tcPr>
            <w:tcW w:w="80" w:type="dxa"/>
            <w:vAlign w:val="bottom"/>
            <w:tcBorders>
              <w:right w:val="single" w:sz="8" w:color="494949"/>
            </w:tcBorders>
          </w:tcPr>
          <w:p>
            <w:pPr>
              <w:spacing w:after="0"/>
              <w:rPr>
                <w:sz w:val="19"/>
                <w:szCs w:val="19"/>
                <w:color w:val="auto"/>
              </w:rPr>
            </w:pPr>
          </w:p>
        </w:tc>
        <w:tc>
          <w:tcPr>
            <w:tcW w:w="920" w:type="dxa"/>
            <w:vAlign w:val="bottom"/>
            <w:tcBorders>
              <w:right w:val="single" w:sz="8" w:color="494949"/>
            </w:tcBorders>
          </w:tcPr>
          <w:p>
            <w:pPr>
              <w:spacing w:after="0"/>
              <w:rPr>
                <w:sz w:val="19"/>
                <w:szCs w:val="19"/>
                <w:color w:val="auto"/>
              </w:rPr>
            </w:pPr>
          </w:p>
        </w:tc>
        <w:tc>
          <w:tcPr>
            <w:tcW w:w="660" w:type="dxa"/>
            <w:vAlign w:val="bottom"/>
            <w:tcBorders>
              <w:right w:val="single" w:sz="8" w:color="494949"/>
            </w:tcBorders>
          </w:tcPr>
          <w:p>
            <w:pPr>
              <w:spacing w:after="0"/>
              <w:rPr>
                <w:sz w:val="19"/>
                <w:szCs w:val="19"/>
                <w:color w:val="auto"/>
              </w:rPr>
            </w:pPr>
          </w:p>
        </w:tc>
        <w:tc>
          <w:tcPr>
            <w:tcW w:w="486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Payout determined and awarded in the year following the</w:t>
            </w:r>
          </w:p>
        </w:tc>
        <w:tc>
          <w:tcPr>
            <w:tcW w:w="120" w:type="dxa"/>
            <w:vAlign w:val="bottom"/>
          </w:tcPr>
          <w:p>
            <w:pPr>
              <w:spacing w:after="0"/>
              <w:rPr>
                <w:sz w:val="19"/>
                <w:szCs w:val="19"/>
                <w:color w:val="auto"/>
              </w:rPr>
            </w:pPr>
          </w:p>
        </w:tc>
        <w:tc>
          <w:tcPr>
            <w:tcW w:w="2140" w:type="dxa"/>
            <w:vAlign w:val="bottom"/>
            <w:tcBorders>
              <w:right w:val="single" w:sz="8" w:color="494949"/>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60" w:type="dxa"/>
            <w:vAlign w:val="bottom"/>
            <w:tcBorders>
              <w:right w:val="single" w:sz="8" w:color="494949"/>
            </w:tcBorders>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Borders>
              <w:right w:val="single" w:sz="8" w:color="494949"/>
            </w:tcBorders>
          </w:tcPr>
          <w:p>
            <w:pPr>
              <w:spacing w:after="0"/>
              <w:rPr>
                <w:sz w:val="4"/>
                <w:szCs w:val="4"/>
                <w:color w:val="auto"/>
              </w:rPr>
            </w:pPr>
          </w:p>
        </w:tc>
        <w:tc>
          <w:tcPr>
            <w:tcW w:w="920" w:type="dxa"/>
            <w:vAlign w:val="bottom"/>
            <w:tcBorders>
              <w:right w:val="single" w:sz="8" w:color="494949"/>
            </w:tcBorders>
          </w:tcPr>
          <w:p>
            <w:pPr>
              <w:spacing w:after="0"/>
              <w:rPr>
                <w:sz w:val="4"/>
                <w:szCs w:val="4"/>
                <w:color w:val="auto"/>
              </w:rPr>
            </w:pPr>
          </w:p>
        </w:tc>
        <w:tc>
          <w:tcPr>
            <w:tcW w:w="660" w:type="dxa"/>
            <w:vAlign w:val="bottom"/>
            <w:tcBorders>
              <w:right w:val="single" w:sz="8" w:color="494949"/>
            </w:tcBorders>
          </w:tcPr>
          <w:p>
            <w:pPr>
              <w:spacing w:after="0"/>
              <w:rPr>
                <w:sz w:val="4"/>
                <w:szCs w:val="4"/>
                <w:color w:val="auto"/>
              </w:rPr>
            </w:pPr>
          </w:p>
        </w:tc>
        <w:tc>
          <w:tcPr>
            <w:tcW w:w="4860" w:type="dxa"/>
            <w:vAlign w:val="bottom"/>
            <w:tcBorders>
              <w:right w:val="single" w:sz="8" w:color="494949"/>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right w:val="single" w:sz="8" w:color="494949"/>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860" w:type="dxa"/>
            <w:vAlign w:val="bottom"/>
            <w:tcBorders>
              <w:right w:val="single" w:sz="8" w:color="494949"/>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right w:val="single" w:sz="8" w:color="494949"/>
            </w:tcBorders>
          </w:tcPr>
          <w:p>
            <w:pPr>
              <w:spacing w:after="0"/>
              <w:rPr>
                <w:sz w:val="18"/>
                <w:szCs w:val="18"/>
                <w:color w:val="auto"/>
              </w:rPr>
            </w:pPr>
          </w:p>
        </w:tc>
        <w:tc>
          <w:tcPr>
            <w:tcW w:w="920" w:type="dxa"/>
            <w:vAlign w:val="bottom"/>
            <w:tcBorders>
              <w:right w:val="single" w:sz="8" w:color="494949"/>
            </w:tcBorders>
          </w:tcPr>
          <w:p>
            <w:pPr>
              <w:spacing w:after="0"/>
              <w:rPr>
                <w:sz w:val="18"/>
                <w:szCs w:val="18"/>
                <w:color w:val="auto"/>
              </w:rPr>
            </w:pPr>
          </w:p>
        </w:tc>
        <w:tc>
          <w:tcPr>
            <w:tcW w:w="660" w:type="dxa"/>
            <w:vAlign w:val="bottom"/>
            <w:tcBorders>
              <w:right w:val="single" w:sz="8" w:color="494949"/>
            </w:tcBorders>
          </w:tcPr>
          <w:p>
            <w:pPr>
              <w:spacing w:after="0"/>
              <w:rPr>
                <w:sz w:val="18"/>
                <w:szCs w:val="18"/>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performance year</w:t>
            </w:r>
          </w:p>
        </w:tc>
        <w:tc>
          <w:tcPr>
            <w:tcW w:w="120" w:type="dxa"/>
            <w:vAlign w:val="bottom"/>
          </w:tcPr>
          <w:p>
            <w:pPr>
              <w:spacing w:after="0"/>
              <w:rPr>
                <w:sz w:val="18"/>
                <w:szCs w:val="18"/>
                <w:color w:val="auto"/>
              </w:rPr>
            </w:pPr>
          </w:p>
        </w:tc>
        <w:tc>
          <w:tcPr>
            <w:tcW w:w="2140" w:type="dxa"/>
            <w:vAlign w:val="bottom"/>
            <w:tcBorders>
              <w:right w:val="single" w:sz="8" w:color="494949"/>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0" w:type="dxa"/>
            <w:vAlign w:val="bottom"/>
            <w:tcBorders>
              <w:right w:val="single" w:sz="8" w:color="494949"/>
            </w:tcBorders>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Borders>
              <w:right w:val="single" w:sz="8" w:color="494949"/>
            </w:tcBorders>
          </w:tcPr>
          <w:p>
            <w:pPr>
              <w:spacing w:after="0"/>
              <w:rPr>
                <w:sz w:val="22"/>
                <w:szCs w:val="22"/>
                <w:color w:val="auto"/>
              </w:rPr>
            </w:pPr>
          </w:p>
        </w:tc>
        <w:tc>
          <w:tcPr>
            <w:tcW w:w="920" w:type="dxa"/>
            <w:vAlign w:val="bottom"/>
            <w:tcBorders>
              <w:right w:val="single" w:sz="8" w:color="494949"/>
            </w:tcBorders>
          </w:tcPr>
          <w:p>
            <w:pPr>
              <w:spacing w:after="0"/>
              <w:rPr>
                <w:sz w:val="22"/>
                <w:szCs w:val="22"/>
                <w:color w:val="auto"/>
              </w:rPr>
            </w:pPr>
          </w:p>
        </w:tc>
        <w:tc>
          <w:tcPr>
            <w:tcW w:w="660" w:type="dxa"/>
            <w:vAlign w:val="bottom"/>
            <w:tcBorders>
              <w:right w:val="single" w:sz="8" w:color="494949"/>
            </w:tcBorders>
          </w:tcPr>
          <w:p>
            <w:pPr>
              <w:spacing w:after="0"/>
              <w:rPr>
                <w:sz w:val="22"/>
                <w:szCs w:val="22"/>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Represents less than half of variable compensation</w:t>
            </w:r>
          </w:p>
        </w:tc>
        <w:tc>
          <w:tcPr>
            <w:tcW w:w="120" w:type="dxa"/>
            <w:vAlign w:val="bottom"/>
          </w:tcPr>
          <w:p>
            <w:pPr>
              <w:spacing w:after="0"/>
              <w:rPr>
                <w:sz w:val="22"/>
                <w:szCs w:val="22"/>
                <w:color w:val="auto"/>
              </w:rPr>
            </w:pPr>
          </w:p>
        </w:tc>
        <w:tc>
          <w:tcPr>
            <w:tcW w:w="2140" w:type="dxa"/>
            <w:vAlign w:val="bottom"/>
            <w:tcBorders>
              <w:right w:val="single" w:sz="8" w:color="494949"/>
            </w:tcBorders>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860" w:type="dxa"/>
            <w:vAlign w:val="bottom"/>
            <w:tcBorders>
              <w:bottom w:val="single" w:sz="8" w:color="494949"/>
              <w:right w:val="single" w:sz="8" w:color="494949"/>
            </w:tcBorders>
          </w:tcPr>
          <w:p>
            <w:pPr>
              <w:spacing w:after="0"/>
              <w:rPr>
                <w:sz w:val="2"/>
                <w:szCs w:val="2"/>
                <w:color w:val="auto"/>
              </w:rPr>
            </w:pPr>
          </w:p>
        </w:tc>
        <w:tc>
          <w:tcPr>
            <w:tcW w:w="580" w:type="dxa"/>
            <w:vAlign w:val="bottom"/>
            <w:tcBorders>
              <w:bottom w:val="single" w:sz="8" w:color="494949"/>
            </w:tcBorders>
          </w:tcPr>
          <w:p>
            <w:pPr>
              <w:spacing w:after="0"/>
              <w:rPr>
                <w:sz w:val="2"/>
                <w:szCs w:val="2"/>
                <w:color w:val="auto"/>
              </w:rPr>
            </w:pPr>
          </w:p>
        </w:tc>
        <w:tc>
          <w:tcPr>
            <w:tcW w:w="80" w:type="dxa"/>
            <w:vAlign w:val="bottom"/>
            <w:tcBorders>
              <w:bottom w:val="single" w:sz="8" w:color="494949"/>
              <w:right w:val="single" w:sz="8" w:color="494949"/>
            </w:tcBorders>
          </w:tcPr>
          <w:p>
            <w:pPr>
              <w:spacing w:after="0"/>
              <w:rPr>
                <w:sz w:val="2"/>
                <w:szCs w:val="2"/>
                <w:color w:val="auto"/>
              </w:rPr>
            </w:pPr>
          </w:p>
        </w:tc>
        <w:tc>
          <w:tcPr>
            <w:tcW w:w="920" w:type="dxa"/>
            <w:vAlign w:val="bottom"/>
            <w:tcBorders>
              <w:bottom w:val="single" w:sz="8" w:color="494949"/>
              <w:right w:val="single" w:sz="8" w:color="494949"/>
            </w:tcBorders>
          </w:tcPr>
          <w:p>
            <w:pPr>
              <w:spacing w:after="0"/>
              <w:rPr>
                <w:sz w:val="2"/>
                <w:szCs w:val="2"/>
                <w:color w:val="auto"/>
              </w:rPr>
            </w:pPr>
          </w:p>
        </w:tc>
        <w:tc>
          <w:tcPr>
            <w:tcW w:w="660" w:type="dxa"/>
            <w:vAlign w:val="bottom"/>
            <w:tcBorders>
              <w:bottom w:val="single" w:sz="8" w:color="494949"/>
              <w:right w:val="single" w:sz="8" w:color="494949"/>
            </w:tcBorders>
          </w:tcPr>
          <w:p>
            <w:pPr>
              <w:spacing w:after="0"/>
              <w:rPr>
                <w:sz w:val="2"/>
                <w:szCs w:val="2"/>
                <w:color w:val="auto"/>
              </w:rPr>
            </w:pPr>
          </w:p>
        </w:tc>
        <w:tc>
          <w:tcPr>
            <w:tcW w:w="4860" w:type="dxa"/>
            <w:vAlign w:val="bottom"/>
            <w:tcBorders>
              <w:bottom w:val="single" w:sz="8" w:color="494949"/>
              <w:right w:val="single" w:sz="8" w:color="494949"/>
            </w:tcBorders>
          </w:tcPr>
          <w:p>
            <w:pPr>
              <w:spacing w:after="0"/>
              <w:rPr>
                <w:sz w:val="2"/>
                <w:szCs w:val="2"/>
                <w:color w:val="auto"/>
              </w:rPr>
            </w:pPr>
          </w:p>
        </w:tc>
        <w:tc>
          <w:tcPr>
            <w:tcW w:w="2260" w:type="dxa"/>
            <w:vAlign w:val="bottom"/>
            <w:tcBorders>
              <w:bottom w:val="single" w:sz="8" w:color="494949"/>
              <w:right w:val="single" w:sz="8" w:color="494949"/>
            </w:tcBorders>
            <w:gridSpan w:val="2"/>
          </w:tcPr>
          <w:p>
            <w:pPr>
              <w:spacing w:after="0"/>
              <w:rPr>
                <w:sz w:val="2"/>
                <w:szCs w:val="2"/>
                <w:color w:val="auto"/>
              </w:rPr>
            </w:pPr>
          </w:p>
        </w:tc>
        <w:tc>
          <w:tcPr>
            <w:tcW w:w="102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6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RSUs</w:t>
            </w:r>
          </w:p>
        </w:tc>
        <w:tc>
          <w:tcPr>
            <w:tcW w:w="580" w:type="dxa"/>
            <w:vAlign w:val="bottom"/>
          </w:tcPr>
          <w:p>
            <w:pPr>
              <w:jc w:val="center"/>
              <w:spacing w:after="0"/>
              <w:rPr>
                <w:sz w:val="20"/>
                <w:szCs w:val="20"/>
                <w:color w:val="auto"/>
              </w:rPr>
            </w:pPr>
            <w:r>
              <w:rPr>
                <w:rFonts w:ascii="Arial" w:cs="Arial" w:eastAsia="Arial" w:hAnsi="Arial"/>
                <w:sz w:val="16"/>
                <w:szCs w:val="16"/>
                <w:color w:val="auto"/>
              </w:rPr>
              <w:t>0%</w:t>
            </w:r>
          </w:p>
        </w:tc>
        <w:tc>
          <w:tcPr>
            <w:tcW w:w="80" w:type="dxa"/>
            <w:vAlign w:val="bottom"/>
            <w:tcBorders>
              <w:right w:val="single" w:sz="8" w:color="494949"/>
            </w:tcBorders>
          </w:tcPr>
          <w:p>
            <w:pPr>
              <w:spacing w:after="0"/>
              <w:rPr>
                <w:sz w:val="19"/>
                <w:szCs w:val="19"/>
                <w:color w:val="auto"/>
              </w:rPr>
            </w:pPr>
          </w:p>
        </w:tc>
        <w:tc>
          <w:tcPr>
            <w:tcW w:w="92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4"/>
              </w:rPr>
              <w:t>0%</w:t>
            </w:r>
          </w:p>
        </w:tc>
        <w:tc>
          <w:tcPr>
            <w:tcW w:w="6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9"/>
              </w:rPr>
              <w:t>30%</w:t>
            </w: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serve as a strong retention tool</w:t>
            </w:r>
          </w:p>
        </w:tc>
        <w:tc>
          <w:tcPr>
            <w:tcW w:w="2260" w:type="dxa"/>
            <w:vAlign w:val="bottom"/>
            <w:tcBorders>
              <w:right w:val="single" w:sz="8" w:color="494949"/>
            </w:tcBorders>
            <w:gridSpan w:val="2"/>
          </w:tcPr>
          <w:p>
            <w:pPr>
              <w:spacing w:after="0"/>
              <w:rPr>
                <w:sz w:val="20"/>
                <w:szCs w:val="20"/>
                <w:color w:val="auto"/>
              </w:rPr>
            </w:pPr>
            <w:r>
              <w:rPr>
                <w:rFonts w:ascii="Arial" w:cs="Arial" w:eastAsia="Arial" w:hAnsi="Arial"/>
                <w:sz w:val="16"/>
                <w:szCs w:val="16"/>
                <w:color w:val="205A85"/>
              </w:rPr>
              <w:t xml:space="preserve">•  </w:t>
            </w:r>
            <w:r>
              <w:rPr>
                <w:rFonts w:ascii="Arial" w:cs="Arial" w:eastAsia="Arial" w:hAnsi="Arial"/>
                <w:sz w:val="16"/>
                <w:szCs w:val="16"/>
                <w:color w:val="000000"/>
              </w:rPr>
              <w:t>Generally over three years: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60" w:type="dxa"/>
            <w:vAlign w:val="bottom"/>
            <w:tcBorders>
              <w:right w:val="single" w:sz="8" w:color="494949"/>
            </w:tcBorders>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right w:val="single" w:sz="8" w:color="494949"/>
            </w:tcBorders>
          </w:tcPr>
          <w:p>
            <w:pPr>
              <w:spacing w:after="0"/>
              <w:rPr>
                <w:sz w:val="20"/>
                <w:szCs w:val="20"/>
                <w:color w:val="auto"/>
              </w:rPr>
            </w:pPr>
          </w:p>
        </w:tc>
        <w:tc>
          <w:tcPr>
            <w:tcW w:w="920" w:type="dxa"/>
            <w:vAlign w:val="bottom"/>
            <w:tcBorders>
              <w:right w:val="single" w:sz="8" w:color="494949"/>
            </w:tcBorders>
          </w:tcPr>
          <w:p>
            <w:pPr>
              <w:spacing w:after="0"/>
              <w:rPr>
                <w:sz w:val="20"/>
                <w:szCs w:val="20"/>
                <w:color w:val="auto"/>
              </w:rPr>
            </w:pPr>
          </w:p>
        </w:tc>
        <w:tc>
          <w:tcPr>
            <w:tcW w:w="660" w:type="dxa"/>
            <w:vAlign w:val="bottom"/>
            <w:tcBorders>
              <w:right w:val="single" w:sz="8" w:color="494949"/>
            </w:tcBorders>
          </w:tcPr>
          <w:p>
            <w:pPr>
              <w:spacing w:after="0"/>
              <w:rPr>
                <w:sz w:val="20"/>
                <w:szCs w:val="20"/>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Dividend equivalents are paid on RSUs at the time actual</w:t>
            </w:r>
          </w:p>
        </w:tc>
        <w:tc>
          <w:tcPr>
            <w:tcW w:w="120" w:type="dxa"/>
            <w:vAlign w:val="bottom"/>
          </w:tcPr>
          <w:p>
            <w:pPr>
              <w:spacing w:after="0"/>
              <w:rPr>
                <w:sz w:val="20"/>
                <w:szCs w:val="20"/>
                <w:color w:val="auto"/>
              </w:rPr>
            </w:pPr>
          </w:p>
        </w:tc>
        <w:tc>
          <w:tcPr>
            <w:tcW w:w="214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205A85"/>
              </w:rPr>
              <w:t xml:space="preserve">◦  </w:t>
            </w:r>
            <w:r>
              <w:rPr>
                <w:rFonts w:ascii="Arial" w:cs="Arial" w:eastAsia="Arial" w:hAnsi="Arial"/>
                <w:sz w:val="16"/>
                <w:szCs w:val="16"/>
                <w:color w:val="000000"/>
              </w:rPr>
              <w:t>50% after two years,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60" w:type="dxa"/>
            <w:vAlign w:val="bottom"/>
            <w:tcBorders>
              <w:right w:val="single" w:sz="8" w:color="494949"/>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spacing w:after="0"/>
              <w:rPr>
                <w:sz w:val="16"/>
                <w:szCs w:val="16"/>
                <w:color w:val="auto"/>
              </w:rPr>
            </w:pPr>
          </w:p>
        </w:tc>
        <w:tc>
          <w:tcPr>
            <w:tcW w:w="660" w:type="dxa"/>
            <w:vAlign w:val="bottom"/>
            <w:tcBorders>
              <w:right w:val="single" w:sz="8" w:color="494949"/>
            </w:tcBorders>
          </w:tcPr>
          <w:p>
            <w:pPr>
              <w:spacing w:after="0"/>
              <w:rPr>
                <w:sz w:val="16"/>
                <w:szCs w:val="16"/>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dividends are paid</w:t>
            </w:r>
          </w:p>
        </w:tc>
        <w:tc>
          <w:tcPr>
            <w:tcW w:w="120" w:type="dxa"/>
            <w:vAlign w:val="bottom"/>
          </w:tcPr>
          <w:p>
            <w:pPr>
              <w:spacing w:after="0"/>
              <w:rPr>
                <w:sz w:val="16"/>
                <w:szCs w:val="16"/>
                <w:color w:val="auto"/>
              </w:rPr>
            </w:pPr>
          </w:p>
        </w:tc>
        <w:tc>
          <w:tcPr>
            <w:tcW w:w="21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with the remaining 50%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60" w:type="dxa"/>
            <w:vAlign w:val="bottom"/>
            <w:tcBorders>
              <w:right w:val="single" w:sz="8" w:color="494949"/>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right w:val="single" w:sz="8" w:color="494949"/>
            </w:tcBorders>
          </w:tcPr>
          <w:p>
            <w:pPr>
              <w:spacing w:after="0"/>
              <w:rPr>
                <w:sz w:val="18"/>
                <w:szCs w:val="18"/>
                <w:color w:val="auto"/>
              </w:rPr>
            </w:pPr>
          </w:p>
        </w:tc>
        <w:tc>
          <w:tcPr>
            <w:tcW w:w="920" w:type="dxa"/>
            <w:vAlign w:val="bottom"/>
            <w:tcBorders>
              <w:right w:val="single" w:sz="8" w:color="494949"/>
            </w:tcBorders>
          </w:tcPr>
          <w:p>
            <w:pPr>
              <w:spacing w:after="0"/>
              <w:rPr>
                <w:sz w:val="18"/>
                <w:szCs w:val="18"/>
                <w:color w:val="auto"/>
              </w:rPr>
            </w:pPr>
          </w:p>
        </w:tc>
        <w:tc>
          <w:tcPr>
            <w:tcW w:w="660" w:type="dxa"/>
            <w:vAlign w:val="bottom"/>
            <w:tcBorders>
              <w:right w:val="single" w:sz="8" w:color="494949"/>
            </w:tcBorders>
          </w:tcPr>
          <w:p>
            <w:pPr>
              <w:spacing w:after="0"/>
              <w:rPr>
                <w:sz w:val="18"/>
                <w:szCs w:val="18"/>
                <w:color w:val="auto"/>
              </w:rPr>
            </w:pPr>
          </w:p>
        </w:tc>
        <w:tc>
          <w:tcPr>
            <w:tcW w:w="486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and PSUs do not carry voting rights, and are subject to</w:t>
            </w:r>
          </w:p>
        </w:tc>
        <w:tc>
          <w:tcPr>
            <w:tcW w:w="120" w:type="dxa"/>
            <w:vAlign w:val="bottom"/>
          </w:tcPr>
          <w:p>
            <w:pPr>
              <w:spacing w:after="0"/>
              <w:rPr>
                <w:sz w:val="18"/>
                <w:szCs w:val="18"/>
                <w:color w:val="auto"/>
              </w:rPr>
            </w:pPr>
          </w:p>
        </w:tc>
        <w:tc>
          <w:tcPr>
            <w:tcW w:w="21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after three years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860" w:type="dxa"/>
            <w:vAlign w:val="bottom"/>
            <w:tcBorders>
              <w:right w:val="single" w:sz="8" w:color="494949"/>
            </w:tcBorders>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Borders>
              <w:right w:val="single" w:sz="8" w:color="494949"/>
            </w:tcBorders>
          </w:tcPr>
          <w:p>
            <w:pPr>
              <w:spacing w:after="0"/>
              <w:rPr>
                <w:sz w:val="4"/>
                <w:szCs w:val="4"/>
                <w:color w:val="auto"/>
              </w:rPr>
            </w:pPr>
          </w:p>
        </w:tc>
        <w:tc>
          <w:tcPr>
            <w:tcW w:w="920" w:type="dxa"/>
            <w:vAlign w:val="bottom"/>
            <w:tcBorders>
              <w:right w:val="single" w:sz="8" w:color="494949"/>
            </w:tcBorders>
          </w:tcPr>
          <w:p>
            <w:pPr>
              <w:spacing w:after="0"/>
              <w:rPr>
                <w:sz w:val="4"/>
                <w:szCs w:val="4"/>
                <w:color w:val="auto"/>
              </w:rPr>
            </w:pPr>
          </w:p>
        </w:tc>
        <w:tc>
          <w:tcPr>
            <w:tcW w:w="660" w:type="dxa"/>
            <w:vAlign w:val="bottom"/>
            <w:tcBorders>
              <w:right w:val="single" w:sz="8" w:color="494949"/>
            </w:tcBorders>
          </w:tcPr>
          <w:p>
            <w:pPr>
              <w:spacing w:after="0"/>
              <w:rPr>
                <w:sz w:val="4"/>
                <w:szCs w:val="4"/>
                <w:color w:val="auto"/>
              </w:rPr>
            </w:pPr>
          </w:p>
        </w:tc>
        <w:tc>
          <w:tcPr>
            <w:tcW w:w="4860" w:type="dxa"/>
            <w:vAlign w:val="bottom"/>
            <w:tcBorders>
              <w:right w:val="single" w:sz="8" w:color="494949"/>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right w:val="single" w:sz="8" w:color="494949"/>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60" w:type="dxa"/>
            <w:vAlign w:val="bottom"/>
            <w:tcBorders>
              <w:right w:val="single" w:sz="8" w:color="494949"/>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spacing w:after="0"/>
              <w:rPr>
                <w:sz w:val="16"/>
                <w:szCs w:val="16"/>
                <w:color w:val="auto"/>
              </w:rPr>
            </w:pPr>
          </w:p>
        </w:tc>
        <w:tc>
          <w:tcPr>
            <w:tcW w:w="660" w:type="dxa"/>
            <w:vAlign w:val="bottom"/>
            <w:tcBorders>
              <w:right w:val="single" w:sz="8" w:color="494949"/>
            </w:tcBorders>
          </w:tcPr>
          <w:p>
            <w:pPr>
              <w:spacing w:after="0"/>
              <w:rPr>
                <w:sz w:val="16"/>
                <w:szCs w:val="16"/>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protection-based vesting and the OC stock</w:t>
            </w:r>
          </w:p>
        </w:tc>
        <w:tc>
          <w:tcPr>
            <w:tcW w:w="120" w:type="dxa"/>
            <w:vAlign w:val="bottom"/>
          </w:tcPr>
          <w:p>
            <w:pPr>
              <w:spacing w:after="0"/>
              <w:rPr>
                <w:sz w:val="16"/>
                <w:szCs w:val="16"/>
                <w:color w:val="auto"/>
              </w:rPr>
            </w:pPr>
          </w:p>
        </w:tc>
        <w:tc>
          <w:tcPr>
            <w:tcW w:w="2140" w:type="dxa"/>
            <w:vAlign w:val="bottom"/>
            <w:tcBorders>
              <w:right w:val="single" w:sz="8" w:color="494949"/>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60" w:type="dxa"/>
            <w:vAlign w:val="bottom"/>
            <w:tcBorders>
              <w:bottom w:val="single" w:sz="8" w:color="494949"/>
              <w:right w:val="single" w:sz="8" w:color="494949"/>
            </w:tcBorders>
          </w:tcPr>
          <w:p>
            <w:pPr>
              <w:spacing w:after="0"/>
              <w:rPr>
                <w:sz w:val="12"/>
                <w:szCs w:val="12"/>
                <w:color w:val="auto"/>
              </w:rPr>
            </w:pPr>
          </w:p>
        </w:tc>
        <w:tc>
          <w:tcPr>
            <w:tcW w:w="580" w:type="dxa"/>
            <w:vAlign w:val="bottom"/>
            <w:tcBorders>
              <w:bottom w:val="single" w:sz="8" w:color="494949"/>
            </w:tcBorders>
          </w:tcPr>
          <w:p>
            <w:pPr>
              <w:spacing w:after="0"/>
              <w:rPr>
                <w:sz w:val="12"/>
                <w:szCs w:val="12"/>
                <w:color w:val="auto"/>
              </w:rPr>
            </w:pPr>
          </w:p>
        </w:tc>
        <w:tc>
          <w:tcPr>
            <w:tcW w:w="80" w:type="dxa"/>
            <w:vAlign w:val="bottom"/>
            <w:tcBorders>
              <w:bottom w:val="single" w:sz="8" w:color="494949"/>
              <w:right w:val="single" w:sz="8" w:color="494949"/>
            </w:tcBorders>
          </w:tcPr>
          <w:p>
            <w:pPr>
              <w:spacing w:after="0"/>
              <w:rPr>
                <w:sz w:val="12"/>
                <w:szCs w:val="12"/>
                <w:color w:val="auto"/>
              </w:rPr>
            </w:pPr>
          </w:p>
        </w:tc>
        <w:tc>
          <w:tcPr>
            <w:tcW w:w="920" w:type="dxa"/>
            <w:vAlign w:val="bottom"/>
            <w:tcBorders>
              <w:bottom w:val="single" w:sz="8" w:color="494949"/>
              <w:right w:val="single" w:sz="8" w:color="494949"/>
            </w:tcBorders>
          </w:tcPr>
          <w:p>
            <w:pPr>
              <w:spacing w:after="0"/>
              <w:rPr>
                <w:sz w:val="12"/>
                <w:szCs w:val="12"/>
                <w:color w:val="auto"/>
              </w:rPr>
            </w:pPr>
          </w:p>
        </w:tc>
        <w:tc>
          <w:tcPr>
            <w:tcW w:w="660" w:type="dxa"/>
            <w:vAlign w:val="bottom"/>
            <w:tcBorders>
              <w:bottom w:val="single" w:sz="8" w:color="494949"/>
              <w:right w:val="single" w:sz="8" w:color="494949"/>
            </w:tcBorders>
          </w:tcPr>
          <w:p>
            <w:pPr>
              <w:spacing w:after="0"/>
              <w:rPr>
                <w:sz w:val="12"/>
                <w:szCs w:val="12"/>
                <w:color w:val="auto"/>
              </w:rPr>
            </w:pPr>
          </w:p>
        </w:tc>
        <w:tc>
          <w:tcPr>
            <w:tcW w:w="4860" w:type="dxa"/>
            <w:vAlign w:val="bottom"/>
            <w:tcBorders>
              <w:right w:val="single" w:sz="8" w:color="494949"/>
            </w:tcBorders>
          </w:tcPr>
          <w:p>
            <w:pPr>
              <w:ind w:left="280"/>
              <w:spacing w:after="0" w:line="143" w:lineRule="exact"/>
              <w:rPr>
                <w:sz w:val="20"/>
                <w:szCs w:val="20"/>
                <w:color w:val="auto"/>
              </w:rPr>
            </w:pPr>
            <w:r>
              <w:rPr>
                <w:rFonts w:ascii="Arial" w:cs="Arial" w:eastAsia="Arial" w:hAnsi="Arial"/>
                <w:sz w:val="16"/>
                <w:szCs w:val="16"/>
                <w:color w:val="auto"/>
              </w:rPr>
              <w:t>ownership/retention policy</w:t>
            </w:r>
          </w:p>
        </w:tc>
        <w:tc>
          <w:tcPr>
            <w:tcW w:w="120" w:type="dxa"/>
            <w:vAlign w:val="bottom"/>
            <w:tcBorders>
              <w:bottom w:val="single" w:sz="8" w:color="494949"/>
            </w:tcBorders>
          </w:tcPr>
          <w:p>
            <w:pPr>
              <w:spacing w:after="0"/>
              <w:rPr>
                <w:sz w:val="12"/>
                <w:szCs w:val="12"/>
                <w:color w:val="auto"/>
              </w:rPr>
            </w:pPr>
          </w:p>
        </w:tc>
        <w:tc>
          <w:tcPr>
            <w:tcW w:w="2140" w:type="dxa"/>
            <w:vAlign w:val="bottom"/>
            <w:tcBorders>
              <w:bottom w:val="single" w:sz="8" w:color="494949"/>
              <w:right w:val="single" w:sz="8" w:color="494949"/>
            </w:tcBorders>
          </w:tcPr>
          <w:p>
            <w:pPr>
              <w:spacing w:after="0"/>
              <w:rPr>
                <w:sz w:val="12"/>
                <w:szCs w:val="12"/>
                <w:color w:val="auto"/>
              </w:rPr>
            </w:pPr>
          </w:p>
        </w:tc>
        <w:tc>
          <w:tcPr>
            <w:tcW w:w="1020" w:type="dxa"/>
            <w:vAlign w:val="bottom"/>
            <w:tcBorders>
              <w:bottom w:val="single" w:sz="8" w:color="494949"/>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6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PSUs</w:t>
            </w:r>
          </w:p>
        </w:tc>
        <w:tc>
          <w:tcPr>
            <w:tcW w:w="580" w:type="dxa"/>
            <w:vAlign w:val="bottom"/>
          </w:tcPr>
          <w:p>
            <w:pPr>
              <w:jc w:val="center"/>
              <w:spacing w:after="0"/>
              <w:rPr>
                <w:sz w:val="20"/>
                <w:szCs w:val="20"/>
                <w:color w:val="auto"/>
              </w:rPr>
            </w:pPr>
            <w:r>
              <w:rPr>
                <w:rFonts w:ascii="Arial" w:cs="Arial" w:eastAsia="Arial" w:hAnsi="Arial"/>
                <w:sz w:val="16"/>
                <w:szCs w:val="16"/>
                <w:color w:val="auto"/>
              </w:rPr>
              <w:t>~86%</w:t>
            </w: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rPr>
              <w:t>~82%</w:t>
            </w:r>
          </w:p>
        </w:tc>
        <w:tc>
          <w:tcPr>
            <w:tcW w:w="6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9"/>
              </w:rPr>
              <w:t>30%</w:t>
            </w:r>
          </w:p>
        </w:tc>
        <w:tc>
          <w:tcPr>
            <w:tcW w:w="486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and PSUs provide a competitive mix of time-based and</w:t>
            </w:r>
          </w:p>
        </w:tc>
        <w:tc>
          <w:tcPr>
            <w:tcW w:w="120" w:type="dxa"/>
            <w:vAlign w:val="bottom"/>
          </w:tcPr>
          <w:p>
            <w:pPr>
              <w:spacing w:after="0"/>
              <w:rPr>
                <w:sz w:val="20"/>
                <w:szCs w:val="20"/>
                <w:color w:val="auto"/>
              </w:rPr>
            </w:pPr>
            <w:r>
              <w:rPr>
                <w:rFonts w:ascii="Arial" w:cs="Arial" w:eastAsia="Arial" w:hAnsi="Arial"/>
                <w:sz w:val="16"/>
                <w:szCs w:val="16"/>
                <w:color w:val="074A75"/>
              </w:rPr>
              <w:t>•</w:t>
            </w:r>
          </w:p>
        </w:tc>
        <w:tc>
          <w:tcPr>
            <w:tcW w:w="214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auto"/>
              </w:rPr>
              <w:t>Combined period of</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60" w:type="dxa"/>
            <w:vAlign w:val="bottom"/>
            <w:tcBorders>
              <w:right w:val="single" w:sz="8" w:color="494949"/>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right w:val="single" w:sz="8" w:color="494949"/>
            </w:tcBorders>
          </w:tcPr>
          <w:p>
            <w:pPr>
              <w:spacing w:after="0"/>
              <w:rPr>
                <w:sz w:val="8"/>
                <w:szCs w:val="8"/>
                <w:color w:val="auto"/>
              </w:rPr>
            </w:pPr>
          </w:p>
        </w:tc>
        <w:tc>
          <w:tcPr>
            <w:tcW w:w="920" w:type="dxa"/>
            <w:vAlign w:val="bottom"/>
            <w:tcBorders>
              <w:right w:val="single" w:sz="8" w:color="494949"/>
            </w:tcBorders>
          </w:tcPr>
          <w:p>
            <w:pPr>
              <w:spacing w:after="0"/>
              <w:rPr>
                <w:sz w:val="8"/>
                <w:szCs w:val="8"/>
                <w:color w:val="auto"/>
              </w:rPr>
            </w:pPr>
          </w:p>
        </w:tc>
        <w:tc>
          <w:tcPr>
            <w:tcW w:w="660" w:type="dxa"/>
            <w:vAlign w:val="bottom"/>
            <w:tcBorders>
              <w:right w:val="single" w:sz="8" w:color="494949"/>
            </w:tcBorders>
          </w:tcPr>
          <w:p>
            <w:pPr>
              <w:spacing w:after="0"/>
              <w:rPr>
                <w:sz w:val="8"/>
                <w:szCs w:val="8"/>
                <w:color w:val="auto"/>
              </w:rPr>
            </w:pPr>
          </w:p>
        </w:tc>
        <w:tc>
          <w:tcPr>
            <w:tcW w:w="4860" w:type="dxa"/>
            <w:vAlign w:val="bottom"/>
            <w:tcBorders>
              <w:right w:val="single" w:sz="8" w:color="494949"/>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auto"/>
              </w:rPr>
              <w:t>approximately five years</w:t>
            </w: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tcBorders>
              <w:right w:val="single" w:sz="8" w:color="494949"/>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right w:val="single" w:sz="8" w:color="494949"/>
            </w:tcBorders>
          </w:tcPr>
          <w:p>
            <w:pPr>
              <w:spacing w:after="0"/>
              <w:rPr>
                <w:sz w:val="8"/>
                <w:szCs w:val="8"/>
                <w:color w:val="auto"/>
              </w:rPr>
            </w:pPr>
          </w:p>
        </w:tc>
        <w:tc>
          <w:tcPr>
            <w:tcW w:w="920" w:type="dxa"/>
            <w:vAlign w:val="bottom"/>
            <w:tcBorders>
              <w:right w:val="single" w:sz="8" w:color="494949"/>
            </w:tcBorders>
          </w:tcPr>
          <w:p>
            <w:pPr>
              <w:spacing w:after="0"/>
              <w:rPr>
                <w:sz w:val="8"/>
                <w:szCs w:val="8"/>
                <w:color w:val="auto"/>
              </w:rPr>
            </w:pPr>
          </w:p>
        </w:tc>
        <w:tc>
          <w:tcPr>
            <w:tcW w:w="660" w:type="dxa"/>
            <w:vAlign w:val="bottom"/>
            <w:tcBorders>
              <w:right w:val="single" w:sz="8" w:color="494949"/>
            </w:tcBorders>
          </w:tcPr>
          <w:p>
            <w:pPr>
              <w:spacing w:after="0"/>
              <w:rPr>
                <w:sz w:val="8"/>
                <w:szCs w:val="8"/>
                <w:color w:val="auto"/>
              </w:rPr>
            </w:pPr>
          </w:p>
        </w:tc>
        <w:tc>
          <w:tcPr>
            <w:tcW w:w="486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performance-conditioned equity awards that are aligned with</w:t>
            </w:r>
          </w:p>
        </w:tc>
        <w:tc>
          <w:tcPr>
            <w:tcW w:w="120" w:type="dxa"/>
            <w:vAlign w:val="bottom"/>
          </w:tcPr>
          <w:p>
            <w:pPr>
              <w:spacing w:after="0"/>
              <w:rPr>
                <w:sz w:val="8"/>
                <w:szCs w:val="8"/>
                <w:color w:val="auto"/>
              </w:rPr>
            </w:pPr>
          </w:p>
        </w:tc>
        <w:tc>
          <w:tcPr>
            <w:tcW w:w="2140" w:type="dxa"/>
            <w:vAlign w:val="bottom"/>
            <w:tcBorders>
              <w:right w:val="single" w:sz="8" w:color="494949"/>
            </w:tcBorders>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60" w:type="dxa"/>
            <w:vAlign w:val="bottom"/>
            <w:tcBorders>
              <w:right w:val="single" w:sz="8" w:color="494949"/>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right w:val="single" w:sz="8" w:color="494949"/>
            </w:tcBorders>
          </w:tcPr>
          <w:p>
            <w:pPr>
              <w:spacing w:after="0"/>
              <w:rPr>
                <w:sz w:val="9"/>
                <w:szCs w:val="9"/>
                <w:color w:val="auto"/>
              </w:rPr>
            </w:pPr>
          </w:p>
        </w:tc>
        <w:tc>
          <w:tcPr>
            <w:tcW w:w="920" w:type="dxa"/>
            <w:vAlign w:val="bottom"/>
            <w:tcBorders>
              <w:right w:val="single" w:sz="8" w:color="494949"/>
            </w:tcBorders>
          </w:tcPr>
          <w:p>
            <w:pPr>
              <w:spacing w:after="0"/>
              <w:rPr>
                <w:sz w:val="9"/>
                <w:szCs w:val="9"/>
                <w:color w:val="auto"/>
              </w:rPr>
            </w:pPr>
          </w:p>
        </w:tc>
        <w:tc>
          <w:tcPr>
            <w:tcW w:w="660" w:type="dxa"/>
            <w:vAlign w:val="bottom"/>
            <w:tcBorders>
              <w:right w:val="single" w:sz="8" w:color="494949"/>
            </w:tcBorders>
          </w:tcPr>
          <w:p>
            <w:pPr>
              <w:spacing w:after="0"/>
              <w:rPr>
                <w:sz w:val="9"/>
                <w:szCs w:val="9"/>
                <w:color w:val="auto"/>
              </w:rPr>
            </w:pPr>
          </w:p>
        </w:tc>
        <w:tc>
          <w:tcPr>
            <w:tcW w:w="4860" w:type="dxa"/>
            <w:vAlign w:val="bottom"/>
            <w:tcBorders>
              <w:right w:val="single" w:sz="8" w:color="494949"/>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auto"/>
              </w:rPr>
              <w:t>prior to transferability/sale:</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60" w:type="dxa"/>
            <w:vAlign w:val="bottom"/>
            <w:tcBorders>
              <w:right w:val="single" w:sz="8" w:color="494949"/>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right w:val="single" w:sz="8" w:color="494949"/>
            </w:tcBorders>
          </w:tcPr>
          <w:p>
            <w:pPr>
              <w:spacing w:after="0"/>
              <w:rPr>
                <w:sz w:val="9"/>
                <w:szCs w:val="9"/>
                <w:color w:val="auto"/>
              </w:rPr>
            </w:pPr>
          </w:p>
        </w:tc>
        <w:tc>
          <w:tcPr>
            <w:tcW w:w="920" w:type="dxa"/>
            <w:vAlign w:val="bottom"/>
            <w:tcBorders>
              <w:right w:val="single" w:sz="8" w:color="494949"/>
            </w:tcBorders>
          </w:tcPr>
          <w:p>
            <w:pPr>
              <w:spacing w:after="0"/>
              <w:rPr>
                <w:sz w:val="9"/>
                <w:szCs w:val="9"/>
                <w:color w:val="auto"/>
              </w:rPr>
            </w:pPr>
          </w:p>
        </w:tc>
        <w:tc>
          <w:tcPr>
            <w:tcW w:w="660" w:type="dxa"/>
            <w:vAlign w:val="bottom"/>
            <w:tcBorders>
              <w:right w:val="single" w:sz="8" w:color="494949"/>
            </w:tcBorders>
          </w:tcPr>
          <w:p>
            <w:pPr>
              <w:spacing w:after="0"/>
              <w:rPr>
                <w:sz w:val="9"/>
                <w:szCs w:val="9"/>
                <w:color w:val="auto"/>
              </w:rPr>
            </w:pPr>
          </w:p>
        </w:tc>
        <w:tc>
          <w:tcPr>
            <w:tcW w:w="486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long-term shareholder interests as the value of payout</w:t>
            </w:r>
          </w:p>
        </w:tc>
        <w:tc>
          <w:tcPr>
            <w:tcW w:w="120" w:type="dxa"/>
            <w:vAlign w:val="bottom"/>
          </w:tcPr>
          <w:p>
            <w:pPr>
              <w:spacing w:after="0"/>
              <w:rPr>
                <w:sz w:val="9"/>
                <w:szCs w:val="9"/>
                <w:color w:val="auto"/>
              </w:rPr>
            </w:pPr>
          </w:p>
        </w:tc>
        <w:tc>
          <w:tcPr>
            <w:tcW w:w="2140" w:type="dxa"/>
            <w:vAlign w:val="bottom"/>
            <w:tcBorders>
              <w:right w:val="single" w:sz="8" w:color="494949"/>
            </w:tcBorders>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860" w:type="dxa"/>
            <w:vAlign w:val="bottom"/>
            <w:tcBorders>
              <w:right w:val="single" w:sz="8" w:color="494949"/>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right w:val="single" w:sz="8" w:color="494949"/>
            </w:tcBorders>
          </w:tcPr>
          <w:p>
            <w:pPr>
              <w:spacing w:after="0"/>
              <w:rPr>
                <w:sz w:val="7"/>
                <w:szCs w:val="7"/>
                <w:color w:val="auto"/>
              </w:rPr>
            </w:pPr>
          </w:p>
        </w:tc>
        <w:tc>
          <w:tcPr>
            <w:tcW w:w="920" w:type="dxa"/>
            <w:vAlign w:val="bottom"/>
            <w:tcBorders>
              <w:right w:val="single" w:sz="8" w:color="494949"/>
            </w:tcBorders>
          </w:tcPr>
          <w:p>
            <w:pPr>
              <w:spacing w:after="0"/>
              <w:rPr>
                <w:sz w:val="7"/>
                <w:szCs w:val="7"/>
                <w:color w:val="auto"/>
              </w:rPr>
            </w:pPr>
          </w:p>
        </w:tc>
        <w:tc>
          <w:tcPr>
            <w:tcW w:w="660" w:type="dxa"/>
            <w:vAlign w:val="bottom"/>
            <w:tcBorders>
              <w:right w:val="single" w:sz="8" w:color="494949"/>
            </w:tcBorders>
          </w:tcPr>
          <w:p>
            <w:pPr>
              <w:spacing w:after="0"/>
              <w:rPr>
                <w:sz w:val="7"/>
                <w:szCs w:val="7"/>
                <w:color w:val="auto"/>
              </w:rPr>
            </w:pPr>
          </w:p>
        </w:tc>
        <w:tc>
          <w:tcPr>
            <w:tcW w:w="4860" w:type="dxa"/>
            <w:vAlign w:val="bottom"/>
            <w:tcBorders>
              <w:right w:val="single" w:sz="8" w:color="494949"/>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Award cliff-vests at the</w:t>
            </w: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860" w:type="dxa"/>
            <w:vAlign w:val="bottom"/>
            <w:tcBorders>
              <w:right w:val="single" w:sz="8" w:color="494949"/>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right w:val="single" w:sz="8" w:color="494949"/>
            </w:tcBorders>
          </w:tcPr>
          <w:p>
            <w:pPr>
              <w:spacing w:after="0"/>
              <w:rPr>
                <w:sz w:val="14"/>
                <w:szCs w:val="14"/>
                <w:color w:val="auto"/>
              </w:rPr>
            </w:pPr>
          </w:p>
        </w:tc>
        <w:tc>
          <w:tcPr>
            <w:tcW w:w="920" w:type="dxa"/>
            <w:vAlign w:val="bottom"/>
            <w:tcBorders>
              <w:right w:val="single" w:sz="8" w:color="494949"/>
            </w:tcBorders>
          </w:tcPr>
          <w:p>
            <w:pPr>
              <w:spacing w:after="0"/>
              <w:rPr>
                <w:sz w:val="14"/>
                <w:szCs w:val="14"/>
                <w:color w:val="auto"/>
              </w:rPr>
            </w:pPr>
          </w:p>
        </w:tc>
        <w:tc>
          <w:tcPr>
            <w:tcW w:w="660" w:type="dxa"/>
            <w:vAlign w:val="bottom"/>
            <w:tcBorders>
              <w:right w:val="single" w:sz="8" w:color="494949"/>
            </w:tcBorders>
          </w:tcPr>
          <w:p>
            <w:pPr>
              <w:spacing w:after="0"/>
              <w:rPr>
                <w:sz w:val="14"/>
                <w:szCs w:val="14"/>
                <w:color w:val="auto"/>
              </w:rPr>
            </w:pPr>
          </w:p>
        </w:tc>
        <w:tc>
          <w:tcPr>
            <w:tcW w:w="4860" w:type="dxa"/>
            <w:vAlign w:val="bottom"/>
            <w:tcBorders>
              <w:right w:val="single" w:sz="8" w:color="494949"/>
            </w:tcBorders>
          </w:tcPr>
          <w:p>
            <w:pPr>
              <w:ind w:left="280"/>
              <w:spacing w:after="0" w:line="163" w:lineRule="exact"/>
              <w:rPr>
                <w:sz w:val="20"/>
                <w:szCs w:val="20"/>
                <w:color w:val="auto"/>
              </w:rPr>
            </w:pPr>
            <w:r>
              <w:rPr>
                <w:rFonts w:ascii="Arial" w:cs="Arial" w:eastAsia="Arial" w:hAnsi="Arial"/>
                <w:sz w:val="16"/>
                <w:szCs w:val="16"/>
                <w:color w:val="auto"/>
              </w:rPr>
              <w:t>fluctuates with stock price performance</w:t>
            </w:r>
          </w:p>
        </w:tc>
        <w:tc>
          <w:tcPr>
            <w:tcW w:w="120" w:type="dxa"/>
            <w:vAlign w:val="bottom"/>
          </w:tcPr>
          <w:p>
            <w:pPr>
              <w:spacing w:after="0"/>
              <w:rPr>
                <w:sz w:val="14"/>
                <w:szCs w:val="14"/>
                <w:color w:val="auto"/>
              </w:rPr>
            </w:pPr>
          </w:p>
        </w:tc>
        <w:tc>
          <w:tcPr>
            <w:tcW w:w="2140" w:type="dxa"/>
            <w:vAlign w:val="bottom"/>
            <w:tcBorders>
              <w:right w:val="single" w:sz="8" w:color="494949"/>
            </w:tcBorders>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0" w:type="dxa"/>
            <w:vAlign w:val="bottom"/>
            <w:tcBorders>
              <w:right w:val="single" w:sz="8" w:color="494949"/>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right w:val="single" w:sz="8" w:color="494949"/>
            </w:tcBorders>
          </w:tcPr>
          <w:p>
            <w:pPr>
              <w:spacing w:after="0"/>
              <w:rPr>
                <w:sz w:val="14"/>
                <w:szCs w:val="14"/>
                <w:color w:val="auto"/>
              </w:rPr>
            </w:pPr>
          </w:p>
        </w:tc>
        <w:tc>
          <w:tcPr>
            <w:tcW w:w="920" w:type="dxa"/>
            <w:vAlign w:val="bottom"/>
            <w:tcBorders>
              <w:right w:val="single" w:sz="8" w:color="494949"/>
            </w:tcBorders>
          </w:tcPr>
          <w:p>
            <w:pPr>
              <w:spacing w:after="0"/>
              <w:rPr>
                <w:sz w:val="14"/>
                <w:szCs w:val="14"/>
                <w:color w:val="auto"/>
              </w:rPr>
            </w:pPr>
          </w:p>
        </w:tc>
        <w:tc>
          <w:tcPr>
            <w:tcW w:w="660" w:type="dxa"/>
            <w:vAlign w:val="bottom"/>
            <w:tcBorders>
              <w:right w:val="single" w:sz="8" w:color="494949"/>
            </w:tcBorders>
          </w:tcPr>
          <w:p>
            <w:pPr>
              <w:spacing w:after="0"/>
              <w:rPr>
                <w:sz w:val="14"/>
                <w:szCs w:val="14"/>
                <w:color w:val="auto"/>
              </w:rPr>
            </w:pPr>
          </w:p>
        </w:tc>
        <w:tc>
          <w:tcPr>
            <w:tcW w:w="486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PSUs reinforce accountability through objective targets based</w:t>
            </w:r>
          </w:p>
        </w:tc>
        <w:tc>
          <w:tcPr>
            <w:tcW w:w="120" w:type="dxa"/>
            <w:vAlign w:val="bottom"/>
          </w:tcPr>
          <w:p>
            <w:pPr>
              <w:spacing w:after="0"/>
              <w:rPr>
                <w:sz w:val="14"/>
                <w:szCs w:val="14"/>
                <w:color w:val="auto"/>
              </w:rPr>
            </w:pPr>
          </w:p>
        </w:tc>
        <w:tc>
          <w:tcPr>
            <w:tcW w:w="2140" w:type="dxa"/>
            <w:vAlign w:val="bottom"/>
            <w:tcBorders>
              <w:right w:val="single" w:sz="8" w:color="494949"/>
            </w:tcBorders>
          </w:tcPr>
          <w:p>
            <w:pPr>
              <w:ind w:left="280"/>
              <w:spacing w:after="0" w:line="161" w:lineRule="exact"/>
              <w:rPr>
                <w:sz w:val="20"/>
                <w:szCs w:val="20"/>
                <w:color w:val="auto"/>
              </w:rPr>
            </w:pPr>
            <w:r>
              <w:rPr>
                <w:rFonts w:ascii="Arial" w:cs="Arial" w:eastAsia="Arial" w:hAnsi="Arial"/>
                <w:sz w:val="16"/>
                <w:szCs w:val="16"/>
                <w:color w:val="auto"/>
              </w:rPr>
              <w:t>end of the three-year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60" w:type="dxa"/>
            <w:vAlign w:val="bottom"/>
            <w:tcBorders>
              <w:right w:val="single" w:sz="8" w:color="494949"/>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right w:val="single" w:sz="8" w:color="494949"/>
            </w:tcBorders>
          </w:tcPr>
          <w:p>
            <w:pPr>
              <w:spacing w:after="0"/>
              <w:rPr>
                <w:sz w:val="11"/>
                <w:szCs w:val="11"/>
                <w:color w:val="auto"/>
              </w:rPr>
            </w:pPr>
          </w:p>
        </w:tc>
        <w:tc>
          <w:tcPr>
            <w:tcW w:w="920" w:type="dxa"/>
            <w:vAlign w:val="bottom"/>
            <w:tcBorders>
              <w:right w:val="single" w:sz="8" w:color="494949"/>
            </w:tcBorders>
          </w:tcPr>
          <w:p>
            <w:pPr>
              <w:spacing w:after="0"/>
              <w:rPr>
                <w:sz w:val="11"/>
                <w:szCs w:val="11"/>
                <w:color w:val="auto"/>
              </w:rPr>
            </w:pPr>
          </w:p>
        </w:tc>
        <w:tc>
          <w:tcPr>
            <w:tcW w:w="660" w:type="dxa"/>
            <w:vAlign w:val="bottom"/>
            <w:tcBorders>
              <w:right w:val="single" w:sz="8" w:color="494949"/>
            </w:tcBorders>
          </w:tcPr>
          <w:p>
            <w:pPr>
              <w:spacing w:after="0"/>
              <w:rPr>
                <w:sz w:val="11"/>
                <w:szCs w:val="11"/>
                <w:color w:val="auto"/>
              </w:rPr>
            </w:pPr>
          </w:p>
        </w:tc>
        <w:tc>
          <w:tcPr>
            <w:tcW w:w="4860" w:type="dxa"/>
            <w:vAlign w:val="bottom"/>
            <w:tcBorders>
              <w:right w:val="single" w:sz="8" w:color="494949"/>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performance period</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860" w:type="dxa"/>
            <w:vAlign w:val="bottom"/>
            <w:tcBorders>
              <w:right w:val="single" w:sz="8" w:color="494949"/>
            </w:tcBorders>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right w:val="single" w:sz="8" w:color="494949"/>
            </w:tcBorders>
          </w:tcPr>
          <w:p>
            <w:pPr>
              <w:spacing w:after="0"/>
              <w:rPr>
                <w:sz w:val="6"/>
                <w:szCs w:val="6"/>
                <w:color w:val="auto"/>
              </w:rPr>
            </w:pPr>
          </w:p>
        </w:tc>
        <w:tc>
          <w:tcPr>
            <w:tcW w:w="920" w:type="dxa"/>
            <w:vAlign w:val="bottom"/>
            <w:tcBorders>
              <w:right w:val="single" w:sz="8" w:color="494949"/>
            </w:tcBorders>
          </w:tcPr>
          <w:p>
            <w:pPr>
              <w:spacing w:after="0"/>
              <w:rPr>
                <w:sz w:val="6"/>
                <w:szCs w:val="6"/>
                <w:color w:val="auto"/>
              </w:rPr>
            </w:pPr>
          </w:p>
        </w:tc>
        <w:tc>
          <w:tcPr>
            <w:tcW w:w="660" w:type="dxa"/>
            <w:vAlign w:val="bottom"/>
            <w:tcBorders>
              <w:right w:val="single" w:sz="8" w:color="494949"/>
            </w:tcBorders>
          </w:tcPr>
          <w:p>
            <w:pPr>
              <w:spacing w:after="0"/>
              <w:rPr>
                <w:sz w:val="6"/>
                <w:szCs w:val="6"/>
                <w:color w:val="auto"/>
              </w:rPr>
            </w:pPr>
          </w:p>
        </w:tc>
        <w:tc>
          <w:tcPr>
            <w:tcW w:w="486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on absolute and relative ROTCE</w:t>
            </w:r>
          </w:p>
        </w:tc>
        <w:tc>
          <w:tcPr>
            <w:tcW w:w="120" w:type="dxa"/>
            <w:vAlign w:val="bottom"/>
          </w:tcPr>
          <w:p>
            <w:pPr>
              <w:spacing w:after="0"/>
              <w:rPr>
                <w:sz w:val="6"/>
                <w:szCs w:val="6"/>
                <w:color w:val="auto"/>
              </w:rPr>
            </w:pPr>
          </w:p>
        </w:tc>
        <w:tc>
          <w:tcPr>
            <w:tcW w:w="2140" w:type="dxa"/>
            <w:vAlign w:val="bottom"/>
            <w:tcBorders>
              <w:right w:val="single" w:sz="8" w:color="494949"/>
            </w:tcBorders>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860" w:type="dxa"/>
            <w:vAlign w:val="bottom"/>
            <w:tcBorders>
              <w:right w:val="single" w:sz="8" w:color="494949"/>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right w:val="single" w:sz="8" w:color="494949"/>
            </w:tcBorders>
          </w:tcPr>
          <w:p>
            <w:pPr>
              <w:spacing w:after="0"/>
              <w:rPr>
                <w:sz w:val="11"/>
                <w:szCs w:val="11"/>
                <w:color w:val="auto"/>
              </w:rPr>
            </w:pPr>
          </w:p>
        </w:tc>
        <w:tc>
          <w:tcPr>
            <w:tcW w:w="920" w:type="dxa"/>
            <w:vAlign w:val="bottom"/>
            <w:tcBorders>
              <w:right w:val="single" w:sz="8" w:color="494949"/>
            </w:tcBorders>
          </w:tcPr>
          <w:p>
            <w:pPr>
              <w:spacing w:after="0"/>
              <w:rPr>
                <w:sz w:val="11"/>
                <w:szCs w:val="11"/>
                <w:color w:val="auto"/>
              </w:rPr>
            </w:pPr>
          </w:p>
        </w:tc>
        <w:tc>
          <w:tcPr>
            <w:tcW w:w="660" w:type="dxa"/>
            <w:vAlign w:val="bottom"/>
            <w:tcBorders>
              <w:right w:val="single" w:sz="8" w:color="494949"/>
            </w:tcBorders>
          </w:tcPr>
          <w:p>
            <w:pPr>
              <w:spacing w:after="0"/>
              <w:rPr>
                <w:sz w:val="11"/>
                <w:szCs w:val="11"/>
                <w:color w:val="auto"/>
              </w:rPr>
            </w:pPr>
          </w:p>
        </w:tc>
        <w:tc>
          <w:tcPr>
            <w:tcW w:w="4860" w:type="dxa"/>
            <w:vAlign w:val="bottom"/>
            <w:tcBorders>
              <w:right w:val="single" w:sz="8" w:color="494949"/>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Subject to a two-year</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860" w:type="dxa"/>
            <w:vAlign w:val="bottom"/>
            <w:tcBorders>
              <w:right w:val="single" w:sz="8" w:color="494949"/>
            </w:tcBorders>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Borders>
              <w:right w:val="single" w:sz="8" w:color="494949"/>
            </w:tcBorders>
          </w:tcPr>
          <w:p>
            <w:pPr>
              <w:spacing w:after="0"/>
              <w:rPr>
                <w:sz w:val="5"/>
                <w:szCs w:val="5"/>
                <w:color w:val="auto"/>
              </w:rPr>
            </w:pPr>
          </w:p>
        </w:tc>
        <w:tc>
          <w:tcPr>
            <w:tcW w:w="920" w:type="dxa"/>
            <w:vAlign w:val="bottom"/>
            <w:tcBorders>
              <w:right w:val="single" w:sz="8" w:color="494949"/>
            </w:tcBorders>
          </w:tcPr>
          <w:p>
            <w:pPr>
              <w:spacing w:after="0"/>
              <w:rPr>
                <w:sz w:val="5"/>
                <w:szCs w:val="5"/>
                <w:color w:val="auto"/>
              </w:rPr>
            </w:pPr>
          </w:p>
        </w:tc>
        <w:tc>
          <w:tcPr>
            <w:tcW w:w="660" w:type="dxa"/>
            <w:vAlign w:val="bottom"/>
            <w:tcBorders>
              <w:right w:val="single" w:sz="8" w:color="494949"/>
            </w:tcBorders>
          </w:tcPr>
          <w:p>
            <w:pPr>
              <w:spacing w:after="0"/>
              <w:rPr>
                <w:sz w:val="5"/>
                <w:szCs w:val="5"/>
                <w:color w:val="auto"/>
              </w:rPr>
            </w:pPr>
          </w:p>
        </w:tc>
        <w:tc>
          <w:tcPr>
            <w:tcW w:w="486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 goals are the same for the entire award term</w:t>
            </w:r>
          </w:p>
        </w:tc>
        <w:tc>
          <w:tcPr>
            <w:tcW w:w="120" w:type="dxa"/>
            <w:vAlign w:val="bottom"/>
          </w:tcPr>
          <w:p>
            <w:pPr>
              <w:spacing w:after="0"/>
              <w:rPr>
                <w:sz w:val="5"/>
                <w:szCs w:val="5"/>
                <w:color w:val="auto"/>
              </w:rPr>
            </w:pPr>
          </w:p>
        </w:tc>
        <w:tc>
          <w:tcPr>
            <w:tcW w:w="2140" w:type="dxa"/>
            <w:vAlign w:val="bottom"/>
            <w:tcBorders>
              <w:right w:val="single" w:sz="8" w:color="494949"/>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860" w:type="dxa"/>
            <w:vAlign w:val="bottom"/>
            <w:tcBorders>
              <w:right w:val="single" w:sz="8" w:color="494949"/>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right w:val="single" w:sz="8" w:color="494949"/>
            </w:tcBorders>
          </w:tcPr>
          <w:p>
            <w:pPr>
              <w:spacing w:after="0"/>
              <w:rPr>
                <w:sz w:val="18"/>
                <w:szCs w:val="18"/>
                <w:color w:val="auto"/>
              </w:rPr>
            </w:pPr>
          </w:p>
        </w:tc>
        <w:tc>
          <w:tcPr>
            <w:tcW w:w="920" w:type="dxa"/>
            <w:vAlign w:val="bottom"/>
            <w:tcBorders>
              <w:right w:val="single" w:sz="8" w:color="494949"/>
            </w:tcBorders>
          </w:tcPr>
          <w:p>
            <w:pPr>
              <w:spacing w:after="0"/>
              <w:rPr>
                <w:sz w:val="18"/>
                <w:szCs w:val="18"/>
                <w:color w:val="auto"/>
              </w:rPr>
            </w:pPr>
          </w:p>
        </w:tc>
        <w:tc>
          <w:tcPr>
            <w:tcW w:w="660" w:type="dxa"/>
            <w:vAlign w:val="bottom"/>
            <w:tcBorders>
              <w:right w:val="single" w:sz="8" w:color="494949"/>
            </w:tcBorders>
          </w:tcPr>
          <w:p>
            <w:pPr>
              <w:spacing w:after="0"/>
              <w:rPr>
                <w:sz w:val="18"/>
                <w:szCs w:val="18"/>
                <w:color w:val="auto"/>
              </w:rPr>
            </w:pPr>
          </w:p>
        </w:tc>
        <w:tc>
          <w:tcPr>
            <w:tcW w:w="4860" w:type="dxa"/>
            <w:vAlign w:val="bottom"/>
            <w:tcBorders>
              <w:right w:val="single" w:sz="8" w:color="494949"/>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hold after vesting</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0" w:type="dxa"/>
            <w:vAlign w:val="bottom"/>
            <w:tcBorders>
              <w:right w:val="single" w:sz="8" w:color="494949"/>
            </w:tcBorders>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Borders>
              <w:right w:val="single" w:sz="8" w:color="494949"/>
            </w:tcBorders>
          </w:tcPr>
          <w:p>
            <w:pPr>
              <w:spacing w:after="0"/>
              <w:rPr>
                <w:sz w:val="22"/>
                <w:szCs w:val="22"/>
                <w:color w:val="auto"/>
              </w:rPr>
            </w:pPr>
          </w:p>
        </w:tc>
        <w:tc>
          <w:tcPr>
            <w:tcW w:w="920" w:type="dxa"/>
            <w:vAlign w:val="bottom"/>
            <w:tcBorders>
              <w:right w:val="single" w:sz="8" w:color="494949"/>
            </w:tcBorders>
          </w:tcPr>
          <w:p>
            <w:pPr>
              <w:spacing w:after="0"/>
              <w:rPr>
                <w:sz w:val="22"/>
                <w:szCs w:val="22"/>
                <w:color w:val="auto"/>
              </w:rPr>
            </w:pPr>
          </w:p>
        </w:tc>
        <w:tc>
          <w:tcPr>
            <w:tcW w:w="660" w:type="dxa"/>
            <w:vAlign w:val="bottom"/>
            <w:tcBorders>
              <w:right w:val="single" w:sz="8" w:color="494949"/>
            </w:tcBorders>
          </w:tcPr>
          <w:p>
            <w:pPr>
              <w:spacing w:after="0"/>
              <w:rPr>
                <w:sz w:val="22"/>
                <w:szCs w:val="22"/>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 payout of 0–150% is settled in shares</w:t>
            </w:r>
          </w:p>
        </w:tc>
        <w:tc>
          <w:tcPr>
            <w:tcW w:w="120" w:type="dxa"/>
            <w:vAlign w:val="bottom"/>
          </w:tcPr>
          <w:p>
            <w:pPr>
              <w:spacing w:after="0"/>
              <w:rPr>
                <w:sz w:val="22"/>
                <w:szCs w:val="22"/>
                <w:color w:val="auto"/>
              </w:rPr>
            </w:pPr>
          </w:p>
        </w:tc>
        <w:tc>
          <w:tcPr>
            <w:tcW w:w="2140" w:type="dxa"/>
            <w:vAlign w:val="bottom"/>
            <w:tcBorders>
              <w:right w:val="single" w:sz="8" w:color="494949"/>
            </w:tcBorders>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60" w:type="dxa"/>
            <w:vAlign w:val="bottom"/>
            <w:tcBorders>
              <w:right w:val="single" w:sz="8" w:color="494949"/>
            </w:tcBorders>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right w:val="single" w:sz="8" w:color="494949"/>
            </w:tcBorders>
          </w:tcPr>
          <w:p>
            <w:pPr>
              <w:spacing w:after="0"/>
              <w:rPr>
                <w:sz w:val="21"/>
                <w:szCs w:val="21"/>
                <w:color w:val="auto"/>
              </w:rPr>
            </w:pPr>
          </w:p>
        </w:tc>
        <w:tc>
          <w:tcPr>
            <w:tcW w:w="920" w:type="dxa"/>
            <w:vAlign w:val="bottom"/>
            <w:tcBorders>
              <w:right w:val="single" w:sz="8" w:color="494949"/>
            </w:tcBorders>
          </w:tcPr>
          <w:p>
            <w:pPr>
              <w:spacing w:after="0"/>
              <w:rPr>
                <w:sz w:val="21"/>
                <w:szCs w:val="21"/>
                <w:color w:val="auto"/>
              </w:rPr>
            </w:pPr>
          </w:p>
        </w:tc>
        <w:tc>
          <w:tcPr>
            <w:tcW w:w="660" w:type="dxa"/>
            <w:vAlign w:val="bottom"/>
            <w:tcBorders>
              <w:right w:val="single" w:sz="8" w:color="494949"/>
            </w:tcBorders>
          </w:tcPr>
          <w:p>
            <w:pPr>
              <w:spacing w:after="0"/>
              <w:rPr>
                <w:sz w:val="21"/>
                <w:szCs w:val="21"/>
                <w:color w:val="auto"/>
              </w:rPr>
            </w:pPr>
          </w:p>
        </w:tc>
        <w:tc>
          <w:tcPr>
            <w:tcW w:w="4860" w:type="dxa"/>
            <w:vAlign w:val="bottom"/>
            <w:tcBorders>
              <w:right w:val="single" w:sz="8" w:color="494949"/>
            </w:tcBorders>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Dividend equivalents accrue on PSUs and are subject to the</w:t>
            </w:r>
          </w:p>
        </w:tc>
        <w:tc>
          <w:tcPr>
            <w:tcW w:w="120" w:type="dxa"/>
            <w:vAlign w:val="bottom"/>
          </w:tcPr>
          <w:p>
            <w:pPr>
              <w:spacing w:after="0"/>
              <w:rPr>
                <w:sz w:val="21"/>
                <w:szCs w:val="21"/>
                <w:color w:val="auto"/>
              </w:rPr>
            </w:pPr>
          </w:p>
        </w:tc>
        <w:tc>
          <w:tcPr>
            <w:tcW w:w="2140" w:type="dxa"/>
            <w:vAlign w:val="bottom"/>
            <w:tcBorders>
              <w:right w:val="single" w:sz="8" w:color="494949"/>
            </w:tcBorders>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60" w:type="dxa"/>
            <w:vAlign w:val="bottom"/>
            <w:tcBorders>
              <w:right w:val="single" w:sz="8" w:color="494949"/>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494949"/>
            </w:tcBorders>
          </w:tcPr>
          <w:p>
            <w:pPr>
              <w:spacing w:after="0"/>
              <w:rPr>
                <w:sz w:val="16"/>
                <w:szCs w:val="16"/>
                <w:color w:val="auto"/>
              </w:rPr>
            </w:pPr>
          </w:p>
        </w:tc>
        <w:tc>
          <w:tcPr>
            <w:tcW w:w="920" w:type="dxa"/>
            <w:vAlign w:val="bottom"/>
            <w:tcBorders>
              <w:right w:val="single" w:sz="8" w:color="494949"/>
            </w:tcBorders>
          </w:tcPr>
          <w:p>
            <w:pPr>
              <w:spacing w:after="0"/>
              <w:rPr>
                <w:sz w:val="16"/>
                <w:szCs w:val="16"/>
                <w:color w:val="auto"/>
              </w:rPr>
            </w:pPr>
          </w:p>
        </w:tc>
        <w:tc>
          <w:tcPr>
            <w:tcW w:w="660" w:type="dxa"/>
            <w:vAlign w:val="bottom"/>
            <w:tcBorders>
              <w:right w:val="single" w:sz="8" w:color="494949"/>
            </w:tcBorders>
          </w:tcPr>
          <w:p>
            <w:pPr>
              <w:spacing w:after="0"/>
              <w:rPr>
                <w:sz w:val="16"/>
                <w:szCs w:val="16"/>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same vesting, performance and clawback provisions as the</w:t>
            </w:r>
          </w:p>
        </w:tc>
        <w:tc>
          <w:tcPr>
            <w:tcW w:w="120" w:type="dxa"/>
            <w:vAlign w:val="bottom"/>
          </w:tcPr>
          <w:p>
            <w:pPr>
              <w:spacing w:after="0"/>
              <w:rPr>
                <w:sz w:val="16"/>
                <w:szCs w:val="16"/>
                <w:color w:val="auto"/>
              </w:rPr>
            </w:pPr>
          </w:p>
        </w:tc>
        <w:tc>
          <w:tcPr>
            <w:tcW w:w="2140" w:type="dxa"/>
            <w:vAlign w:val="bottom"/>
            <w:tcBorders>
              <w:right w:val="single" w:sz="8" w:color="494949"/>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60" w:type="dxa"/>
            <w:vAlign w:val="bottom"/>
            <w:tcBorders>
              <w:right w:val="single" w:sz="8" w:color="494949"/>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right w:val="single" w:sz="8" w:color="494949"/>
            </w:tcBorders>
          </w:tcPr>
          <w:p>
            <w:pPr>
              <w:spacing w:after="0"/>
              <w:rPr>
                <w:sz w:val="18"/>
                <w:szCs w:val="18"/>
                <w:color w:val="auto"/>
              </w:rPr>
            </w:pPr>
          </w:p>
        </w:tc>
        <w:tc>
          <w:tcPr>
            <w:tcW w:w="920" w:type="dxa"/>
            <w:vAlign w:val="bottom"/>
            <w:tcBorders>
              <w:right w:val="single" w:sz="8" w:color="494949"/>
            </w:tcBorders>
          </w:tcPr>
          <w:p>
            <w:pPr>
              <w:spacing w:after="0"/>
              <w:rPr>
                <w:sz w:val="18"/>
                <w:szCs w:val="18"/>
                <w:color w:val="auto"/>
              </w:rPr>
            </w:pPr>
          </w:p>
        </w:tc>
        <w:tc>
          <w:tcPr>
            <w:tcW w:w="660" w:type="dxa"/>
            <w:vAlign w:val="bottom"/>
            <w:tcBorders>
              <w:right w:val="single" w:sz="8" w:color="494949"/>
            </w:tcBorders>
          </w:tcPr>
          <w:p>
            <w:pPr>
              <w:spacing w:after="0"/>
              <w:rPr>
                <w:sz w:val="18"/>
                <w:szCs w:val="18"/>
                <w:color w:val="auto"/>
              </w:rPr>
            </w:pPr>
          </w:p>
        </w:tc>
        <w:tc>
          <w:tcPr>
            <w:tcW w:w="486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underlying PSUs</w:t>
            </w:r>
          </w:p>
        </w:tc>
        <w:tc>
          <w:tcPr>
            <w:tcW w:w="120" w:type="dxa"/>
            <w:vAlign w:val="bottom"/>
          </w:tcPr>
          <w:p>
            <w:pPr>
              <w:spacing w:after="0"/>
              <w:rPr>
                <w:sz w:val="18"/>
                <w:szCs w:val="18"/>
                <w:color w:val="auto"/>
              </w:rPr>
            </w:pPr>
          </w:p>
        </w:tc>
        <w:tc>
          <w:tcPr>
            <w:tcW w:w="2140" w:type="dxa"/>
            <w:vAlign w:val="bottom"/>
            <w:tcBorders>
              <w:right w:val="single" w:sz="8" w:color="494949"/>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860" w:type="dxa"/>
            <w:vAlign w:val="bottom"/>
            <w:tcBorders>
              <w:bottom w:val="single" w:sz="8" w:color="494949"/>
              <w:right w:val="single" w:sz="8" w:color="494949"/>
            </w:tcBorders>
          </w:tcPr>
          <w:p>
            <w:pPr>
              <w:spacing w:after="0"/>
              <w:rPr>
                <w:sz w:val="2"/>
                <w:szCs w:val="2"/>
                <w:color w:val="auto"/>
              </w:rPr>
            </w:pPr>
          </w:p>
        </w:tc>
        <w:tc>
          <w:tcPr>
            <w:tcW w:w="580" w:type="dxa"/>
            <w:vAlign w:val="bottom"/>
            <w:tcBorders>
              <w:bottom w:val="single" w:sz="8" w:color="494949"/>
            </w:tcBorders>
          </w:tcPr>
          <w:p>
            <w:pPr>
              <w:spacing w:after="0"/>
              <w:rPr>
                <w:sz w:val="2"/>
                <w:szCs w:val="2"/>
                <w:color w:val="auto"/>
              </w:rPr>
            </w:pPr>
          </w:p>
        </w:tc>
        <w:tc>
          <w:tcPr>
            <w:tcW w:w="80" w:type="dxa"/>
            <w:vAlign w:val="bottom"/>
            <w:tcBorders>
              <w:bottom w:val="single" w:sz="8" w:color="494949"/>
              <w:right w:val="single" w:sz="8" w:color="494949"/>
            </w:tcBorders>
          </w:tcPr>
          <w:p>
            <w:pPr>
              <w:spacing w:after="0"/>
              <w:rPr>
                <w:sz w:val="2"/>
                <w:szCs w:val="2"/>
                <w:color w:val="auto"/>
              </w:rPr>
            </w:pPr>
          </w:p>
        </w:tc>
        <w:tc>
          <w:tcPr>
            <w:tcW w:w="920" w:type="dxa"/>
            <w:vAlign w:val="bottom"/>
            <w:tcBorders>
              <w:bottom w:val="single" w:sz="8" w:color="494949"/>
              <w:right w:val="single" w:sz="8" w:color="494949"/>
            </w:tcBorders>
          </w:tcPr>
          <w:p>
            <w:pPr>
              <w:spacing w:after="0"/>
              <w:rPr>
                <w:sz w:val="2"/>
                <w:szCs w:val="2"/>
                <w:color w:val="auto"/>
              </w:rPr>
            </w:pPr>
          </w:p>
        </w:tc>
        <w:tc>
          <w:tcPr>
            <w:tcW w:w="660" w:type="dxa"/>
            <w:vAlign w:val="bottom"/>
            <w:tcBorders>
              <w:bottom w:val="single" w:sz="8" w:color="494949"/>
              <w:right w:val="single" w:sz="8" w:color="494949"/>
            </w:tcBorders>
          </w:tcPr>
          <w:p>
            <w:pPr>
              <w:spacing w:after="0"/>
              <w:rPr>
                <w:sz w:val="2"/>
                <w:szCs w:val="2"/>
                <w:color w:val="auto"/>
              </w:rPr>
            </w:pPr>
          </w:p>
        </w:tc>
        <w:tc>
          <w:tcPr>
            <w:tcW w:w="4860" w:type="dxa"/>
            <w:vAlign w:val="bottom"/>
            <w:tcBorders>
              <w:bottom w:val="single" w:sz="8" w:color="494949"/>
              <w:right w:val="single" w:sz="8" w:color="494949"/>
            </w:tcBorders>
          </w:tcPr>
          <w:p>
            <w:pPr>
              <w:spacing w:after="0"/>
              <w:rPr>
                <w:sz w:val="2"/>
                <w:szCs w:val="2"/>
                <w:color w:val="auto"/>
              </w:rPr>
            </w:pPr>
          </w:p>
        </w:tc>
        <w:tc>
          <w:tcPr>
            <w:tcW w:w="120" w:type="dxa"/>
            <w:vAlign w:val="bottom"/>
            <w:tcBorders>
              <w:bottom w:val="single" w:sz="8" w:color="494949"/>
            </w:tcBorders>
          </w:tcPr>
          <w:p>
            <w:pPr>
              <w:spacing w:after="0"/>
              <w:rPr>
                <w:sz w:val="2"/>
                <w:szCs w:val="2"/>
                <w:color w:val="auto"/>
              </w:rPr>
            </w:pPr>
          </w:p>
        </w:tc>
        <w:tc>
          <w:tcPr>
            <w:tcW w:w="2140" w:type="dxa"/>
            <w:vAlign w:val="bottom"/>
            <w:tcBorders>
              <w:bottom w:val="single" w:sz="8" w:color="494949"/>
              <w:right w:val="single" w:sz="8" w:color="494949"/>
            </w:tcBorders>
          </w:tcPr>
          <w:p>
            <w:pPr>
              <w:spacing w:after="0"/>
              <w:rPr>
                <w:sz w:val="2"/>
                <w:szCs w:val="2"/>
                <w:color w:val="auto"/>
              </w:rPr>
            </w:pPr>
          </w:p>
        </w:tc>
        <w:tc>
          <w:tcPr>
            <w:tcW w:w="102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-3060065</wp:posOffset>
            </wp:positionV>
            <wp:extent cx="154305" cy="154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-2442845</wp:posOffset>
            </wp:positionV>
            <wp:extent cx="154305" cy="154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-1628140</wp:posOffset>
            </wp:positionV>
            <wp:extent cx="154305" cy="1543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33" w:lineRule="exact"/>
        <w:rPr>
          <w:sz w:val="20"/>
          <w:szCs w:val="20"/>
          <w:color w:val="auto"/>
        </w:rPr>
      </w:pPr>
    </w:p>
    <w:p>
      <w:pPr>
        <w:ind w:left="200" w:hanging="192"/>
        <w:spacing w:after="0"/>
        <w:tabs>
          <w:tab w:leader="none" w:pos="200" w:val="left"/>
        </w:tabs>
        <w:numPr>
          <w:ilvl w:val="0"/>
          <w:numId w:val="138"/>
        </w:numPr>
        <w:rPr>
          <w:rFonts w:ascii="Arial" w:cs="Arial" w:eastAsia="Arial" w:hAnsi="Arial"/>
          <w:sz w:val="16"/>
          <w:szCs w:val="16"/>
          <w:color w:val="auto"/>
          <w:vertAlign w:val="superscript"/>
        </w:rPr>
      </w:pPr>
      <w:r>
        <w:rPr>
          <w:rFonts w:ascii="Arial" w:cs="Arial" w:eastAsia="Arial" w:hAnsi="Arial"/>
          <w:sz w:val="13"/>
          <w:szCs w:val="13"/>
          <w:color w:val="auto"/>
        </w:rPr>
        <w:t>Additional information on recovery and clawback provisions is provided on page 49.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074A75"/>
        </w:rPr>
        <w:t>2024 Operating Committee Salary Update</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part of its overall compensation evaluation, the CMDC reviews the current market practices and pay mix of our peers annually. Following its review of pay mix in 2023, the CMDC considered that OC member salaries continue to be generally lower than our peers, and that increasing OC salaries would be appropriate based on their current market position.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2024, the CMDC approved salary increases for U.S.-based OC members, excluding Messrs. Dimon and Pinto, of $250,000, from</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$750,000 to $1,000,000, effective January 1, 2024. It considered that the new salary would continue to reflect our compensation philosophy of providing competitive compensation for top talent, and result in an appropriate pay mix, with the majority of compensation continuing to be delivered through variable compensation in the form of cash and equity. This increase is related to how the CMDC considers pay mix decisions, and total compensation will not be impacted for the forthcoming year as the CMDC will perform its balanced and holistic review of performance to determine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256540</wp:posOffset>
            </wp:positionV>
            <wp:extent cx="27432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43  </w:t>
      </w:r>
      <w:r>
        <w:rPr>
          <w:sz w:val="1"/>
          <w:szCs w:val="1"/>
          <w:color w:val="auto"/>
        </w:rPr>
        <w:drawing>
          <wp:inline distT="0" distB="0" distL="0" distR="0">
            <wp:extent cx="2203450" cy="154305"/>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Performance share unit program</w:t>
      </w:r>
    </w:p>
    <w:p>
      <w:pPr>
        <w:spacing w:after="0" w:line="1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part of the design of the PSU program, the ultimate number of PSUs paid out at vesting is determined by a pre-established formula set at the time of the award based on the Firm’s absolute and relative ROTCE performance over the subsequent three years, with the value of the payout ranging from 0% to 150% and subject to risk and control features. The value upon vesting of PSUs is also directly tied to the Firm’s performance through its stock price, similar to RSUs. The CMDC believes that the PSU design continues to appropriately incentivize strong performance by our OC members, does not encourage excessive risk-taking and is aligned with long-term shareholder interests. Since PSUs were first introduced in 2015, we have received positive shareholder support for this aspect of our executive compensation program.</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074A75"/>
        </w:rPr>
        <w:t>UPDATES TO THE PSU PROGRAM</w:t>
      </w:r>
    </w:p>
    <w:p>
      <w:pPr>
        <w:spacing w:after="0" w:line="124"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The CMDC reviews and approves the key features of the PSU program each year. For the 2023 PSU awards granted in January 2024, the CMDC maintained the key structure of the design, with select updates to address external factors and enhance the rigor of the PSU program.</w:t>
      </w:r>
    </w:p>
    <w:p>
      <w:pPr>
        <w:spacing w:after="0" w:line="22" w:lineRule="exact"/>
        <w:rPr>
          <w:sz w:val="20"/>
          <w:szCs w:val="20"/>
          <w:color w:val="auto"/>
        </w:rPr>
      </w:pPr>
    </w:p>
    <w:p>
      <w:pPr>
        <w:ind w:left="200" w:right="380" w:hanging="192"/>
        <w:spacing w:after="0" w:line="262" w:lineRule="auto"/>
        <w:tabs>
          <w:tab w:leader="none" w:pos="204" w:val="left"/>
        </w:tabs>
        <w:numPr>
          <w:ilvl w:val="0"/>
          <w:numId w:val="139"/>
        </w:numPr>
        <w:rPr>
          <w:rFonts w:ascii="Arial" w:cs="Arial" w:eastAsia="Arial" w:hAnsi="Arial"/>
          <w:sz w:val="18"/>
          <w:szCs w:val="18"/>
          <w:color w:val="074A75"/>
        </w:rPr>
      </w:pPr>
      <w:r>
        <w:rPr>
          <w:rFonts w:ascii="Arial" w:cs="Arial" w:eastAsia="Arial" w:hAnsi="Arial"/>
          <w:sz w:val="18"/>
          <w:szCs w:val="18"/>
          <w:b w:val="1"/>
          <w:bCs w:val="1"/>
          <w:color w:val="auto"/>
        </w:rPr>
        <w:t xml:space="preserve">PSU Peers: </w:t>
      </w:r>
      <w:r>
        <w:rPr>
          <w:rFonts w:ascii="Arial" w:cs="Arial" w:eastAsia="Arial" w:hAnsi="Arial"/>
          <w:sz w:val="18"/>
          <w:szCs w:val="18"/>
          <w:color w:val="auto"/>
        </w:rPr>
        <w:t>In 2023, Credit Suisse (a PSU peer company) was acquired by UBS (also a PSU peer company). In response, the CMDC</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several potential peer alternatives for both new and outstanding awards, and approved removing Credit Suisse without a replacement, which results in 10 companies used for evaluating relative performance. The current PSU Peers continue to reflect large financial services companies with at least 30% of JPMorgan Chase's revenue mix.</w:t>
      </w:r>
    </w:p>
    <w:p>
      <w:pPr>
        <w:spacing w:after="0" w:line="27" w:lineRule="exact"/>
        <w:rPr>
          <w:rFonts w:ascii="Arial" w:cs="Arial" w:eastAsia="Arial" w:hAnsi="Arial"/>
          <w:sz w:val="18"/>
          <w:szCs w:val="18"/>
          <w:color w:val="074A75"/>
        </w:rPr>
      </w:pPr>
    </w:p>
    <w:p>
      <w:pPr>
        <w:ind w:left="200" w:right="460" w:hanging="192"/>
        <w:spacing w:after="0" w:line="287" w:lineRule="auto"/>
        <w:tabs>
          <w:tab w:leader="none" w:pos="204" w:val="left"/>
        </w:tabs>
        <w:numPr>
          <w:ilvl w:val="0"/>
          <w:numId w:val="139"/>
        </w:numPr>
        <w:rPr>
          <w:rFonts w:ascii="Arial" w:cs="Arial" w:eastAsia="Arial" w:hAnsi="Arial"/>
          <w:sz w:val="18"/>
          <w:szCs w:val="18"/>
          <w:color w:val="074A75"/>
        </w:rPr>
      </w:pPr>
      <w:r>
        <w:rPr>
          <w:rFonts w:ascii="Arial" w:cs="Arial" w:eastAsia="Arial" w:hAnsi="Arial"/>
          <w:sz w:val="18"/>
          <w:szCs w:val="18"/>
          <w:b w:val="1"/>
          <w:bCs w:val="1"/>
          <w:color w:val="auto"/>
        </w:rPr>
        <w:t xml:space="preserve">PSU relative Payout Scale: </w:t>
      </w:r>
      <w:r>
        <w:rPr>
          <w:rFonts w:ascii="Arial" w:cs="Arial" w:eastAsia="Arial" w:hAnsi="Arial"/>
          <w:sz w:val="18"/>
          <w:szCs w:val="18"/>
          <w:color w:val="auto"/>
        </w:rPr>
        <w:t>In conjunction with the removal of Credit Suisse, the CMDC approved an updated relative Payout Scale,</w:t>
      </w:r>
      <w:r>
        <w:rPr>
          <w:rFonts w:ascii="Arial" w:cs="Arial" w:eastAsia="Arial" w:hAnsi="Arial"/>
          <w:sz w:val="18"/>
          <w:szCs w:val="18"/>
          <w:b w:val="1"/>
          <w:bCs w:val="1"/>
          <w:color w:val="auto"/>
        </w:rPr>
        <w:t xml:space="preserve"> </w:t>
      </w:r>
      <w:r>
        <w:rPr>
          <w:rFonts w:ascii="Arial" w:cs="Arial" w:eastAsia="Arial" w:hAnsi="Arial"/>
          <w:sz w:val="18"/>
          <w:szCs w:val="18"/>
          <w:color w:val="auto"/>
        </w:rPr>
        <w:t>where rank #11 payout is now 0% (compared to 40% previously).</w:t>
      </w:r>
    </w:p>
    <w:p>
      <w:pPr>
        <w:spacing w:after="0" w:line="13" w:lineRule="exact"/>
        <w:rPr>
          <w:rFonts w:ascii="Arial" w:cs="Arial" w:eastAsia="Arial" w:hAnsi="Arial"/>
          <w:sz w:val="18"/>
          <w:szCs w:val="18"/>
          <w:color w:val="074A75"/>
        </w:rPr>
      </w:pPr>
    </w:p>
    <w:p>
      <w:pPr>
        <w:ind w:left="200" w:right="400" w:hanging="192"/>
        <w:spacing w:after="0" w:line="233" w:lineRule="auto"/>
        <w:tabs>
          <w:tab w:leader="none" w:pos="204" w:val="left"/>
        </w:tabs>
        <w:numPr>
          <w:ilvl w:val="0"/>
          <w:numId w:val="139"/>
        </w:numPr>
        <w:rPr>
          <w:rFonts w:ascii="Arial" w:cs="Arial" w:eastAsia="Arial" w:hAnsi="Arial"/>
          <w:sz w:val="18"/>
          <w:szCs w:val="18"/>
          <w:color w:val="074A75"/>
        </w:rPr>
      </w:pPr>
      <w:r>
        <w:rPr>
          <w:rFonts w:ascii="Arial" w:cs="Arial" w:eastAsia="Arial" w:hAnsi="Arial"/>
          <w:sz w:val="18"/>
          <w:szCs w:val="18"/>
          <w:b w:val="1"/>
          <w:bCs w:val="1"/>
          <w:color w:val="auto"/>
        </w:rPr>
        <w:t>Common equity Tier 1 (“CET1”) capital ratio</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hurdle</w:t>
      </w:r>
      <w:r>
        <w:rPr>
          <w:rFonts w:ascii="Arial" w:cs="Arial" w:eastAsia="Arial" w:hAnsi="Arial"/>
          <w:sz w:val="18"/>
          <w:szCs w:val="18"/>
          <w:color w:val="auto"/>
        </w:rPr>
        <w:t>: Given increased capital requirements since the introduction of this risk-based</w:t>
      </w:r>
      <w:r>
        <w:rPr>
          <w:rFonts w:ascii="Arial" w:cs="Arial" w:eastAsia="Arial" w:hAnsi="Arial"/>
          <w:sz w:val="18"/>
          <w:szCs w:val="18"/>
          <w:b w:val="1"/>
          <w:bCs w:val="1"/>
          <w:color w:val="auto"/>
        </w:rPr>
        <w:t xml:space="preserve"> </w:t>
      </w:r>
      <w:r>
        <w:rPr>
          <w:rFonts w:ascii="Arial" w:cs="Arial" w:eastAsia="Arial" w:hAnsi="Arial"/>
          <w:sz w:val="18"/>
          <w:szCs w:val="18"/>
          <w:color w:val="auto"/>
        </w:rPr>
        <w:t>hurdle in 2017, the CMDC approved increasing the hurdle by 50 basis points, from 7.5% to 8%.</w:t>
      </w:r>
    </w:p>
    <w:p>
      <w:pPr>
        <w:spacing w:after="0" w:line="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above program updates are applicable to PSU awards granted in January 2024, and the PSU Peers and relative Payout Scale updates also apply to outstanding awards granted in January 2021, 2022, and 2023, to maintain the intended rigor and economics of the awards. Please see the following page for additional information on our key PSU program features, including the PSU Peers, relative Payout Scale and our CET1 capital ratio</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hurdle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hanging="192"/>
        <w:spacing w:after="0"/>
        <w:tabs>
          <w:tab w:leader="none" w:pos="200" w:val="left"/>
        </w:tabs>
        <w:numPr>
          <w:ilvl w:val="0"/>
          <w:numId w:val="140"/>
        </w:numPr>
        <w:rPr>
          <w:rFonts w:ascii="Arial" w:cs="Arial" w:eastAsia="Arial" w:hAnsi="Arial"/>
          <w:sz w:val="16"/>
          <w:szCs w:val="16"/>
          <w:color w:val="auto"/>
          <w:vertAlign w:val="superscript"/>
        </w:rPr>
      </w:pPr>
      <w:r>
        <w:rPr>
          <w:rFonts w:ascii="Arial" w:cs="Arial" w:eastAsia="Arial" w:hAnsi="Arial"/>
          <w:sz w:val="13"/>
          <w:szCs w:val="13"/>
          <w:color w:val="auto"/>
        </w:rPr>
        <w:t>The CET1 ratio is a key regulatory capital measure; refer to Additional notes, Note 1, on page 114, for additional information on this measure.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84"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Apart from the updates as described on the prior page, the key features of our 2023 PSU program are substantially unchanged and are summarized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680" w:type="dxa"/>
            <w:vAlign w:val="bottom"/>
            <w:tcBorders>
              <w:bottom w:val="single" w:sz="8" w:color="494949"/>
              <w:right w:val="single" w:sz="8" w:color="494949"/>
            </w:tcBorders>
          </w:tcPr>
          <w:p>
            <w:pPr>
              <w:ind w:left="20"/>
              <w:spacing w:after="0"/>
              <w:rPr>
                <w:sz w:val="20"/>
                <w:szCs w:val="20"/>
                <w:color w:val="auto"/>
              </w:rPr>
            </w:pPr>
            <w:r>
              <w:rPr>
                <w:rFonts w:ascii="Arial" w:cs="Arial" w:eastAsia="Arial" w:hAnsi="Arial"/>
                <w:sz w:val="16"/>
                <w:szCs w:val="16"/>
                <w:color w:val="074A75"/>
              </w:rPr>
              <w:t>Plan Feature</w:t>
            </w:r>
          </w:p>
        </w:tc>
        <w:tc>
          <w:tcPr>
            <w:tcW w:w="9560" w:type="dxa"/>
            <w:vAlign w:val="bottom"/>
            <w:tcBorders>
              <w:bottom w:val="single" w:sz="8" w:color="494949"/>
            </w:tcBorders>
          </w:tcPr>
          <w:p>
            <w:pPr>
              <w:ind w:left="3060"/>
              <w:spacing w:after="0"/>
              <w:rPr>
                <w:sz w:val="20"/>
                <w:szCs w:val="20"/>
                <w:color w:val="auto"/>
              </w:rPr>
            </w:pPr>
            <w:r>
              <w:rPr>
                <w:rFonts w:ascii="Arial" w:cs="Arial" w:eastAsia="Arial" w:hAnsi="Arial"/>
                <w:sz w:val="16"/>
                <w:szCs w:val="16"/>
                <w:color w:val="074A75"/>
              </w:rPr>
              <w:t>Performance Year 2023 PSU Award Description</w:t>
            </w:r>
          </w:p>
        </w:tc>
      </w:tr>
      <w:tr>
        <w:trPr>
          <w:trHeight w:val="237"/>
        </w:trPr>
        <w:tc>
          <w:tcPr>
            <w:tcW w:w="1680" w:type="dxa"/>
            <w:vAlign w:val="bottom"/>
            <w:tcBorders>
              <w:bottom w:val="single" w:sz="8" w:color="494949"/>
              <w:right w:val="single" w:sz="8" w:color="494949"/>
            </w:tcBorders>
          </w:tcPr>
          <w:p>
            <w:pPr>
              <w:ind w:left="20"/>
              <w:spacing w:after="0"/>
              <w:rPr>
                <w:sz w:val="20"/>
                <w:szCs w:val="20"/>
                <w:color w:val="auto"/>
              </w:rPr>
            </w:pPr>
            <w:r>
              <w:rPr>
                <w:rFonts w:ascii="Arial" w:cs="Arial" w:eastAsia="Arial" w:hAnsi="Arial"/>
                <w:sz w:val="16"/>
                <w:szCs w:val="16"/>
                <w:b w:val="1"/>
                <w:bCs w:val="1"/>
                <w:color w:val="auto"/>
              </w:rPr>
              <w:t>Vehicle</w:t>
            </w:r>
          </w:p>
        </w:tc>
        <w:tc>
          <w:tcPr>
            <w:tcW w:w="9560" w:type="dxa"/>
            <w:vAlign w:val="bottom"/>
            <w:tcBorders>
              <w:bottom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Value of units moves with stock price during performance period; units are settled in shares at vesting.</w:t>
            </w:r>
          </w:p>
        </w:tc>
      </w:tr>
      <w:tr>
        <w:trPr>
          <w:trHeight w:val="199"/>
        </w:trPr>
        <w:tc>
          <w:tcPr>
            <w:tcW w:w="16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Time Horizon</w:t>
            </w:r>
          </w:p>
        </w:tc>
        <w:tc>
          <w:tcPr>
            <w:tcW w:w="956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Three-year cliff-vesting, plus an additional two-year holding period (for a combined five-year holding period). Due to local U.K.</w:t>
            </w:r>
          </w:p>
        </w:tc>
      </w:tr>
      <w:tr>
        <w:trPr>
          <w:trHeight w:val="189"/>
        </w:trPr>
        <w:tc>
          <w:tcPr>
            <w:tcW w:w="1680" w:type="dxa"/>
            <w:vAlign w:val="bottom"/>
            <w:tcBorders>
              <w:right w:val="single" w:sz="8" w:color="494949"/>
            </w:tcBorders>
          </w:tcPr>
          <w:p>
            <w:pPr>
              <w:spacing w:after="0"/>
              <w:rPr>
                <w:sz w:val="16"/>
                <w:szCs w:val="16"/>
                <w:color w:val="auto"/>
              </w:rPr>
            </w:pPr>
          </w:p>
        </w:tc>
        <w:tc>
          <w:tcPr>
            <w:tcW w:w="9560" w:type="dxa"/>
            <w:vAlign w:val="bottom"/>
          </w:tcPr>
          <w:p>
            <w:pPr>
              <w:ind w:left="300"/>
              <w:spacing w:after="0"/>
              <w:rPr>
                <w:sz w:val="20"/>
                <w:szCs w:val="20"/>
                <w:color w:val="auto"/>
              </w:rPr>
            </w:pPr>
            <w:r>
              <w:rPr>
                <w:rFonts w:ascii="Arial" w:cs="Arial" w:eastAsia="Arial" w:hAnsi="Arial"/>
                <w:sz w:val="16"/>
                <w:szCs w:val="16"/>
                <w:color w:val="auto"/>
              </w:rPr>
              <w:t>regulations, PSUs are subject to an extended seven-year vesting period commencing ratably on the third anniversary of the grant</w:t>
            </w:r>
          </w:p>
        </w:tc>
      </w:tr>
      <w:tr>
        <w:trPr>
          <w:trHeight w:val="215"/>
        </w:trPr>
        <w:tc>
          <w:tcPr>
            <w:tcW w:w="1680" w:type="dxa"/>
            <w:vAlign w:val="bottom"/>
            <w:tcBorders>
              <w:right w:val="single" w:sz="8" w:color="494949"/>
            </w:tcBorders>
          </w:tcPr>
          <w:p>
            <w:pPr>
              <w:spacing w:after="0"/>
              <w:rPr>
                <w:sz w:val="18"/>
                <w:szCs w:val="18"/>
                <w:color w:val="auto"/>
              </w:rPr>
            </w:pPr>
          </w:p>
        </w:tc>
        <w:tc>
          <w:tcPr>
            <w:tcW w:w="9560" w:type="dxa"/>
            <w:vAlign w:val="bottom"/>
          </w:tcPr>
          <w:p>
            <w:pPr>
              <w:ind w:left="300"/>
              <w:spacing w:after="0"/>
              <w:rPr>
                <w:sz w:val="20"/>
                <w:szCs w:val="20"/>
                <w:color w:val="auto"/>
              </w:rPr>
            </w:pPr>
            <w:r>
              <w:rPr>
                <w:rFonts w:ascii="Arial" w:cs="Arial" w:eastAsia="Arial" w:hAnsi="Arial"/>
                <w:sz w:val="16"/>
                <w:szCs w:val="16"/>
                <w:color w:val="auto"/>
              </w:rPr>
              <w:t>for OC members in the U.K.</w:t>
            </w:r>
          </w:p>
        </w:tc>
      </w:tr>
      <w:tr>
        <w:trPr>
          <w:trHeight w:val="29"/>
        </w:trPr>
        <w:tc>
          <w:tcPr>
            <w:tcW w:w="1680" w:type="dxa"/>
            <w:vAlign w:val="bottom"/>
            <w:tcBorders>
              <w:bottom w:val="single" w:sz="8" w:color="494949"/>
              <w:right w:val="single" w:sz="8" w:color="494949"/>
            </w:tcBorders>
          </w:tcPr>
          <w:p>
            <w:pPr>
              <w:spacing w:after="0"/>
              <w:rPr>
                <w:sz w:val="2"/>
                <w:szCs w:val="2"/>
                <w:color w:val="auto"/>
              </w:rPr>
            </w:pPr>
          </w:p>
        </w:tc>
        <w:tc>
          <w:tcPr>
            <w:tcW w:w="9560" w:type="dxa"/>
            <w:vAlign w:val="bottom"/>
            <w:tcBorders>
              <w:bottom w:val="single" w:sz="8" w:color="494949"/>
            </w:tcBorders>
          </w:tcPr>
          <w:p>
            <w:pPr>
              <w:spacing w:after="0"/>
              <w:rPr>
                <w:sz w:val="2"/>
                <w:szCs w:val="2"/>
                <w:color w:val="auto"/>
              </w:rPr>
            </w:pPr>
          </w:p>
        </w:tc>
      </w:tr>
      <w:tr>
        <w:trPr>
          <w:trHeight w:val="195"/>
        </w:trPr>
        <w:tc>
          <w:tcPr>
            <w:tcW w:w="16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Performance</w:t>
            </w:r>
          </w:p>
        </w:tc>
        <w:tc>
          <w:tcPr>
            <w:tcW w:w="956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The CMDC selected ROTCE, a comprehensive performance metric that measures the Firm’s net income applicable to common</w:t>
            </w:r>
          </w:p>
        </w:tc>
      </w:tr>
      <w:tr>
        <w:trPr>
          <w:trHeight w:val="189"/>
        </w:trPr>
        <w:tc>
          <w:tcPr>
            <w:tcW w:w="16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Measure</w:t>
            </w:r>
          </w:p>
        </w:tc>
        <w:tc>
          <w:tcPr>
            <w:tcW w:w="9560" w:type="dxa"/>
            <w:vAlign w:val="bottom"/>
          </w:tcPr>
          <w:p>
            <w:pPr>
              <w:ind w:left="300"/>
              <w:spacing w:after="0"/>
              <w:rPr>
                <w:sz w:val="20"/>
                <w:szCs w:val="20"/>
                <w:color w:val="auto"/>
              </w:rPr>
            </w:pPr>
            <w:r>
              <w:rPr>
                <w:rFonts w:ascii="Arial" w:cs="Arial" w:eastAsia="Arial" w:hAnsi="Arial"/>
                <w:sz w:val="16"/>
                <w:szCs w:val="16"/>
                <w:color w:val="auto"/>
              </w:rPr>
              <w:t>equity as a percentage of average tangible common equity. ROTCE is used by the Firm, as well as investors and analysts, in</w:t>
            </w:r>
          </w:p>
        </w:tc>
      </w:tr>
      <w:tr>
        <w:trPr>
          <w:trHeight w:val="203"/>
        </w:trPr>
        <w:tc>
          <w:tcPr>
            <w:tcW w:w="1680" w:type="dxa"/>
            <w:vAlign w:val="bottom"/>
            <w:tcBorders>
              <w:right w:val="single" w:sz="8" w:color="494949"/>
            </w:tcBorders>
          </w:tcPr>
          <w:p>
            <w:pPr>
              <w:spacing w:after="0"/>
              <w:rPr>
                <w:sz w:val="17"/>
                <w:szCs w:val="17"/>
                <w:color w:val="auto"/>
              </w:rPr>
            </w:pPr>
          </w:p>
        </w:tc>
        <w:tc>
          <w:tcPr>
            <w:tcW w:w="9560" w:type="dxa"/>
            <w:vAlign w:val="bottom"/>
          </w:tcPr>
          <w:p>
            <w:pPr>
              <w:ind w:left="300"/>
              <w:spacing w:after="0"/>
              <w:rPr>
                <w:sz w:val="20"/>
                <w:szCs w:val="20"/>
                <w:color w:val="auto"/>
              </w:rPr>
            </w:pPr>
            <w:r>
              <w:rPr>
                <w:rFonts w:ascii="Arial" w:cs="Arial" w:eastAsia="Arial" w:hAnsi="Arial"/>
                <w:sz w:val="16"/>
                <w:szCs w:val="16"/>
                <w:color w:val="auto"/>
              </w:rPr>
              <w:t>assessing the earnings power of common shareholders’ equity capital and is a useful metric for comparing the profitability of the</w:t>
            </w:r>
          </w:p>
        </w:tc>
      </w:tr>
      <w:tr>
        <w:trPr>
          <w:trHeight w:val="215"/>
        </w:trPr>
        <w:tc>
          <w:tcPr>
            <w:tcW w:w="1680" w:type="dxa"/>
            <w:vAlign w:val="bottom"/>
            <w:tcBorders>
              <w:right w:val="single" w:sz="8" w:color="494949"/>
            </w:tcBorders>
          </w:tcPr>
          <w:p>
            <w:pPr>
              <w:spacing w:after="0"/>
              <w:rPr>
                <w:sz w:val="18"/>
                <w:szCs w:val="18"/>
                <w:color w:val="auto"/>
              </w:rPr>
            </w:pPr>
          </w:p>
        </w:tc>
        <w:tc>
          <w:tcPr>
            <w:tcW w:w="9560" w:type="dxa"/>
            <w:vAlign w:val="bottom"/>
          </w:tcPr>
          <w:p>
            <w:pPr>
              <w:ind w:left="300"/>
              <w:spacing w:after="0"/>
              <w:rPr>
                <w:sz w:val="20"/>
                <w:szCs w:val="20"/>
                <w:color w:val="auto"/>
              </w:rPr>
            </w:pPr>
            <w:r>
              <w:rPr>
                <w:rFonts w:ascii="Arial" w:cs="Arial" w:eastAsia="Arial" w:hAnsi="Arial"/>
                <w:sz w:val="16"/>
                <w:szCs w:val="16"/>
                <w:color w:val="auto"/>
              </w:rPr>
              <w:t>Firm with that of competitors.</w:t>
            </w:r>
          </w:p>
        </w:tc>
      </w:tr>
      <w:tr>
        <w:trPr>
          <w:trHeight w:val="29"/>
        </w:trPr>
        <w:tc>
          <w:tcPr>
            <w:tcW w:w="1680" w:type="dxa"/>
            <w:vAlign w:val="bottom"/>
            <w:tcBorders>
              <w:bottom w:val="single" w:sz="8" w:color="494949"/>
              <w:right w:val="single" w:sz="8" w:color="494949"/>
            </w:tcBorders>
          </w:tcPr>
          <w:p>
            <w:pPr>
              <w:spacing w:after="0"/>
              <w:rPr>
                <w:sz w:val="2"/>
                <w:szCs w:val="2"/>
                <w:color w:val="auto"/>
              </w:rPr>
            </w:pPr>
          </w:p>
        </w:tc>
        <w:tc>
          <w:tcPr>
            <w:tcW w:w="9560" w:type="dxa"/>
            <w:vAlign w:val="bottom"/>
            <w:tcBorders>
              <w:bottom w:val="single" w:sz="8" w:color="494949"/>
            </w:tcBorders>
          </w:tcPr>
          <w:p>
            <w:pPr>
              <w:spacing w:after="0"/>
              <w:rPr>
                <w:sz w:val="2"/>
                <w:szCs w:val="2"/>
                <w:color w:val="auto"/>
              </w:rPr>
            </w:pPr>
          </w:p>
        </w:tc>
      </w:tr>
      <w:tr>
        <w:trPr>
          <w:trHeight w:val="195"/>
        </w:trPr>
        <w:tc>
          <w:tcPr>
            <w:tcW w:w="16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Payout Scale</w:t>
            </w:r>
          </w:p>
        </w:tc>
        <w:tc>
          <w:tcPr>
            <w:tcW w:w="956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Payout under the PSU plan is calculated at the end of the three-year performance period based on absolute and relative</w:t>
            </w:r>
          </w:p>
        </w:tc>
      </w:tr>
      <w:tr>
        <w:trPr>
          <w:trHeight w:val="189"/>
        </w:trPr>
        <w:tc>
          <w:tcPr>
            <w:tcW w:w="1680" w:type="dxa"/>
            <w:vAlign w:val="bottom"/>
            <w:tcBorders>
              <w:right w:val="single" w:sz="8" w:color="494949"/>
            </w:tcBorders>
          </w:tcPr>
          <w:p>
            <w:pPr>
              <w:spacing w:after="0"/>
              <w:rPr>
                <w:sz w:val="16"/>
                <w:szCs w:val="16"/>
                <w:color w:val="auto"/>
              </w:rPr>
            </w:pPr>
          </w:p>
        </w:tc>
        <w:tc>
          <w:tcPr>
            <w:tcW w:w="9560" w:type="dxa"/>
            <w:vAlign w:val="bottom"/>
          </w:tcPr>
          <w:p>
            <w:pPr>
              <w:ind w:left="300"/>
              <w:spacing w:after="0" w:line="189" w:lineRule="exact"/>
              <w:rPr>
                <w:sz w:val="20"/>
                <w:szCs w:val="20"/>
                <w:color w:val="auto"/>
              </w:rPr>
            </w:pPr>
            <w:r>
              <w:rPr>
                <w:rFonts w:ascii="Arial" w:cs="Arial" w:eastAsia="Arial" w:hAnsi="Arial"/>
                <w:sz w:val="16"/>
                <w:szCs w:val="16"/>
                <w:color w:val="auto"/>
              </w:rPr>
              <w:t>average ROTCE</w:t>
            </w:r>
            <w:r>
              <w:rPr>
                <w:rFonts w:ascii="Arial" w:cs="Arial" w:eastAsia="Arial" w:hAnsi="Arial"/>
                <w:sz w:val="21"/>
                <w:szCs w:val="21"/>
                <w:color w:val="auto"/>
                <w:vertAlign w:val="superscript"/>
              </w:rPr>
              <w:t>1</w:t>
            </w:r>
            <w:r>
              <w:rPr>
                <w:rFonts w:ascii="Arial" w:cs="Arial" w:eastAsia="Arial" w:hAnsi="Arial"/>
                <w:sz w:val="16"/>
                <w:szCs w:val="16"/>
                <w:color w:val="auto"/>
              </w:rPr>
              <w:t>, per the payout scale below. The use of both absolute and relative ROTCE helps promote a reasonable</w:t>
            </w:r>
          </w:p>
        </w:tc>
      </w:tr>
      <w:tr>
        <w:trPr>
          <w:trHeight w:val="203"/>
        </w:trPr>
        <w:tc>
          <w:tcPr>
            <w:tcW w:w="1680" w:type="dxa"/>
            <w:vAlign w:val="bottom"/>
            <w:tcBorders>
              <w:right w:val="single" w:sz="8" w:color="494949"/>
            </w:tcBorders>
          </w:tcPr>
          <w:p>
            <w:pPr>
              <w:spacing w:after="0"/>
              <w:rPr>
                <w:sz w:val="17"/>
                <w:szCs w:val="17"/>
                <w:color w:val="auto"/>
              </w:rPr>
            </w:pPr>
          </w:p>
        </w:tc>
        <w:tc>
          <w:tcPr>
            <w:tcW w:w="9560" w:type="dxa"/>
            <w:vAlign w:val="bottom"/>
          </w:tcPr>
          <w:p>
            <w:pPr>
              <w:ind w:left="300"/>
              <w:spacing w:after="0"/>
              <w:rPr>
                <w:sz w:val="20"/>
                <w:szCs w:val="20"/>
                <w:color w:val="auto"/>
              </w:rPr>
            </w:pPr>
            <w:r>
              <w:rPr>
                <w:rFonts w:ascii="Arial" w:cs="Arial" w:eastAsia="Arial" w:hAnsi="Arial"/>
                <w:sz w:val="16"/>
                <w:szCs w:val="16"/>
                <w:color w:val="auto"/>
              </w:rPr>
              <w:t>outcome for both shareholders and participants. For the 2023 PSU award, the CMDC set the absolute ROTCE thresholds as</w:t>
            </w:r>
          </w:p>
        </w:tc>
      </w:tr>
      <w:tr>
        <w:trPr>
          <w:trHeight w:val="215"/>
        </w:trPr>
        <w:tc>
          <w:tcPr>
            <w:tcW w:w="1680" w:type="dxa"/>
            <w:vAlign w:val="bottom"/>
            <w:tcBorders>
              <w:right w:val="single" w:sz="8" w:color="494949"/>
            </w:tcBorders>
          </w:tcPr>
          <w:p>
            <w:pPr>
              <w:spacing w:after="0"/>
              <w:rPr>
                <w:sz w:val="18"/>
                <w:szCs w:val="18"/>
                <w:color w:val="auto"/>
              </w:rPr>
            </w:pPr>
          </w:p>
        </w:tc>
        <w:tc>
          <w:tcPr>
            <w:tcW w:w="9560" w:type="dxa"/>
            <w:vAlign w:val="bottom"/>
          </w:tcPr>
          <w:p>
            <w:pPr>
              <w:ind w:left="300"/>
              <w:spacing w:after="0"/>
              <w:rPr>
                <w:sz w:val="20"/>
                <w:szCs w:val="20"/>
                <w:color w:val="auto"/>
              </w:rPr>
            </w:pPr>
            <w:r>
              <w:rPr>
                <w:rFonts w:ascii="Arial" w:cs="Arial" w:eastAsia="Arial" w:hAnsi="Arial"/>
                <w:sz w:val="16"/>
                <w:szCs w:val="16"/>
                <w:color w:val="auto"/>
              </w:rPr>
              <w:t>follows: (1) maximum payout at 18% or greater; and (2) zero payout at less than 6%.</w:t>
            </w:r>
          </w:p>
        </w:tc>
      </w:tr>
      <w:tr>
        <w:trPr>
          <w:trHeight w:val="29"/>
        </w:trPr>
        <w:tc>
          <w:tcPr>
            <w:tcW w:w="1680" w:type="dxa"/>
            <w:vAlign w:val="bottom"/>
            <w:tcBorders>
              <w:right w:val="single" w:sz="8" w:color="494949"/>
            </w:tcBorders>
          </w:tcPr>
          <w:p>
            <w:pPr>
              <w:spacing w:after="0"/>
              <w:rPr>
                <w:sz w:val="2"/>
                <w:szCs w:val="2"/>
                <w:color w:val="auto"/>
              </w:rPr>
            </w:pPr>
          </w:p>
        </w:tc>
        <w:tc>
          <w:tcPr>
            <w:tcW w:w="95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0</wp:posOffset>
            </wp:positionV>
            <wp:extent cx="8890" cy="6032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6032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727"/>
        </w:trPr>
        <w:tc>
          <w:tcPr>
            <w:tcW w:w="1680" w:type="dxa"/>
            <w:vAlign w:val="bottom"/>
            <w:tcBorders>
              <w:bottom w:val="single" w:sz="8" w:color="494949"/>
              <w:right w:val="single" w:sz="8" w:color="494949"/>
            </w:tcBorders>
          </w:tcPr>
          <w:p>
            <w:pPr>
              <w:spacing w:after="0"/>
              <w:rPr>
                <w:sz w:val="24"/>
                <w:szCs w:val="24"/>
                <w:color w:val="auto"/>
              </w:rPr>
            </w:pPr>
          </w:p>
        </w:tc>
        <w:tc>
          <w:tcPr>
            <w:tcW w:w="9560" w:type="dxa"/>
            <w:vAlign w:val="bottom"/>
            <w:tcBorders>
              <w:bottom w:val="single" w:sz="8" w:color="494949"/>
            </w:tcBorders>
          </w:tcPr>
          <w:p>
            <w:pPr>
              <w:spacing w:after="0"/>
              <w:rPr>
                <w:sz w:val="24"/>
                <w:szCs w:val="24"/>
                <w:color w:val="auto"/>
              </w:rPr>
            </w:pPr>
          </w:p>
        </w:tc>
      </w:tr>
      <w:tr>
        <w:trPr>
          <w:trHeight w:val="195"/>
        </w:trPr>
        <w:tc>
          <w:tcPr>
            <w:tcW w:w="16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PSU Peers</w:t>
            </w:r>
          </w:p>
        </w:tc>
        <w:tc>
          <w:tcPr>
            <w:tcW w:w="9560" w:type="dxa"/>
            <w:vAlign w:val="bottom"/>
          </w:tcPr>
          <w:p>
            <w:pPr>
              <w:ind w:left="100"/>
              <w:spacing w:after="0"/>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In determining companies to include in the relative ROTCE scale, the CMDC selected competitors with business activities that</w:t>
            </w:r>
          </w:p>
        </w:tc>
      </w:tr>
      <w:tr>
        <w:trPr>
          <w:trHeight w:val="189"/>
        </w:trPr>
        <w:tc>
          <w:tcPr>
            <w:tcW w:w="1680" w:type="dxa"/>
            <w:vAlign w:val="bottom"/>
            <w:tcBorders>
              <w:right w:val="single" w:sz="8" w:color="494949"/>
            </w:tcBorders>
          </w:tcPr>
          <w:p>
            <w:pPr>
              <w:spacing w:after="0"/>
              <w:rPr>
                <w:sz w:val="16"/>
                <w:szCs w:val="16"/>
                <w:color w:val="auto"/>
              </w:rPr>
            </w:pPr>
          </w:p>
        </w:tc>
        <w:tc>
          <w:tcPr>
            <w:tcW w:w="9560" w:type="dxa"/>
            <w:vAlign w:val="bottom"/>
          </w:tcPr>
          <w:p>
            <w:pPr>
              <w:ind w:left="300"/>
              <w:spacing w:after="0"/>
              <w:rPr>
                <w:sz w:val="20"/>
                <w:szCs w:val="20"/>
                <w:color w:val="auto"/>
              </w:rPr>
            </w:pPr>
            <w:r>
              <w:rPr>
                <w:rFonts w:ascii="Arial" w:cs="Arial" w:eastAsia="Arial" w:hAnsi="Arial"/>
                <w:sz w:val="16"/>
                <w:szCs w:val="16"/>
                <w:color w:val="auto"/>
              </w:rPr>
              <w:t>overlap with at least 30% of the Firm’s revenue mix. These include Bank of America, Barclays, Capital One Financial, Citigroup,</w:t>
            </w:r>
          </w:p>
        </w:tc>
      </w:tr>
      <w:tr>
        <w:trPr>
          <w:trHeight w:val="203"/>
        </w:trPr>
        <w:tc>
          <w:tcPr>
            <w:tcW w:w="1680" w:type="dxa"/>
            <w:vAlign w:val="bottom"/>
            <w:tcBorders>
              <w:right w:val="single" w:sz="8" w:color="494949"/>
            </w:tcBorders>
          </w:tcPr>
          <w:p>
            <w:pPr>
              <w:spacing w:after="0"/>
              <w:rPr>
                <w:sz w:val="17"/>
                <w:szCs w:val="17"/>
                <w:color w:val="auto"/>
              </w:rPr>
            </w:pPr>
          </w:p>
        </w:tc>
        <w:tc>
          <w:tcPr>
            <w:tcW w:w="9560" w:type="dxa"/>
            <w:vAlign w:val="bottom"/>
          </w:tcPr>
          <w:p>
            <w:pPr>
              <w:ind w:left="300"/>
              <w:spacing w:after="0"/>
              <w:rPr>
                <w:sz w:val="20"/>
                <w:szCs w:val="20"/>
                <w:color w:val="auto"/>
              </w:rPr>
            </w:pPr>
            <w:r>
              <w:rPr>
                <w:rFonts w:ascii="Arial" w:cs="Arial" w:eastAsia="Arial" w:hAnsi="Arial"/>
                <w:sz w:val="16"/>
                <w:szCs w:val="16"/>
                <w:color w:val="auto"/>
              </w:rPr>
              <w:t>Deutsche Bank, Goldman Sachs, HSBC, Morgan Stanley, UBS and Wells Fargo. Our PSU Peers previously included Credit</w:t>
            </w:r>
          </w:p>
        </w:tc>
      </w:tr>
      <w:tr>
        <w:trPr>
          <w:trHeight w:val="215"/>
        </w:trPr>
        <w:tc>
          <w:tcPr>
            <w:tcW w:w="1680" w:type="dxa"/>
            <w:vAlign w:val="bottom"/>
            <w:tcBorders>
              <w:right w:val="single" w:sz="8" w:color="494949"/>
            </w:tcBorders>
          </w:tcPr>
          <w:p>
            <w:pPr>
              <w:spacing w:after="0"/>
              <w:rPr>
                <w:sz w:val="18"/>
                <w:szCs w:val="18"/>
                <w:color w:val="auto"/>
              </w:rPr>
            </w:pPr>
          </w:p>
        </w:tc>
        <w:tc>
          <w:tcPr>
            <w:tcW w:w="9560" w:type="dxa"/>
            <w:vAlign w:val="bottom"/>
          </w:tcPr>
          <w:p>
            <w:pPr>
              <w:ind w:left="300"/>
              <w:spacing w:after="0"/>
              <w:rPr>
                <w:sz w:val="20"/>
                <w:szCs w:val="20"/>
                <w:color w:val="auto"/>
              </w:rPr>
            </w:pPr>
            <w:r>
              <w:rPr>
                <w:rFonts w:ascii="Arial" w:cs="Arial" w:eastAsia="Arial" w:hAnsi="Arial"/>
                <w:sz w:val="16"/>
                <w:szCs w:val="16"/>
                <w:color w:val="auto"/>
              </w:rPr>
              <w:t>Suisse, which was removed following its acquisition by UBS in 2023.</w:t>
            </w:r>
          </w:p>
        </w:tc>
      </w:tr>
      <w:tr>
        <w:trPr>
          <w:trHeight w:val="29"/>
        </w:trPr>
        <w:tc>
          <w:tcPr>
            <w:tcW w:w="1680" w:type="dxa"/>
            <w:vAlign w:val="bottom"/>
            <w:tcBorders>
              <w:bottom w:val="single" w:sz="8" w:color="494949"/>
              <w:right w:val="single" w:sz="8" w:color="494949"/>
            </w:tcBorders>
          </w:tcPr>
          <w:p>
            <w:pPr>
              <w:spacing w:after="0"/>
              <w:rPr>
                <w:sz w:val="2"/>
                <w:szCs w:val="2"/>
                <w:color w:val="auto"/>
              </w:rPr>
            </w:pPr>
          </w:p>
        </w:tc>
        <w:tc>
          <w:tcPr>
            <w:tcW w:w="9560" w:type="dxa"/>
            <w:vAlign w:val="bottom"/>
            <w:tcBorders>
              <w:bottom w:val="single" w:sz="8" w:color="494949"/>
            </w:tcBorders>
          </w:tcPr>
          <w:p>
            <w:pPr>
              <w:spacing w:after="0"/>
              <w:rPr>
                <w:sz w:val="2"/>
                <w:szCs w:val="2"/>
                <w:color w:val="auto"/>
              </w:rPr>
            </w:pPr>
          </w:p>
        </w:tc>
      </w:tr>
      <w:tr>
        <w:trPr>
          <w:trHeight w:val="195"/>
        </w:trPr>
        <w:tc>
          <w:tcPr>
            <w:tcW w:w="16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Minimum</w:t>
            </w:r>
          </w:p>
        </w:tc>
        <w:tc>
          <w:tcPr>
            <w:tcW w:w="9560" w:type="dxa"/>
            <w:vAlign w:val="bottom"/>
          </w:tcPr>
          <w:p>
            <w:pPr>
              <w:ind w:left="100"/>
              <w:spacing w:after="0" w:line="196" w:lineRule="exact"/>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If the Firm’s CET1 capital ratio</w:t>
            </w:r>
            <w:r>
              <w:rPr>
                <w:rFonts w:ascii="Arial" w:cs="Arial" w:eastAsia="Arial" w:hAnsi="Arial"/>
                <w:sz w:val="21"/>
                <w:szCs w:val="21"/>
                <w:color w:val="000000"/>
                <w:vertAlign w:val="superscript"/>
              </w:rPr>
              <w:t>2</w:t>
            </w:r>
            <w:r>
              <w:rPr>
                <w:rFonts w:ascii="Arial" w:cs="Arial" w:eastAsia="Arial" w:hAnsi="Arial"/>
                <w:sz w:val="16"/>
                <w:szCs w:val="16"/>
                <w:color w:val="104C98"/>
              </w:rPr>
              <w:t xml:space="preserve"> </w:t>
            </w:r>
            <w:r>
              <w:rPr>
                <w:rFonts w:ascii="Arial" w:cs="Arial" w:eastAsia="Arial" w:hAnsi="Arial"/>
                <w:sz w:val="16"/>
                <w:szCs w:val="16"/>
                <w:color w:val="000000"/>
              </w:rPr>
              <w:t>is less than 8% at any year-end, then up to one-third of unvested PSUs will be subject to</w:t>
            </w:r>
          </w:p>
        </w:tc>
      </w:tr>
      <w:tr>
        <w:trPr>
          <w:trHeight w:val="223"/>
        </w:trPr>
        <w:tc>
          <w:tcPr>
            <w:tcW w:w="16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Risk-based Hurdle</w:t>
            </w:r>
          </w:p>
        </w:tc>
        <w:tc>
          <w:tcPr>
            <w:tcW w:w="9560" w:type="dxa"/>
            <w:vAlign w:val="bottom"/>
          </w:tcPr>
          <w:p>
            <w:pPr>
              <w:ind w:left="300"/>
              <w:spacing w:after="0"/>
              <w:rPr>
                <w:sz w:val="20"/>
                <w:szCs w:val="20"/>
                <w:color w:val="auto"/>
              </w:rPr>
            </w:pPr>
            <w:r>
              <w:rPr>
                <w:rFonts w:ascii="Arial" w:cs="Arial" w:eastAsia="Arial" w:hAnsi="Arial"/>
                <w:sz w:val="16"/>
                <w:szCs w:val="16"/>
                <w:color w:val="auto"/>
              </w:rPr>
              <w:t>downward adjustment by the CMDC for each such year. This was updated from the previous hurdle of 7.5%.</w:t>
            </w:r>
          </w:p>
        </w:tc>
      </w:tr>
      <w:tr>
        <w:trPr>
          <w:trHeight w:val="21"/>
        </w:trPr>
        <w:tc>
          <w:tcPr>
            <w:tcW w:w="1680" w:type="dxa"/>
            <w:vAlign w:val="bottom"/>
            <w:tcBorders>
              <w:bottom w:val="single" w:sz="8" w:color="494949"/>
              <w:right w:val="single" w:sz="8" w:color="494949"/>
            </w:tcBorders>
          </w:tcPr>
          <w:p>
            <w:pPr>
              <w:spacing w:after="0" w:line="20" w:lineRule="exact"/>
              <w:rPr>
                <w:sz w:val="1"/>
                <w:szCs w:val="1"/>
                <w:color w:val="auto"/>
              </w:rPr>
            </w:pPr>
          </w:p>
        </w:tc>
        <w:tc>
          <w:tcPr>
            <w:tcW w:w="9560" w:type="dxa"/>
            <w:vAlign w:val="bottom"/>
            <w:tcBorders>
              <w:bottom w:val="single" w:sz="8" w:color="494949"/>
            </w:tcBorders>
          </w:tcPr>
          <w:p>
            <w:pPr>
              <w:spacing w:after="0" w:line="20" w:lineRule="exact"/>
              <w:rPr>
                <w:sz w:val="1"/>
                <w:szCs w:val="1"/>
                <w:color w:val="auto"/>
              </w:rPr>
            </w:pPr>
          </w:p>
        </w:tc>
      </w:tr>
      <w:tr>
        <w:trPr>
          <w:trHeight w:val="195"/>
        </w:trPr>
        <w:tc>
          <w:tcPr>
            <w:tcW w:w="16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Narrow Adjustment</w:t>
            </w:r>
          </w:p>
        </w:tc>
        <w:tc>
          <w:tcPr>
            <w:tcW w:w="9560" w:type="dxa"/>
            <w:vAlign w:val="bottom"/>
          </w:tcPr>
          <w:p>
            <w:pPr>
              <w:ind w:left="100"/>
              <w:spacing w:after="0"/>
              <w:rPr>
                <w:sz w:val="20"/>
                <w:szCs w:val="20"/>
                <w:color w:val="auto"/>
              </w:rPr>
            </w:pPr>
            <w:r>
              <w:rPr>
                <w:rFonts w:ascii="Arial" w:cs="Arial" w:eastAsia="Arial" w:hAnsi="Arial"/>
                <w:sz w:val="16"/>
                <w:szCs w:val="16"/>
                <w:color w:val="104C98"/>
              </w:rPr>
              <w:t xml:space="preserve">•  </w:t>
            </w:r>
            <w:r>
              <w:rPr>
                <w:rFonts w:ascii="Arial" w:cs="Arial" w:eastAsia="Arial" w:hAnsi="Arial"/>
                <w:sz w:val="16"/>
                <w:szCs w:val="16"/>
                <w:color w:val="000000"/>
              </w:rPr>
              <w:t>The CMDC may make adjustments (up or down) to maintain the intended economics of the award in light of changed</w:t>
            </w:r>
          </w:p>
        </w:tc>
      </w:tr>
      <w:tr>
        <w:trPr>
          <w:trHeight w:val="189"/>
        </w:trPr>
        <w:tc>
          <w:tcPr>
            <w:tcW w:w="16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Provision</w:t>
            </w:r>
          </w:p>
        </w:tc>
        <w:tc>
          <w:tcPr>
            <w:tcW w:w="9560" w:type="dxa"/>
            <w:vAlign w:val="bottom"/>
          </w:tcPr>
          <w:p>
            <w:pPr>
              <w:ind w:left="300"/>
              <w:spacing w:after="0"/>
              <w:rPr>
                <w:sz w:val="20"/>
                <w:szCs w:val="20"/>
                <w:color w:val="auto"/>
              </w:rPr>
            </w:pPr>
            <w:r>
              <w:rPr>
                <w:rFonts w:ascii="Arial" w:cs="Arial" w:eastAsia="Arial" w:hAnsi="Arial"/>
                <w:sz w:val="16"/>
                <w:szCs w:val="16"/>
                <w:color w:val="auto"/>
              </w:rPr>
              <w:t>circumstances (e.g., change in accounting rules/policies or changes in capital structure). The CMDC may also make additional</w:t>
            </w:r>
          </w:p>
        </w:tc>
      </w:tr>
      <w:tr>
        <w:trPr>
          <w:trHeight w:val="203"/>
        </w:trPr>
        <w:tc>
          <w:tcPr>
            <w:tcW w:w="1680" w:type="dxa"/>
            <w:vAlign w:val="bottom"/>
            <w:tcBorders>
              <w:right w:val="single" w:sz="8" w:color="494949"/>
            </w:tcBorders>
          </w:tcPr>
          <w:p>
            <w:pPr>
              <w:spacing w:after="0"/>
              <w:rPr>
                <w:sz w:val="17"/>
                <w:szCs w:val="17"/>
                <w:color w:val="auto"/>
              </w:rPr>
            </w:pPr>
          </w:p>
        </w:tc>
        <w:tc>
          <w:tcPr>
            <w:tcW w:w="9560" w:type="dxa"/>
            <w:vAlign w:val="bottom"/>
          </w:tcPr>
          <w:p>
            <w:pPr>
              <w:ind w:left="300"/>
              <w:spacing w:after="0"/>
              <w:rPr>
                <w:sz w:val="20"/>
                <w:szCs w:val="20"/>
                <w:color w:val="auto"/>
              </w:rPr>
            </w:pPr>
            <w:r>
              <w:rPr>
                <w:rFonts w:ascii="Arial" w:cs="Arial" w:eastAsia="Arial" w:hAnsi="Arial"/>
                <w:sz w:val="16"/>
                <w:szCs w:val="16"/>
                <w:color w:val="auto"/>
              </w:rPr>
              <w:t>downward adjustments in relation to PSUs granted to OC members in the U.K., including Mr. Pinto’s historically granted PSUs</w:t>
            </w:r>
          </w:p>
        </w:tc>
      </w:tr>
      <w:tr>
        <w:trPr>
          <w:trHeight w:val="215"/>
        </w:trPr>
        <w:tc>
          <w:tcPr>
            <w:tcW w:w="1680" w:type="dxa"/>
            <w:vAlign w:val="bottom"/>
            <w:tcBorders>
              <w:right w:val="single" w:sz="8" w:color="494949"/>
            </w:tcBorders>
          </w:tcPr>
          <w:p>
            <w:pPr>
              <w:spacing w:after="0"/>
              <w:rPr>
                <w:sz w:val="18"/>
                <w:szCs w:val="18"/>
                <w:color w:val="auto"/>
              </w:rPr>
            </w:pPr>
          </w:p>
        </w:tc>
        <w:tc>
          <w:tcPr>
            <w:tcW w:w="9560" w:type="dxa"/>
            <w:vAlign w:val="bottom"/>
          </w:tcPr>
          <w:p>
            <w:pPr>
              <w:ind w:left="300"/>
              <w:spacing w:after="0"/>
              <w:rPr>
                <w:sz w:val="20"/>
                <w:szCs w:val="20"/>
                <w:color w:val="auto"/>
              </w:rPr>
            </w:pPr>
            <w:r>
              <w:rPr>
                <w:rFonts w:ascii="Arial" w:cs="Arial" w:eastAsia="Arial" w:hAnsi="Arial"/>
                <w:sz w:val="16"/>
                <w:szCs w:val="16"/>
                <w:color w:val="auto"/>
              </w:rPr>
              <w:t>(refer to Note 1 on page 49).</w:t>
            </w:r>
          </w:p>
        </w:tc>
      </w:tr>
      <w:tr>
        <w:trPr>
          <w:trHeight w:val="29"/>
        </w:trPr>
        <w:tc>
          <w:tcPr>
            <w:tcW w:w="1680" w:type="dxa"/>
            <w:vAlign w:val="bottom"/>
            <w:tcBorders>
              <w:bottom w:val="single" w:sz="8" w:color="494949"/>
              <w:right w:val="single" w:sz="8" w:color="494949"/>
            </w:tcBorders>
          </w:tcPr>
          <w:p>
            <w:pPr>
              <w:spacing w:after="0"/>
              <w:rPr>
                <w:sz w:val="2"/>
                <w:szCs w:val="2"/>
                <w:color w:val="auto"/>
              </w:rPr>
            </w:pPr>
          </w:p>
        </w:tc>
        <w:tc>
          <w:tcPr>
            <w:tcW w:w="9560" w:type="dxa"/>
            <w:vAlign w:val="bottom"/>
            <w:tcBorders>
              <w:bottom w:val="single" w:sz="8" w:color="494949"/>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-3094355</wp:posOffset>
            </wp:positionV>
            <wp:extent cx="5014595" cy="16033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014595" cy="160337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074A75"/>
        </w:rPr>
        <w:t>OUR PSU PROGRAM SPANS A 5-YEAR TIME HORIZON</w:t>
      </w:r>
    </w:p>
    <w:p>
      <w:pPr>
        <w:spacing w:after="0" w:line="67" w:lineRule="exact"/>
        <w:rPr>
          <w:sz w:val="20"/>
          <w:szCs w:val="20"/>
          <w:color w:val="auto"/>
        </w:rPr>
      </w:pPr>
    </w:p>
    <w:p>
      <w:pPr>
        <w:ind w:left="1880"/>
        <w:spacing w:after="0"/>
        <w:rPr>
          <w:sz w:val="20"/>
          <w:szCs w:val="20"/>
          <w:color w:val="auto"/>
        </w:rPr>
      </w:pPr>
      <w:r>
        <w:rPr>
          <w:rFonts w:ascii="Arial" w:cs="Arial" w:eastAsia="Arial" w:hAnsi="Arial"/>
          <w:sz w:val="20"/>
          <w:szCs w:val="20"/>
          <w:color w:val="074A75"/>
        </w:rPr>
        <w:t>PSU goal is set at beginning of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-114300</wp:posOffset>
            </wp:positionV>
            <wp:extent cx="214630" cy="603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4630" cy="6032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-114300</wp:posOffset>
            </wp:positionV>
            <wp:extent cx="214630" cy="6032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4630" cy="603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4483100" cy="6946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483100" cy="6946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80" w:type="dxa"/>
            <w:vAlign w:val="bottom"/>
            <w:shd w:val="clear" w:color="auto" w:fill="074A75"/>
          </w:tcPr>
          <w:p>
            <w:pPr>
              <w:jc w:val="center"/>
              <w:ind w:right="464"/>
              <w:spacing w:after="0"/>
              <w:rPr>
                <w:sz w:val="20"/>
                <w:szCs w:val="20"/>
                <w:color w:val="auto"/>
              </w:rPr>
            </w:pPr>
            <w:r>
              <w:rPr>
                <w:rFonts w:ascii="Arial" w:cs="Arial" w:eastAsia="Arial" w:hAnsi="Arial"/>
                <w:sz w:val="15"/>
                <w:szCs w:val="15"/>
                <w:b w:val="1"/>
                <w:bCs w:val="1"/>
                <w:color w:val="FFFFFF"/>
              </w:rPr>
              <w:t>Performance</w:t>
            </w:r>
          </w:p>
        </w:tc>
        <w:tc>
          <w:tcPr>
            <w:tcW w:w="5380" w:type="dxa"/>
            <w:vAlign w:val="bottom"/>
            <w:vMerge w:val="restart"/>
            <w:shd w:val="clear" w:color="auto" w:fill="074A75"/>
          </w:tcPr>
          <w:p>
            <w:pPr>
              <w:ind w:left="640"/>
              <w:spacing w:after="0"/>
              <w:rPr>
                <w:sz w:val="20"/>
                <w:szCs w:val="20"/>
                <w:color w:val="auto"/>
              </w:rPr>
            </w:pPr>
            <w:r>
              <w:rPr>
                <w:rFonts w:ascii="Arial" w:cs="Arial" w:eastAsia="Arial" w:hAnsi="Arial"/>
                <w:sz w:val="15"/>
                <w:szCs w:val="15"/>
                <w:b w:val="1"/>
                <w:bCs w:val="1"/>
                <w:color w:val="FFFFFF"/>
              </w:rPr>
              <w:t>3-Year Post-Grant Performance Period (cliff-vest)</w:t>
            </w:r>
          </w:p>
        </w:tc>
        <w:tc>
          <w:tcPr>
            <w:tcW w:w="460" w:type="dxa"/>
            <w:vAlign w:val="bottom"/>
          </w:tcPr>
          <w:p>
            <w:pPr>
              <w:spacing w:after="0"/>
              <w:rPr>
                <w:sz w:val="15"/>
                <w:szCs w:val="15"/>
                <w:color w:val="auto"/>
              </w:rPr>
            </w:pPr>
          </w:p>
        </w:tc>
        <w:tc>
          <w:tcPr>
            <w:tcW w:w="3720" w:type="dxa"/>
            <w:vAlign w:val="bottom"/>
            <w:vMerge w:val="restart"/>
            <w:shd w:val="clear" w:color="auto" w:fill="074A75"/>
          </w:tcPr>
          <w:p>
            <w:pPr>
              <w:ind w:left="160"/>
              <w:spacing w:after="0"/>
              <w:rPr>
                <w:sz w:val="20"/>
                <w:szCs w:val="20"/>
                <w:color w:val="auto"/>
              </w:rPr>
            </w:pPr>
            <w:r>
              <w:rPr>
                <w:rFonts w:ascii="Arial" w:cs="Arial" w:eastAsia="Arial" w:hAnsi="Arial"/>
                <w:sz w:val="15"/>
                <w:szCs w:val="15"/>
                <w:b w:val="1"/>
                <w:bCs w:val="1"/>
                <w:color w:val="FFFFFF"/>
              </w:rPr>
              <w:t>2-Year Additional Hold on Fully Vested Awards</w:t>
            </w:r>
          </w:p>
        </w:tc>
        <w:tc>
          <w:tcPr>
            <w:tcW w:w="0" w:type="dxa"/>
            <w:vAlign w:val="bottom"/>
          </w:tcPr>
          <w:p>
            <w:pPr>
              <w:spacing w:after="0"/>
              <w:rPr>
                <w:sz w:val="1"/>
                <w:szCs w:val="1"/>
                <w:color w:val="auto"/>
              </w:rPr>
            </w:pPr>
          </w:p>
        </w:tc>
      </w:tr>
      <w:tr>
        <w:trPr>
          <w:trHeight w:val="116"/>
        </w:trPr>
        <w:tc>
          <w:tcPr>
            <w:tcW w:w="1680" w:type="dxa"/>
            <w:vAlign w:val="bottom"/>
            <w:vMerge w:val="restart"/>
            <w:shd w:val="clear" w:color="auto" w:fill="074A75"/>
          </w:tcPr>
          <w:p>
            <w:pPr>
              <w:jc w:val="center"/>
              <w:ind w:right="484"/>
              <w:spacing w:after="0"/>
              <w:rPr>
                <w:sz w:val="20"/>
                <w:szCs w:val="20"/>
                <w:color w:val="auto"/>
              </w:rPr>
            </w:pPr>
            <w:r>
              <w:rPr>
                <w:rFonts w:ascii="Arial" w:cs="Arial" w:eastAsia="Arial" w:hAnsi="Arial"/>
                <w:sz w:val="15"/>
                <w:szCs w:val="15"/>
                <w:b w:val="1"/>
                <w:bCs w:val="1"/>
                <w:color w:val="FFFFFF"/>
                <w:w w:val="98"/>
              </w:rPr>
              <w:t>Year</w:t>
            </w:r>
          </w:p>
        </w:tc>
        <w:tc>
          <w:tcPr>
            <w:tcW w:w="5380" w:type="dxa"/>
            <w:vAlign w:val="bottom"/>
            <w:vMerge w:val="continue"/>
            <w:shd w:val="clear" w:color="auto" w:fill="074A75"/>
          </w:tcPr>
          <w:p>
            <w:pPr>
              <w:spacing w:after="0"/>
              <w:rPr>
                <w:sz w:val="10"/>
                <w:szCs w:val="10"/>
                <w:color w:val="auto"/>
              </w:rPr>
            </w:pPr>
          </w:p>
        </w:tc>
        <w:tc>
          <w:tcPr>
            <w:tcW w:w="460" w:type="dxa"/>
            <w:vAlign w:val="bottom"/>
          </w:tcPr>
          <w:p>
            <w:pPr>
              <w:spacing w:after="0"/>
              <w:rPr>
                <w:sz w:val="10"/>
                <w:szCs w:val="10"/>
                <w:color w:val="auto"/>
              </w:rPr>
            </w:pPr>
          </w:p>
        </w:tc>
        <w:tc>
          <w:tcPr>
            <w:tcW w:w="3720" w:type="dxa"/>
            <w:vAlign w:val="bottom"/>
            <w:vMerge w:val="continue"/>
            <w:shd w:val="clear" w:color="auto" w:fill="074A75"/>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80" w:type="dxa"/>
            <w:vAlign w:val="bottom"/>
            <w:vMerge w:val="continue"/>
            <w:shd w:val="clear" w:color="auto" w:fill="074A75"/>
          </w:tcPr>
          <w:p>
            <w:pPr>
              <w:spacing w:after="0"/>
              <w:rPr>
                <w:sz w:val="8"/>
                <w:szCs w:val="8"/>
                <w:color w:val="auto"/>
              </w:rPr>
            </w:pPr>
          </w:p>
        </w:tc>
        <w:tc>
          <w:tcPr>
            <w:tcW w:w="5380" w:type="dxa"/>
            <w:vAlign w:val="bottom"/>
            <w:shd w:val="clear" w:color="auto" w:fill="074A75"/>
          </w:tcPr>
          <w:p>
            <w:pPr>
              <w:spacing w:after="0"/>
              <w:rPr>
                <w:sz w:val="8"/>
                <w:szCs w:val="8"/>
                <w:color w:val="auto"/>
              </w:rPr>
            </w:pPr>
          </w:p>
        </w:tc>
        <w:tc>
          <w:tcPr>
            <w:tcW w:w="460" w:type="dxa"/>
            <w:vAlign w:val="bottom"/>
          </w:tcPr>
          <w:p>
            <w:pPr>
              <w:spacing w:after="0"/>
              <w:rPr>
                <w:sz w:val="8"/>
                <w:szCs w:val="8"/>
                <w:color w:val="auto"/>
              </w:rPr>
            </w:pPr>
          </w:p>
        </w:tc>
        <w:tc>
          <w:tcPr>
            <w:tcW w:w="3720" w:type="dxa"/>
            <w:vAlign w:val="bottom"/>
            <w:shd w:val="clear" w:color="auto" w:fill="074A75"/>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1680" w:type="dxa"/>
            <w:vAlign w:val="bottom"/>
            <w:shd w:val="clear" w:color="auto" w:fill="074A75"/>
          </w:tcPr>
          <w:p>
            <w:pPr>
              <w:spacing w:after="0"/>
              <w:rPr>
                <w:sz w:val="2"/>
                <w:szCs w:val="2"/>
                <w:color w:val="auto"/>
              </w:rPr>
            </w:pPr>
          </w:p>
        </w:tc>
        <w:tc>
          <w:tcPr>
            <w:tcW w:w="5380" w:type="dxa"/>
            <w:vAlign w:val="bottom"/>
            <w:shd w:val="clear" w:color="auto" w:fill="074A75"/>
          </w:tcPr>
          <w:p>
            <w:pPr>
              <w:spacing w:after="0"/>
              <w:rPr>
                <w:sz w:val="2"/>
                <w:szCs w:val="2"/>
                <w:color w:val="auto"/>
              </w:rPr>
            </w:pPr>
          </w:p>
        </w:tc>
        <w:tc>
          <w:tcPr>
            <w:tcW w:w="460" w:type="dxa"/>
            <w:vAlign w:val="bottom"/>
          </w:tcPr>
          <w:p>
            <w:pPr>
              <w:spacing w:after="0"/>
              <w:rPr>
                <w:sz w:val="2"/>
                <w:szCs w:val="2"/>
                <w:color w:val="auto"/>
              </w:rPr>
            </w:pPr>
          </w:p>
        </w:tc>
        <w:tc>
          <w:tcPr>
            <w:tcW w:w="3720" w:type="dxa"/>
            <w:vAlign w:val="bottom"/>
            <w:shd w:val="clear" w:color="auto" w:fill="074A7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-179705</wp:posOffset>
            </wp:positionV>
            <wp:extent cx="2597150" cy="3517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597150" cy="3517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6"/>
        </w:trPr>
        <w:tc>
          <w:tcPr>
            <w:tcW w:w="1120" w:type="dxa"/>
            <w:vAlign w:val="bottom"/>
            <w:shd w:val="clear" w:color="auto" w:fill="939598"/>
          </w:tcPr>
          <w:p>
            <w:pPr>
              <w:jc w:val="center"/>
              <w:spacing w:after="0"/>
              <w:rPr>
                <w:sz w:val="20"/>
                <w:szCs w:val="20"/>
                <w:color w:val="auto"/>
              </w:rPr>
            </w:pPr>
            <w:r>
              <w:rPr>
                <w:rFonts w:ascii="Arial" w:cs="Arial" w:eastAsia="Arial" w:hAnsi="Arial"/>
                <w:sz w:val="16"/>
                <w:szCs w:val="16"/>
                <w:b w:val="1"/>
                <w:bCs w:val="1"/>
                <w:color w:val="FFFFFF"/>
              </w:rPr>
              <w:t>2023</w:t>
            </w:r>
          </w:p>
        </w:tc>
        <w:tc>
          <w:tcPr>
            <w:tcW w:w="1980" w:type="dxa"/>
            <w:vAlign w:val="bottom"/>
            <w:shd w:val="clear" w:color="auto" w:fill="939598"/>
          </w:tcPr>
          <w:p>
            <w:pPr>
              <w:jc w:val="right"/>
              <w:ind w:right="724"/>
              <w:spacing w:after="0"/>
              <w:rPr>
                <w:sz w:val="20"/>
                <w:szCs w:val="20"/>
                <w:color w:val="auto"/>
              </w:rPr>
            </w:pPr>
            <w:r>
              <w:rPr>
                <w:rFonts w:ascii="Arial" w:cs="Arial" w:eastAsia="Arial" w:hAnsi="Arial"/>
                <w:sz w:val="16"/>
                <w:szCs w:val="16"/>
                <w:b w:val="1"/>
                <w:bCs w:val="1"/>
                <w:color w:val="FFFFFF"/>
              </w:rPr>
              <w:t>2024</w:t>
            </w:r>
          </w:p>
        </w:tc>
        <w:tc>
          <w:tcPr>
            <w:tcW w:w="2000" w:type="dxa"/>
            <w:vAlign w:val="bottom"/>
            <w:shd w:val="clear" w:color="auto" w:fill="939598"/>
          </w:tcPr>
          <w:p>
            <w:pPr>
              <w:jc w:val="right"/>
              <w:ind w:right="739"/>
              <w:spacing w:after="0"/>
              <w:rPr>
                <w:sz w:val="20"/>
                <w:szCs w:val="20"/>
                <w:color w:val="auto"/>
              </w:rPr>
            </w:pPr>
            <w:r>
              <w:rPr>
                <w:rFonts w:ascii="Arial" w:cs="Arial" w:eastAsia="Arial" w:hAnsi="Arial"/>
                <w:sz w:val="16"/>
                <w:szCs w:val="16"/>
                <w:b w:val="1"/>
                <w:bCs w:val="1"/>
                <w:color w:val="FFFFFF"/>
              </w:rPr>
              <w:t>2025</w:t>
            </w:r>
          </w:p>
        </w:tc>
        <w:tc>
          <w:tcPr>
            <w:tcW w:w="1960" w:type="dxa"/>
            <w:vAlign w:val="bottom"/>
            <w:shd w:val="clear" w:color="auto" w:fill="939598"/>
          </w:tcPr>
          <w:p>
            <w:pPr>
              <w:jc w:val="right"/>
              <w:ind w:right="719"/>
              <w:spacing w:after="0"/>
              <w:rPr>
                <w:sz w:val="20"/>
                <w:szCs w:val="20"/>
                <w:color w:val="auto"/>
              </w:rPr>
            </w:pPr>
            <w:r>
              <w:rPr>
                <w:rFonts w:ascii="Arial" w:cs="Arial" w:eastAsia="Arial" w:hAnsi="Arial"/>
                <w:sz w:val="16"/>
                <w:szCs w:val="16"/>
                <w:b w:val="1"/>
                <w:bCs w:val="1"/>
                <w:color w:val="FFFFFF"/>
              </w:rPr>
              <w:t>2026</w:t>
            </w:r>
          </w:p>
        </w:tc>
        <w:tc>
          <w:tcPr>
            <w:tcW w:w="460" w:type="dxa"/>
            <w:vAlign w:val="bottom"/>
          </w:tcPr>
          <w:p>
            <w:pPr>
              <w:spacing w:after="0"/>
              <w:rPr>
                <w:sz w:val="20"/>
                <w:szCs w:val="20"/>
                <w:color w:val="auto"/>
              </w:rPr>
            </w:pPr>
          </w:p>
        </w:tc>
        <w:tc>
          <w:tcPr>
            <w:tcW w:w="1860" w:type="dxa"/>
            <w:vAlign w:val="bottom"/>
            <w:shd w:val="clear" w:color="auto" w:fill="859EB9"/>
          </w:tcPr>
          <w:p>
            <w:pPr>
              <w:ind w:left="740"/>
              <w:spacing w:after="0"/>
              <w:rPr>
                <w:sz w:val="20"/>
                <w:szCs w:val="20"/>
                <w:color w:val="auto"/>
              </w:rPr>
            </w:pPr>
            <w:r>
              <w:rPr>
                <w:rFonts w:ascii="Arial" w:cs="Arial" w:eastAsia="Arial" w:hAnsi="Arial"/>
                <w:sz w:val="16"/>
                <w:szCs w:val="16"/>
                <w:b w:val="1"/>
                <w:bCs w:val="1"/>
                <w:color w:val="FFFFFF"/>
              </w:rPr>
              <w:t>2027</w:t>
            </w:r>
          </w:p>
        </w:tc>
        <w:tc>
          <w:tcPr>
            <w:tcW w:w="1860" w:type="dxa"/>
            <w:vAlign w:val="bottom"/>
            <w:shd w:val="clear" w:color="auto" w:fill="859EB9"/>
          </w:tcPr>
          <w:p>
            <w:pPr>
              <w:jc w:val="right"/>
              <w:ind w:right="659"/>
              <w:spacing w:after="0"/>
              <w:rPr>
                <w:sz w:val="20"/>
                <w:szCs w:val="20"/>
                <w:color w:val="auto"/>
              </w:rPr>
            </w:pPr>
            <w:r>
              <w:rPr>
                <w:rFonts w:ascii="Arial" w:cs="Arial" w:eastAsia="Arial" w:hAnsi="Arial"/>
                <w:sz w:val="16"/>
                <w:szCs w:val="16"/>
                <w:b w:val="1"/>
                <w:bCs w:val="1"/>
                <w:color w:val="FFFFFF"/>
              </w:rPr>
              <w:t>2028</w:t>
            </w:r>
          </w:p>
        </w:tc>
        <w:tc>
          <w:tcPr>
            <w:tcW w:w="0" w:type="dxa"/>
            <w:vAlign w:val="bottom"/>
          </w:tcPr>
          <w:p>
            <w:pPr>
              <w:spacing w:after="0"/>
              <w:rPr>
                <w:sz w:val="1"/>
                <w:szCs w:val="1"/>
                <w:color w:val="auto"/>
              </w:rPr>
            </w:pPr>
          </w:p>
        </w:tc>
      </w:tr>
      <w:tr>
        <w:trPr>
          <w:trHeight w:val="193"/>
        </w:trPr>
        <w:tc>
          <w:tcPr>
            <w:tcW w:w="1120" w:type="dxa"/>
            <w:vAlign w:val="bottom"/>
            <w:shd w:val="clear" w:color="auto" w:fill="EFF3F7"/>
          </w:tcPr>
          <w:p>
            <w:pPr>
              <w:jc w:val="center"/>
              <w:spacing w:after="0"/>
              <w:rPr>
                <w:sz w:val="20"/>
                <w:szCs w:val="20"/>
                <w:color w:val="auto"/>
              </w:rPr>
            </w:pPr>
            <w:r>
              <w:rPr>
                <w:rFonts w:ascii="Arial" w:cs="Arial" w:eastAsia="Arial" w:hAnsi="Arial"/>
                <w:sz w:val="14"/>
                <w:szCs w:val="14"/>
                <w:b w:val="1"/>
                <w:bCs w:val="1"/>
                <w:color w:val="3E693D"/>
              </w:rPr>
              <w:t>Award is</w:t>
            </w:r>
          </w:p>
        </w:tc>
        <w:tc>
          <w:tcPr>
            <w:tcW w:w="5940" w:type="dxa"/>
            <w:vAlign w:val="bottom"/>
            <w:gridSpan w:val="3"/>
            <w:vMerge w:val="restart"/>
            <w:shd w:val="clear" w:color="auto" w:fill="EFF3F7"/>
          </w:tcPr>
          <w:p>
            <w:pPr>
              <w:jc w:val="center"/>
              <w:spacing w:after="0"/>
              <w:rPr>
                <w:sz w:val="20"/>
                <w:szCs w:val="20"/>
                <w:color w:val="auto"/>
              </w:rPr>
            </w:pPr>
            <w:r>
              <w:rPr>
                <w:rFonts w:ascii="Arial" w:cs="Arial" w:eastAsia="Arial" w:hAnsi="Arial"/>
                <w:sz w:val="14"/>
                <w:szCs w:val="14"/>
                <w:b w:val="1"/>
                <w:bCs w:val="1"/>
                <w:color w:val="3E693D"/>
              </w:rPr>
              <w:t>Payout is calculated based on average ROTCE over the 3-year performance period</w:t>
            </w:r>
          </w:p>
        </w:tc>
        <w:tc>
          <w:tcPr>
            <w:tcW w:w="460" w:type="dxa"/>
            <w:vAlign w:val="bottom"/>
          </w:tcPr>
          <w:p>
            <w:pPr>
              <w:spacing w:after="0"/>
              <w:rPr>
                <w:sz w:val="16"/>
                <w:szCs w:val="16"/>
                <w:color w:val="auto"/>
              </w:rPr>
            </w:pPr>
          </w:p>
        </w:tc>
        <w:tc>
          <w:tcPr>
            <w:tcW w:w="3720" w:type="dxa"/>
            <w:vAlign w:val="bottom"/>
            <w:gridSpan w:val="2"/>
            <w:vMerge w:val="restart"/>
            <w:shd w:val="clear" w:color="auto" w:fill="EFF3F7"/>
          </w:tcPr>
          <w:p>
            <w:pPr>
              <w:ind w:left="760"/>
              <w:spacing w:after="0"/>
              <w:rPr>
                <w:sz w:val="20"/>
                <w:szCs w:val="20"/>
                <w:color w:val="auto"/>
              </w:rPr>
            </w:pPr>
            <w:r>
              <w:rPr>
                <w:rFonts w:ascii="Arial" w:cs="Arial" w:eastAsia="Arial" w:hAnsi="Arial"/>
                <w:sz w:val="14"/>
                <w:szCs w:val="14"/>
                <w:b w:val="1"/>
                <w:bCs w:val="1"/>
                <w:color w:val="3E693D"/>
              </w:rPr>
              <w:t>Ultimate number of units earned</w:t>
            </w:r>
          </w:p>
        </w:tc>
        <w:tc>
          <w:tcPr>
            <w:tcW w:w="0" w:type="dxa"/>
            <w:vAlign w:val="bottom"/>
          </w:tcPr>
          <w:p>
            <w:pPr>
              <w:spacing w:after="0"/>
              <w:rPr>
                <w:sz w:val="1"/>
                <w:szCs w:val="1"/>
                <w:color w:val="auto"/>
              </w:rPr>
            </w:pPr>
          </w:p>
        </w:tc>
      </w:tr>
      <w:tr>
        <w:trPr>
          <w:trHeight w:val="115"/>
        </w:trPr>
        <w:tc>
          <w:tcPr>
            <w:tcW w:w="1120" w:type="dxa"/>
            <w:vAlign w:val="bottom"/>
            <w:vMerge w:val="restart"/>
            <w:shd w:val="clear" w:color="auto" w:fill="EFF3F7"/>
          </w:tcPr>
          <w:p>
            <w:pPr>
              <w:jc w:val="center"/>
              <w:spacing w:after="0"/>
              <w:rPr>
                <w:sz w:val="20"/>
                <w:szCs w:val="20"/>
                <w:color w:val="auto"/>
              </w:rPr>
            </w:pPr>
            <w:r>
              <w:rPr>
                <w:rFonts w:ascii="Arial" w:cs="Arial" w:eastAsia="Arial" w:hAnsi="Arial"/>
                <w:sz w:val="14"/>
                <w:szCs w:val="14"/>
                <w:b w:val="1"/>
                <w:bCs w:val="1"/>
                <w:color w:val="3E693D"/>
              </w:rPr>
              <w:t>determined</w:t>
            </w:r>
          </w:p>
        </w:tc>
        <w:tc>
          <w:tcPr>
            <w:tcW w:w="5940" w:type="dxa"/>
            <w:vAlign w:val="bottom"/>
            <w:gridSpan w:val="3"/>
            <w:vMerge w:val="continue"/>
            <w:shd w:val="clear" w:color="auto" w:fill="EFF3F7"/>
          </w:tcPr>
          <w:p>
            <w:pPr>
              <w:spacing w:after="0"/>
              <w:rPr>
                <w:sz w:val="10"/>
                <w:szCs w:val="10"/>
                <w:color w:val="auto"/>
              </w:rPr>
            </w:pPr>
          </w:p>
        </w:tc>
        <w:tc>
          <w:tcPr>
            <w:tcW w:w="460" w:type="dxa"/>
            <w:vAlign w:val="bottom"/>
          </w:tcPr>
          <w:p>
            <w:pPr>
              <w:spacing w:after="0"/>
              <w:rPr>
                <w:sz w:val="10"/>
                <w:szCs w:val="10"/>
                <w:color w:val="auto"/>
              </w:rPr>
            </w:pPr>
          </w:p>
        </w:tc>
        <w:tc>
          <w:tcPr>
            <w:tcW w:w="3720" w:type="dxa"/>
            <w:vAlign w:val="bottom"/>
            <w:gridSpan w:val="2"/>
            <w:vMerge w:val="continue"/>
            <w:shd w:val="clear" w:color="auto" w:fill="EFF3F7"/>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20" w:type="dxa"/>
            <w:vAlign w:val="bottom"/>
            <w:vMerge w:val="continue"/>
            <w:shd w:val="clear" w:color="auto" w:fill="EFF3F7"/>
          </w:tcPr>
          <w:p>
            <w:pPr>
              <w:spacing w:after="0"/>
              <w:rPr>
                <w:sz w:val="7"/>
                <w:szCs w:val="7"/>
                <w:color w:val="auto"/>
              </w:rPr>
            </w:pPr>
          </w:p>
        </w:tc>
        <w:tc>
          <w:tcPr>
            <w:tcW w:w="1980" w:type="dxa"/>
            <w:vAlign w:val="bottom"/>
            <w:shd w:val="clear" w:color="auto" w:fill="EFF3F7"/>
          </w:tcPr>
          <w:p>
            <w:pPr>
              <w:spacing w:after="0"/>
              <w:rPr>
                <w:sz w:val="7"/>
                <w:szCs w:val="7"/>
                <w:color w:val="auto"/>
              </w:rPr>
            </w:pPr>
          </w:p>
        </w:tc>
        <w:tc>
          <w:tcPr>
            <w:tcW w:w="2000" w:type="dxa"/>
            <w:vAlign w:val="bottom"/>
            <w:shd w:val="clear" w:color="auto" w:fill="EFF3F7"/>
          </w:tcPr>
          <w:p>
            <w:pPr>
              <w:spacing w:after="0"/>
              <w:rPr>
                <w:sz w:val="7"/>
                <w:szCs w:val="7"/>
                <w:color w:val="auto"/>
              </w:rPr>
            </w:pPr>
          </w:p>
        </w:tc>
        <w:tc>
          <w:tcPr>
            <w:tcW w:w="1960" w:type="dxa"/>
            <w:vAlign w:val="bottom"/>
            <w:shd w:val="clear" w:color="auto" w:fill="EFF3F7"/>
          </w:tcPr>
          <w:p>
            <w:pPr>
              <w:spacing w:after="0"/>
              <w:rPr>
                <w:sz w:val="7"/>
                <w:szCs w:val="7"/>
                <w:color w:val="auto"/>
              </w:rPr>
            </w:pPr>
          </w:p>
        </w:tc>
        <w:tc>
          <w:tcPr>
            <w:tcW w:w="460" w:type="dxa"/>
            <w:vAlign w:val="bottom"/>
          </w:tcPr>
          <w:p>
            <w:pPr>
              <w:spacing w:after="0"/>
              <w:rPr>
                <w:sz w:val="7"/>
                <w:szCs w:val="7"/>
                <w:color w:val="auto"/>
              </w:rPr>
            </w:pPr>
          </w:p>
        </w:tc>
        <w:tc>
          <w:tcPr>
            <w:tcW w:w="1860" w:type="dxa"/>
            <w:vAlign w:val="bottom"/>
            <w:shd w:val="clear" w:color="auto" w:fill="EFF3F7"/>
          </w:tcPr>
          <w:p>
            <w:pPr>
              <w:spacing w:after="0"/>
              <w:rPr>
                <w:sz w:val="7"/>
                <w:szCs w:val="7"/>
                <w:color w:val="auto"/>
              </w:rPr>
            </w:pPr>
          </w:p>
        </w:tc>
        <w:tc>
          <w:tcPr>
            <w:tcW w:w="1860" w:type="dxa"/>
            <w:vAlign w:val="bottom"/>
            <w:shd w:val="clear" w:color="auto" w:fill="EFF3F7"/>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120" w:type="dxa"/>
            <w:vAlign w:val="bottom"/>
            <w:shd w:val="clear" w:color="auto" w:fill="EFF3F7"/>
          </w:tcPr>
          <w:p>
            <w:pPr>
              <w:spacing w:after="0"/>
              <w:rPr>
                <w:sz w:val="2"/>
                <w:szCs w:val="2"/>
                <w:color w:val="auto"/>
              </w:rPr>
            </w:pPr>
          </w:p>
        </w:tc>
        <w:tc>
          <w:tcPr>
            <w:tcW w:w="1980" w:type="dxa"/>
            <w:vAlign w:val="bottom"/>
            <w:shd w:val="clear" w:color="auto" w:fill="EFF3F7"/>
          </w:tcPr>
          <w:p>
            <w:pPr>
              <w:spacing w:after="0"/>
              <w:rPr>
                <w:sz w:val="2"/>
                <w:szCs w:val="2"/>
                <w:color w:val="auto"/>
              </w:rPr>
            </w:pPr>
          </w:p>
        </w:tc>
        <w:tc>
          <w:tcPr>
            <w:tcW w:w="2000" w:type="dxa"/>
            <w:vAlign w:val="bottom"/>
            <w:shd w:val="clear" w:color="auto" w:fill="EFF3F7"/>
          </w:tcPr>
          <w:p>
            <w:pPr>
              <w:spacing w:after="0"/>
              <w:rPr>
                <w:sz w:val="2"/>
                <w:szCs w:val="2"/>
                <w:color w:val="auto"/>
              </w:rPr>
            </w:pPr>
          </w:p>
        </w:tc>
        <w:tc>
          <w:tcPr>
            <w:tcW w:w="1960" w:type="dxa"/>
            <w:vAlign w:val="bottom"/>
            <w:shd w:val="clear" w:color="auto" w:fill="EFF3F7"/>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shd w:val="clear" w:color="auto" w:fill="EFF3F7"/>
          </w:tcPr>
          <w:p>
            <w:pPr>
              <w:spacing w:after="0"/>
              <w:rPr>
                <w:sz w:val="2"/>
                <w:szCs w:val="2"/>
                <w:color w:val="auto"/>
              </w:rPr>
            </w:pPr>
          </w:p>
        </w:tc>
        <w:tc>
          <w:tcPr>
            <w:tcW w:w="1860" w:type="dxa"/>
            <w:vAlign w:val="bottom"/>
            <w:shd w:val="clear" w:color="auto" w:fill="EFF3F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-256540</wp:posOffset>
            </wp:positionV>
            <wp:extent cx="188595" cy="1885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clrChange>
                        <a:clrFrom>
                          <a:srgbClr val="000000"/>
                        </a:clrFrom>
                        <a:clrTo>
                          <a:srgbClr val="000000">
                            <a:alpha val="0"/>
                          </a:srgbClr>
                        </a:clrTo>
                      </a:clrChange>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-256540</wp:posOffset>
            </wp:positionV>
            <wp:extent cx="188595" cy="1885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clrChange>
                        <a:clrFrom>
                          <a:srgbClr val="FFFFFF"/>
                        </a:clrFrom>
                        <a:clrTo>
                          <a:srgbClr val="FFFFFF">
                            <a:alpha val="0"/>
                          </a:srgbClr>
                        </a:clrTo>
                      </a:clrChange>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543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074A75"/>
        </w:rPr>
        <w:t>Awards subject to reduction/cancellation/clawback based on risk, control &amp; conduct features (including protection-based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 w:hanging="192"/>
        <w:spacing w:after="0"/>
        <w:tabs>
          <w:tab w:leader="none" w:pos="200" w:val="left"/>
        </w:tabs>
        <w:numPr>
          <w:ilvl w:val="0"/>
          <w:numId w:val="141"/>
        </w:numPr>
        <w:rPr>
          <w:rFonts w:ascii="Arial" w:cs="Arial" w:eastAsia="Arial" w:hAnsi="Arial"/>
          <w:sz w:val="16"/>
          <w:szCs w:val="16"/>
          <w:color w:val="auto"/>
          <w:vertAlign w:val="superscript"/>
        </w:rPr>
      </w:pPr>
      <w:r>
        <w:rPr>
          <w:rFonts w:ascii="Arial" w:cs="Arial" w:eastAsia="Arial" w:hAnsi="Arial"/>
          <w:sz w:val="13"/>
          <w:szCs w:val="13"/>
          <w:color w:val="auto"/>
        </w:rPr>
        <w:t>Average ROTCE is calculated over the three-year post-grant performance period using unadjusted reported data as set forth in public financial disclosures.</w:t>
      </w:r>
    </w:p>
    <w:p>
      <w:pPr>
        <w:ind w:left="200" w:hanging="192"/>
        <w:spacing w:after="0" w:line="201" w:lineRule="auto"/>
        <w:tabs>
          <w:tab w:leader="none" w:pos="200" w:val="left"/>
        </w:tabs>
        <w:numPr>
          <w:ilvl w:val="0"/>
          <w:numId w:val="142"/>
        </w:numPr>
        <w:rPr>
          <w:rFonts w:ascii="Arial" w:cs="Arial" w:eastAsia="Arial" w:hAnsi="Arial"/>
          <w:sz w:val="16"/>
          <w:szCs w:val="16"/>
          <w:color w:val="auto"/>
          <w:vertAlign w:val="superscript"/>
        </w:rPr>
      </w:pPr>
      <w:r>
        <w:rPr>
          <w:rFonts w:ascii="Arial" w:cs="Arial" w:eastAsia="Arial" w:hAnsi="Arial"/>
          <w:sz w:val="13"/>
          <w:szCs w:val="13"/>
          <w:color w:val="auto"/>
        </w:rPr>
        <w:t>The CET1 ratio is a key regulatory capital measure; refer to Additional notes, Note 1, on page 114, for additional information on this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45  </w:t>
      </w:r>
      <w:r>
        <w:rPr>
          <w:sz w:val="1"/>
          <w:szCs w:val="1"/>
          <w:color w:val="auto"/>
        </w:rPr>
        <w:drawing>
          <wp:inline distT="0" distB="0" distL="0" distR="0">
            <wp:extent cx="2203450" cy="154305"/>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DETERMINING ABSOLUTE AND RELATIVE PSU PERFORMANCE GOALS</w:t>
      </w:r>
    </w:p>
    <w:p>
      <w:pPr>
        <w:spacing w:after="0" w:line="245" w:lineRule="exact"/>
        <w:rPr>
          <w:sz w:val="20"/>
          <w:szCs w:val="20"/>
          <w:color w:val="auto"/>
        </w:rPr>
      </w:pPr>
    </w:p>
    <w:p>
      <w:pPr>
        <w:ind w:left="280" w:right="180" w:hanging="254"/>
        <w:spacing w:after="0" w:line="259" w:lineRule="auto"/>
        <w:tabs>
          <w:tab w:leader="none" w:pos="272" w:val="left"/>
        </w:tabs>
        <w:numPr>
          <w:ilvl w:val="0"/>
          <w:numId w:val="143"/>
        </w:numPr>
        <w:rPr>
          <w:rFonts w:ascii="Arial" w:cs="Arial" w:eastAsia="Arial" w:hAnsi="Arial"/>
          <w:sz w:val="18"/>
          <w:szCs w:val="18"/>
          <w:color w:val="074A75"/>
        </w:rPr>
      </w:pPr>
      <w:r>
        <w:rPr>
          <w:rFonts w:ascii="Arial" w:cs="Arial" w:eastAsia="Arial" w:hAnsi="Arial"/>
          <w:sz w:val="18"/>
          <w:szCs w:val="18"/>
          <w:color w:val="auto"/>
        </w:rPr>
        <w:t>Each year, in determining the absolute ROTCE goal and minimum ROTCE threshold for that year’s PSU awards, the CMDC reviews the Firm’s historical performance and a reasonable range of possible net income and capital outcomes over the next three years. For the 2023 PSU awards granted in January 2024, these outcomes were considered in the context of (among other things) the expected impacts of: regulatory capital requirements, annual stress tests, interest rates, and the U.S. / global economic and geopolitical environment, all of which affect the range of ROTCE outcomes in the medium-term.</w:t>
      </w:r>
    </w:p>
    <w:p>
      <w:pPr>
        <w:spacing w:after="0" w:line="30" w:lineRule="exact"/>
        <w:rPr>
          <w:rFonts w:ascii="Arial" w:cs="Arial" w:eastAsia="Arial" w:hAnsi="Arial"/>
          <w:sz w:val="18"/>
          <w:szCs w:val="18"/>
          <w:color w:val="074A75"/>
        </w:rPr>
      </w:pPr>
    </w:p>
    <w:p>
      <w:pPr>
        <w:ind w:left="280" w:right="120" w:hanging="254"/>
        <w:spacing w:after="0" w:line="262" w:lineRule="auto"/>
        <w:tabs>
          <w:tab w:leader="none" w:pos="272" w:val="left"/>
        </w:tabs>
        <w:numPr>
          <w:ilvl w:val="0"/>
          <w:numId w:val="143"/>
        </w:numPr>
        <w:rPr>
          <w:rFonts w:ascii="Arial" w:cs="Arial" w:eastAsia="Arial" w:hAnsi="Arial"/>
          <w:sz w:val="18"/>
          <w:szCs w:val="18"/>
          <w:color w:val="074A75"/>
        </w:rPr>
      </w:pPr>
      <w:r>
        <w:rPr>
          <w:rFonts w:ascii="Arial" w:cs="Arial" w:eastAsia="Arial" w:hAnsi="Arial"/>
          <w:sz w:val="18"/>
          <w:szCs w:val="18"/>
          <w:color w:val="auto"/>
        </w:rPr>
        <w:t>The CMDC calibrated the upper ROTCE goal of the 2023 PSUs, representing exceptional financial performance over the 3-year performance period, at 18% or more; and the lower ROTCE threshold, representing weak financial performance over the same period, at below 6%. To this end, the CMDC believes that it has set upper and lower absolute performance thresholds that are sufficiently rigorous compared to the Firm’s current ROTCE outlook over the next 3 years.</w:t>
      </w:r>
    </w:p>
    <w:p>
      <w:pPr>
        <w:spacing w:after="0" w:line="27" w:lineRule="exact"/>
        <w:rPr>
          <w:rFonts w:ascii="Arial" w:cs="Arial" w:eastAsia="Arial" w:hAnsi="Arial"/>
          <w:sz w:val="18"/>
          <w:szCs w:val="18"/>
          <w:color w:val="074A75"/>
        </w:rPr>
      </w:pPr>
    </w:p>
    <w:p>
      <w:pPr>
        <w:ind w:left="280" w:right="180" w:hanging="254"/>
        <w:spacing w:after="0" w:line="262" w:lineRule="auto"/>
        <w:tabs>
          <w:tab w:leader="none" w:pos="272" w:val="left"/>
        </w:tabs>
        <w:numPr>
          <w:ilvl w:val="0"/>
          <w:numId w:val="143"/>
        </w:numPr>
        <w:rPr>
          <w:rFonts w:ascii="Arial" w:cs="Arial" w:eastAsia="Arial" w:hAnsi="Arial"/>
          <w:sz w:val="18"/>
          <w:szCs w:val="18"/>
          <w:color w:val="074A75"/>
        </w:rPr>
      </w:pPr>
      <w:r>
        <w:rPr>
          <w:rFonts w:ascii="Arial" w:cs="Arial" w:eastAsia="Arial" w:hAnsi="Arial"/>
          <w:sz w:val="18"/>
          <w:szCs w:val="18"/>
          <w:color w:val="auto"/>
        </w:rPr>
        <w:t>In setting the relative ROTCE performance goals for the 2023 PSU awards, the CMDC limited above-target payout to instances in which the Firm outperforms the majority of its competitors on a relative basis, with below-target payout occurring in instances of underperformance. Median relative performance results in below target payout, outstanding relative performance results in a payout of 150% and requires a top ranking, and bottom relative performance pays out at 0%.</w:t>
      </w:r>
    </w:p>
    <w:p>
      <w:pPr>
        <w:sectPr>
          <w:pgSz w:w="11900" w:h="16838" w:orient="portrait"/>
          <w:cols w:equalWidth="0" w:num="1">
            <w:col w:w="11260"/>
          </w:cols>
          <w:pgMar w:left="320" w:top="157" w:right="319" w:bottom="1440" w:gutter="0" w:footer="0" w:header="0"/>
        </w:sectPr>
      </w:pPr>
    </w:p>
    <w:p>
      <w:pPr>
        <w:spacing w:after="0" w:line="163" w:lineRule="exact"/>
        <w:rPr>
          <w:sz w:val="20"/>
          <w:szCs w:val="20"/>
          <w:color w:val="auto"/>
        </w:rPr>
      </w:pPr>
    </w:p>
    <w:p>
      <w:pPr>
        <w:ind w:left="220" w:right="280" w:hanging="194"/>
        <w:spacing w:after="0" w:line="262" w:lineRule="auto"/>
        <w:tabs>
          <w:tab w:leader="none" w:pos="224" w:val="left"/>
        </w:tabs>
        <w:numPr>
          <w:ilvl w:val="0"/>
          <w:numId w:val="144"/>
        </w:numPr>
        <w:rPr>
          <w:rFonts w:ascii="Arial" w:cs="Arial" w:eastAsia="Arial" w:hAnsi="Arial"/>
          <w:sz w:val="18"/>
          <w:szCs w:val="18"/>
          <w:color w:val="005088"/>
        </w:rPr>
      </w:pPr>
      <w:r>
        <w:rPr>
          <w:rFonts w:ascii="Arial" w:cs="Arial" w:eastAsia="Arial" w:hAnsi="Arial"/>
          <w:sz w:val="18"/>
          <w:szCs w:val="18"/>
          <w:color w:val="auto"/>
        </w:rPr>
        <w:t>As reflected by the chart to the right, the Firm's consistent relative outperformance of our ten PSU peers is demonstrated in particular by the strength of our 3-year average ROTCE outperformance over the last 10 years.</w:t>
      </w:r>
    </w:p>
    <w:p>
      <w:pPr>
        <w:spacing w:after="0" w:line="27" w:lineRule="exact"/>
        <w:rPr>
          <w:rFonts w:ascii="Arial" w:cs="Arial" w:eastAsia="Arial" w:hAnsi="Arial"/>
          <w:sz w:val="18"/>
          <w:szCs w:val="18"/>
          <w:color w:val="005088"/>
        </w:rPr>
      </w:pPr>
    </w:p>
    <w:p>
      <w:pPr>
        <w:ind w:left="220" w:hanging="194"/>
        <w:spacing w:after="0" w:line="268" w:lineRule="auto"/>
        <w:tabs>
          <w:tab w:leader="none" w:pos="224" w:val="left"/>
        </w:tabs>
        <w:numPr>
          <w:ilvl w:val="0"/>
          <w:numId w:val="144"/>
        </w:numPr>
        <w:rPr>
          <w:rFonts w:ascii="Arial" w:cs="Arial" w:eastAsia="Arial" w:hAnsi="Arial"/>
          <w:sz w:val="18"/>
          <w:szCs w:val="18"/>
          <w:color w:val="074A75"/>
        </w:rPr>
      </w:pPr>
      <w:r>
        <w:rPr>
          <w:rFonts w:ascii="Arial" w:cs="Arial" w:eastAsia="Arial" w:hAnsi="Arial"/>
          <w:sz w:val="18"/>
          <w:szCs w:val="18"/>
          <w:color w:val="auto"/>
        </w:rPr>
        <w:t>Of the 3-year performance periods for the Firm and our PSU peers in the last 10 years, only 3 times have our PSU peers achieved ROTCE of &gt;18%, demonstrating the rigor of our upper PSU goal.</w:t>
      </w:r>
    </w:p>
    <w:p>
      <w:pPr>
        <w:spacing w:after="0" w:line="22" w:lineRule="exact"/>
        <w:rPr>
          <w:rFonts w:ascii="Arial" w:cs="Arial" w:eastAsia="Arial" w:hAnsi="Arial"/>
          <w:sz w:val="18"/>
          <w:szCs w:val="18"/>
          <w:color w:val="074A75"/>
        </w:rPr>
      </w:pPr>
    </w:p>
    <w:p>
      <w:pPr>
        <w:ind w:left="220" w:hanging="194"/>
        <w:spacing w:after="0" w:line="268" w:lineRule="auto"/>
        <w:tabs>
          <w:tab w:leader="none" w:pos="224" w:val="left"/>
        </w:tabs>
        <w:numPr>
          <w:ilvl w:val="0"/>
          <w:numId w:val="144"/>
        </w:numPr>
        <w:rPr>
          <w:rFonts w:ascii="Arial" w:cs="Arial" w:eastAsia="Arial" w:hAnsi="Arial"/>
          <w:sz w:val="18"/>
          <w:szCs w:val="18"/>
          <w:color w:val="074A75"/>
        </w:rPr>
      </w:pPr>
      <w:r>
        <w:rPr>
          <w:rFonts w:ascii="Arial" w:cs="Arial" w:eastAsia="Arial" w:hAnsi="Arial"/>
          <w:sz w:val="18"/>
          <w:szCs w:val="18"/>
          <w:color w:val="auto"/>
        </w:rPr>
        <w:t>Our PSU peers have collectively reported 3-year average ROTCE of &lt;6% for 18% of the time during that period, demonstrating the rigor of our lower absolute PSU threshold.</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ind w:right="140"/>
        <w:spacing w:after="0" w:line="299" w:lineRule="auto"/>
        <w:rPr>
          <w:sz w:val="20"/>
          <w:szCs w:val="20"/>
          <w:color w:val="auto"/>
        </w:rPr>
      </w:pPr>
      <w:r>
        <w:rPr>
          <w:rFonts w:ascii="Arial" w:cs="Arial" w:eastAsia="Arial" w:hAnsi="Arial"/>
          <w:sz w:val="18"/>
          <w:szCs w:val="18"/>
          <w:color w:val="205A85"/>
        </w:rPr>
        <w:t>3-year average ROTCE of the Firm relative to PSU peers over the past 10 years</w:t>
      </w:r>
      <w:r>
        <w:rPr>
          <w:rFonts w:ascii="Arial" w:cs="Arial" w:eastAsia="Arial" w:hAnsi="Arial"/>
          <w:sz w:val="23"/>
          <w:szCs w:val="23"/>
          <w:color w:val="205A85"/>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-8890</wp:posOffset>
            </wp:positionV>
            <wp:extent cx="2468880" cy="1148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468880" cy="1148715"/>
                    </a:xfrm>
                    <a:prstGeom prst="rect">
                      <a:avLst/>
                    </a:prstGeom>
                    <a:noFill/>
                  </pic:spPr>
                </pic:pic>
              </a:graphicData>
            </a:graphic>
          </wp:anchor>
        </w:drawing>
      </w:r>
    </w:p>
    <w:p>
      <w:pPr>
        <w:spacing w:after="0" w:line="1992" w:lineRule="exact"/>
        <w:rPr>
          <w:sz w:val="20"/>
          <w:szCs w:val="20"/>
          <w:color w:val="auto"/>
        </w:rPr>
      </w:pPr>
    </w:p>
    <w:p>
      <w:pPr>
        <w:sectPr>
          <w:pgSz w:w="11900" w:h="16838" w:orient="portrait"/>
          <w:cols w:equalWidth="0" w:num="2">
            <w:col w:w="6340" w:space="220"/>
            <w:col w:w="4700"/>
          </w:cols>
          <w:pgMar w:left="320" w:top="157" w:right="319" w:bottom="1440" w:gutter="0" w:footer="0" w:header="0"/>
          <w:type w:val="continuous"/>
        </w:sectPr>
      </w:pPr>
    </w:p>
    <w:p>
      <w:pPr>
        <w:ind w:left="8420"/>
        <w:spacing w:after="0"/>
        <w:rPr>
          <w:sz w:val="20"/>
          <w:szCs w:val="20"/>
          <w:color w:val="auto"/>
        </w:rPr>
      </w:pPr>
      <w:r>
        <w:rPr>
          <w:rFonts w:ascii="Arial" w:cs="Arial" w:eastAsia="Arial" w:hAnsi="Arial"/>
          <w:sz w:val="13"/>
          <w:szCs w:val="13"/>
          <w:b w:val="1"/>
          <w:bCs w:val="1"/>
          <w:color w:val="auto"/>
        </w:rPr>
        <w:t>ROTCE Range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074A75"/>
        </w:rPr>
        <w:t>PSUS AWARDED FOR PERFORMANCE YEARS 2020, 2021, AND 2022</w:t>
      </w:r>
    </w:p>
    <w:p>
      <w:pPr>
        <w:spacing w:after="0" w:line="121" w:lineRule="exact"/>
        <w:rPr>
          <w:sz w:val="20"/>
          <w:szCs w:val="20"/>
          <w:color w:val="auto"/>
        </w:rPr>
      </w:pPr>
    </w:p>
    <w:p>
      <w:pPr>
        <w:ind w:left="260" w:right="220" w:hanging="252"/>
        <w:spacing w:after="0" w:line="258" w:lineRule="auto"/>
        <w:tabs>
          <w:tab w:leader="none" w:pos="252" w:val="left"/>
        </w:tabs>
        <w:numPr>
          <w:ilvl w:val="0"/>
          <w:numId w:val="145"/>
        </w:numPr>
        <w:rPr>
          <w:rFonts w:ascii="Arial" w:cs="Arial" w:eastAsia="Arial" w:hAnsi="Arial"/>
          <w:sz w:val="17"/>
          <w:szCs w:val="17"/>
          <w:color w:val="074A75"/>
        </w:rPr>
      </w:pPr>
      <w:r>
        <w:rPr>
          <w:rFonts w:ascii="Arial" w:cs="Arial" w:eastAsia="Arial" w:hAnsi="Arial"/>
          <w:sz w:val="17"/>
          <w:szCs w:val="17"/>
          <w:color w:val="auto"/>
        </w:rPr>
        <w:t>The Firm reported ROTCE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of 23%, 18%, and 21% in 2021, 2022, and 2023 respectively, resulting in a 3-year average ROTCE of 21%, outperforming the absolute threshold for the 2020 PSU awards granted in January 2021. On March 25, 2024, the 2020 PSU awards vested at 150%. For the 2021 and 2022 PSU awards, the payout will be calculated once the performance period ends on December 31, 2024 and December 31, 2025 respectively, based on the Firm's absolute and relative three-year average ROTCE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hanging="192"/>
        <w:spacing w:after="0"/>
        <w:tabs>
          <w:tab w:leader="none" w:pos="200" w:val="left"/>
        </w:tabs>
        <w:numPr>
          <w:ilvl w:val="0"/>
          <w:numId w:val="146"/>
        </w:numPr>
        <w:rPr>
          <w:rFonts w:ascii="Arial" w:cs="Arial" w:eastAsia="Arial" w:hAnsi="Arial"/>
          <w:sz w:val="16"/>
          <w:szCs w:val="16"/>
          <w:color w:val="auto"/>
          <w:vertAlign w:val="superscript"/>
        </w:rPr>
      </w:pPr>
      <w:r>
        <w:rPr>
          <w:rFonts w:ascii="Arial" w:cs="Arial" w:eastAsia="Arial" w:hAnsi="Arial"/>
          <w:sz w:val="13"/>
          <w:szCs w:val="13"/>
          <w:color w:val="auto"/>
        </w:rPr>
        <w:t>ROTCE is a non-GAAP financial measure; refer to Note 1 on page 113 for a further discussion of this measure.</w:t>
      </w:r>
    </w:p>
    <w:p>
      <w:pPr>
        <w:ind w:left="200" w:hanging="192"/>
        <w:spacing w:after="0" w:line="201" w:lineRule="auto"/>
        <w:tabs>
          <w:tab w:leader="none" w:pos="200" w:val="left"/>
        </w:tabs>
        <w:numPr>
          <w:ilvl w:val="0"/>
          <w:numId w:val="147"/>
        </w:numPr>
        <w:rPr>
          <w:rFonts w:ascii="Arial" w:cs="Arial" w:eastAsia="Arial" w:hAnsi="Arial"/>
          <w:sz w:val="16"/>
          <w:szCs w:val="16"/>
          <w:color w:val="auto"/>
          <w:vertAlign w:val="superscript"/>
        </w:rPr>
      </w:pPr>
      <w:r>
        <w:rPr>
          <w:rFonts w:ascii="Arial" w:cs="Arial" w:eastAsia="Arial" w:hAnsi="Arial"/>
          <w:sz w:val="13"/>
          <w:szCs w:val="13"/>
          <w:color w:val="auto"/>
        </w:rPr>
        <w:t>Peer ROTCE based on public disclosures (Form 10-K).</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Strong ownership &amp; accountability provisions</w:t>
      </w:r>
    </w:p>
    <w:p>
      <w:pPr>
        <w:sectPr>
          <w:pgSz w:w="11900" w:h="16838" w:orient="portrait"/>
          <w:cols w:equalWidth="0" w:num="1">
            <w:col w:w="11260"/>
          </w:cols>
          <w:pgMar w:left="320" w:top="157" w:right="319" w:bottom="1440" w:gutter="0" w:footer="0" w:header="0"/>
        </w:sectPr>
      </w:pPr>
    </w:p>
    <w:p>
      <w:pPr>
        <w:spacing w:after="0" w:line="123" w:lineRule="exact"/>
        <w:rPr>
          <w:sz w:val="20"/>
          <w:szCs w:val="20"/>
          <w:color w:val="auto"/>
        </w:rPr>
      </w:pPr>
    </w:p>
    <w:p>
      <w:pPr>
        <w:ind w:right="1820"/>
        <w:spacing w:after="0" w:line="286" w:lineRule="auto"/>
        <w:rPr>
          <w:sz w:val="20"/>
          <w:szCs w:val="20"/>
          <w:color w:val="auto"/>
        </w:rPr>
      </w:pPr>
      <w:r>
        <w:rPr>
          <w:rFonts w:ascii="Arial" w:cs="Arial" w:eastAsia="Arial" w:hAnsi="Arial"/>
          <w:sz w:val="20"/>
          <w:szCs w:val="20"/>
          <w:color w:val="074A75"/>
        </w:rPr>
        <w:t>STOCK OWNERSHIP GUIDELINE AND RETENTION REQUIREMENTS</w:t>
      </w:r>
    </w:p>
    <w:p>
      <w:pPr>
        <w:spacing w:after="0" w:line="3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CMDC believes it is important to align the interests of the OC members with those of our shareholders. To meet this objective, OC members are subject to a stock ownership guideline and retention policy.</w:t>
      </w:r>
    </w:p>
    <w:p>
      <w:pPr>
        <w:spacing w:after="0" w:line="6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While on the Operating Committee, each member is required to accumulate either:</w:t>
      </w:r>
    </w:p>
    <w:p>
      <w:pPr>
        <w:spacing w:after="0" w:line="45" w:lineRule="exact"/>
        <w:rPr>
          <w:sz w:val="20"/>
          <w:szCs w:val="20"/>
          <w:color w:val="auto"/>
        </w:rPr>
      </w:pPr>
    </w:p>
    <w:p>
      <w:pPr>
        <w:ind w:left="200" w:right="240" w:hanging="192"/>
        <w:spacing w:after="0" w:line="273" w:lineRule="auto"/>
        <w:tabs>
          <w:tab w:leader="none" w:pos="204" w:val="left"/>
        </w:tabs>
        <w:numPr>
          <w:ilvl w:val="0"/>
          <w:numId w:val="148"/>
        </w:numPr>
        <w:rPr>
          <w:rFonts w:ascii="Arial" w:cs="Arial" w:eastAsia="Arial" w:hAnsi="Arial"/>
          <w:sz w:val="18"/>
          <w:szCs w:val="18"/>
          <w:color w:val="074A75"/>
        </w:rPr>
      </w:pPr>
      <w:r>
        <w:rPr>
          <w:rFonts w:ascii="Arial" w:cs="Arial" w:eastAsia="Arial" w:hAnsi="Arial"/>
          <w:sz w:val="18"/>
          <w:szCs w:val="18"/>
          <w:color w:val="auto"/>
        </w:rPr>
        <w:t>A minimum of between 200,000 and 400,000 shares (1 million shares for the CEO); or</w:t>
      </w:r>
    </w:p>
    <w:p>
      <w:pPr>
        <w:spacing w:after="0" w:line="1" w:lineRule="exact"/>
        <w:rPr>
          <w:rFonts w:ascii="Arial" w:cs="Arial" w:eastAsia="Arial" w:hAnsi="Arial"/>
          <w:sz w:val="18"/>
          <w:szCs w:val="18"/>
          <w:color w:val="074A75"/>
        </w:rPr>
      </w:pPr>
    </w:p>
    <w:p>
      <w:pPr>
        <w:ind w:left="200" w:right="240" w:hanging="192"/>
        <w:spacing w:after="0" w:line="260" w:lineRule="auto"/>
        <w:tabs>
          <w:tab w:leader="none" w:pos="204" w:val="left"/>
        </w:tabs>
        <w:numPr>
          <w:ilvl w:val="0"/>
          <w:numId w:val="148"/>
        </w:numPr>
        <w:rPr>
          <w:rFonts w:ascii="Arial" w:cs="Arial" w:eastAsia="Arial" w:hAnsi="Arial"/>
          <w:sz w:val="18"/>
          <w:szCs w:val="18"/>
          <w:color w:val="074A75"/>
        </w:rPr>
      </w:pPr>
      <w:r>
        <w:rPr>
          <w:rFonts w:ascii="Arial" w:cs="Arial" w:eastAsia="Arial" w:hAnsi="Arial"/>
          <w:sz w:val="18"/>
          <w:szCs w:val="18"/>
          <w:color w:val="auto"/>
        </w:rPr>
        <w:t>A minimum fixed dollar value of shares of between $10 million and $30 million ($75 million for the CEO).</w:t>
      </w:r>
    </w:p>
    <w:p>
      <w:pPr>
        <w:spacing w:after="0" w:line="1" w:lineRule="exact"/>
        <w:rPr>
          <w:rFonts w:ascii="Arial" w:cs="Arial" w:eastAsia="Arial" w:hAnsi="Arial"/>
          <w:sz w:val="18"/>
          <w:szCs w:val="18"/>
          <w:color w:val="074A75"/>
        </w:rPr>
      </w:pPr>
    </w:p>
    <w:p>
      <w:pPr>
        <w:ind w:left="400" w:right="440" w:hanging="198"/>
        <w:spacing w:after="0" w:line="266" w:lineRule="auto"/>
        <w:tabs>
          <w:tab w:leader="none" w:pos="404" w:val="left"/>
        </w:tabs>
        <w:numPr>
          <w:ilvl w:val="1"/>
          <w:numId w:val="148"/>
        </w:numPr>
        <w:rPr>
          <w:rFonts w:ascii="Arial" w:cs="Arial" w:eastAsia="Arial" w:hAnsi="Arial"/>
          <w:sz w:val="18"/>
          <w:szCs w:val="18"/>
          <w:color w:val="074A75"/>
        </w:rPr>
      </w:pPr>
      <w:r>
        <w:rPr>
          <w:rFonts w:ascii="Arial" w:cs="Arial" w:eastAsia="Arial" w:hAnsi="Arial"/>
          <w:sz w:val="18"/>
          <w:szCs w:val="18"/>
          <w:color w:val="auto"/>
        </w:rPr>
        <w:t>In 2023, this represented 13x to 40x of OC member base salary, or 50x for the CEO</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Shares credited for purposes of satisfying the above ownership levels include shares owned outright, as well as 50% of unvested RSUs and PSUs, but do not include stock appreciation rights ("SARs") or stock options.</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stock ownership guideline must be met within six years of the later of the effective date of the policy or appointment to the Operating Committee. If the stock ownership guidelines are subsequently increased, the higher ownership guideline must be satisfied within six years of such revision, unless otherwise determined by the CEO and CMDC.</w:t>
      </w:r>
    </w:p>
    <w:p>
      <w:pPr>
        <w:spacing w:after="0" w:line="7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Prior to reaching their designated share ownership guideline, OC members are required to retain 75% of all net shares received from equity awards granted after they join the Operating Committee. Once they have met their ownership guideline, the policy requires OC members to continue retaining 50% of all net shares received from awards (75% for the CEO)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420110" cy="6858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0110" cy="685800"/>
                    </a:xfrm>
                    <a:prstGeom prst="rect">
                      <a:avLst/>
                    </a:prstGeom>
                    <a:noFill/>
                  </pic:spPr>
                </pic:pic>
              </a:graphicData>
            </a:graphic>
          </wp:anchor>
        </w:drawing>
      </w:r>
    </w:p>
    <w:p>
      <w:pPr>
        <w:spacing w:after="0" w:line="112" w:lineRule="exact"/>
        <w:rPr>
          <w:sz w:val="20"/>
          <w:szCs w:val="20"/>
          <w:color w:val="auto"/>
        </w:rPr>
      </w:pPr>
    </w:p>
    <w:p>
      <w:pPr>
        <w:ind w:left="1860"/>
        <w:spacing w:after="0"/>
        <w:rPr>
          <w:sz w:val="20"/>
          <w:szCs w:val="20"/>
          <w:color w:val="auto"/>
        </w:rPr>
      </w:pPr>
      <w:r>
        <w:rPr>
          <w:rFonts w:ascii="Arial" w:cs="Arial" w:eastAsia="Arial" w:hAnsi="Arial"/>
          <w:sz w:val="16"/>
          <w:szCs w:val="16"/>
          <w:color w:val="FFFFFF"/>
        </w:rPr>
        <w:t>Retention Requirement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Before Guideline Met</w:t>
            </w:r>
          </w:p>
        </w:tc>
        <w:tc>
          <w:tcPr>
            <w:tcW w:w="3040" w:type="dxa"/>
            <w:vAlign w:val="bottom"/>
            <w:shd w:val="clear" w:color="auto" w:fill="E7E7E8"/>
          </w:tcPr>
          <w:p>
            <w:pPr>
              <w:jc w:val="center"/>
              <w:ind w:right="26"/>
              <w:spacing w:after="0"/>
              <w:rPr>
                <w:sz w:val="20"/>
                <w:szCs w:val="20"/>
                <w:color w:val="auto"/>
              </w:rPr>
            </w:pPr>
            <w:r>
              <w:rPr>
                <w:rFonts w:ascii="Arial" w:cs="Arial" w:eastAsia="Arial" w:hAnsi="Arial"/>
                <w:sz w:val="16"/>
                <w:szCs w:val="16"/>
                <w:color w:val="auto"/>
              </w:rPr>
              <w:t>After Guideline Met</w:t>
            </w:r>
          </w:p>
        </w:tc>
      </w:tr>
      <w:tr>
        <w:trPr>
          <w:trHeight w:val="193"/>
        </w:trPr>
        <w:tc>
          <w:tcPr>
            <w:tcW w:w="2340" w:type="dxa"/>
            <w:vAlign w:val="bottom"/>
          </w:tcPr>
          <w:p>
            <w:pPr>
              <w:jc w:val="center"/>
              <w:ind w:right="5"/>
              <w:spacing w:after="0"/>
              <w:rPr>
                <w:sz w:val="20"/>
                <w:szCs w:val="20"/>
                <w:color w:val="auto"/>
              </w:rPr>
            </w:pPr>
            <w:r>
              <w:rPr>
                <w:rFonts w:ascii="Arial" w:cs="Arial" w:eastAsia="Arial" w:hAnsi="Arial"/>
                <w:sz w:val="14"/>
                <w:szCs w:val="14"/>
                <w:color w:val="auto"/>
              </w:rPr>
              <w:t>75% of net shares until</w:t>
            </w:r>
          </w:p>
        </w:tc>
        <w:tc>
          <w:tcPr>
            <w:tcW w:w="3040" w:type="dxa"/>
            <w:vAlign w:val="bottom"/>
          </w:tcPr>
          <w:p>
            <w:pPr>
              <w:jc w:val="center"/>
              <w:ind w:right="6"/>
              <w:spacing w:after="0"/>
              <w:rPr>
                <w:sz w:val="20"/>
                <w:szCs w:val="20"/>
                <w:color w:val="auto"/>
              </w:rPr>
            </w:pPr>
            <w:r>
              <w:rPr>
                <w:rFonts w:ascii="Arial" w:cs="Arial" w:eastAsia="Arial" w:hAnsi="Arial"/>
                <w:sz w:val="14"/>
                <w:szCs w:val="14"/>
                <w:color w:val="auto"/>
              </w:rPr>
              <w:t>50% of net shares for the</w:t>
            </w:r>
          </w:p>
        </w:tc>
      </w:tr>
      <w:tr>
        <w:trPr>
          <w:trHeight w:val="175"/>
        </w:trPr>
        <w:tc>
          <w:tcPr>
            <w:tcW w:w="2340" w:type="dxa"/>
            <w:vAlign w:val="bottom"/>
          </w:tcPr>
          <w:p>
            <w:pPr>
              <w:jc w:val="center"/>
              <w:spacing w:after="0"/>
              <w:rPr>
                <w:sz w:val="20"/>
                <w:szCs w:val="20"/>
                <w:color w:val="auto"/>
              </w:rPr>
            </w:pPr>
            <w:r>
              <w:rPr>
                <w:rFonts w:ascii="Arial" w:cs="Arial" w:eastAsia="Arial" w:hAnsi="Arial"/>
                <w:sz w:val="14"/>
                <w:szCs w:val="14"/>
                <w:color w:val="auto"/>
              </w:rPr>
              <w:t>stock ownership guideline is met</w:t>
            </w:r>
          </w:p>
        </w:tc>
        <w:tc>
          <w:tcPr>
            <w:tcW w:w="3040" w:type="dxa"/>
            <w:vAlign w:val="bottom"/>
          </w:tcPr>
          <w:p>
            <w:pPr>
              <w:jc w:val="center"/>
              <w:ind w:right="26"/>
              <w:spacing w:after="0"/>
              <w:rPr>
                <w:sz w:val="20"/>
                <w:szCs w:val="20"/>
                <w:color w:val="auto"/>
              </w:rPr>
            </w:pPr>
            <w:r>
              <w:rPr>
                <w:rFonts w:ascii="Arial" w:cs="Arial" w:eastAsia="Arial" w:hAnsi="Arial"/>
                <w:sz w:val="14"/>
                <w:szCs w:val="14"/>
                <w:color w:val="auto"/>
              </w:rPr>
              <w:t>duration of their service on the</w:t>
            </w:r>
          </w:p>
        </w:tc>
      </w:tr>
      <w:tr>
        <w:trPr>
          <w:trHeight w:val="190"/>
        </w:trPr>
        <w:tc>
          <w:tcPr>
            <w:tcW w:w="2340" w:type="dxa"/>
            <w:vAlign w:val="bottom"/>
          </w:tcPr>
          <w:p>
            <w:pPr>
              <w:spacing w:after="0"/>
              <w:rPr>
                <w:sz w:val="16"/>
                <w:szCs w:val="16"/>
                <w:color w:val="auto"/>
              </w:rPr>
            </w:pPr>
          </w:p>
        </w:tc>
        <w:tc>
          <w:tcPr>
            <w:tcW w:w="3040" w:type="dxa"/>
            <w:vAlign w:val="bottom"/>
          </w:tcPr>
          <w:p>
            <w:pPr>
              <w:jc w:val="center"/>
              <w:ind w:right="6"/>
              <w:spacing w:after="0"/>
              <w:rPr>
                <w:sz w:val="20"/>
                <w:szCs w:val="20"/>
                <w:color w:val="auto"/>
              </w:rPr>
            </w:pPr>
            <w:r>
              <w:rPr>
                <w:rFonts w:ascii="Arial" w:cs="Arial" w:eastAsia="Arial" w:hAnsi="Arial"/>
                <w:sz w:val="14"/>
                <w:szCs w:val="14"/>
                <w:color w:val="auto"/>
              </w:rPr>
              <w:t xml:space="preserve">Operating Committee </w:t>
            </w:r>
            <w:r>
              <w:rPr>
                <w:rFonts w:ascii="Arial" w:cs="Arial" w:eastAsia="Arial" w:hAnsi="Arial"/>
                <w:sz w:val="14"/>
                <w:szCs w:val="14"/>
                <w:i w:val="1"/>
                <w:iCs w:val="1"/>
                <w:color w:val="auto"/>
              </w:rPr>
              <w:t>(75% for the CEO)</w:t>
            </w:r>
          </w:p>
        </w:tc>
      </w:tr>
    </w:tbl>
    <w:p>
      <w:pPr>
        <w:spacing w:after="0" w:line="2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Because OC members are required to continue accumulating shares even after having met their share ownership guideline, the resulting increase of share ownership over time further strengthens the alignment of their interests with those of our shareholders. Notably, since he became CEO, Mr. Dimon has acquired a substantial amount of stock through compensation and purchases on the open market.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074A75"/>
        </w:rPr>
        <w:t>ANTI-HEDGING/ANTI-PLEDGING PROVISIONS</w:t>
      </w:r>
    </w:p>
    <w:p>
      <w:pPr>
        <w:spacing w:after="0" w:line="11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employees are prohibited from hedging or pledging unvested RSUs and PSUs, and unexercised stock appreciation rights or stock options. In addition: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200" w:right="260" w:hanging="196"/>
        <w:spacing w:after="0" w:line="287" w:lineRule="auto"/>
        <w:tabs>
          <w:tab w:leader="none" w:pos="204" w:val="left"/>
        </w:tabs>
        <w:numPr>
          <w:ilvl w:val="0"/>
          <w:numId w:val="149"/>
        </w:numPr>
        <w:rPr>
          <w:rFonts w:ascii="Arial" w:cs="Arial" w:eastAsia="Arial" w:hAnsi="Arial"/>
          <w:sz w:val="18"/>
          <w:szCs w:val="18"/>
          <w:color w:val="074A75"/>
        </w:rPr>
      </w:pPr>
      <w:r>
        <w:rPr>
          <w:rFonts w:ascii="Arial" w:cs="Arial" w:eastAsia="Arial" w:hAnsi="Arial"/>
          <w:sz w:val="18"/>
          <w:szCs w:val="18"/>
          <w:color w:val="auto"/>
        </w:rPr>
        <w:t>Shares owned outright or through deferred compensation by an OC member may not be hedged</w:t>
      </w:r>
    </w:p>
    <w:p>
      <w:pPr>
        <w:spacing w:after="0" w:line="44" w:lineRule="exact"/>
        <w:rPr>
          <w:rFonts w:ascii="Arial" w:cs="Arial" w:eastAsia="Arial" w:hAnsi="Arial"/>
          <w:sz w:val="18"/>
          <w:szCs w:val="18"/>
          <w:color w:val="074A75"/>
        </w:rPr>
      </w:pPr>
    </w:p>
    <w:p>
      <w:pPr>
        <w:ind w:left="200" w:right="480" w:hanging="196"/>
        <w:spacing w:after="0" w:line="231" w:lineRule="auto"/>
        <w:tabs>
          <w:tab w:leader="none" w:pos="204" w:val="left"/>
        </w:tabs>
        <w:numPr>
          <w:ilvl w:val="0"/>
          <w:numId w:val="149"/>
        </w:numPr>
        <w:rPr>
          <w:rFonts w:ascii="Arial" w:cs="Arial" w:eastAsia="Arial" w:hAnsi="Arial"/>
          <w:sz w:val="18"/>
          <w:szCs w:val="18"/>
          <w:color w:val="074A75"/>
        </w:rPr>
      </w:pPr>
      <w:r>
        <w:rPr>
          <w:rFonts w:ascii="Arial" w:cs="Arial" w:eastAsia="Arial" w:hAnsi="Arial"/>
          <w:sz w:val="18"/>
          <w:szCs w:val="18"/>
          <w:color w:val="auto"/>
        </w:rPr>
        <w:t>Shares held directly by an OC or Board member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may not be held in margin accounts or otherwise pledged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074A75"/>
        </w:rPr>
        <w:t>INTEGRATING RISK WITH COMPENSATION</w:t>
      </w:r>
    </w:p>
    <w:p>
      <w:pPr>
        <w:spacing w:after="0" w:line="9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CMDC holds an annual joint session with the Risk Committee to review Firmwide HR and compensation practices, including:</w:t>
      </w:r>
    </w:p>
    <w:p>
      <w:pPr>
        <w:spacing w:after="0" w:line="4" w:lineRule="exact"/>
        <w:rPr>
          <w:sz w:val="20"/>
          <w:szCs w:val="20"/>
          <w:color w:val="auto"/>
        </w:rPr>
      </w:pPr>
    </w:p>
    <w:p>
      <w:pPr>
        <w:ind w:left="200" w:right="280" w:hanging="196"/>
        <w:spacing w:after="0" w:line="257" w:lineRule="auto"/>
        <w:tabs>
          <w:tab w:leader="none" w:pos="204" w:val="left"/>
        </w:tabs>
        <w:numPr>
          <w:ilvl w:val="0"/>
          <w:numId w:val="150"/>
        </w:numPr>
        <w:rPr>
          <w:rFonts w:ascii="Arial" w:cs="Arial" w:eastAsia="Arial" w:hAnsi="Arial"/>
          <w:sz w:val="18"/>
          <w:szCs w:val="18"/>
          <w:color w:val="074A75"/>
        </w:rPr>
      </w:pPr>
      <w:r>
        <w:rPr>
          <w:rFonts w:ascii="Arial" w:cs="Arial" w:eastAsia="Arial" w:hAnsi="Arial"/>
          <w:sz w:val="18"/>
          <w:szCs w:val="18"/>
          <w:color w:val="auto"/>
        </w:rPr>
        <w:t>How we integrate risk, controls and conduct considerations into key HR practices including performance development, compensation and promotion</w:t>
      </w:r>
    </w:p>
    <w:p>
      <w:pPr>
        <w:spacing w:after="0" w:line="1" w:lineRule="exact"/>
        <w:rPr>
          <w:rFonts w:ascii="Arial" w:cs="Arial" w:eastAsia="Arial" w:hAnsi="Arial"/>
          <w:sz w:val="18"/>
          <w:szCs w:val="18"/>
          <w:color w:val="074A75"/>
        </w:rPr>
      </w:pPr>
    </w:p>
    <w:p>
      <w:pPr>
        <w:ind w:left="200" w:right="420" w:hanging="196"/>
        <w:spacing w:after="0" w:line="250" w:lineRule="auto"/>
        <w:tabs>
          <w:tab w:leader="none" w:pos="204" w:val="left"/>
        </w:tabs>
        <w:numPr>
          <w:ilvl w:val="0"/>
          <w:numId w:val="150"/>
        </w:numPr>
        <w:rPr>
          <w:rFonts w:ascii="Arial" w:cs="Arial" w:eastAsia="Arial" w:hAnsi="Arial"/>
          <w:sz w:val="18"/>
          <w:szCs w:val="18"/>
          <w:color w:val="074A75"/>
        </w:rPr>
      </w:pPr>
      <w:r>
        <w:rPr>
          <w:rFonts w:ascii="Arial" w:cs="Arial" w:eastAsia="Arial" w:hAnsi="Arial"/>
          <w:sz w:val="18"/>
          <w:szCs w:val="18"/>
          <w:color w:val="auto"/>
        </w:rPr>
        <w:t>Compensation features and elements designed to discourage imprudent risk-taking (e.g., multi-year vesting, clawbacks, prohibition on hedging, etc.)</w:t>
      </w:r>
    </w:p>
    <w:p>
      <w:pPr>
        <w:spacing w:after="0" w:line="1" w:lineRule="exact"/>
        <w:rPr>
          <w:rFonts w:ascii="Arial" w:cs="Arial" w:eastAsia="Arial" w:hAnsi="Arial"/>
          <w:sz w:val="18"/>
          <w:szCs w:val="18"/>
          <w:color w:val="074A75"/>
        </w:rPr>
      </w:pPr>
    </w:p>
    <w:p>
      <w:pPr>
        <w:ind w:left="200" w:hanging="196"/>
        <w:spacing w:after="0"/>
        <w:tabs>
          <w:tab w:leader="none" w:pos="200" w:val="left"/>
        </w:tabs>
        <w:numPr>
          <w:ilvl w:val="0"/>
          <w:numId w:val="150"/>
        </w:numPr>
        <w:rPr>
          <w:rFonts w:ascii="Arial" w:cs="Arial" w:eastAsia="Arial" w:hAnsi="Arial"/>
          <w:sz w:val="18"/>
          <w:szCs w:val="18"/>
          <w:color w:val="074A75"/>
        </w:rPr>
      </w:pPr>
      <w:r>
        <w:rPr>
          <w:rFonts w:ascii="Arial" w:cs="Arial" w:eastAsia="Arial" w:hAnsi="Arial"/>
          <w:sz w:val="18"/>
          <w:szCs w:val="18"/>
          <w:color w:val="auto"/>
        </w:rPr>
        <w:t>Annual incentive pool processes for LOBs and functions</w:t>
      </w:r>
    </w:p>
    <w:p>
      <w:pPr>
        <w:spacing w:after="0" w:line="9" w:lineRule="exact"/>
        <w:rPr>
          <w:rFonts w:ascii="Arial" w:cs="Arial" w:eastAsia="Arial" w:hAnsi="Arial"/>
          <w:sz w:val="18"/>
          <w:szCs w:val="18"/>
          <w:color w:val="074A75"/>
        </w:rPr>
      </w:pPr>
    </w:p>
    <w:p>
      <w:pPr>
        <w:ind w:left="200" w:right="540" w:hanging="196"/>
        <w:spacing w:after="0" w:line="266" w:lineRule="auto"/>
        <w:tabs>
          <w:tab w:leader="none" w:pos="204" w:val="left"/>
        </w:tabs>
        <w:numPr>
          <w:ilvl w:val="0"/>
          <w:numId w:val="150"/>
        </w:numPr>
        <w:rPr>
          <w:rFonts w:ascii="Arial" w:cs="Arial" w:eastAsia="Arial" w:hAnsi="Arial"/>
          <w:sz w:val="18"/>
          <w:szCs w:val="18"/>
          <w:color w:val="074A75"/>
        </w:rPr>
      </w:pPr>
      <w:r>
        <w:rPr>
          <w:rFonts w:ascii="Arial" w:cs="Arial" w:eastAsia="Arial" w:hAnsi="Arial"/>
          <w:sz w:val="18"/>
          <w:szCs w:val="18"/>
          <w:color w:val="auto"/>
        </w:rPr>
        <w:t>Regulatory updates which have impacted or may impact HR practices in the future</w:t>
      </w:r>
    </w:p>
    <w:p>
      <w:pPr>
        <w:spacing w:after="0" w:line="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committees are also provided with information on our performance development process, a summary of risk, controls and conduct feedback, and updates regarding HR Control Forum issues.</w:t>
      </w:r>
    </w:p>
    <w:p>
      <w:pPr>
        <w:spacing w:after="0" w:line="65" w:lineRule="exact"/>
        <w:rPr>
          <w:sz w:val="20"/>
          <w:szCs w:val="20"/>
          <w:color w:val="auto"/>
        </w:rPr>
      </w:pPr>
    </w:p>
    <w:p>
      <w:pPr>
        <w:ind w:right="1280"/>
        <w:spacing w:after="0" w:line="286" w:lineRule="auto"/>
        <w:rPr>
          <w:sz w:val="20"/>
          <w:szCs w:val="20"/>
          <w:color w:val="auto"/>
        </w:rPr>
      </w:pPr>
      <w:r>
        <w:rPr>
          <w:rFonts w:ascii="Arial" w:cs="Arial" w:eastAsia="Arial" w:hAnsi="Arial"/>
          <w:sz w:val="20"/>
          <w:szCs w:val="20"/>
          <w:color w:val="074A75"/>
        </w:rPr>
        <w:t>STRONG ACCOUNTABILITY AND RECOVERY PROVISIONS</w:t>
      </w:r>
    </w:p>
    <w:p>
      <w:pPr>
        <w:spacing w:after="0" w:line="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executive compensation program is designed to hold executives accountable, when appropriate, for meaningful actions or issues that negatively impact business performance or the Firm’s reputation in current or future years.</w:t>
      </w:r>
    </w:p>
    <w:p>
      <w:pPr>
        <w:spacing w:after="0" w:line="5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Issues that may warrant recovery determinations can be raised at any time, including in HR Control Forums, annual assessments of employee performance and when Designated Employees resign or their employment is terminated by the Firm. Under the Firm’s process to govern these determinations:</w:t>
      </w:r>
    </w:p>
    <w:p>
      <w:pPr>
        <w:spacing w:after="0" w:line="31" w:lineRule="exact"/>
        <w:rPr>
          <w:sz w:val="20"/>
          <w:szCs w:val="20"/>
          <w:color w:val="auto"/>
        </w:rPr>
      </w:pPr>
    </w:p>
    <w:p>
      <w:pPr>
        <w:ind w:left="200" w:right="240" w:hanging="196"/>
        <w:spacing w:after="0" w:line="259" w:lineRule="auto"/>
        <w:tabs>
          <w:tab w:leader="none" w:pos="204" w:val="left"/>
        </w:tabs>
        <w:numPr>
          <w:ilvl w:val="0"/>
          <w:numId w:val="151"/>
        </w:numPr>
        <w:rPr>
          <w:rFonts w:ascii="Arial" w:cs="Arial" w:eastAsia="Arial" w:hAnsi="Arial"/>
          <w:sz w:val="18"/>
          <w:szCs w:val="18"/>
          <w:color w:val="074A75"/>
        </w:rPr>
      </w:pPr>
      <w:r>
        <w:rPr>
          <w:rFonts w:ascii="Arial" w:cs="Arial" w:eastAsia="Arial" w:hAnsi="Arial"/>
          <w:sz w:val="18"/>
          <w:szCs w:val="18"/>
          <w:color w:val="auto"/>
        </w:rPr>
        <w:t>We have established a process for reviewing compensation or other employee actions following a determination that the cause and materiality of a risk-related loss, issue or other set of facts and circumstances warrants such a review of accountability for actual or potential misconduct.</w:t>
      </w:r>
    </w:p>
    <w:p>
      <w:pPr>
        <w:spacing w:after="0" w:line="3" w:lineRule="exact"/>
        <w:rPr>
          <w:rFonts w:ascii="Arial" w:cs="Arial" w:eastAsia="Arial" w:hAnsi="Arial"/>
          <w:sz w:val="18"/>
          <w:szCs w:val="18"/>
          <w:color w:val="074A75"/>
        </w:rPr>
      </w:pPr>
    </w:p>
    <w:p>
      <w:pPr>
        <w:ind w:left="200" w:right="160" w:hanging="196"/>
        <w:spacing w:after="0" w:line="255" w:lineRule="auto"/>
        <w:tabs>
          <w:tab w:leader="none" w:pos="204" w:val="left"/>
        </w:tabs>
        <w:numPr>
          <w:ilvl w:val="0"/>
          <w:numId w:val="151"/>
        </w:numPr>
        <w:rPr>
          <w:rFonts w:ascii="Arial" w:cs="Arial" w:eastAsia="Arial" w:hAnsi="Arial"/>
          <w:sz w:val="18"/>
          <w:szCs w:val="18"/>
          <w:color w:val="074A75"/>
        </w:rPr>
      </w:pPr>
      <w:r>
        <w:rPr>
          <w:rFonts w:ascii="Arial" w:cs="Arial" w:eastAsia="Arial" w:hAnsi="Arial"/>
          <w:sz w:val="18"/>
          <w:szCs w:val="18"/>
          <w:color w:val="auto"/>
        </w:rPr>
        <w:t>The CMDC is responsible for determinations involving OC members (determinations involving the CEO are subject to ratification by independent members of the Board). The Firm has a framework that identifies and assesses employee risk and drives consistent management decisions and discipline. For more material risk and control issues, the HR Control Forum process described on the following page explains how issues are reviewed and impacts are recommended.</w:t>
      </w:r>
    </w:p>
    <w:p>
      <w:pPr>
        <w:spacing w:after="0" w:line="950"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ind w:left="200" w:hanging="192"/>
        <w:spacing w:after="0"/>
        <w:tabs>
          <w:tab w:leader="none" w:pos="200" w:val="left"/>
        </w:tabs>
        <w:numPr>
          <w:ilvl w:val="0"/>
          <w:numId w:val="152"/>
        </w:numPr>
        <w:rPr>
          <w:rFonts w:ascii="Arial" w:cs="Arial" w:eastAsia="Arial" w:hAnsi="Arial"/>
          <w:sz w:val="16"/>
          <w:szCs w:val="16"/>
          <w:color w:val="auto"/>
          <w:vertAlign w:val="superscript"/>
        </w:rPr>
      </w:pPr>
      <w:r>
        <w:rPr>
          <w:rFonts w:ascii="Arial" w:cs="Arial" w:eastAsia="Arial" w:hAnsi="Arial"/>
          <w:sz w:val="13"/>
          <w:szCs w:val="13"/>
          <w:color w:val="auto"/>
        </w:rPr>
        <w:t>For information on the hedging/pledging restrictions applicable to our directors, please see “Director compensation” on pages 29 and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197485</wp:posOffset>
            </wp:positionV>
            <wp:extent cx="2743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47  </w:t>
      </w:r>
      <w:r>
        <w:rPr>
          <w:sz w:val="1"/>
          <w:szCs w:val="1"/>
          <w:color w:val="auto"/>
        </w:rPr>
        <w:drawing>
          <wp:inline distT="0" distB="0" distL="0" distR="0">
            <wp:extent cx="2203450" cy="154305"/>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0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HOLDING INDIVIDUALS ACCOUNTABLE</w:t>
      </w:r>
    </w:p>
    <w:p>
      <w:pPr>
        <w:spacing w:after="0" w:line="11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hold individuals responsible for taking risks inconsistent with the Firm’s risk appetite and to discourage future imprudent behavior, the Firm has policies and procedures that enable it to take timely and proportionate actions with respect to accountable individuals, including:</w:t>
      </w:r>
    </w:p>
    <w:p>
      <w:pPr>
        <w:sectPr>
          <w:pgSz w:w="11900" w:h="16838" w:orient="portrait"/>
          <w:cols w:equalWidth="0" w:num="1">
            <w:col w:w="11260"/>
          </w:cols>
          <w:pgMar w:left="320" w:top="157" w:right="319" w:bottom="1440" w:gutter="0" w:footer="0" w:header="0"/>
        </w:sectPr>
      </w:pPr>
    </w:p>
    <w:p>
      <w:pPr>
        <w:spacing w:after="0" w:line="99"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Reduce or altogether eliminate annual incentive compensation;</w:t>
      </w:r>
    </w:p>
    <w:p>
      <w:pPr>
        <w:spacing w:after="0" w:line="7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7"/>
          <w:szCs w:val="17"/>
          <w:color w:val="auto"/>
        </w:rPr>
        <w:t>Cancel unvested awards (in full or in part);</w:t>
      </w:r>
    </w:p>
    <w:p>
      <w:pPr>
        <w:spacing w:after="0" w:line="63" w:lineRule="exact"/>
        <w:rPr>
          <w:sz w:val="20"/>
          <w:szCs w:val="20"/>
          <w:color w:val="auto"/>
        </w:rPr>
      </w:pPr>
    </w:p>
    <w:p>
      <w:pPr>
        <w:ind w:left="340" w:right="340" w:hanging="332"/>
        <w:spacing w:after="0" w:line="287" w:lineRule="auto"/>
        <w:tabs>
          <w:tab w:leader="none" w:pos="35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Clawback/Recover previously paid incentive compensation (cash and/or equity);</w:t>
      </w:r>
    </w:p>
    <w:p>
      <w:pPr>
        <w:spacing w:after="0" w:line="191" w:lineRule="exact"/>
        <w:rPr>
          <w:sz w:val="20"/>
          <w:szCs w:val="20"/>
          <w:color w:val="auto"/>
        </w:rPr>
      </w:pPr>
    </w:p>
    <w:p>
      <w:pPr>
        <w:ind w:right="820"/>
        <w:spacing w:after="0" w:line="286" w:lineRule="auto"/>
        <w:rPr>
          <w:sz w:val="20"/>
          <w:szCs w:val="20"/>
          <w:color w:val="auto"/>
        </w:rPr>
      </w:pPr>
      <w:r>
        <w:rPr>
          <w:rFonts w:ascii="Arial" w:cs="Arial" w:eastAsia="Arial" w:hAnsi="Arial"/>
          <w:sz w:val="20"/>
          <w:szCs w:val="20"/>
          <w:color w:val="074A75"/>
        </w:rPr>
        <w:t>SUMMARY OF REASONS FOR CANCELLATIONS &amp; CLAWBACKS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80" w:type="dxa"/>
            <w:vAlign w:val="bottom"/>
            <w:tcBorders>
              <w:bottom w:val="single" w:sz="8" w:color="494949"/>
            </w:tcBorders>
          </w:tcPr>
          <w:p>
            <w:pPr>
              <w:ind w:left="20"/>
              <w:spacing w:after="0"/>
              <w:rPr>
                <w:sz w:val="20"/>
                <w:szCs w:val="20"/>
                <w:color w:val="auto"/>
              </w:rPr>
            </w:pPr>
            <w:r>
              <w:rPr>
                <w:rFonts w:ascii="Arial" w:cs="Arial" w:eastAsia="Arial" w:hAnsi="Arial"/>
                <w:sz w:val="16"/>
                <w:szCs w:val="16"/>
                <w:b w:val="1"/>
                <w:bCs w:val="1"/>
                <w:color w:val="074A75"/>
              </w:rPr>
              <w:t>Trigger</w:t>
            </w:r>
          </w:p>
        </w:tc>
        <w:tc>
          <w:tcPr>
            <w:tcW w:w="1840" w:type="dxa"/>
            <w:vAlign w:val="bottom"/>
            <w:tcBorders>
              <w:bottom w:val="single" w:sz="8" w:color="494949"/>
            </w:tcBorders>
          </w:tcPr>
          <w:p>
            <w:pPr>
              <w:jc w:val="center"/>
              <w:ind w:left="832"/>
              <w:spacing w:after="0"/>
              <w:rPr>
                <w:sz w:val="20"/>
                <w:szCs w:val="20"/>
                <w:color w:val="auto"/>
              </w:rPr>
            </w:pPr>
            <w:r>
              <w:rPr>
                <w:rFonts w:ascii="Arial" w:cs="Arial" w:eastAsia="Arial" w:hAnsi="Arial"/>
                <w:sz w:val="16"/>
                <w:szCs w:val="16"/>
                <w:b w:val="1"/>
                <w:bCs w:val="1"/>
                <w:color w:val="074A75"/>
                <w:w w:val="99"/>
              </w:rPr>
              <w:t>Vested</w:t>
            </w:r>
          </w:p>
        </w:tc>
        <w:tc>
          <w:tcPr>
            <w:tcW w:w="1100" w:type="dxa"/>
            <w:vAlign w:val="bottom"/>
            <w:tcBorders>
              <w:bottom w:val="single" w:sz="8" w:color="494949"/>
            </w:tcBorders>
          </w:tcPr>
          <w:p>
            <w:pPr>
              <w:jc w:val="center"/>
              <w:spacing w:after="0"/>
              <w:rPr>
                <w:sz w:val="20"/>
                <w:szCs w:val="20"/>
                <w:color w:val="auto"/>
              </w:rPr>
            </w:pPr>
            <w:r>
              <w:rPr>
                <w:rFonts w:ascii="Arial" w:cs="Arial" w:eastAsia="Arial" w:hAnsi="Arial"/>
                <w:sz w:val="16"/>
                <w:szCs w:val="16"/>
                <w:b w:val="1"/>
                <w:bCs w:val="1"/>
                <w:color w:val="074A75"/>
              </w:rPr>
              <w:t>Unvested</w:t>
            </w:r>
          </w:p>
        </w:tc>
      </w:tr>
      <w:tr>
        <w:trPr>
          <w:trHeight w:val="267"/>
        </w:trPr>
        <w:tc>
          <w:tcPr>
            <w:tcW w:w="2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Restatement</w:t>
            </w:r>
          </w:p>
        </w:tc>
        <w:tc>
          <w:tcPr>
            <w:tcW w:w="1840" w:type="dxa"/>
            <w:vAlign w:val="bottom"/>
            <w:shd w:val="clear" w:color="auto" w:fill="E7E7E8"/>
          </w:tcPr>
          <w:p>
            <w:pPr>
              <w:jc w:val="center"/>
              <w:ind w:left="812"/>
              <w:spacing w:after="0"/>
              <w:rPr>
                <w:sz w:val="20"/>
                <w:szCs w:val="20"/>
                <w:color w:val="auto"/>
              </w:rPr>
            </w:pPr>
            <w:r>
              <w:rPr>
                <w:rFonts w:ascii="Wingdings" w:cs="Wingdings" w:eastAsia="Wingdings" w:hAnsi="Wingdings"/>
                <w:sz w:val="18"/>
                <w:szCs w:val="18"/>
                <w:b w:val="1"/>
                <w:bCs w:val="1"/>
                <w:color w:val="3E693D"/>
              </w:rPr>
              <w:t>ü</w:t>
            </w:r>
          </w:p>
        </w:tc>
        <w:tc>
          <w:tcPr>
            <w:tcW w:w="1100" w:type="dxa"/>
            <w:vAlign w:val="bottom"/>
            <w:shd w:val="clear" w:color="auto" w:fill="E7E7E8"/>
          </w:tcPr>
          <w:p>
            <w:pPr>
              <w:jc w:val="center"/>
              <w:spacing w:after="0"/>
              <w:rPr>
                <w:sz w:val="20"/>
                <w:szCs w:val="20"/>
                <w:color w:val="auto"/>
              </w:rPr>
            </w:pPr>
            <w:r>
              <w:rPr>
                <w:rFonts w:ascii="Wingdings" w:cs="Wingdings" w:eastAsia="Wingdings" w:hAnsi="Wingdings"/>
                <w:sz w:val="18"/>
                <w:szCs w:val="18"/>
                <w:b w:val="1"/>
                <w:bCs w:val="1"/>
                <w:color w:val="3E693D"/>
              </w:rPr>
              <w:t>ü</w:t>
            </w:r>
          </w:p>
        </w:tc>
      </w:tr>
      <w:tr>
        <w:trPr>
          <w:trHeight w:val="262"/>
        </w:trPr>
        <w:tc>
          <w:tcPr>
            <w:tcW w:w="2380" w:type="dxa"/>
            <w:vAlign w:val="bottom"/>
          </w:tcPr>
          <w:p>
            <w:pPr>
              <w:ind w:left="20"/>
              <w:spacing w:after="0"/>
              <w:rPr>
                <w:sz w:val="20"/>
                <w:szCs w:val="20"/>
                <w:color w:val="auto"/>
              </w:rPr>
            </w:pPr>
            <w:r>
              <w:rPr>
                <w:rFonts w:ascii="Arial" w:cs="Arial" w:eastAsia="Arial" w:hAnsi="Arial"/>
                <w:sz w:val="16"/>
                <w:szCs w:val="16"/>
                <w:color w:val="auto"/>
              </w:rPr>
              <w:t>Misconduct</w:t>
            </w:r>
          </w:p>
        </w:tc>
        <w:tc>
          <w:tcPr>
            <w:tcW w:w="1840" w:type="dxa"/>
            <w:vAlign w:val="bottom"/>
          </w:tcPr>
          <w:p>
            <w:pPr>
              <w:jc w:val="center"/>
              <w:ind w:left="812"/>
              <w:spacing w:after="0"/>
              <w:rPr>
                <w:sz w:val="20"/>
                <w:szCs w:val="20"/>
                <w:color w:val="auto"/>
              </w:rPr>
            </w:pPr>
            <w:r>
              <w:rPr>
                <w:rFonts w:ascii="Wingdings" w:cs="Wingdings" w:eastAsia="Wingdings" w:hAnsi="Wingdings"/>
                <w:sz w:val="18"/>
                <w:szCs w:val="18"/>
                <w:b w:val="1"/>
                <w:bCs w:val="1"/>
                <w:color w:val="3E693D"/>
              </w:rPr>
              <w:t>ü</w:t>
            </w:r>
          </w:p>
        </w:tc>
        <w:tc>
          <w:tcPr>
            <w:tcW w:w="1100" w:type="dxa"/>
            <w:vAlign w:val="bottom"/>
          </w:tcPr>
          <w:p>
            <w:pPr>
              <w:jc w:val="center"/>
              <w:spacing w:after="0"/>
              <w:rPr>
                <w:sz w:val="20"/>
                <w:szCs w:val="20"/>
                <w:color w:val="auto"/>
              </w:rPr>
            </w:pPr>
            <w:r>
              <w:rPr>
                <w:rFonts w:ascii="Wingdings" w:cs="Wingdings" w:eastAsia="Wingdings" w:hAnsi="Wingdings"/>
                <w:sz w:val="18"/>
                <w:szCs w:val="18"/>
                <w:b w:val="1"/>
                <w:bCs w:val="1"/>
                <w:color w:val="3E693D"/>
              </w:rPr>
              <w:t>ü</w:t>
            </w:r>
          </w:p>
        </w:tc>
      </w:tr>
      <w:tr>
        <w:trPr>
          <w:trHeight w:val="278"/>
        </w:trPr>
        <w:tc>
          <w:tcPr>
            <w:tcW w:w="2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Risk-related</w:t>
            </w:r>
          </w:p>
        </w:tc>
        <w:tc>
          <w:tcPr>
            <w:tcW w:w="1840" w:type="dxa"/>
            <w:vAlign w:val="bottom"/>
            <w:shd w:val="clear" w:color="auto" w:fill="E7E7E8"/>
          </w:tcPr>
          <w:p>
            <w:pPr>
              <w:jc w:val="center"/>
              <w:ind w:left="812"/>
              <w:spacing w:after="0"/>
              <w:rPr>
                <w:sz w:val="20"/>
                <w:szCs w:val="20"/>
                <w:color w:val="auto"/>
              </w:rPr>
            </w:pPr>
            <w:r>
              <w:rPr>
                <w:rFonts w:ascii="Wingdings" w:cs="Wingdings" w:eastAsia="Wingdings" w:hAnsi="Wingdings"/>
                <w:sz w:val="18"/>
                <w:szCs w:val="18"/>
                <w:b w:val="1"/>
                <w:bCs w:val="1"/>
                <w:color w:val="3E693D"/>
              </w:rPr>
              <w:t>ü</w:t>
            </w:r>
          </w:p>
        </w:tc>
        <w:tc>
          <w:tcPr>
            <w:tcW w:w="1100" w:type="dxa"/>
            <w:vAlign w:val="bottom"/>
            <w:shd w:val="clear" w:color="auto" w:fill="E7E7E8"/>
          </w:tcPr>
          <w:p>
            <w:pPr>
              <w:jc w:val="center"/>
              <w:spacing w:after="0"/>
              <w:rPr>
                <w:sz w:val="20"/>
                <w:szCs w:val="20"/>
                <w:color w:val="auto"/>
              </w:rPr>
            </w:pPr>
            <w:r>
              <w:rPr>
                <w:rFonts w:ascii="Wingdings" w:cs="Wingdings" w:eastAsia="Wingdings" w:hAnsi="Wingdings"/>
                <w:sz w:val="18"/>
                <w:szCs w:val="18"/>
                <w:b w:val="1"/>
                <w:bCs w:val="1"/>
                <w:color w:val="3E693D"/>
              </w:rPr>
              <w:t>ü</w:t>
            </w:r>
          </w:p>
        </w:tc>
      </w:tr>
      <w:tr>
        <w:trPr>
          <w:trHeight w:val="254"/>
        </w:trPr>
        <w:tc>
          <w:tcPr>
            <w:tcW w:w="2380" w:type="dxa"/>
            <w:vAlign w:val="bottom"/>
          </w:tcPr>
          <w:p>
            <w:pPr>
              <w:ind w:left="20"/>
              <w:spacing w:after="0"/>
              <w:rPr>
                <w:sz w:val="20"/>
                <w:szCs w:val="20"/>
                <w:color w:val="auto"/>
              </w:rPr>
            </w:pPr>
            <w:r>
              <w:rPr>
                <w:rFonts w:ascii="Arial" w:cs="Arial" w:eastAsia="Arial" w:hAnsi="Arial"/>
                <w:sz w:val="16"/>
                <w:szCs w:val="16"/>
                <w:color w:val="auto"/>
              </w:rPr>
              <w:t>Protection-based</w:t>
            </w:r>
          </w:p>
        </w:tc>
        <w:tc>
          <w:tcPr>
            <w:tcW w:w="18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Wingdings" w:cs="Wingdings" w:eastAsia="Wingdings" w:hAnsi="Wingdings"/>
                <w:sz w:val="18"/>
                <w:szCs w:val="18"/>
                <w:b w:val="1"/>
                <w:bCs w:val="1"/>
                <w:color w:val="3E693D"/>
              </w:rPr>
              <w:t>ü</w:t>
            </w: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320" w:right="460" w:hanging="319"/>
        <w:spacing w:after="0" w:line="281" w:lineRule="auto"/>
        <w:tabs>
          <w:tab w:leader="none" w:pos="300" w:val="left"/>
        </w:tabs>
        <w:rPr>
          <w:sz w:val="20"/>
          <w:szCs w:val="20"/>
          <w:color w:val="auto"/>
        </w:rPr>
      </w:pPr>
      <w:r>
        <w:rPr>
          <w:rFonts w:ascii="Arial" w:cs="Arial" w:eastAsia="Arial" w:hAnsi="Arial"/>
          <w:sz w:val="18"/>
          <w:szCs w:val="18"/>
          <w:color w:val="auto"/>
        </w:rPr>
        <w:t>IV.</w:t>
        <w:tab/>
        <w:t>Demotion, negative performance rating or other appropriate employment actions; and</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7"/>
          <w:szCs w:val="17"/>
          <w:color w:val="auto"/>
        </w:rPr>
        <w:t>Termination of employment.</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Firm has a framework in place that provides for recommended impacts to drive consistency. However, the precise actions we take with respect to accountable individuals, which may also include coaching and training in addition to the above, are based on the relevant circumstances, including the nature of their involvement, the magnitude of the event and the impact on the Firm.</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074A75"/>
        </w:rPr>
        <w:t>CLAWBACK DISCLOSURE</w:t>
      </w:r>
    </w:p>
    <w:p>
      <w:pPr>
        <w:spacing w:after="0" w:line="12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2023, we did not take any action to recover or clawback any incentive compensation from the OC members or Firmwide Controller.</w:t>
      </w:r>
    </w:p>
    <w:p>
      <w:pPr>
        <w:spacing w:after="0" w:line="114" w:lineRule="exact"/>
        <w:rPr>
          <w:sz w:val="20"/>
          <w:szCs w:val="20"/>
          <w:color w:val="auto"/>
        </w:rPr>
      </w:pPr>
    </w:p>
    <w:p>
      <w:pPr>
        <w:sectPr>
          <w:pgSz w:w="11900" w:h="16838" w:orient="portrait"/>
          <w:cols w:equalWidth="0" w:num="2">
            <w:col w:w="5360" w:space="380"/>
            <w:col w:w="5520"/>
          </w:cols>
          <w:pgMar w:left="320" w:top="157" w:right="319" w:bottom="1440" w:gutter="0" w:footer="0" w:header="0"/>
          <w:type w:val="continuous"/>
        </w:sectPr>
      </w:pPr>
    </w:p>
    <w:p>
      <w:pPr>
        <w:spacing w:after="0"/>
        <w:rPr>
          <w:sz w:val="20"/>
          <w:szCs w:val="20"/>
          <w:color w:val="auto"/>
        </w:rPr>
      </w:pPr>
      <w:r>
        <w:rPr>
          <w:rFonts w:ascii="Arial" w:cs="Arial" w:eastAsia="Arial" w:hAnsi="Arial"/>
          <w:sz w:val="20"/>
          <w:szCs w:val="20"/>
          <w:color w:val="074A75"/>
        </w:rPr>
        <w:t>RISK, CONTROLS &amp; CONDUCT REVIEW PROCESS</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 summary of the review processes we maintain to evaluate and provide feedback on risk, controls and conduct matters and to identify individuals who may be subject to remedial actions such as impacts to performance assessment, additional training, compensation and/or termination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511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p>
      <w:pPr>
        <w:spacing w:after="0" w:line="22" w:lineRule="exact"/>
        <w:rPr>
          <w:sz w:val="20"/>
          <w:szCs w:val="20"/>
          <w:color w:val="auto"/>
        </w:rPr>
      </w:pPr>
    </w:p>
    <w:p>
      <w:pPr>
        <w:ind w:left="720" w:hanging="539"/>
        <w:spacing w:after="0"/>
        <w:tabs>
          <w:tab w:leader="none" w:pos="720" w:val="left"/>
        </w:tabs>
        <w:numPr>
          <w:ilvl w:val="1"/>
          <w:numId w:val="155"/>
        </w:numPr>
        <w:rPr>
          <w:rFonts w:ascii="Arial" w:cs="Arial" w:eastAsia="Arial" w:hAnsi="Arial"/>
          <w:sz w:val="32"/>
          <w:szCs w:val="32"/>
          <w:b w:val="1"/>
          <w:bCs w:val="1"/>
          <w:color w:val="FFFFFF"/>
        </w:rPr>
      </w:pPr>
      <w:r>
        <w:rPr>
          <w:rFonts w:ascii="Arial" w:cs="Arial" w:eastAsia="Arial" w:hAnsi="Arial"/>
          <w:sz w:val="18"/>
          <w:szCs w:val="18"/>
          <w:b w:val="1"/>
          <w:bCs w:val="1"/>
          <w:color w:val="3E693D"/>
        </w:rPr>
        <w:t>Enhanced performance reviews</w:t>
      </w:r>
    </w:p>
    <w:p>
      <w:pPr>
        <w:spacing w:after="0" w:line="270" w:lineRule="exact"/>
        <w:rPr>
          <w:rFonts w:ascii="Arial" w:cs="Arial" w:eastAsia="Arial" w:hAnsi="Arial"/>
          <w:sz w:val="32"/>
          <w:szCs w:val="32"/>
          <w:b w:val="1"/>
          <w:bCs w:val="1"/>
          <w:color w:val="FFFFFF"/>
        </w:rPr>
      </w:pPr>
    </w:p>
    <w:p>
      <w:pPr>
        <w:ind w:left="280" w:hanging="233"/>
        <w:spacing w:after="0" w:line="264" w:lineRule="auto"/>
        <w:rPr>
          <w:rFonts w:ascii="Arial" w:cs="Arial" w:eastAsia="Arial" w:hAnsi="Arial"/>
          <w:sz w:val="32"/>
          <w:szCs w:val="32"/>
          <w:b w:val="1"/>
          <w:bCs w:val="1"/>
          <w:color w:val="FFFFFF"/>
        </w:rPr>
      </w:pPr>
      <w:r>
        <w:rPr>
          <w:rFonts w:ascii="Arial" w:cs="Arial" w:eastAsia="Arial" w:hAnsi="Arial"/>
          <w:sz w:val="16"/>
          <w:szCs w:val="16"/>
          <w:color w:val="3E693D"/>
        </w:rPr>
        <w:t xml:space="preserve">} </w:t>
      </w:r>
      <w:r>
        <w:rPr>
          <w:rFonts w:ascii="Arial" w:cs="Arial" w:eastAsia="Arial" w:hAnsi="Arial"/>
          <w:sz w:val="16"/>
          <w:szCs w:val="16"/>
          <w:color w:val="000000"/>
        </w:rPr>
        <w:t>Employees in roles which could expose the Firm to greater risks</w:t>
      </w:r>
      <w:r>
        <w:rPr>
          <w:rFonts w:ascii="Arial" w:cs="Arial" w:eastAsia="Arial" w:hAnsi="Arial"/>
          <w:sz w:val="16"/>
          <w:szCs w:val="16"/>
          <w:color w:val="3E693D"/>
        </w:rPr>
        <w:t xml:space="preserve"> </w:t>
      </w:r>
      <w:r>
        <w:rPr>
          <w:rFonts w:ascii="Arial" w:cs="Arial" w:eastAsia="Arial" w:hAnsi="Arial"/>
          <w:sz w:val="16"/>
          <w:szCs w:val="16"/>
          <w:color w:val="000000"/>
          <w:shd w:val="clear" w:color="auto" w:fill="EEEFEF"/>
        </w:rPr>
        <w:t>(including OC and other Designated Employees) are subject to a more disciplined evaluation process, including certain compensation terms and conditions as a mechanism to balance the greater risk</w:t>
      </w:r>
    </w:p>
    <w:p>
      <w:pPr>
        <w:ind w:left="280" w:right="220" w:hanging="233"/>
        <w:spacing w:after="0" w:line="264" w:lineRule="auto"/>
        <w:rPr>
          <w:rFonts w:ascii="Arial" w:cs="Arial" w:eastAsia="Arial" w:hAnsi="Arial"/>
          <w:sz w:val="32"/>
          <w:szCs w:val="32"/>
          <w:b w:val="1"/>
          <w:bCs w:val="1"/>
          <w:color w:val="FFFFFF"/>
        </w:rPr>
      </w:pPr>
      <w:r>
        <w:rPr>
          <w:rFonts w:ascii="Arial" w:cs="Arial" w:eastAsia="Arial" w:hAnsi="Arial"/>
          <w:sz w:val="16"/>
          <w:szCs w:val="16"/>
          <w:color w:val="3E693D"/>
        </w:rPr>
        <w:t xml:space="preserve">} </w:t>
      </w:r>
      <w:r>
        <w:rPr>
          <w:rFonts w:ascii="Arial" w:cs="Arial" w:eastAsia="Arial" w:hAnsi="Arial"/>
          <w:sz w:val="16"/>
          <w:szCs w:val="16"/>
          <w:color w:val="000000"/>
        </w:rPr>
        <w:t>This enhanced performance process is used by managers to help</w:t>
      </w:r>
      <w:r>
        <w:rPr>
          <w:rFonts w:ascii="Arial" w:cs="Arial" w:eastAsia="Arial" w:hAnsi="Arial"/>
          <w:sz w:val="16"/>
          <w:szCs w:val="16"/>
          <w:color w:val="3E693D"/>
        </w:rPr>
        <w:t xml:space="preserve"> </w:t>
      </w:r>
      <w:r>
        <w:rPr>
          <w:rFonts w:ascii="Arial" w:cs="Arial" w:eastAsia="Arial" w:hAnsi="Arial"/>
          <w:sz w:val="16"/>
          <w:szCs w:val="16"/>
          <w:color w:val="000000"/>
          <w:shd w:val="clear" w:color="auto" w:fill="EEEFEF"/>
        </w:rPr>
        <w:t>assess whether these employees are meeting our expectations through formal Risk &amp; Control feedback from Control Function partners and additional Risk &amp; Controls reports</w:t>
      </w:r>
    </w:p>
    <w:p>
      <w:pPr>
        <w:ind w:left="280" w:right="300" w:hanging="233"/>
        <w:spacing w:after="0" w:line="275" w:lineRule="auto"/>
        <w:rPr>
          <w:rFonts w:ascii="Arial" w:cs="Arial" w:eastAsia="Arial" w:hAnsi="Arial"/>
          <w:sz w:val="32"/>
          <w:szCs w:val="32"/>
          <w:b w:val="1"/>
          <w:bCs w:val="1"/>
          <w:color w:val="FFFFFF"/>
        </w:rPr>
      </w:pP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All other employees are evaluated by their managers against the</w:t>
      </w: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Firm’s four performance dimensions, which include the Risk, Controls &amp; Conduct dimension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-1497965</wp:posOffset>
            </wp:positionV>
            <wp:extent cx="3326130" cy="215138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32613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color w:val="FFFFFF"/>
        </w:rPr>
        <w:t>OC member self-assessments are shared with the Board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560" w:hanging="560"/>
        <w:spacing w:after="0"/>
        <w:tabs>
          <w:tab w:leader="none" w:pos="560" w:val="left"/>
        </w:tabs>
        <w:numPr>
          <w:ilvl w:val="1"/>
          <w:numId w:val="156"/>
        </w:numPr>
        <w:rPr>
          <w:rFonts w:ascii="Arial" w:cs="Arial" w:eastAsia="Arial" w:hAnsi="Arial"/>
          <w:sz w:val="32"/>
          <w:szCs w:val="32"/>
          <w:b w:val="1"/>
          <w:bCs w:val="1"/>
          <w:color w:val="FFFFFF"/>
        </w:rPr>
      </w:pPr>
      <w:r>
        <w:rPr>
          <w:rFonts w:ascii="Arial" w:cs="Arial" w:eastAsia="Arial" w:hAnsi="Arial"/>
          <w:sz w:val="18"/>
          <w:szCs w:val="18"/>
          <w:b w:val="1"/>
          <w:bCs w:val="1"/>
          <w:color w:val="3E693D"/>
        </w:rPr>
        <w:t>Employee conduct matters</w:t>
      </w:r>
    </w:p>
    <w:p>
      <w:pPr>
        <w:spacing w:after="0" w:line="270" w:lineRule="exact"/>
        <w:rPr>
          <w:rFonts w:ascii="Arial" w:cs="Arial" w:eastAsia="Arial" w:hAnsi="Arial"/>
          <w:sz w:val="32"/>
          <w:szCs w:val="32"/>
          <w:b w:val="1"/>
          <w:bCs w:val="1"/>
          <w:color w:val="FFFFFF"/>
        </w:rPr>
      </w:pPr>
    </w:p>
    <w:p>
      <w:pPr>
        <w:ind w:left="100" w:right="120" w:hanging="233"/>
        <w:spacing w:after="0" w:line="270" w:lineRule="auto"/>
        <w:rPr>
          <w:rFonts w:ascii="Arial" w:cs="Arial" w:eastAsia="Arial" w:hAnsi="Arial"/>
          <w:sz w:val="32"/>
          <w:szCs w:val="32"/>
          <w:b w:val="1"/>
          <w:bCs w:val="1"/>
          <w:color w:val="FFFFFF"/>
        </w:rPr>
      </w:pPr>
      <w:r>
        <w:rPr>
          <w:rFonts w:ascii="Arial" w:cs="Arial" w:eastAsia="Arial" w:hAnsi="Arial"/>
          <w:sz w:val="16"/>
          <w:szCs w:val="16"/>
          <w:color w:val="3E693D"/>
        </w:rPr>
        <w:t xml:space="preserve">} </w:t>
      </w:r>
      <w:r>
        <w:rPr>
          <w:rFonts w:ascii="Arial" w:cs="Arial" w:eastAsia="Arial" w:hAnsi="Arial"/>
          <w:sz w:val="16"/>
          <w:szCs w:val="16"/>
          <w:color w:val="000000"/>
        </w:rPr>
        <w:t>We have an enterprise-wide framework to assess employee conduct-related</w:t>
      </w:r>
      <w:r>
        <w:rPr>
          <w:rFonts w:ascii="Arial" w:cs="Arial" w:eastAsia="Arial" w:hAnsi="Arial"/>
          <w:sz w:val="16"/>
          <w:szCs w:val="16"/>
          <w:color w:val="3E693D"/>
        </w:rPr>
        <w:t xml:space="preserve"> </w:t>
      </w:r>
      <w:r>
        <w:rPr>
          <w:rFonts w:ascii="Arial" w:cs="Arial" w:eastAsia="Arial" w:hAnsi="Arial"/>
          <w:sz w:val="16"/>
          <w:szCs w:val="16"/>
          <w:color w:val="000000"/>
        </w:rPr>
        <w:t>matters, and we review trends that may expose the Firm to material financial, reputational, compliance and other operating risks</w:t>
      </w:r>
    </w:p>
    <w:p>
      <w:pPr>
        <w:ind w:left="100" w:right="60" w:hanging="233"/>
        <w:spacing w:after="0" w:line="286" w:lineRule="auto"/>
        <w:rPr>
          <w:rFonts w:ascii="Arial" w:cs="Arial" w:eastAsia="Arial" w:hAnsi="Arial"/>
          <w:sz w:val="32"/>
          <w:szCs w:val="32"/>
          <w:b w:val="1"/>
          <w:bCs w:val="1"/>
          <w:color w:val="FFFFFF"/>
        </w:rPr>
      </w:pPr>
      <w:r>
        <w:rPr>
          <w:rFonts w:ascii="Arial" w:cs="Arial" w:eastAsia="Arial" w:hAnsi="Arial"/>
          <w:sz w:val="16"/>
          <w:szCs w:val="16"/>
          <w:color w:val="3E693D"/>
        </w:rPr>
        <w:t xml:space="preserve">} </w:t>
      </w:r>
      <w:r>
        <w:rPr>
          <w:rFonts w:ascii="Arial" w:cs="Arial" w:eastAsia="Arial" w:hAnsi="Arial"/>
          <w:sz w:val="16"/>
          <w:szCs w:val="16"/>
          <w:color w:val="000000"/>
        </w:rPr>
        <w:t>Actual or potential misconduct for matters that create material risk and control</w:t>
      </w:r>
      <w:r>
        <w:rPr>
          <w:rFonts w:ascii="Arial" w:cs="Arial" w:eastAsia="Arial" w:hAnsi="Arial"/>
          <w:sz w:val="16"/>
          <w:szCs w:val="16"/>
          <w:color w:val="3E693D"/>
        </w:rPr>
        <w:t xml:space="preserve"> </w:t>
      </w:r>
      <w:r>
        <w:rPr>
          <w:rFonts w:ascii="Arial" w:cs="Arial" w:eastAsia="Arial" w:hAnsi="Arial"/>
          <w:sz w:val="16"/>
          <w:szCs w:val="16"/>
          <w:color w:val="000000"/>
        </w:rPr>
        <w:t>concerns are escalated to our HR Control Forum process,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-740410</wp:posOffset>
            </wp:positionV>
            <wp:extent cx="3745865" cy="1148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745865" cy="1148715"/>
                    </a:xfrm>
                    <a:prstGeom prst="rect">
                      <a:avLst/>
                    </a:prstGeom>
                    <a:noFill/>
                  </pic:spPr>
                </pic:pic>
              </a:graphicData>
            </a:graphic>
          </wp:anchor>
        </w:drawing>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6"/>
          <w:szCs w:val="16"/>
          <w:color w:val="FFFFFF"/>
        </w:rPr>
        <w:t>Escalation by Control Committees and other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200660</wp:posOffset>
            </wp:positionV>
            <wp:extent cx="3745865" cy="2914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745865" cy="291465"/>
                    </a:xfrm>
                    <a:prstGeom prst="rect">
                      <a:avLst/>
                    </a:prstGeom>
                    <a:noFill/>
                  </pic:spPr>
                </pic:pic>
              </a:graphicData>
            </a:graphic>
          </wp:anchor>
        </w:drawing>
      </w:r>
    </w:p>
    <w:p>
      <w:pPr>
        <w:spacing w:after="0" w:line="363" w:lineRule="exact"/>
        <w:rPr>
          <w:sz w:val="20"/>
          <w:szCs w:val="20"/>
          <w:color w:val="auto"/>
        </w:rPr>
      </w:pPr>
    </w:p>
    <w:p>
      <w:pPr>
        <w:ind w:left="1060"/>
        <w:spacing w:after="0"/>
        <w:rPr>
          <w:sz w:val="20"/>
          <w:szCs w:val="20"/>
          <w:color w:val="auto"/>
        </w:rPr>
      </w:pPr>
      <w:r>
        <w:rPr>
          <w:rFonts w:ascii="Arial" w:cs="Arial" w:eastAsia="Arial" w:hAnsi="Arial"/>
          <w:sz w:val="16"/>
          <w:szCs w:val="16"/>
          <w:color w:val="FFFFFF"/>
        </w:rPr>
        <w:t>LOB, function, and regional HR Control Forums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200660</wp:posOffset>
            </wp:positionV>
            <wp:extent cx="3745865" cy="5740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745865" cy="5740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left="60" w:right="200"/>
        <w:spacing w:after="0" w:line="304" w:lineRule="auto"/>
        <w:rPr>
          <w:sz w:val="20"/>
          <w:szCs w:val="20"/>
          <w:color w:val="auto"/>
        </w:rPr>
      </w:pPr>
      <w:r>
        <w:rPr>
          <w:rFonts w:ascii="Arial" w:cs="Arial" w:eastAsia="Arial" w:hAnsi="Arial"/>
          <w:sz w:val="16"/>
          <w:szCs w:val="16"/>
          <w:color w:val="FFFFFF"/>
        </w:rPr>
        <w:t>Firmwide HR Control Forum reviews outputs from and provides feedback to LOB/function/regional forums and provides constructive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304800</wp:posOffset>
            </wp:positionV>
            <wp:extent cx="7132320" cy="58293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5160" w:space="360"/>
            <w:col w:w="5740"/>
          </w:cols>
          <w:pgMar w:left="320" w:top="157" w:right="319" w:bottom="1440" w:gutter="0" w:footer="0" w:header="0"/>
          <w:type w:val="continuous"/>
        </w:sect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3E693D"/>
        </w:rPr>
        <w:t>Compensation &amp; Management Development Committee</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color w:val="3E693D"/>
        </w:rPr>
        <w:t xml:space="preserve">} </w:t>
      </w:r>
      <w:r>
        <w:rPr>
          <w:rFonts w:ascii="Arial" w:cs="Arial" w:eastAsia="Arial" w:hAnsi="Arial"/>
          <w:sz w:val="16"/>
          <w:szCs w:val="16"/>
          <w:color w:val="000000"/>
        </w:rPr>
        <w:t>The CMDC reviews a summary of outcomes of HR Control Forums, including those that may have resulted in incentive compensation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41148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32" w:lineRule="exact"/>
        <w:rPr>
          <w:sz w:val="20"/>
          <w:szCs w:val="20"/>
          <w:color w:val="auto"/>
        </w:rPr>
      </w:pPr>
    </w:p>
    <w:p>
      <w:pPr>
        <w:ind w:left="720" w:hanging="539"/>
        <w:spacing w:after="0"/>
        <w:tabs>
          <w:tab w:leader="none" w:pos="720" w:val="left"/>
        </w:tabs>
        <w:numPr>
          <w:ilvl w:val="0"/>
          <w:numId w:val="158"/>
        </w:numPr>
        <w:rPr>
          <w:rFonts w:ascii="Arial" w:cs="Arial" w:eastAsia="Arial" w:hAnsi="Arial"/>
          <w:sz w:val="32"/>
          <w:szCs w:val="32"/>
          <w:b w:val="1"/>
          <w:bCs w:val="1"/>
          <w:color w:val="FFFFFF"/>
        </w:rPr>
      </w:pPr>
      <w:r>
        <w:rPr>
          <w:rFonts w:ascii="Arial" w:cs="Arial" w:eastAsia="Arial" w:hAnsi="Arial"/>
          <w:sz w:val="18"/>
          <w:szCs w:val="18"/>
          <w:b w:val="1"/>
          <w:bCs w:val="1"/>
          <w:color w:val="3E693D"/>
        </w:rPr>
        <w:t>Designated Employees exit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4375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line="210" w:lineRule="exact"/>
        <w:rPr>
          <w:sz w:val="20"/>
          <w:szCs w:val="20"/>
          <w:color w:val="auto"/>
        </w:rPr>
      </w:pPr>
    </w:p>
    <w:p>
      <w:pPr>
        <w:ind w:left="20" w:right="260"/>
        <w:spacing w:after="0" w:line="275" w:lineRule="auto"/>
        <w:rPr>
          <w:sz w:val="20"/>
          <w:szCs w:val="20"/>
          <w:color w:val="auto"/>
        </w:rPr>
      </w:pPr>
      <w:r>
        <w:rPr>
          <w:rFonts w:ascii="Arial" w:cs="Arial" w:eastAsia="Arial" w:hAnsi="Arial"/>
          <w:sz w:val="16"/>
          <w:szCs w:val="16"/>
          <w:color w:val="auto"/>
        </w:rPr>
        <w:t>Certain Designated Employees are subject to an enhanced exit process prior to separating from the Firm to determine the circumstances surrounding the employee's termination, including seeking feedback from senior Control Function employees to see if they are associated with any known or potential emerging risk, controls and conduct issues that may warrant current or potential future monitoring for forfeiture or clawback of an award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149225</wp:posOffset>
            </wp:positionV>
            <wp:extent cx="76835" cy="1454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60" w:type="dxa"/>
            <w:vAlign w:val="bottom"/>
          </w:tcPr>
          <w:p>
            <w:pPr>
              <w:spacing w:after="0"/>
              <w:rPr>
                <w:sz w:val="22"/>
                <w:szCs w:val="22"/>
                <w:color w:val="auto"/>
              </w:rPr>
            </w:pPr>
          </w:p>
        </w:tc>
        <w:tc>
          <w:tcPr>
            <w:tcW w:w="260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5"/>
                <w:szCs w:val="15"/>
                <w:color w:val="074A75"/>
              </w:rPr>
              <w:t>How we think about pay decisions</w:t>
            </w:r>
          </w:p>
        </w:tc>
        <w:tc>
          <w:tcPr>
            <w:tcW w:w="320" w:type="dxa"/>
            <w:vAlign w:val="bottom"/>
            <w:tcBorders>
              <w:right w:val="single" w:sz="8" w:color="E7E7E8"/>
            </w:tcBorders>
          </w:tcPr>
          <w:p>
            <w:pPr>
              <w:spacing w:after="0"/>
              <w:rPr>
                <w:sz w:val="22"/>
                <w:szCs w:val="22"/>
                <w:color w:val="auto"/>
              </w:rPr>
            </w:pPr>
          </w:p>
        </w:tc>
        <w:tc>
          <w:tcPr>
            <w:tcW w:w="372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Borders>
              <w:right w:val="single" w:sz="8" w:color="E7E7E8"/>
            </w:tcBorders>
          </w:tcPr>
          <w:p>
            <w:pPr>
              <w:spacing w:after="0"/>
              <w:rPr>
                <w:sz w:val="22"/>
                <w:szCs w:val="22"/>
                <w:color w:val="auto"/>
              </w:rPr>
            </w:pPr>
          </w:p>
        </w:tc>
        <w:tc>
          <w:tcPr>
            <w:tcW w:w="320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Borders>
              <w:bottom w:val="single" w:sz="8" w:color="E7E7E8"/>
            </w:tcBorders>
            <w:shd w:val="clear" w:color="auto" w:fill="E7E7E8"/>
          </w:tcPr>
          <w:p>
            <w:pPr>
              <w:spacing w:after="0"/>
              <w:rPr>
                <w:sz w:val="5"/>
                <w:szCs w:val="5"/>
                <w:color w:val="auto"/>
              </w:rPr>
            </w:pPr>
          </w:p>
        </w:tc>
        <w:tc>
          <w:tcPr>
            <w:tcW w:w="320" w:type="dxa"/>
            <w:vAlign w:val="bottom"/>
            <w:tcBorders>
              <w:right w:val="single" w:sz="8" w:color="E7E7E8"/>
            </w:tcBorders>
          </w:tcPr>
          <w:p>
            <w:pPr>
              <w:spacing w:after="0"/>
              <w:rPr>
                <w:sz w:val="5"/>
                <w:szCs w:val="5"/>
                <w:color w:val="auto"/>
              </w:rPr>
            </w:pPr>
          </w:p>
        </w:tc>
        <w:tc>
          <w:tcPr>
            <w:tcW w:w="372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20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CLAWBACK/RECOVERY PROVISIONS</w:t>
      </w:r>
    </w:p>
    <w:p>
      <w:pPr>
        <w:spacing w:after="0" w:line="110"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maintain clawback/recovery provisions on both cash incentives and equity awards which enable us to reduce or cancel unvested awards and recover previously paid compensation in certain situations. While incentive awards are intended and expected to vest according to their terms, the Firm’s strong recovery provisions permit recovery of incentive compensation awards in appropriate circumstances.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on the clawback provisions that apply to our OC members and the Firmwide Controller.</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EQUITY CLAWBACK REVIEW PROVISIONS</w:t>
      </w:r>
      <w:r>
        <w:rPr>
          <w:rFonts w:ascii="Arial" w:cs="Arial" w:eastAsia="Arial" w:hAnsi="Arial"/>
          <w:sz w:val="25"/>
          <w:szCs w:val="25"/>
          <w:color w:val="074A75"/>
          <w:vertAlign w:val="superscript"/>
        </w:rPr>
        <w:t>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940" w:type="dxa"/>
            <w:vAlign w:val="bottom"/>
            <w:tcBorders>
              <w:bottom w:val="single" w:sz="8" w:color="494949"/>
            </w:tcBorders>
            <w:gridSpan w:val="2"/>
          </w:tcPr>
          <w:p>
            <w:pPr>
              <w:ind w:left="520"/>
              <w:spacing w:after="0"/>
              <w:rPr>
                <w:sz w:val="20"/>
                <w:szCs w:val="20"/>
                <w:color w:val="auto"/>
              </w:rPr>
            </w:pPr>
            <w:r>
              <w:rPr>
                <w:rFonts w:ascii="Arial" w:cs="Arial" w:eastAsia="Arial" w:hAnsi="Arial"/>
                <w:sz w:val="16"/>
                <w:szCs w:val="16"/>
                <w:color w:val="auto"/>
              </w:rPr>
              <w:t>Award Type</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Category</w:t>
            </w:r>
          </w:p>
        </w:tc>
        <w:tc>
          <w:tcPr>
            <w:tcW w:w="7540" w:type="dxa"/>
            <w:vAlign w:val="bottom"/>
            <w:tcBorders>
              <w:bottom w:val="single" w:sz="8" w:color="494949"/>
            </w:tcBorders>
          </w:tcPr>
          <w:p>
            <w:pPr>
              <w:ind w:left="60"/>
              <w:spacing w:after="0"/>
              <w:rPr>
                <w:sz w:val="20"/>
                <w:szCs w:val="20"/>
                <w:color w:val="auto"/>
              </w:rPr>
            </w:pPr>
            <w:r>
              <w:rPr>
                <w:rFonts w:ascii="Arial" w:cs="Arial" w:eastAsia="Arial" w:hAnsi="Arial"/>
                <w:sz w:val="16"/>
                <w:szCs w:val="16"/>
                <w:color w:val="074A75"/>
              </w:rPr>
              <w:t>Trigger</w:t>
            </w:r>
          </w:p>
        </w:tc>
        <w:tc>
          <w:tcPr>
            <w:tcW w:w="960" w:type="dxa"/>
            <w:vAlign w:val="bottom"/>
            <w:tcBorders>
              <w:bottom w:val="single" w:sz="8" w:color="494949"/>
            </w:tcBorders>
          </w:tcPr>
          <w:p>
            <w:pPr>
              <w:ind w:left="220"/>
              <w:spacing w:after="0"/>
              <w:rPr>
                <w:sz w:val="20"/>
                <w:szCs w:val="20"/>
                <w:color w:val="auto"/>
              </w:rPr>
            </w:pPr>
            <w:r>
              <w:rPr>
                <w:rFonts w:ascii="Arial" w:cs="Arial" w:eastAsia="Arial" w:hAnsi="Arial"/>
                <w:sz w:val="16"/>
                <w:szCs w:val="16"/>
                <w:color w:val="074A75"/>
              </w:rPr>
              <w:t>Vested</w:t>
            </w:r>
          </w:p>
        </w:tc>
        <w:tc>
          <w:tcPr>
            <w:tcW w:w="980" w:type="dxa"/>
            <w:vAlign w:val="bottom"/>
            <w:tcBorders>
              <w:bottom w:val="single" w:sz="8" w:color="494949"/>
            </w:tcBorders>
          </w:tcPr>
          <w:p>
            <w:pPr>
              <w:ind w:left="140"/>
              <w:spacing w:after="0"/>
              <w:rPr>
                <w:sz w:val="20"/>
                <w:szCs w:val="20"/>
                <w:color w:val="auto"/>
              </w:rPr>
            </w:pPr>
            <w:r>
              <w:rPr>
                <w:rFonts w:ascii="Arial" w:cs="Arial" w:eastAsia="Arial" w:hAnsi="Arial"/>
                <w:sz w:val="16"/>
                <w:szCs w:val="16"/>
                <w:color w:val="074A75"/>
              </w:rPr>
              <w:t>Unvested</w:t>
            </w:r>
          </w:p>
        </w:tc>
        <w:tc>
          <w:tcPr>
            <w:tcW w:w="0" w:type="dxa"/>
            <w:vAlign w:val="bottom"/>
          </w:tcPr>
          <w:p>
            <w:pPr>
              <w:spacing w:after="0"/>
              <w:rPr>
                <w:sz w:val="1"/>
                <w:szCs w:val="1"/>
                <w:color w:val="auto"/>
              </w:rPr>
            </w:pPr>
          </w:p>
        </w:tc>
      </w:tr>
      <w:tr>
        <w:trPr>
          <w:trHeight w:val="239"/>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Restatement</w:t>
            </w:r>
          </w:p>
        </w:tc>
        <w:tc>
          <w:tcPr>
            <w:tcW w:w="75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In the event of a</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 restatement of the Firm’s financial results</w:t>
            </w:r>
            <w:r>
              <w:rPr>
                <w:rFonts w:ascii="Arial" w:cs="Arial" w:eastAsia="Arial" w:hAnsi="Arial"/>
                <w:sz w:val="17"/>
                <w:szCs w:val="17"/>
                <w:color w:val="205A85"/>
              </w:rPr>
              <w:t xml:space="preserve"> </w:t>
            </w:r>
            <w:r>
              <w:rPr>
                <w:rFonts w:ascii="Arial" w:cs="Arial" w:eastAsia="Arial" w:hAnsi="Arial"/>
                <w:sz w:val="17"/>
                <w:szCs w:val="17"/>
                <w:color w:val="000000"/>
              </w:rPr>
              <w:t>for the relevant period</w:t>
            </w:r>
          </w:p>
        </w:tc>
        <w:tc>
          <w:tcPr>
            <w:tcW w:w="960" w:type="dxa"/>
            <w:vAlign w:val="bottom"/>
            <w:tcBorders>
              <w:right w:val="single" w:sz="8" w:color="494949"/>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780" w:type="dxa"/>
            <w:vAlign w:val="bottom"/>
            <w:tcBorders>
              <w:right w:val="single" w:sz="8" w:color="494949"/>
            </w:tcBorders>
          </w:tcPr>
          <w:p>
            <w:pPr>
              <w:spacing w:after="0"/>
              <w:rPr>
                <w:sz w:val="8"/>
                <w:szCs w:val="8"/>
                <w:color w:val="auto"/>
              </w:rPr>
            </w:pPr>
          </w:p>
        </w:tc>
        <w:tc>
          <w:tcPr>
            <w:tcW w:w="7540" w:type="dxa"/>
            <w:vAlign w:val="bottom"/>
            <w:tcBorders>
              <w:right w:val="single" w:sz="8" w:color="494949"/>
            </w:tcBorders>
            <w:vMerge w:val="continue"/>
          </w:tcPr>
          <w:p>
            <w:pPr>
              <w:spacing w:after="0"/>
              <w:rPr>
                <w:sz w:val="8"/>
                <w:szCs w:val="8"/>
                <w:color w:val="auto"/>
              </w:rPr>
            </w:pPr>
          </w:p>
        </w:tc>
        <w:tc>
          <w:tcPr>
            <w:tcW w:w="960" w:type="dxa"/>
            <w:vAlign w:val="bottom"/>
            <w:tcBorders>
              <w:right w:val="single" w:sz="8" w:color="494949"/>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780" w:type="dxa"/>
            <w:vAlign w:val="bottom"/>
            <w:tcBorders>
              <w:right w:val="single" w:sz="8" w:color="494949"/>
            </w:tcBorders>
          </w:tcPr>
          <w:p>
            <w:pPr>
              <w:spacing w:after="0"/>
              <w:rPr>
                <w:sz w:val="10"/>
                <w:szCs w:val="10"/>
                <w:color w:val="auto"/>
              </w:rPr>
            </w:pPr>
          </w:p>
        </w:tc>
        <w:tc>
          <w:tcPr>
            <w:tcW w:w="7540" w:type="dxa"/>
            <w:vAlign w:val="bottom"/>
            <w:tcBorders>
              <w:bottom w:val="single" w:sz="8" w:color="494949"/>
              <w:right w:val="single" w:sz="8" w:color="494949"/>
            </w:tcBorders>
          </w:tcPr>
          <w:p>
            <w:pPr>
              <w:spacing w:after="0"/>
              <w:rPr>
                <w:sz w:val="10"/>
                <w:szCs w:val="10"/>
                <w:color w:val="auto"/>
              </w:rPr>
            </w:pPr>
          </w:p>
        </w:tc>
        <w:tc>
          <w:tcPr>
            <w:tcW w:w="960" w:type="dxa"/>
            <w:vAlign w:val="bottom"/>
            <w:tcBorders>
              <w:right w:val="single" w:sz="8" w:color="494949"/>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780" w:type="dxa"/>
            <w:vAlign w:val="bottom"/>
            <w:tcBorders>
              <w:bottom w:val="single" w:sz="8" w:color="494949"/>
              <w:right w:val="single" w:sz="8" w:color="494949"/>
            </w:tcBorders>
          </w:tcPr>
          <w:p>
            <w:pPr>
              <w:spacing w:after="0"/>
              <w:rPr>
                <w:sz w:val="21"/>
                <w:szCs w:val="21"/>
                <w:color w:val="auto"/>
              </w:rPr>
            </w:pPr>
          </w:p>
        </w:tc>
        <w:tc>
          <w:tcPr>
            <w:tcW w:w="7540" w:type="dxa"/>
            <w:vAlign w:val="bottom"/>
            <w:tcBorders>
              <w:bottom w:val="single" w:sz="8" w:color="494949"/>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This provision also</w:t>
            </w:r>
            <w:r>
              <w:rPr>
                <w:rFonts w:ascii="Arial" w:cs="Arial" w:eastAsia="Arial" w:hAnsi="Arial"/>
                <w:sz w:val="17"/>
                <w:szCs w:val="17"/>
                <w:color w:val="205A85"/>
              </w:rPr>
              <w:t xml:space="preserve"> </w:t>
            </w:r>
            <w:r>
              <w:rPr>
                <w:rFonts w:ascii="Arial" w:cs="Arial" w:eastAsia="Arial" w:hAnsi="Arial"/>
                <w:sz w:val="17"/>
                <w:szCs w:val="17"/>
                <w:b w:val="1"/>
                <w:bCs w:val="1"/>
                <w:color w:val="000000"/>
              </w:rPr>
              <w:t>applies to cash incentives</w:t>
            </w:r>
          </w:p>
        </w:tc>
        <w:tc>
          <w:tcPr>
            <w:tcW w:w="960" w:type="dxa"/>
            <w:vAlign w:val="bottom"/>
            <w:tcBorders>
              <w:bottom w:val="single" w:sz="8" w:color="494949"/>
              <w:right w:val="single" w:sz="8" w:color="494949"/>
            </w:tcBorders>
          </w:tcPr>
          <w:p>
            <w:pPr>
              <w:spacing w:after="0"/>
              <w:rPr>
                <w:sz w:val="21"/>
                <w:szCs w:val="21"/>
                <w:color w:val="auto"/>
              </w:rPr>
            </w:pPr>
          </w:p>
        </w:tc>
        <w:tc>
          <w:tcPr>
            <w:tcW w:w="980" w:type="dxa"/>
            <w:vAlign w:val="bottom"/>
            <w:tcBorders>
              <w:bottom w:val="single" w:sz="8" w:color="494949"/>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Misconduct</w:t>
            </w: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engaged in</w:t>
            </w:r>
            <w:r>
              <w:rPr>
                <w:rFonts w:ascii="Arial" w:cs="Arial" w:eastAsia="Arial" w:hAnsi="Arial"/>
                <w:sz w:val="17"/>
                <w:szCs w:val="17"/>
                <w:color w:val="205A85"/>
              </w:rPr>
              <w:t xml:space="preserve"> </w:t>
            </w:r>
            <w:r>
              <w:rPr>
                <w:rFonts w:ascii="Arial" w:cs="Arial" w:eastAsia="Arial" w:hAnsi="Arial"/>
                <w:sz w:val="17"/>
                <w:szCs w:val="17"/>
                <w:b w:val="1"/>
                <w:bCs w:val="1"/>
                <w:color w:val="000000"/>
              </w:rPr>
              <w:t>conduct detrimental</w:t>
            </w:r>
            <w:r>
              <w:rPr>
                <w:rFonts w:ascii="Arial" w:cs="Arial" w:eastAsia="Arial" w:hAnsi="Arial"/>
                <w:sz w:val="17"/>
                <w:szCs w:val="17"/>
                <w:color w:val="205A85"/>
              </w:rPr>
              <w:t xml:space="preserve"> </w:t>
            </w:r>
            <w:r>
              <w:rPr>
                <w:rFonts w:ascii="Arial" w:cs="Arial" w:eastAsia="Arial" w:hAnsi="Arial"/>
                <w:sz w:val="17"/>
                <w:szCs w:val="17"/>
                <w:color w:val="000000"/>
              </w:rPr>
              <w:t>to the Firm that causes material financial or</w:t>
            </w:r>
          </w:p>
        </w:tc>
        <w:tc>
          <w:tcPr>
            <w:tcW w:w="960" w:type="dxa"/>
            <w:vAlign w:val="bottom"/>
            <w:tcBorders>
              <w:right w:val="single" w:sz="8" w:color="494949"/>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reputational harm to the Firm, or engaged in knowing and willful misconduct related to</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employment</w:t>
            </w:r>
          </w:p>
        </w:tc>
        <w:tc>
          <w:tcPr>
            <w:tcW w:w="960" w:type="dxa"/>
            <w:vAlign w:val="bottom"/>
            <w:tcBorders>
              <w:right w:val="single" w:sz="8" w:color="494949"/>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780" w:type="dxa"/>
            <w:vAlign w:val="bottom"/>
            <w:tcBorders>
              <w:right w:val="single" w:sz="8" w:color="494949"/>
            </w:tcBorders>
          </w:tcPr>
          <w:p>
            <w:pPr>
              <w:spacing w:after="0"/>
              <w:rPr>
                <w:sz w:val="3"/>
                <w:szCs w:val="3"/>
                <w:color w:val="auto"/>
              </w:rPr>
            </w:pPr>
          </w:p>
        </w:tc>
        <w:tc>
          <w:tcPr>
            <w:tcW w:w="7540" w:type="dxa"/>
            <w:vAlign w:val="bottom"/>
            <w:tcBorders>
              <w:bottom w:val="single" w:sz="8" w:color="494949"/>
              <w:right w:val="single" w:sz="8" w:color="494949"/>
            </w:tcBorders>
          </w:tcPr>
          <w:p>
            <w:pPr>
              <w:spacing w:after="0"/>
              <w:rPr>
                <w:sz w:val="3"/>
                <w:szCs w:val="3"/>
                <w:color w:val="auto"/>
              </w:rPr>
            </w:pPr>
          </w:p>
        </w:tc>
        <w:tc>
          <w:tcPr>
            <w:tcW w:w="960" w:type="dxa"/>
            <w:vAlign w:val="bottom"/>
            <w:tcBorders>
              <w:bottom w:val="single" w:sz="8" w:color="494949"/>
              <w:right w:val="single" w:sz="8" w:color="494949"/>
            </w:tcBorders>
          </w:tcPr>
          <w:p>
            <w:pPr>
              <w:spacing w:after="0"/>
              <w:rPr>
                <w:sz w:val="3"/>
                <w:szCs w:val="3"/>
                <w:color w:val="auto"/>
              </w:rPr>
            </w:pPr>
          </w:p>
        </w:tc>
        <w:tc>
          <w:tcPr>
            <w:tcW w:w="980" w:type="dxa"/>
            <w:vAlign w:val="bottom"/>
            <w:tcBorders>
              <w:bottom w:val="single" w:sz="8" w:color="494949"/>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1780" w:type="dxa"/>
            <w:vAlign w:val="bottom"/>
            <w:tcBorders>
              <w:right w:val="single" w:sz="8" w:color="494949"/>
            </w:tcBorders>
          </w:tcPr>
          <w:p>
            <w:pPr>
              <w:spacing w:after="0"/>
              <w:rPr>
                <w:sz w:val="24"/>
                <w:szCs w:val="24"/>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award was based on</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 misrepresentation</w:t>
            </w:r>
            <w:r>
              <w:rPr>
                <w:rFonts w:ascii="Arial" w:cs="Arial" w:eastAsia="Arial" w:hAnsi="Arial"/>
                <w:sz w:val="17"/>
                <w:szCs w:val="17"/>
                <w:color w:val="205A85"/>
              </w:rPr>
              <w:t xml:space="preserve"> </w:t>
            </w:r>
            <w:r>
              <w:rPr>
                <w:rFonts w:ascii="Arial" w:cs="Arial" w:eastAsia="Arial" w:hAnsi="Arial"/>
                <w:sz w:val="17"/>
                <w:szCs w:val="17"/>
                <w:color w:val="000000"/>
              </w:rPr>
              <w:t>by the employee</w:t>
            </w:r>
          </w:p>
        </w:tc>
        <w:tc>
          <w:tcPr>
            <w:tcW w:w="960" w:type="dxa"/>
            <w:vAlign w:val="bottom"/>
            <w:tcBorders>
              <w:right w:val="single" w:sz="8" w:color="494949"/>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80" w:type="dxa"/>
            <w:vAlign w:val="bottom"/>
            <w:tcBorders>
              <w:right w:val="single" w:sz="8" w:color="494949"/>
            </w:tcBorders>
          </w:tcPr>
          <w:p>
            <w:pPr>
              <w:spacing w:after="0"/>
              <w:rPr>
                <w:sz w:val="8"/>
                <w:szCs w:val="8"/>
                <w:color w:val="auto"/>
              </w:rPr>
            </w:pPr>
          </w:p>
        </w:tc>
        <w:tc>
          <w:tcPr>
            <w:tcW w:w="7540" w:type="dxa"/>
            <w:vAlign w:val="bottom"/>
            <w:tcBorders>
              <w:bottom w:val="single" w:sz="8" w:color="494949"/>
              <w:right w:val="single" w:sz="8" w:color="494949"/>
            </w:tcBorders>
          </w:tcPr>
          <w:p>
            <w:pPr>
              <w:spacing w:after="0"/>
              <w:rPr>
                <w:sz w:val="8"/>
                <w:szCs w:val="8"/>
                <w:color w:val="auto"/>
              </w:rPr>
            </w:pPr>
          </w:p>
        </w:tc>
        <w:tc>
          <w:tcPr>
            <w:tcW w:w="960" w:type="dxa"/>
            <w:vAlign w:val="bottom"/>
            <w:tcBorders>
              <w:bottom w:val="single" w:sz="8" w:color="494949"/>
              <w:right w:val="single" w:sz="8" w:color="494949"/>
            </w:tcBorders>
          </w:tcPr>
          <w:p>
            <w:pPr>
              <w:spacing w:after="0"/>
              <w:rPr>
                <w:sz w:val="8"/>
                <w:szCs w:val="8"/>
                <w:color w:val="auto"/>
              </w:rPr>
            </w:pPr>
          </w:p>
        </w:tc>
        <w:tc>
          <w:tcPr>
            <w:tcW w:w="980" w:type="dxa"/>
            <w:vAlign w:val="bottom"/>
            <w:tcBorders>
              <w:bottom w:val="single" w:sz="8" w:color="494949"/>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780" w:type="dxa"/>
            <w:vAlign w:val="bottom"/>
            <w:tcBorders>
              <w:right w:val="single" w:sz="8" w:color="494949"/>
            </w:tcBorders>
          </w:tcPr>
          <w:p>
            <w:pPr>
              <w:spacing w:after="0"/>
              <w:rPr>
                <w:sz w:val="24"/>
                <w:szCs w:val="24"/>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is</w:t>
            </w:r>
            <w:r>
              <w:rPr>
                <w:rFonts w:ascii="Arial" w:cs="Arial" w:eastAsia="Arial" w:hAnsi="Arial"/>
                <w:sz w:val="17"/>
                <w:szCs w:val="17"/>
                <w:color w:val="205A85"/>
              </w:rPr>
              <w:t xml:space="preserve"> </w:t>
            </w:r>
            <w:r>
              <w:rPr>
                <w:rFonts w:ascii="Arial" w:cs="Arial" w:eastAsia="Arial" w:hAnsi="Arial"/>
                <w:sz w:val="17"/>
                <w:szCs w:val="17"/>
                <w:b w:val="1"/>
                <w:bCs w:val="1"/>
                <w:color w:val="000000"/>
              </w:rPr>
              <w:t>terminated for cause</w:t>
            </w:r>
          </w:p>
        </w:tc>
        <w:tc>
          <w:tcPr>
            <w:tcW w:w="960" w:type="dxa"/>
            <w:vAlign w:val="bottom"/>
            <w:tcBorders>
              <w:right w:val="single" w:sz="8" w:color="494949"/>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780" w:type="dxa"/>
            <w:vAlign w:val="bottom"/>
            <w:tcBorders>
              <w:bottom w:val="single" w:sz="8" w:color="494949"/>
              <w:right w:val="single" w:sz="8" w:color="494949"/>
            </w:tcBorders>
          </w:tcPr>
          <w:p>
            <w:pPr>
              <w:spacing w:after="0"/>
              <w:rPr>
                <w:sz w:val="6"/>
                <w:szCs w:val="6"/>
                <w:color w:val="auto"/>
              </w:rPr>
            </w:pPr>
          </w:p>
        </w:tc>
        <w:tc>
          <w:tcPr>
            <w:tcW w:w="7540" w:type="dxa"/>
            <w:vAlign w:val="bottom"/>
            <w:tcBorders>
              <w:bottom w:val="single" w:sz="8" w:color="494949"/>
              <w:right w:val="single" w:sz="8" w:color="494949"/>
            </w:tcBorders>
          </w:tcPr>
          <w:p>
            <w:pPr>
              <w:spacing w:after="0"/>
              <w:rPr>
                <w:sz w:val="6"/>
                <w:szCs w:val="6"/>
                <w:color w:val="auto"/>
              </w:rPr>
            </w:pPr>
          </w:p>
        </w:tc>
        <w:tc>
          <w:tcPr>
            <w:tcW w:w="960" w:type="dxa"/>
            <w:vAlign w:val="bottom"/>
            <w:tcBorders>
              <w:bottom w:val="single" w:sz="8" w:color="494949"/>
              <w:right w:val="single" w:sz="8" w:color="494949"/>
            </w:tcBorders>
          </w:tcPr>
          <w:p>
            <w:pPr>
              <w:spacing w:after="0"/>
              <w:rPr>
                <w:sz w:val="6"/>
                <w:szCs w:val="6"/>
                <w:color w:val="auto"/>
              </w:rPr>
            </w:pPr>
          </w:p>
        </w:tc>
        <w:tc>
          <w:tcPr>
            <w:tcW w:w="980" w:type="dxa"/>
            <w:vAlign w:val="bottom"/>
            <w:tcBorders>
              <w:bottom w:val="single" w:sz="8" w:color="494949"/>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Risk-related</w:t>
            </w: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improperly or with gross negligence</w:t>
            </w:r>
            <w:r>
              <w:rPr>
                <w:rFonts w:ascii="Arial" w:cs="Arial" w:eastAsia="Arial" w:hAnsi="Arial"/>
                <w:sz w:val="17"/>
                <w:szCs w:val="17"/>
                <w:color w:val="205A85"/>
              </w:rPr>
              <w:t xml:space="preserve"> </w:t>
            </w:r>
            <w:r>
              <w:rPr>
                <w:rFonts w:ascii="Arial" w:cs="Arial" w:eastAsia="Arial" w:hAnsi="Arial"/>
                <w:sz w:val="17"/>
                <w:szCs w:val="17"/>
                <w:b w:val="1"/>
                <w:bCs w:val="1"/>
                <w:color w:val="000000"/>
              </w:rPr>
              <w:t>failed to identify, raise or assess,</w:t>
            </w:r>
            <w:r>
              <w:rPr>
                <w:rFonts w:ascii="Arial" w:cs="Arial" w:eastAsia="Arial" w:hAnsi="Arial"/>
                <w:sz w:val="17"/>
                <w:szCs w:val="17"/>
                <w:color w:val="205A85"/>
              </w:rPr>
              <w:t xml:space="preserve"> </w:t>
            </w:r>
            <w:r>
              <w:rPr>
                <w:rFonts w:ascii="Arial" w:cs="Arial" w:eastAsia="Arial" w:hAnsi="Arial"/>
                <w:sz w:val="17"/>
                <w:szCs w:val="17"/>
                <w:color w:val="000000"/>
              </w:rPr>
              <w:t>in a</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and Other</w:t>
            </w: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timely manner and as reasonably expected, issues and/or concerns with respect to </w:t>
            </w:r>
            <w:r>
              <w:rPr>
                <w:rFonts w:ascii="Arial" w:cs="Arial" w:eastAsia="Arial" w:hAnsi="Arial"/>
                <w:sz w:val="17"/>
                <w:szCs w:val="17"/>
                <w:b w:val="1"/>
                <w:bCs w:val="1"/>
                <w:color w:val="auto"/>
              </w:rPr>
              <w:t>risks</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780" w:type="dxa"/>
            <w:vAlign w:val="bottom"/>
            <w:tcBorders>
              <w:right w:val="single" w:sz="8" w:color="494949"/>
            </w:tcBorders>
          </w:tcPr>
          <w:p>
            <w:pPr>
              <w:spacing w:after="0"/>
              <w:rPr>
                <w:sz w:val="20"/>
                <w:szCs w:val="20"/>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b w:val="1"/>
                <w:bCs w:val="1"/>
                <w:color w:val="auto"/>
              </w:rPr>
              <w:t>material to the Firm</w:t>
            </w:r>
          </w:p>
        </w:tc>
        <w:tc>
          <w:tcPr>
            <w:tcW w:w="960" w:type="dxa"/>
            <w:vAlign w:val="bottom"/>
            <w:tcBorders>
              <w:right w:val="single" w:sz="8" w:color="494949"/>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780" w:type="dxa"/>
            <w:vAlign w:val="bottom"/>
            <w:tcBorders>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80" w:type="dxa"/>
            <w:vAlign w:val="bottom"/>
            <w:tcBorders>
              <w:bottom w:val="single" w:sz="8" w:color="49494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award was based on</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materially inaccurate performance metrics</w:t>
            </w:r>
            <w:r>
              <w:rPr>
                <w:rFonts w:ascii="Arial" w:cs="Arial" w:eastAsia="Arial" w:hAnsi="Arial"/>
                <w:sz w:val="17"/>
                <w:szCs w:val="17"/>
                <w:color w:val="000000"/>
              </w:rPr>
              <w:t>, whether or not the</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employee was responsible for the inaccuracy</w:t>
            </w:r>
          </w:p>
        </w:tc>
        <w:tc>
          <w:tcPr>
            <w:tcW w:w="960" w:type="dxa"/>
            <w:vAlign w:val="bottom"/>
            <w:tcBorders>
              <w:right w:val="single" w:sz="8" w:color="494949"/>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494949"/>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80" w:type="dxa"/>
            <w:vAlign w:val="bottom"/>
            <w:tcBorders>
              <w:bottom w:val="single" w:sz="8" w:color="49494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Protection-Based</w:t>
            </w:r>
          </w:p>
        </w:tc>
        <w:tc>
          <w:tcPr>
            <w:tcW w:w="75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w:t>
            </w:r>
            <w:r>
              <w:rPr>
                <w:rFonts w:ascii="Arial" w:cs="Arial" w:eastAsia="Arial" w:hAnsi="Arial"/>
                <w:sz w:val="17"/>
                <w:szCs w:val="17"/>
                <w:color w:val="205A85"/>
              </w:rPr>
              <w:t xml:space="preserve"> </w:t>
            </w:r>
            <w:r>
              <w:rPr>
                <w:rFonts w:ascii="Arial" w:cs="Arial" w:eastAsia="Arial" w:hAnsi="Arial"/>
                <w:sz w:val="17"/>
                <w:szCs w:val="17"/>
                <w:b w:val="1"/>
                <w:bCs w:val="1"/>
                <w:color w:val="000000"/>
              </w:rPr>
              <w:t>performance in relation to the priorities</w:t>
            </w:r>
            <w:r>
              <w:rPr>
                <w:rFonts w:ascii="Arial" w:cs="Arial" w:eastAsia="Arial" w:hAnsi="Arial"/>
                <w:sz w:val="17"/>
                <w:szCs w:val="17"/>
                <w:color w:val="205A85"/>
              </w:rPr>
              <w:t xml:space="preserve"> </w:t>
            </w:r>
            <w:r>
              <w:rPr>
                <w:rFonts w:ascii="Arial" w:cs="Arial" w:eastAsia="Arial" w:hAnsi="Arial"/>
                <w:sz w:val="17"/>
                <w:szCs w:val="17"/>
                <w:color w:val="000000"/>
              </w:rPr>
              <w:t>for their position, or the Firm’s performance in</w:t>
            </w:r>
          </w:p>
        </w:tc>
        <w:tc>
          <w:tcPr>
            <w:tcW w:w="960" w:type="dxa"/>
            <w:vAlign w:val="bottom"/>
            <w:tcBorders>
              <w:right w:val="single" w:sz="8" w:color="494949"/>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1780" w:type="dxa"/>
            <w:vAlign w:val="bottom"/>
            <w:tcBorders>
              <w:right w:val="single" w:sz="8" w:color="494949"/>
            </w:tcBorders>
            <w:vMerge w:val="restart"/>
          </w:tcPr>
          <w:p>
            <w:pPr>
              <w:ind w:left="20"/>
              <w:spacing w:after="0"/>
              <w:rPr>
                <w:sz w:val="20"/>
                <w:szCs w:val="20"/>
                <w:color w:val="auto"/>
              </w:rPr>
            </w:pPr>
            <w:r>
              <w:rPr>
                <w:rFonts w:ascii="Arial" w:cs="Arial" w:eastAsia="Arial" w:hAnsi="Arial"/>
                <w:sz w:val="16"/>
                <w:szCs w:val="16"/>
                <w:b w:val="1"/>
                <w:bCs w:val="1"/>
                <w:color w:val="auto"/>
              </w:rPr>
              <w:t>Vesting</w:t>
            </w:r>
            <w:r>
              <w:rPr>
                <w:rFonts w:ascii="Arial" w:cs="Arial" w:eastAsia="Arial" w:hAnsi="Arial"/>
                <w:sz w:val="21"/>
                <w:szCs w:val="21"/>
                <w:b w:val="1"/>
                <w:bCs w:val="1"/>
                <w:color w:val="auto"/>
                <w:vertAlign w:val="superscript"/>
              </w:rPr>
              <w:t>2</w:t>
            </w:r>
          </w:p>
        </w:tc>
        <w:tc>
          <w:tcPr>
            <w:tcW w:w="7540" w:type="dxa"/>
            <w:vAlign w:val="bottom"/>
            <w:tcBorders>
              <w:right w:val="single" w:sz="8" w:color="494949"/>
            </w:tcBorders>
            <w:vMerge w:val="continue"/>
          </w:tcPr>
          <w:p>
            <w:pPr>
              <w:spacing w:after="0"/>
              <w:rPr>
                <w:sz w:val="7"/>
                <w:szCs w:val="7"/>
                <w:color w:val="auto"/>
              </w:rPr>
            </w:pPr>
          </w:p>
        </w:tc>
        <w:tc>
          <w:tcPr>
            <w:tcW w:w="960" w:type="dxa"/>
            <w:vAlign w:val="bottom"/>
            <w:tcBorders>
              <w:right w:val="single" w:sz="8" w:color="494949"/>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780" w:type="dxa"/>
            <w:vAlign w:val="bottom"/>
            <w:tcBorders>
              <w:right w:val="single" w:sz="8" w:color="494949"/>
            </w:tcBorders>
            <w:vMerge w:val="continue"/>
          </w:tcPr>
          <w:p>
            <w:pPr>
              <w:spacing w:after="0"/>
              <w:rPr>
                <w:sz w:val="14"/>
                <w:szCs w:val="14"/>
                <w:color w:val="auto"/>
              </w:rPr>
            </w:pPr>
          </w:p>
        </w:tc>
        <w:tc>
          <w:tcPr>
            <w:tcW w:w="754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7"/>
                <w:szCs w:val="17"/>
                <w:color w:val="auto"/>
              </w:rPr>
              <w:t>relation to the priorities for which they share responsibility as a member of the Operating</w:t>
            </w:r>
          </w:p>
        </w:tc>
        <w:tc>
          <w:tcPr>
            <w:tcW w:w="960" w:type="dxa"/>
            <w:vAlign w:val="bottom"/>
            <w:tcBorders>
              <w:right w:val="single" w:sz="8" w:color="494949"/>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780" w:type="dxa"/>
            <w:vAlign w:val="bottom"/>
            <w:tcBorders>
              <w:right w:val="single" w:sz="8" w:color="494949"/>
            </w:tcBorders>
          </w:tcPr>
          <w:p>
            <w:pPr>
              <w:spacing w:after="0"/>
              <w:rPr>
                <w:sz w:val="2"/>
                <w:szCs w:val="2"/>
                <w:color w:val="auto"/>
              </w:rPr>
            </w:pPr>
          </w:p>
        </w:tc>
        <w:tc>
          <w:tcPr>
            <w:tcW w:w="7540" w:type="dxa"/>
            <w:vAlign w:val="bottom"/>
            <w:tcBorders>
              <w:right w:val="single" w:sz="8" w:color="494949"/>
            </w:tcBorders>
            <w:vMerge w:val="continue"/>
          </w:tcPr>
          <w:p>
            <w:pPr>
              <w:spacing w:after="0"/>
              <w:rPr>
                <w:sz w:val="2"/>
                <w:szCs w:val="2"/>
                <w:color w:val="auto"/>
              </w:rPr>
            </w:pPr>
          </w:p>
        </w:tc>
        <w:tc>
          <w:tcPr>
            <w:tcW w:w="960" w:type="dxa"/>
            <w:vAlign w:val="bottom"/>
            <w:tcBorders>
              <w:right w:val="single" w:sz="8" w:color="494949"/>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780" w:type="dxa"/>
            <w:vAlign w:val="bottom"/>
            <w:tcBorders>
              <w:right w:val="single" w:sz="8" w:color="494949"/>
            </w:tcBorders>
          </w:tcPr>
          <w:p>
            <w:pPr>
              <w:spacing w:after="0"/>
              <w:rPr>
                <w:sz w:val="20"/>
                <w:szCs w:val="20"/>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Committee, </w:t>
            </w:r>
            <w:r>
              <w:rPr>
                <w:rFonts w:ascii="Arial" w:cs="Arial" w:eastAsia="Arial" w:hAnsi="Arial"/>
                <w:sz w:val="17"/>
                <w:szCs w:val="17"/>
                <w:b w:val="1"/>
                <w:bCs w:val="1"/>
                <w:color w:val="auto"/>
              </w:rPr>
              <w:t>has been unsatisfactory for a sustained period of time</w:t>
            </w:r>
          </w:p>
        </w:tc>
        <w:tc>
          <w:tcPr>
            <w:tcW w:w="960" w:type="dxa"/>
            <w:vAlign w:val="bottom"/>
            <w:tcBorders>
              <w:right w:val="single" w:sz="8" w:color="494949"/>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1780" w:type="dxa"/>
            <w:vAlign w:val="bottom"/>
            <w:tcBorders>
              <w:right w:val="single" w:sz="8" w:color="494949"/>
            </w:tcBorders>
          </w:tcPr>
          <w:p>
            <w:pPr>
              <w:spacing w:after="0"/>
              <w:rPr>
                <w:sz w:val="10"/>
                <w:szCs w:val="10"/>
                <w:color w:val="auto"/>
              </w:rPr>
            </w:pPr>
          </w:p>
        </w:tc>
        <w:tc>
          <w:tcPr>
            <w:tcW w:w="7540" w:type="dxa"/>
            <w:vAlign w:val="bottom"/>
            <w:tcBorders>
              <w:bottom w:val="single" w:sz="8" w:color="494949"/>
              <w:right w:val="single" w:sz="8" w:color="494949"/>
            </w:tcBorders>
          </w:tcPr>
          <w:p>
            <w:pPr>
              <w:spacing w:after="0"/>
              <w:rPr>
                <w:sz w:val="10"/>
                <w:szCs w:val="10"/>
                <w:color w:val="auto"/>
              </w:rPr>
            </w:pPr>
          </w:p>
        </w:tc>
        <w:tc>
          <w:tcPr>
            <w:tcW w:w="960" w:type="dxa"/>
            <w:vAlign w:val="bottom"/>
            <w:tcBorders>
              <w:bottom w:val="single" w:sz="8" w:color="494949"/>
              <w:right w:val="single" w:sz="8" w:color="494949"/>
            </w:tcBorders>
          </w:tcPr>
          <w:p>
            <w:pPr>
              <w:spacing w:after="0"/>
              <w:rPr>
                <w:sz w:val="10"/>
                <w:szCs w:val="10"/>
                <w:color w:val="auto"/>
              </w:rPr>
            </w:pPr>
          </w:p>
        </w:tc>
        <w:tc>
          <w:tcPr>
            <w:tcW w:w="980" w:type="dxa"/>
            <w:vAlign w:val="bottom"/>
            <w:tcBorders>
              <w:bottom w:val="single" w:sz="8" w:color="494949"/>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awards granted to participants in a LOB for which the Operating Committee member</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exercised responsibility were in whole or in part cancelled because the LOB </w:t>
            </w:r>
            <w:r>
              <w:rPr>
                <w:rFonts w:ascii="Arial" w:cs="Arial" w:eastAsia="Arial" w:hAnsi="Arial"/>
                <w:sz w:val="17"/>
                <w:szCs w:val="17"/>
                <w:b w:val="1"/>
                <w:bCs w:val="1"/>
                <w:color w:val="auto"/>
              </w:rPr>
              <w:t>did not meet its</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780" w:type="dxa"/>
            <w:vAlign w:val="bottom"/>
            <w:tcBorders>
              <w:right w:val="single" w:sz="8" w:color="494949"/>
            </w:tcBorders>
          </w:tcPr>
          <w:p>
            <w:pPr>
              <w:spacing w:after="0"/>
              <w:rPr>
                <w:sz w:val="20"/>
                <w:szCs w:val="20"/>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b w:val="1"/>
                <w:bCs w:val="1"/>
                <w:color w:val="auto"/>
              </w:rPr>
              <w:t>annual LOB financial threshold</w:t>
            </w:r>
          </w:p>
        </w:tc>
        <w:tc>
          <w:tcPr>
            <w:tcW w:w="960" w:type="dxa"/>
            <w:vAlign w:val="bottom"/>
            <w:tcBorders>
              <w:right w:val="single" w:sz="8" w:color="494949"/>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780" w:type="dxa"/>
            <w:vAlign w:val="bottom"/>
            <w:tcBorders>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80" w:type="dxa"/>
            <w:vAlign w:val="bottom"/>
            <w:tcBorders>
              <w:bottom w:val="single" w:sz="8" w:color="49494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for any one calendar year during the vesting period,</w:t>
            </w:r>
            <w:r>
              <w:rPr>
                <w:rFonts w:ascii="Arial" w:cs="Arial" w:eastAsia="Arial" w:hAnsi="Arial"/>
                <w:sz w:val="17"/>
                <w:szCs w:val="17"/>
                <w:color w:val="205A85"/>
              </w:rPr>
              <w:t xml:space="preserve"> </w:t>
            </w:r>
            <w:r>
              <w:rPr>
                <w:rFonts w:ascii="Arial" w:cs="Arial" w:eastAsia="Arial" w:hAnsi="Arial"/>
                <w:sz w:val="17"/>
                <w:szCs w:val="17"/>
                <w:b w:val="1"/>
                <w:bCs w:val="1"/>
                <w:color w:val="000000"/>
              </w:rPr>
              <w:t>pre-tax pre-provision income is</w:t>
            </w:r>
          </w:p>
        </w:tc>
        <w:tc>
          <w:tcPr>
            <w:tcW w:w="960" w:type="dxa"/>
            <w:vAlign w:val="bottom"/>
            <w:tcBorders>
              <w:right w:val="single" w:sz="8" w:color="494949"/>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780" w:type="dxa"/>
            <w:vAlign w:val="bottom"/>
            <w:tcBorders>
              <w:right w:val="single" w:sz="8" w:color="494949"/>
            </w:tcBorders>
          </w:tcPr>
          <w:p>
            <w:pPr>
              <w:spacing w:after="0"/>
              <w:rPr>
                <w:sz w:val="21"/>
                <w:szCs w:val="21"/>
                <w:color w:val="auto"/>
              </w:rPr>
            </w:pPr>
          </w:p>
        </w:tc>
        <w:tc>
          <w:tcPr>
            <w:tcW w:w="7540" w:type="dxa"/>
            <w:vAlign w:val="bottom"/>
            <w:tcBorders>
              <w:bottom w:val="single" w:sz="8" w:color="494949"/>
              <w:right w:val="single" w:sz="8" w:color="494949"/>
            </w:tcBorders>
          </w:tcPr>
          <w:p>
            <w:pPr>
              <w:ind w:left="280"/>
              <w:spacing w:after="0"/>
              <w:rPr>
                <w:sz w:val="20"/>
                <w:szCs w:val="20"/>
                <w:color w:val="auto"/>
              </w:rPr>
            </w:pPr>
            <w:r>
              <w:rPr>
                <w:rFonts w:ascii="Arial" w:cs="Arial" w:eastAsia="Arial" w:hAnsi="Arial"/>
                <w:sz w:val="17"/>
                <w:szCs w:val="17"/>
                <w:b w:val="1"/>
                <w:bCs w:val="1"/>
                <w:color w:val="auto"/>
              </w:rPr>
              <w:t>negative</w:t>
            </w:r>
            <w:r>
              <w:rPr>
                <w:rFonts w:ascii="Arial" w:cs="Arial" w:eastAsia="Arial" w:hAnsi="Arial"/>
                <w:sz w:val="17"/>
                <w:szCs w:val="17"/>
                <w:color w:val="auto"/>
              </w:rPr>
              <w:t>, as reported by the Firm</w:t>
            </w:r>
          </w:p>
        </w:tc>
        <w:tc>
          <w:tcPr>
            <w:tcW w:w="960" w:type="dxa"/>
            <w:vAlign w:val="bottom"/>
            <w:tcBorders>
              <w:bottom w:val="single" w:sz="8" w:color="494949"/>
              <w:right w:val="single" w:sz="8" w:color="494949"/>
            </w:tcBorders>
          </w:tcPr>
          <w:p>
            <w:pPr>
              <w:spacing w:after="0"/>
              <w:rPr>
                <w:sz w:val="21"/>
                <w:szCs w:val="21"/>
                <w:color w:val="auto"/>
              </w:rPr>
            </w:pPr>
          </w:p>
        </w:tc>
        <w:tc>
          <w:tcPr>
            <w:tcW w:w="980" w:type="dxa"/>
            <w:vAlign w:val="bottom"/>
            <w:tcBorders>
              <w:bottom w:val="single" w:sz="8" w:color="494949"/>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780" w:type="dxa"/>
            <w:vAlign w:val="bottom"/>
            <w:tcBorders>
              <w:right w:val="single" w:sz="8" w:color="494949"/>
            </w:tcBorders>
          </w:tcPr>
          <w:p>
            <w:pPr>
              <w:spacing w:after="0"/>
              <w:rPr>
                <w:sz w:val="18"/>
                <w:szCs w:val="18"/>
                <w:color w:val="auto"/>
              </w:rPr>
            </w:pPr>
          </w:p>
        </w:tc>
        <w:tc>
          <w:tcPr>
            <w:tcW w:w="7540" w:type="dxa"/>
            <w:vAlign w:val="bottom"/>
            <w:tcBorders>
              <w:right w:val="single" w:sz="8" w:color="494949"/>
            </w:tcBorders>
          </w:tcPr>
          <w:p>
            <w:pPr>
              <w:ind w:left="10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for the three calendar years preceding the third year vesting date, the</w:t>
            </w:r>
            <w:r>
              <w:rPr>
                <w:rFonts w:ascii="Arial" w:cs="Arial" w:eastAsia="Arial" w:hAnsi="Arial"/>
                <w:sz w:val="17"/>
                <w:szCs w:val="17"/>
                <w:color w:val="205A85"/>
              </w:rPr>
              <w:t xml:space="preserve"> </w:t>
            </w:r>
            <w:r>
              <w:rPr>
                <w:rFonts w:ascii="Arial" w:cs="Arial" w:eastAsia="Arial" w:hAnsi="Arial"/>
                <w:sz w:val="17"/>
                <w:szCs w:val="17"/>
                <w:b w:val="1"/>
                <w:bCs w:val="1"/>
                <w:color w:val="000000"/>
              </w:rPr>
              <w:t>Firm does not meet a</w:t>
            </w:r>
          </w:p>
        </w:tc>
        <w:tc>
          <w:tcPr>
            <w:tcW w:w="960" w:type="dxa"/>
            <w:vAlign w:val="bottom"/>
            <w:tcBorders>
              <w:right w:val="single" w:sz="8" w:color="494949"/>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80" w:type="dxa"/>
            <w:vAlign w:val="bottom"/>
            <w:tcBorders>
              <w:bottom w:val="single" w:sz="8" w:color="494949"/>
              <w:right w:val="single" w:sz="8" w:color="494949"/>
            </w:tcBorders>
          </w:tcPr>
          <w:p>
            <w:pPr>
              <w:spacing w:after="0"/>
              <w:rPr>
                <w:sz w:val="21"/>
                <w:szCs w:val="21"/>
                <w:color w:val="auto"/>
              </w:rPr>
            </w:pPr>
          </w:p>
        </w:tc>
        <w:tc>
          <w:tcPr>
            <w:tcW w:w="7540" w:type="dxa"/>
            <w:vAlign w:val="bottom"/>
            <w:tcBorders>
              <w:bottom w:val="single" w:sz="8" w:color="494949"/>
              <w:right w:val="single" w:sz="8" w:color="494949"/>
            </w:tcBorders>
          </w:tcPr>
          <w:p>
            <w:pPr>
              <w:ind w:left="280"/>
              <w:spacing w:after="0"/>
              <w:rPr>
                <w:sz w:val="20"/>
                <w:szCs w:val="20"/>
                <w:color w:val="auto"/>
              </w:rPr>
            </w:pPr>
            <w:r>
              <w:rPr>
                <w:rFonts w:ascii="Arial" w:cs="Arial" w:eastAsia="Arial" w:hAnsi="Arial"/>
                <w:sz w:val="17"/>
                <w:szCs w:val="17"/>
                <w:b w:val="1"/>
                <w:bCs w:val="1"/>
                <w:color w:val="auto"/>
              </w:rPr>
              <w:t>15% cumulative ROTCE</w:t>
            </w:r>
          </w:p>
        </w:tc>
        <w:tc>
          <w:tcPr>
            <w:tcW w:w="960" w:type="dxa"/>
            <w:vAlign w:val="bottom"/>
            <w:tcBorders>
              <w:bottom w:val="single" w:sz="8" w:color="494949"/>
              <w:right w:val="single" w:sz="8" w:color="494949"/>
            </w:tcBorders>
          </w:tcPr>
          <w:p>
            <w:pPr>
              <w:spacing w:after="0"/>
              <w:rPr>
                <w:sz w:val="21"/>
                <w:szCs w:val="21"/>
                <w:color w:val="auto"/>
              </w:rPr>
            </w:pPr>
          </w:p>
        </w:tc>
        <w:tc>
          <w:tcPr>
            <w:tcW w:w="980" w:type="dxa"/>
            <w:vAlign w:val="bottom"/>
            <w:tcBorders>
              <w:bottom w:val="single" w:sz="8" w:color="494949"/>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-3908425</wp:posOffset>
            </wp:positionV>
            <wp:extent cx="8255" cy="1714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-3608705</wp:posOffset>
            </wp:positionV>
            <wp:extent cx="137160" cy="13716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-3608705</wp:posOffset>
            </wp:positionV>
            <wp:extent cx="137160" cy="13716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-3154045</wp:posOffset>
            </wp:positionV>
            <wp:extent cx="137160" cy="13716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-3154045</wp:posOffset>
            </wp:positionV>
            <wp:extent cx="137160" cy="1371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-2802890</wp:posOffset>
            </wp:positionV>
            <wp:extent cx="137160" cy="13716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-2802890</wp:posOffset>
            </wp:positionV>
            <wp:extent cx="137160" cy="13716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-2545715</wp:posOffset>
            </wp:positionV>
            <wp:extent cx="137160" cy="13716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-2545715</wp:posOffset>
            </wp:positionV>
            <wp:extent cx="137160" cy="1371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-2211070</wp:posOffset>
            </wp:positionV>
            <wp:extent cx="137160" cy="13716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-2211070</wp:posOffset>
            </wp:positionV>
            <wp:extent cx="137160" cy="13716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-1842770</wp:posOffset>
            </wp:positionV>
            <wp:extent cx="137160" cy="13716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-1842770</wp:posOffset>
            </wp:positionV>
            <wp:extent cx="137160" cy="13716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-1414145</wp:posOffset>
            </wp:positionV>
            <wp:extent cx="137160" cy="13716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-925195</wp:posOffset>
            </wp:positionV>
            <wp:extent cx="137160" cy="1371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-556895</wp:posOffset>
            </wp:positionV>
            <wp:extent cx="137160" cy="1371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-256540</wp:posOffset>
            </wp:positionV>
            <wp:extent cx="137160" cy="13716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6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2023, the Firm adopted a new Policy for the Recovery of Erroneously Awarded Incentive-Based Compensation to comply with the applicable rules of The New York Stock Exchange Listed Company Manual and Rule 10D-1 of the Securities Exchange Act, which includes provisions that apply to the Firm's executive officers and operates in addition to the recovery provisions in the table above. The Policy for the Recovery of Erroneously Awarded Incentive-Based Compensation is filed as Exhibit 97 of the Firm's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right="100" w:hanging="192"/>
        <w:spacing w:after="0" w:line="238" w:lineRule="auto"/>
        <w:tabs>
          <w:tab w:leader="none" w:pos="200" w:val="left"/>
        </w:tabs>
        <w:numPr>
          <w:ilvl w:val="0"/>
          <w:numId w:val="159"/>
        </w:numPr>
        <w:rPr>
          <w:rFonts w:ascii="Arial" w:cs="Arial" w:eastAsia="Arial" w:hAnsi="Arial"/>
          <w:sz w:val="15"/>
          <w:szCs w:val="15"/>
          <w:color w:val="auto"/>
          <w:vertAlign w:val="superscript"/>
        </w:rPr>
      </w:pPr>
      <w:r>
        <w:rPr>
          <w:rFonts w:ascii="Arial" w:cs="Arial" w:eastAsia="Arial" w:hAnsi="Arial"/>
          <w:sz w:val="12"/>
          <w:szCs w:val="12"/>
          <w:color w:val="auto"/>
        </w:rPr>
        <w:t>Since 2015, the Firm has maintained a local Malus and Clawback Policy in accordance with E.U. and U.K. regulations which operates in addition to the recovery provisions in the table above. Under the policy, the Firm is able to cancel and/or recover incentive compensation for relevant Identified Staff (including Mr. Pinto's prior awards granted when he was in the U.K.) in certain circumstances</w:t>
      </w:r>
    </w:p>
    <w:p>
      <w:pPr>
        <w:ind w:left="200"/>
        <w:spacing w:after="0"/>
        <w:rPr>
          <w:sz w:val="20"/>
          <w:szCs w:val="20"/>
          <w:color w:val="auto"/>
        </w:rPr>
      </w:pPr>
      <w:r>
        <w:rPr>
          <w:rFonts w:ascii="Arial" w:cs="Arial" w:eastAsia="Arial" w:hAnsi="Arial"/>
          <w:sz w:val="13"/>
          <w:szCs w:val="13"/>
          <w:color w:val="auto"/>
        </w:rPr>
        <w:t>for a minimum period of seven years following the date of the award.</w:t>
      </w:r>
    </w:p>
    <w:p>
      <w:pPr>
        <w:ind w:left="200" w:right="40" w:hanging="192"/>
        <w:spacing w:after="0" w:line="218" w:lineRule="auto"/>
        <w:tabs>
          <w:tab w:leader="none" w:pos="200" w:val="left"/>
        </w:tabs>
        <w:numPr>
          <w:ilvl w:val="0"/>
          <w:numId w:val="160"/>
        </w:numPr>
        <w:rPr>
          <w:rFonts w:ascii="Arial" w:cs="Arial" w:eastAsia="Arial" w:hAnsi="Arial"/>
          <w:sz w:val="16"/>
          <w:szCs w:val="16"/>
          <w:color w:val="auto"/>
          <w:vertAlign w:val="superscript"/>
        </w:rPr>
      </w:pPr>
      <w:r>
        <w:rPr>
          <w:rFonts w:ascii="Arial" w:cs="Arial" w:eastAsia="Arial" w:hAnsi="Arial"/>
          <w:sz w:val="13"/>
          <w:szCs w:val="13"/>
          <w:color w:val="auto"/>
        </w:rPr>
        <w:t>Provisions apply to PSUs, RSUs and SARs granted to the Operating Committee and may result in cancellation of up to a total of 50% of the award. For the SARs granted to Messrs. Dimon and Pinto in 2021, the cumulative ROTCE threshold is 20% for the four calendar years preceding the fifth-year exercisable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49  </w:t>
      </w:r>
      <w:r>
        <w:rPr>
          <w:sz w:val="1"/>
          <w:szCs w:val="1"/>
          <w:color w:val="auto"/>
        </w:rPr>
        <w:drawing>
          <wp:inline distT="0" distB="0" distL="0" distR="0">
            <wp:extent cx="2203450" cy="154305"/>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60" w:type="dxa"/>
            <w:vAlign w:val="bottom"/>
          </w:tcPr>
          <w:p>
            <w:pPr>
              <w:spacing w:after="0"/>
              <w:rPr>
                <w:sz w:val="22"/>
                <w:szCs w:val="22"/>
                <w:color w:val="auto"/>
              </w:rPr>
            </w:pPr>
          </w:p>
        </w:tc>
        <w:tc>
          <w:tcPr>
            <w:tcW w:w="3720" w:type="dxa"/>
            <w:vAlign w:val="bottom"/>
            <w:tcBorders>
              <w:top w:val="single" w:sz="8" w:color="E7E7E8"/>
            </w:tcBorders>
            <w:shd w:val="clear" w:color="auto" w:fill="E7E7E8"/>
          </w:tcPr>
          <w:p>
            <w:pPr>
              <w:ind w:left="240"/>
              <w:spacing w:after="0"/>
              <w:rPr>
                <w:sz w:val="20"/>
                <w:szCs w:val="20"/>
                <w:color w:val="auto"/>
              </w:rPr>
            </w:pPr>
            <w:r>
              <w:rPr>
                <w:rFonts w:ascii="Arial" w:cs="Arial" w:eastAsia="Arial" w:hAnsi="Arial"/>
                <w:sz w:val="15"/>
                <w:szCs w:val="15"/>
                <w:color w:val="074A75"/>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372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442"/>
        </w:trPr>
        <w:tc>
          <w:tcPr>
            <w:tcW w:w="1440" w:type="dxa"/>
            <w:vAlign w:val="bottom"/>
            <w:vMerge w:val="restart"/>
            <w:shd w:val="clear" w:color="auto" w:fill="E7E7E8"/>
          </w:tcPr>
          <w:p>
            <w:pPr>
              <w:jc w:val="right"/>
              <w:spacing w:after="0"/>
              <w:rPr>
                <w:sz w:val="20"/>
                <w:szCs w:val="20"/>
                <w:color w:val="auto"/>
              </w:rPr>
            </w:pPr>
            <w:r>
              <w:rPr>
                <w:rFonts w:ascii="Arial" w:cs="Arial" w:eastAsia="Arial" w:hAnsi="Arial"/>
                <w:sz w:val="104"/>
                <w:szCs w:val="104"/>
                <w:color w:val="074A75"/>
              </w:rPr>
              <w:t>2</w:t>
            </w:r>
          </w:p>
        </w:tc>
        <w:tc>
          <w:tcPr>
            <w:tcW w:w="9320" w:type="dxa"/>
            <w:vAlign w:val="bottom"/>
          </w:tcPr>
          <w:p>
            <w:pPr>
              <w:ind w:left="160"/>
              <w:spacing w:after="0"/>
              <w:rPr>
                <w:sz w:val="20"/>
                <w:szCs w:val="20"/>
                <w:color w:val="auto"/>
              </w:rPr>
            </w:pPr>
            <w:r>
              <w:rPr>
                <w:rFonts w:ascii="Arial" w:cs="Arial" w:eastAsia="Arial" w:hAnsi="Arial"/>
                <w:sz w:val="36"/>
                <w:szCs w:val="36"/>
                <w:color w:val="074A75"/>
              </w:rPr>
              <w:t>How we performed against our business strategy</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i w:val="1"/>
                <w:iCs w:val="1"/>
                <w:color w:val="074A75"/>
                <w:w w:val="99"/>
              </w:rPr>
              <w:t>We continued to deliver strong multi-year financial performance, invest in our future, strengthen our risk and control</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i w:val="1"/>
                <w:iCs w:val="1"/>
                <w:color w:val="074A75"/>
                <w:w w:val="99"/>
              </w:rPr>
              <w:t>environment, and reinforce our culture and values, including our long-standing commitment to serve our customers,</w:t>
            </w:r>
          </w:p>
        </w:tc>
        <w:tc>
          <w:tcPr>
            <w:tcW w:w="0" w:type="dxa"/>
            <w:vAlign w:val="bottom"/>
          </w:tcPr>
          <w:p>
            <w:pPr>
              <w:spacing w:after="0"/>
              <w:rPr>
                <w:sz w:val="1"/>
                <w:szCs w:val="1"/>
                <w:color w:val="auto"/>
              </w:rPr>
            </w:pPr>
          </w:p>
        </w:tc>
      </w:tr>
      <w:tr>
        <w:trPr>
          <w:trHeight w:val="435"/>
        </w:trPr>
        <w:tc>
          <w:tcPr>
            <w:tcW w:w="1440" w:type="dxa"/>
            <w:vAlign w:val="bottom"/>
            <w:vMerge w:val="continue"/>
            <w:shd w:val="clear" w:color="auto" w:fill="E7E7E8"/>
          </w:tcPr>
          <w:p>
            <w:pPr>
              <w:spacing w:after="0"/>
              <w:rPr>
                <w:sz w:val="24"/>
                <w:szCs w:val="24"/>
                <w:color w:val="auto"/>
              </w:rPr>
            </w:pPr>
          </w:p>
        </w:tc>
        <w:tc>
          <w:tcPr>
            <w:tcW w:w="9320" w:type="dxa"/>
            <w:vAlign w:val="bottom"/>
          </w:tcPr>
          <w:p>
            <w:pPr>
              <w:ind w:left="160"/>
              <w:spacing w:after="0"/>
              <w:rPr>
                <w:sz w:val="20"/>
                <w:szCs w:val="20"/>
                <w:color w:val="auto"/>
              </w:rPr>
            </w:pPr>
            <w:r>
              <w:rPr>
                <w:rFonts w:ascii="Arial" w:cs="Arial" w:eastAsia="Arial" w:hAnsi="Arial"/>
                <w:sz w:val="18"/>
                <w:szCs w:val="18"/>
                <w:i w:val="1"/>
                <w:iCs w:val="1"/>
                <w:color w:val="074A75"/>
              </w:rPr>
              <w:t>employees and communities, and conduct business in a responsible way to drive inclusive growth.</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assessing the Firm’s performance in 2023, the CMDC considered the following factors in the context of the Firm’s Business Principles and strategic framework:</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620" w:type="dxa"/>
            <w:vAlign w:val="bottom"/>
            <w:shd w:val="clear" w:color="auto" w:fill="074A75"/>
          </w:tcPr>
          <w:p>
            <w:pPr>
              <w:ind w:left="640"/>
              <w:spacing w:after="0"/>
              <w:rPr>
                <w:sz w:val="20"/>
                <w:szCs w:val="20"/>
                <w:color w:val="auto"/>
              </w:rPr>
            </w:pPr>
            <w:r>
              <w:rPr>
                <w:rFonts w:ascii="Arial" w:cs="Arial" w:eastAsia="Arial" w:hAnsi="Arial"/>
                <w:sz w:val="16"/>
                <w:szCs w:val="16"/>
                <w:b w:val="1"/>
                <w:bCs w:val="1"/>
                <w:color w:val="FFFFFF"/>
              </w:rPr>
              <w:t>Business Results</w:t>
            </w:r>
          </w:p>
        </w:tc>
        <w:tc>
          <w:tcPr>
            <w:tcW w:w="220" w:type="dxa"/>
            <w:vAlign w:val="bottom"/>
          </w:tcPr>
          <w:p>
            <w:pPr>
              <w:spacing w:after="0"/>
              <w:rPr>
                <w:sz w:val="24"/>
                <w:szCs w:val="24"/>
                <w:color w:val="auto"/>
              </w:rPr>
            </w:pPr>
          </w:p>
        </w:tc>
        <w:tc>
          <w:tcPr>
            <w:tcW w:w="2660" w:type="dxa"/>
            <w:vAlign w:val="bottom"/>
            <w:shd w:val="clear" w:color="auto" w:fill="6484A5"/>
          </w:tcPr>
          <w:p>
            <w:pPr>
              <w:ind w:left="360"/>
              <w:spacing w:after="0"/>
              <w:rPr>
                <w:sz w:val="20"/>
                <w:szCs w:val="20"/>
                <w:color w:val="auto"/>
              </w:rPr>
            </w:pPr>
            <w:r>
              <w:rPr>
                <w:rFonts w:ascii="Arial" w:cs="Arial" w:eastAsia="Arial" w:hAnsi="Arial"/>
                <w:sz w:val="16"/>
                <w:szCs w:val="16"/>
                <w:b w:val="1"/>
                <w:bCs w:val="1"/>
                <w:color w:val="FFFFFF"/>
              </w:rPr>
              <w:t>Risk, Controls &amp; Conduct</w:t>
            </w:r>
          </w:p>
        </w:tc>
        <w:tc>
          <w:tcPr>
            <w:tcW w:w="240" w:type="dxa"/>
            <w:vAlign w:val="bottom"/>
          </w:tcPr>
          <w:p>
            <w:pPr>
              <w:spacing w:after="0"/>
              <w:rPr>
                <w:sz w:val="24"/>
                <w:szCs w:val="24"/>
                <w:color w:val="auto"/>
              </w:rPr>
            </w:pPr>
          </w:p>
        </w:tc>
        <w:tc>
          <w:tcPr>
            <w:tcW w:w="2780" w:type="dxa"/>
            <w:vAlign w:val="bottom"/>
            <w:shd w:val="clear" w:color="auto" w:fill="939598"/>
          </w:tcPr>
          <w:p>
            <w:pPr>
              <w:ind w:left="280"/>
              <w:spacing w:after="0"/>
              <w:rPr>
                <w:sz w:val="20"/>
                <w:szCs w:val="20"/>
                <w:color w:val="auto"/>
              </w:rPr>
            </w:pPr>
            <w:r>
              <w:rPr>
                <w:rFonts w:ascii="Arial" w:cs="Arial" w:eastAsia="Arial" w:hAnsi="Arial"/>
                <w:sz w:val="16"/>
                <w:szCs w:val="16"/>
                <w:b w:val="1"/>
                <w:bCs w:val="1"/>
                <w:color w:val="FFFFFF"/>
              </w:rPr>
              <w:t>Client/Customer/Stakeholder</w:t>
            </w:r>
          </w:p>
        </w:tc>
        <w:tc>
          <w:tcPr>
            <w:tcW w:w="240" w:type="dxa"/>
            <w:vAlign w:val="bottom"/>
          </w:tcPr>
          <w:p>
            <w:pPr>
              <w:spacing w:after="0"/>
              <w:rPr>
                <w:sz w:val="24"/>
                <w:szCs w:val="24"/>
                <w:color w:val="auto"/>
              </w:rPr>
            </w:pPr>
          </w:p>
        </w:tc>
        <w:tc>
          <w:tcPr>
            <w:tcW w:w="2340" w:type="dxa"/>
            <w:vAlign w:val="bottom"/>
            <w:shd w:val="clear" w:color="auto" w:fill="6D6E71"/>
          </w:tcPr>
          <w:p>
            <w:pPr>
              <w:ind w:left="240"/>
              <w:spacing w:after="0"/>
              <w:rPr>
                <w:sz w:val="20"/>
                <w:szCs w:val="20"/>
                <w:color w:val="auto"/>
              </w:rPr>
            </w:pPr>
            <w:r>
              <w:rPr>
                <w:rFonts w:ascii="Arial" w:cs="Arial" w:eastAsia="Arial" w:hAnsi="Arial"/>
                <w:sz w:val="16"/>
                <w:szCs w:val="16"/>
                <w:b w:val="1"/>
                <w:bCs w:val="1"/>
                <w:color w:val="FFFFFF"/>
              </w:rPr>
              <w:t>Teamwork &amp; Leadership</w:t>
            </w:r>
          </w:p>
        </w:tc>
      </w:tr>
      <w:tr>
        <w:trPr>
          <w:trHeight w:val="62"/>
        </w:trPr>
        <w:tc>
          <w:tcPr>
            <w:tcW w:w="2620" w:type="dxa"/>
            <w:vAlign w:val="bottom"/>
            <w:shd w:val="clear" w:color="auto" w:fill="074A75"/>
          </w:tcPr>
          <w:p>
            <w:pPr>
              <w:spacing w:after="0"/>
              <w:rPr>
                <w:sz w:val="5"/>
                <w:szCs w:val="5"/>
                <w:color w:val="auto"/>
              </w:rPr>
            </w:pPr>
          </w:p>
        </w:tc>
        <w:tc>
          <w:tcPr>
            <w:tcW w:w="220" w:type="dxa"/>
            <w:vAlign w:val="bottom"/>
          </w:tcPr>
          <w:p>
            <w:pPr>
              <w:spacing w:after="0"/>
              <w:rPr>
                <w:sz w:val="5"/>
                <w:szCs w:val="5"/>
                <w:color w:val="auto"/>
              </w:rPr>
            </w:pPr>
          </w:p>
        </w:tc>
        <w:tc>
          <w:tcPr>
            <w:tcW w:w="2660" w:type="dxa"/>
            <w:vAlign w:val="bottom"/>
            <w:shd w:val="clear" w:color="auto" w:fill="6484A5"/>
          </w:tcPr>
          <w:p>
            <w:pPr>
              <w:spacing w:after="0"/>
              <w:rPr>
                <w:sz w:val="5"/>
                <w:szCs w:val="5"/>
                <w:color w:val="auto"/>
              </w:rPr>
            </w:pPr>
          </w:p>
        </w:tc>
        <w:tc>
          <w:tcPr>
            <w:tcW w:w="240" w:type="dxa"/>
            <w:vAlign w:val="bottom"/>
          </w:tcPr>
          <w:p>
            <w:pPr>
              <w:spacing w:after="0"/>
              <w:rPr>
                <w:sz w:val="5"/>
                <w:szCs w:val="5"/>
                <w:color w:val="auto"/>
              </w:rPr>
            </w:pPr>
          </w:p>
        </w:tc>
        <w:tc>
          <w:tcPr>
            <w:tcW w:w="2780" w:type="dxa"/>
            <w:vAlign w:val="bottom"/>
            <w:shd w:val="clear" w:color="auto" w:fill="939598"/>
          </w:tcPr>
          <w:p>
            <w:pPr>
              <w:spacing w:after="0"/>
              <w:rPr>
                <w:sz w:val="5"/>
                <w:szCs w:val="5"/>
                <w:color w:val="auto"/>
              </w:rPr>
            </w:pPr>
          </w:p>
        </w:tc>
        <w:tc>
          <w:tcPr>
            <w:tcW w:w="240" w:type="dxa"/>
            <w:vAlign w:val="bottom"/>
          </w:tcPr>
          <w:p>
            <w:pPr>
              <w:spacing w:after="0"/>
              <w:rPr>
                <w:sz w:val="5"/>
                <w:szCs w:val="5"/>
                <w:color w:val="auto"/>
              </w:rPr>
            </w:pPr>
          </w:p>
        </w:tc>
        <w:tc>
          <w:tcPr>
            <w:tcW w:w="2340" w:type="dxa"/>
            <w:vAlign w:val="bottom"/>
            <w:shd w:val="clear" w:color="auto" w:fill="6D6E71"/>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037705" cy="2228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037705" cy="222885"/>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5"/>
          <w:szCs w:val="25"/>
          <w:color w:val="FFFFFF"/>
        </w:rPr>
        <w:t>Business Results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74A75"/>
        </w:rPr>
        <w:t>2023 KEY HIGHLIGHTS</w:t>
      </w:r>
    </w:p>
    <w:p>
      <w:pPr>
        <w:spacing w:after="0" w:line="8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Firm continued its focus on serving our clients and customers amid ongoing, growing geopolitical tensions, economic uncertainty, elevated inflation and higher rates, while investing in and executing on long-term strategic initiatives. The Firm experienced growth across all of our market-leading lines of business, achieved record financial results, and maintained a fortress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3771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36"/>
          <w:szCs w:val="36"/>
          <w:color w:val="074A75"/>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85725" cy="119126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5725" cy="119126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78105</wp:posOffset>
            </wp:positionV>
            <wp:extent cx="94615" cy="119126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94615" cy="11912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78105</wp:posOffset>
            </wp:positionV>
            <wp:extent cx="93980" cy="119126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93980" cy="119126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78105</wp:posOffset>
            </wp:positionV>
            <wp:extent cx="93980" cy="119126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93980" cy="119126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78105</wp:posOffset>
            </wp:positionV>
            <wp:extent cx="93980" cy="119126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93980" cy="119126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95"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2720" w:type="dxa"/>
            <w:vAlign w:val="bottom"/>
            <w:gridSpan w:val="3"/>
          </w:tcPr>
          <w:p>
            <w:pPr>
              <w:ind w:left="102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6"/>
                <w:szCs w:val="16"/>
                <w:color w:val="auto"/>
              </w:rPr>
            </w:pPr>
          </w:p>
        </w:tc>
        <w:tc>
          <w:tcPr>
            <w:tcW w:w="2740" w:type="dxa"/>
            <w:vAlign w:val="bottom"/>
            <w:gridSpan w:val="3"/>
          </w:tcPr>
          <w:p>
            <w:pPr>
              <w:ind w:left="760"/>
              <w:spacing w:after="0"/>
              <w:rPr>
                <w:sz w:val="20"/>
                <w:szCs w:val="20"/>
                <w:color w:val="auto"/>
              </w:rPr>
            </w:pPr>
            <w:r>
              <w:rPr>
                <w:rFonts w:ascii="Arial" w:cs="Arial" w:eastAsia="Arial" w:hAnsi="Arial"/>
                <w:sz w:val="14"/>
                <w:szCs w:val="14"/>
                <w:color w:val="auto"/>
              </w:rPr>
              <w:t>PRE-TAX INCOME</w:t>
            </w:r>
          </w:p>
        </w:tc>
        <w:tc>
          <w:tcPr>
            <w:tcW w:w="0" w:type="dxa"/>
            <w:vAlign w:val="bottom"/>
          </w:tcPr>
          <w:p>
            <w:pPr>
              <w:spacing w:after="0"/>
              <w:rPr>
                <w:sz w:val="1"/>
                <w:szCs w:val="1"/>
                <w:color w:val="auto"/>
              </w:rPr>
            </w:pPr>
          </w:p>
        </w:tc>
      </w:tr>
      <w:tr>
        <w:trPr>
          <w:trHeight w:val="22"/>
        </w:trPr>
        <w:tc>
          <w:tcPr>
            <w:tcW w:w="1360" w:type="dxa"/>
            <w:vAlign w:val="bottom"/>
            <w:vMerge w:val="restart"/>
          </w:tcPr>
          <w:p>
            <w:pPr>
              <w:jc w:val="center"/>
              <w:spacing w:after="0"/>
              <w:rPr>
                <w:sz w:val="20"/>
                <w:szCs w:val="20"/>
                <w:color w:val="auto"/>
              </w:rPr>
            </w:pPr>
            <w:r>
              <w:rPr>
                <w:rFonts w:ascii="Arial" w:cs="Arial" w:eastAsia="Arial" w:hAnsi="Arial"/>
                <w:sz w:val="39"/>
                <w:szCs w:val="39"/>
                <w:color w:val="074A75"/>
                <w:w w:val="96"/>
                <w:vertAlign w:val="superscript"/>
              </w:rPr>
              <w:t>$</w:t>
            </w:r>
            <w:r>
              <w:rPr>
                <w:rFonts w:ascii="Arial" w:cs="Arial" w:eastAsia="Arial" w:hAnsi="Arial"/>
                <w:sz w:val="31"/>
                <w:szCs w:val="31"/>
                <w:color w:val="074A75"/>
                <w:w w:val="96"/>
              </w:rPr>
              <w:t>158.1</w:t>
            </w:r>
            <w:r>
              <w:rPr>
                <w:rFonts w:ascii="Arial" w:cs="Arial" w:eastAsia="Arial" w:hAnsi="Arial"/>
                <w:sz w:val="23"/>
                <w:szCs w:val="23"/>
                <w:color w:val="074A75"/>
                <w:w w:val="96"/>
              </w:rPr>
              <w:t>B</w:t>
            </w:r>
          </w:p>
        </w:tc>
        <w:tc>
          <w:tcPr>
            <w:tcW w:w="20" w:type="dxa"/>
            <w:vAlign w:val="bottom"/>
          </w:tcPr>
          <w:p>
            <w:pPr>
              <w:spacing w:after="0" w:line="20" w:lineRule="exact"/>
              <w:rPr>
                <w:sz w:val="1"/>
                <w:szCs w:val="1"/>
                <w:color w:val="auto"/>
              </w:rPr>
            </w:pPr>
          </w:p>
        </w:tc>
        <w:tc>
          <w:tcPr>
            <w:tcW w:w="1340" w:type="dxa"/>
            <w:vAlign w:val="bottom"/>
            <w:vMerge w:val="restart"/>
          </w:tcPr>
          <w:p>
            <w:pPr>
              <w:jc w:val="center"/>
              <w:spacing w:after="0"/>
              <w:rPr>
                <w:sz w:val="20"/>
                <w:szCs w:val="20"/>
                <w:color w:val="auto"/>
              </w:rPr>
            </w:pPr>
            <w:r>
              <w:rPr>
                <w:rFonts w:ascii="Arial" w:cs="Arial" w:eastAsia="Arial" w:hAnsi="Arial"/>
                <w:sz w:val="39"/>
                <w:szCs w:val="39"/>
                <w:color w:val="074A75"/>
                <w:w w:val="96"/>
                <w:vertAlign w:val="superscript"/>
              </w:rPr>
              <w:t>$</w:t>
            </w:r>
            <w:r>
              <w:rPr>
                <w:rFonts w:ascii="Arial" w:cs="Arial" w:eastAsia="Arial" w:hAnsi="Arial"/>
                <w:sz w:val="31"/>
                <w:szCs w:val="31"/>
                <w:color w:val="074A75"/>
                <w:w w:val="96"/>
              </w:rPr>
              <w:t>162.4</w:t>
            </w:r>
            <w:r>
              <w:rPr>
                <w:rFonts w:ascii="Arial" w:cs="Arial" w:eastAsia="Arial" w:hAnsi="Arial"/>
                <w:sz w:val="23"/>
                <w:szCs w:val="23"/>
                <w:color w:val="074A75"/>
                <w:w w:val="96"/>
              </w:rPr>
              <w:t>B</w:t>
            </w:r>
          </w:p>
        </w:tc>
        <w:tc>
          <w:tcPr>
            <w:tcW w:w="140" w:type="dxa"/>
            <w:vAlign w:val="bottom"/>
          </w:tcPr>
          <w:p>
            <w:pPr>
              <w:spacing w:after="0" w:line="20" w:lineRule="exact"/>
              <w:rPr>
                <w:sz w:val="1"/>
                <w:szCs w:val="1"/>
                <w:color w:val="auto"/>
              </w:rPr>
            </w:pPr>
          </w:p>
        </w:tc>
        <w:tc>
          <w:tcPr>
            <w:tcW w:w="138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61.6</w:t>
            </w:r>
            <w:r>
              <w:rPr>
                <w:rFonts w:ascii="Arial" w:cs="Arial" w:eastAsia="Arial" w:hAnsi="Arial"/>
                <w:sz w:val="23"/>
                <w:szCs w:val="23"/>
                <w:color w:val="074A75"/>
                <w:w w:val="95"/>
              </w:rPr>
              <w:t>B</w:t>
            </w:r>
          </w:p>
        </w:tc>
        <w:tc>
          <w:tcPr>
            <w:tcW w:w="20" w:type="dxa"/>
            <w:vAlign w:val="bottom"/>
          </w:tcPr>
          <w:p>
            <w:pPr>
              <w:spacing w:after="0" w:line="20" w:lineRule="exact"/>
              <w:rPr>
                <w:sz w:val="1"/>
                <w:szCs w:val="1"/>
                <w:color w:val="auto"/>
              </w:rPr>
            </w:pPr>
          </w:p>
        </w:tc>
        <w:tc>
          <w:tcPr>
            <w:tcW w:w="134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69.0</w:t>
            </w:r>
            <w:r>
              <w:rPr>
                <w:rFonts w:ascii="Arial" w:cs="Arial" w:eastAsia="Arial" w:hAnsi="Arial"/>
                <w:sz w:val="23"/>
                <w:szCs w:val="23"/>
                <w:color w:val="074A75"/>
                <w:w w:val="95"/>
              </w:rPr>
              <w:t>B</w:t>
            </w:r>
          </w:p>
        </w:tc>
        <w:tc>
          <w:tcPr>
            <w:tcW w:w="0" w:type="dxa"/>
            <w:vAlign w:val="bottom"/>
          </w:tcPr>
          <w:p>
            <w:pPr>
              <w:spacing w:after="0" w:line="20" w:lineRule="exact"/>
              <w:rPr>
                <w:sz w:val="1"/>
                <w:szCs w:val="1"/>
                <w:color w:val="auto"/>
              </w:rPr>
            </w:pPr>
          </w:p>
        </w:tc>
      </w:tr>
      <w:tr>
        <w:trPr>
          <w:trHeight w:val="433"/>
        </w:trPr>
        <w:tc>
          <w:tcPr>
            <w:tcW w:w="1360" w:type="dxa"/>
            <w:vAlign w:val="bottom"/>
            <w:vMerge w:val="continue"/>
          </w:tcPr>
          <w:p>
            <w:pPr>
              <w:spacing w:after="0"/>
              <w:rPr>
                <w:sz w:val="24"/>
                <w:szCs w:val="24"/>
                <w:color w:val="auto"/>
              </w:rPr>
            </w:pPr>
          </w:p>
        </w:tc>
        <w:tc>
          <w:tcPr>
            <w:tcW w:w="20" w:type="dxa"/>
            <w:vAlign w:val="bottom"/>
            <w:shd w:val="clear" w:color="auto" w:fill="454545"/>
          </w:tcPr>
          <w:p>
            <w:pPr>
              <w:spacing w:after="0"/>
              <w:rPr>
                <w:sz w:val="24"/>
                <w:szCs w:val="24"/>
                <w:color w:val="auto"/>
              </w:rPr>
            </w:pPr>
          </w:p>
        </w:tc>
        <w:tc>
          <w:tcPr>
            <w:tcW w:w="1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0" w:type="dxa"/>
            <w:vAlign w:val="bottom"/>
            <w:shd w:val="clear" w:color="auto" w:fill="454545"/>
          </w:tcPr>
          <w:p>
            <w:pPr>
              <w:spacing w:after="0"/>
              <w:rPr>
                <w:sz w:val="24"/>
                <w:szCs w:val="24"/>
                <w:color w:val="auto"/>
              </w:rPr>
            </w:pPr>
          </w:p>
        </w:tc>
        <w:tc>
          <w:tcPr>
            <w:tcW w:w="1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60" w:type="dxa"/>
            <w:vAlign w:val="bottom"/>
          </w:tcPr>
          <w:p>
            <w:pPr>
              <w:jc w:val="center"/>
              <w:spacing w:after="0"/>
              <w:rPr>
                <w:sz w:val="20"/>
                <w:szCs w:val="20"/>
                <w:color w:val="auto"/>
              </w:rPr>
            </w:pPr>
            <w:r>
              <w:rPr>
                <w:rFonts w:ascii="Arial" w:cs="Arial" w:eastAsia="Arial" w:hAnsi="Arial"/>
                <w:sz w:val="13"/>
                <w:szCs w:val="13"/>
                <w:i w:val="1"/>
                <w:iCs w:val="1"/>
                <w:color w:val="auto"/>
              </w:rPr>
              <w:t>REPORTED</w:t>
            </w:r>
          </w:p>
        </w:tc>
        <w:tc>
          <w:tcPr>
            <w:tcW w:w="20" w:type="dxa"/>
            <w:vAlign w:val="bottom"/>
            <w:shd w:val="clear" w:color="auto" w:fill="454545"/>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8"/>
              </w:rPr>
              <w:t>MANAGED</w:t>
            </w:r>
            <w:r>
              <w:rPr>
                <w:rFonts w:ascii="Arial" w:cs="Arial" w:eastAsia="Arial" w:hAnsi="Arial"/>
                <w:sz w:val="17"/>
                <w:szCs w:val="17"/>
                <w:i w:val="1"/>
                <w:iCs w:val="1"/>
                <w:color w:val="auto"/>
                <w:w w:val="98"/>
                <w:vertAlign w:val="superscript"/>
              </w:rPr>
              <w:t>1,2</w:t>
            </w:r>
          </w:p>
        </w:tc>
        <w:tc>
          <w:tcPr>
            <w:tcW w:w="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3"/>
                <w:szCs w:val="13"/>
                <w:i w:val="1"/>
                <w:iCs w:val="1"/>
                <w:color w:val="auto"/>
              </w:rPr>
              <w:t>REPORTED</w:t>
            </w:r>
          </w:p>
        </w:tc>
        <w:tc>
          <w:tcPr>
            <w:tcW w:w="20" w:type="dxa"/>
            <w:vAlign w:val="bottom"/>
            <w:shd w:val="clear" w:color="auto" w:fill="454545"/>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3"/>
                <w:szCs w:val="13"/>
                <w:i w:val="1"/>
                <w:iCs w:val="1"/>
                <w:color w:val="auto"/>
                <w:w w:val="99"/>
              </w:rPr>
              <w:t>Ex. LLR</w:t>
            </w:r>
            <w:r>
              <w:rPr>
                <w:rFonts w:ascii="Arial" w:cs="Arial" w:eastAsia="Arial" w:hAnsi="Arial"/>
                <w:sz w:val="17"/>
                <w:szCs w:val="17"/>
                <w:i w:val="1"/>
                <w:iCs w:val="1"/>
                <w:color w:val="auto"/>
                <w:w w:val="99"/>
                <w:vertAlign w:val="superscript"/>
              </w:rPr>
              <w:t>1,2</w:t>
            </w:r>
          </w:p>
        </w:tc>
        <w:tc>
          <w:tcPr>
            <w:tcW w:w="0" w:type="dxa"/>
            <w:vAlign w:val="bottom"/>
          </w:tcPr>
          <w:p>
            <w:pPr>
              <w:spacing w:after="0"/>
              <w:rPr>
                <w:sz w:val="1"/>
                <w:szCs w:val="1"/>
                <w:color w:val="auto"/>
              </w:rPr>
            </w:pPr>
          </w:p>
        </w:tc>
      </w:tr>
      <w:tr>
        <w:trPr>
          <w:trHeight w:val="88"/>
        </w:trPr>
        <w:tc>
          <w:tcPr>
            <w:tcW w:w="1360" w:type="dxa"/>
            <w:vAlign w:val="bottom"/>
            <w:tcBorders>
              <w:bottom w:val="single" w:sz="8" w:color="EEEFEF"/>
            </w:tcBorders>
          </w:tcPr>
          <w:p>
            <w:pPr>
              <w:spacing w:after="0"/>
              <w:rPr>
                <w:sz w:val="7"/>
                <w:szCs w:val="7"/>
                <w:color w:val="auto"/>
              </w:rPr>
            </w:pPr>
          </w:p>
        </w:tc>
        <w:tc>
          <w:tcPr>
            <w:tcW w:w="20" w:type="dxa"/>
            <w:vAlign w:val="bottom"/>
            <w:tcBorders>
              <w:bottom w:val="single" w:sz="8" w:color="EEEFEF"/>
            </w:tcBorders>
          </w:tcPr>
          <w:p>
            <w:pPr>
              <w:spacing w:after="0"/>
              <w:rPr>
                <w:sz w:val="7"/>
                <w:szCs w:val="7"/>
                <w:color w:val="auto"/>
              </w:rPr>
            </w:pPr>
          </w:p>
        </w:tc>
        <w:tc>
          <w:tcPr>
            <w:tcW w:w="1340" w:type="dxa"/>
            <w:vAlign w:val="bottom"/>
            <w:tcBorders>
              <w:bottom w:val="single" w:sz="8" w:color="EEEFEF"/>
            </w:tcBorders>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Borders>
              <w:bottom w:val="single" w:sz="8" w:color="EEEFEF"/>
            </w:tcBorders>
          </w:tcPr>
          <w:p>
            <w:pPr>
              <w:spacing w:after="0"/>
              <w:rPr>
                <w:sz w:val="7"/>
                <w:szCs w:val="7"/>
                <w:color w:val="auto"/>
              </w:rPr>
            </w:pPr>
          </w:p>
        </w:tc>
        <w:tc>
          <w:tcPr>
            <w:tcW w:w="20" w:type="dxa"/>
            <w:vAlign w:val="bottom"/>
            <w:tcBorders>
              <w:bottom w:val="single" w:sz="8" w:color="EEEFEF"/>
            </w:tcBorders>
          </w:tcPr>
          <w:p>
            <w:pPr>
              <w:spacing w:after="0"/>
              <w:rPr>
                <w:sz w:val="7"/>
                <w:szCs w:val="7"/>
                <w:color w:val="auto"/>
              </w:rPr>
            </w:pPr>
          </w:p>
        </w:tc>
        <w:tc>
          <w:tcPr>
            <w:tcW w:w="1340" w:type="dxa"/>
            <w:vAlign w:val="bottom"/>
            <w:tcBorders>
              <w:bottom w:val="single" w:sz="8" w:color="EEEFE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34290</wp:posOffset>
            </wp:positionV>
            <wp:extent cx="8890" cy="41148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2320" w:type="dxa"/>
            <w:vAlign w:val="bottom"/>
          </w:tcPr>
          <w:p>
            <w:pPr>
              <w:ind w:left="7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0"/>
                <w:szCs w:val="20"/>
                <w:color w:val="auto"/>
              </w:rPr>
            </w:pPr>
          </w:p>
        </w:tc>
        <w:tc>
          <w:tcPr>
            <w:tcW w:w="138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w w:val="98"/>
              </w:rPr>
              <w:t>ROE</w:t>
            </w:r>
          </w:p>
        </w:tc>
        <w:tc>
          <w:tcPr>
            <w:tcW w:w="1360" w:type="dxa"/>
            <w:vAlign w:val="bottom"/>
          </w:tcPr>
          <w:p>
            <w:pPr>
              <w:ind w:left="400"/>
              <w:spacing w:after="0"/>
              <w:rPr>
                <w:sz w:val="20"/>
                <w:szCs w:val="20"/>
                <w:color w:val="auto"/>
              </w:rPr>
            </w:pPr>
            <w:r>
              <w:rPr>
                <w:rFonts w:ascii="Arial" w:cs="Arial" w:eastAsia="Arial" w:hAnsi="Arial"/>
                <w:sz w:val="14"/>
                <w:szCs w:val="14"/>
                <w:color w:val="auto"/>
              </w:rPr>
              <w:t>ROTCE</w:t>
            </w:r>
            <w:r>
              <w:rPr>
                <w:rFonts w:ascii="Arial" w:cs="Arial" w:eastAsia="Arial" w:hAnsi="Arial"/>
                <w:sz w:val="18"/>
                <w:szCs w:val="18"/>
                <w:color w:val="auto"/>
                <w:vertAlign w:val="superscript"/>
              </w:rPr>
              <w:t>2</w:t>
            </w:r>
          </w:p>
        </w:tc>
      </w:tr>
      <w:tr>
        <w:trPr>
          <w:trHeight w:val="534"/>
        </w:trPr>
        <w:tc>
          <w:tcPr>
            <w:tcW w:w="2320" w:type="dxa"/>
            <w:vAlign w:val="bottom"/>
          </w:tcPr>
          <w:p>
            <w:pPr>
              <w:ind w:left="72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49.6</w:t>
            </w:r>
            <w:r>
              <w:rPr>
                <w:rFonts w:ascii="Arial" w:cs="Arial" w:eastAsia="Arial" w:hAnsi="Arial"/>
                <w:sz w:val="23"/>
                <w:szCs w:val="23"/>
                <w:color w:val="074A75"/>
              </w:rPr>
              <w:t>B</w:t>
            </w:r>
          </w:p>
        </w:tc>
        <w:tc>
          <w:tcPr>
            <w:tcW w:w="1520" w:type="dxa"/>
            <w:vAlign w:val="bottom"/>
            <w:tcBorders>
              <w:right w:val="single" w:sz="8" w:color="454545"/>
            </w:tcBorders>
            <w:gridSpan w:val="2"/>
          </w:tcPr>
          <w:p>
            <w:pPr>
              <w:jc w:val="center"/>
              <w:ind w:right="348"/>
              <w:spacing w:after="0"/>
              <w:rPr>
                <w:sz w:val="20"/>
                <w:szCs w:val="20"/>
                <w:color w:val="auto"/>
              </w:rPr>
            </w:pPr>
            <w:r>
              <w:rPr>
                <w:rFonts w:ascii="Arial" w:cs="Arial" w:eastAsia="Arial" w:hAnsi="Arial"/>
                <w:sz w:val="31"/>
                <w:szCs w:val="31"/>
                <w:color w:val="074A75"/>
              </w:rPr>
              <w:t>17</w:t>
            </w:r>
            <w:r>
              <w:rPr>
                <w:rFonts w:ascii="Arial" w:cs="Arial" w:eastAsia="Arial" w:hAnsi="Arial"/>
                <w:sz w:val="39"/>
                <w:szCs w:val="39"/>
                <w:color w:val="074A75"/>
                <w:vertAlign w:val="superscript"/>
              </w:rPr>
              <w:t>%</w:t>
            </w:r>
          </w:p>
        </w:tc>
        <w:tc>
          <w:tcPr>
            <w:tcW w:w="1360" w:type="dxa"/>
            <w:vAlign w:val="bottom"/>
          </w:tcPr>
          <w:p>
            <w:pPr>
              <w:ind w:left="420"/>
              <w:spacing w:after="0"/>
              <w:rPr>
                <w:sz w:val="20"/>
                <w:szCs w:val="20"/>
                <w:color w:val="auto"/>
              </w:rPr>
            </w:pPr>
            <w:r>
              <w:rPr>
                <w:rFonts w:ascii="Arial" w:cs="Arial" w:eastAsia="Arial" w:hAnsi="Arial"/>
                <w:sz w:val="31"/>
                <w:szCs w:val="31"/>
                <w:color w:val="074A75"/>
              </w:rPr>
              <w:t>21</w:t>
            </w:r>
            <w:r>
              <w:rPr>
                <w:rFonts w:ascii="Arial" w:cs="Arial" w:eastAsia="Arial" w:hAnsi="Arial"/>
                <w:sz w:val="39"/>
                <w:szCs w:val="39"/>
                <w:color w:val="074A75"/>
                <w:vertAlign w:val="superscript"/>
              </w:rPr>
              <w:t>%</w:t>
            </w:r>
          </w:p>
        </w:tc>
      </w:tr>
      <w:tr>
        <w:trPr>
          <w:trHeight w:val="98"/>
        </w:trPr>
        <w:tc>
          <w:tcPr>
            <w:tcW w:w="2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Borders>
              <w:right w:val="single" w:sz="8" w:color="454545"/>
            </w:tcBorders>
          </w:tcPr>
          <w:p>
            <w:pPr>
              <w:spacing w:after="0"/>
              <w:rPr>
                <w:sz w:val="8"/>
                <w:szCs w:val="8"/>
                <w:color w:val="auto"/>
              </w:rPr>
            </w:pPr>
          </w:p>
        </w:tc>
        <w:tc>
          <w:tcPr>
            <w:tcW w:w="1360" w:type="dxa"/>
            <w:vAlign w:val="bottom"/>
          </w:tcPr>
          <w:p>
            <w:pPr>
              <w:spacing w:after="0"/>
              <w:rPr>
                <w:sz w:val="8"/>
                <w:szCs w:val="8"/>
                <w:color w:val="auto"/>
              </w:rPr>
            </w:pPr>
          </w:p>
        </w:tc>
      </w:tr>
      <w:tr>
        <w:trPr>
          <w:trHeight w:val="88"/>
        </w:trPr>
        <w:tc>
          <w:tcPr>
            <w:tcW w:w="2320" w:type="dxa"/>
            <w:vAlign w:val="bottom"/>
            <w:tcBorders>
              <w:bottom w:val="single" w:sz="8" w:color="EEEFEF"/>
            </w:tcBorders>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Borders>
              <w:bottom w:val="single" w:sz="8" w:color="EEEFEF"/>
            </w:tcBorders>
          </w:tcPr>
          <w:p>
            <w:pPr>
              <w:spacing w:after="0"/>
              <w:rPr>
                <w:sz w:val="7"/>
                <w:szCs w:val="7"/>
                <w:color w:val="auto"/>
              </w:rPr>
            </w:pPr>
          </w:p>
        </w:tc>
        <w:tc>
          <w:tcPr>
            <w:tcW w:w="1360" w:type="dxa"/>
            <w:vAlign w:val="bottom"/>
            <w:tcBorders>
              <w:bottom w:val="single" w:sz="8" w:color="EEEFEF"/>
            </w:tcBorders>
          </w:tcPr>
          <w:p>
            <w:pPr>
              <w:spacing w:after="0"/>
              <w:rPr>
                <w:sz w:val="7"/>
                <w:szCs w:val="7"/>
                <w:color w:val="auto"/>
              </w:rPr>
            </w:pPr>
          </w:p>
        </w:tc>
      </w:tr>
    </w:tbl>
    <w:p>
      <w:pPr>
        <w:spacing w:after="0" w:line="69" w:lineRule="exact"/>
        <w:rPr>
          <w:sz w:val="20"/>
          <w:szCs w:val="20"/>
          <w:color w:val="auto"/>
        </w:rPr>
      </w:pPr>
    </w:p>
    <w:p>
      <w:pPr>
        <w:sectPr>
          <w:pgSz w:w="11900" w:h="16838" w:orient="portrait"/>
          <w:cols w:equalWidth="0" w:num="2">
            <w:col w:w="5740" w:space="160"/>
            <w:col w:w="5360"/>
          </w:cols>
          <w:pgMar w:left="320" w:top="157" w:right="319" w:bottom="1440" w:gutter="0" w:footer="0" w:header="0"/>
          <w:type w:val="continuous"/>
        </w:sectPr>
      </w:pPr>
    </w:p>
    <w:p>
      <w:pPr>
        <w:spacing w:after="0" w:line="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EPS</w:t>
      </w:r>
    </w:p>
    <w:p>
      <w:pPr>
        <w:spacing w:after="0" w:line="53" w:lineRule="exact"/>
        <w:rPr>
          <w:sz w:val="20"/>
          <w:szCs w:val="20"/>
          <w:color w:val="auto"/>
        </w:rPr>
      </w:pPr>
    </w:p>
    <w:p>
      <w:pPr>
        <w:ind w:left="106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16.23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13970</wp:posOffset>
            </wp:positionV>
            <wp:extent cx="1722755" cy="6032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722755" cy="603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697355" cy="5911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697355" cy="59118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074A75"/>
        </w:rPr>
        <w:t>CONSUMER &amp;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color w:val="074A75"/>
        </w:rPr>
        <w:t>COMMUNITY BANKING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w w:val="99"/>
              </w:rPr>
              <w:t>REVENUE</w:t>
            </w:r>
            <w:r>
              <w:rPr>
                <w:rFonts w:ascii="Arial" w:cs="Arial" w:eastAsia="Arial" w:hAnsi="Arial"/>
                <w:sz w:val="18"/>
                <w:szCs w:val="18"/>
                <w:color w:val="auto"/>
                <w:w w:val="99"/>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PRE-TAX INCOME</w:t>
            </w:r>
          </w:p>
        </w:tc>
      </w:tr>
      <w:tr>
        <w:trPr>
          <w:trHeight w:val="162"/>
        </w:trPr>
        <w:tc>
          <w:tcPr>
            <w:tcW w:w="1360" w:type="dxa"/>
            <w:vAlign w:val="bottom"/>
            <w:tcBorders>
              <w:right w:val="single" w:sz="8" w:color="454545"/>
            </w:tcBorders>
            <w:shd w:val="clear" w:color="auto" w:fill="EEEFEF"/>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ex. LLR</w:t>
            </w:r>
            <w:r>
              <w:rPr>
                <w:rFonts w:ascii="Arial" w:cs="Arial" w:eastAsia="Arial" w:hAnsi="Arial"/>
                <w:sz w:val="9"/>
                <w:szCs w:val="9"/>
                <w:color w:val="auto"/>
              </w:rPr>
              <w:t>1,2</w:t>
            </w:r>
          </w:p>
        </w:tc>
      </w:tr>
      <w:tr>
        <w:trPr>
          <w:trHeight w:val="439"/>
        </w:trPr>
        <w:tc>
          <w:tcPr>
            <w:tcW w:w="1360" w:type="dxa"/>
            <w:vAlign w:val="bottom"/>
            <w:tcBorders>
              <w:bottom w:val="single" w:sz="8" w:color="EEEFEF"/>
              <w:right w:val="single" w:sz="8" w:color="454545"/>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70.1</w:t>
            </w:r>
            <w:r>
              <w:rPr>
                <w:rFonts w:ascii="Arial" w:cs="Arial" w:eastAsia="Arial" w:hAnsi="Arial"/>
                <w:sz w:val="23"/>
                <w:szCs w:val="23"/>
                <w:color w:val="074A75"/>
                <w:w w:val="95"/>
              </w:rPr>
              <w:t>B</w:t>
            </w:r>
          </w:p>
        </w:tc>
        <w:tc>
          <w:tcPr>
            <w:tcW w:w="132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30.0</w:t>
            </w:r>
            <w:r>
              <w:rPr>
                <w:rFonts w:ascii="Arial" w:cs="Arial" w:eastAsia="Arial" w:hAnsi="Arial"/>
                <w:sz w:val="23"/>
                <w:szCs w:val="23"/>
                <w:color w:val="074A75"/>
                <w:w w:val="95"/>
              </w:rPr>
              <w:t>B</w:t>
            </w:r>
          </w:p>
        </w:tc>
      </w:tr>
      <w:tr>
        <w:trPr>
          <w:trHeight w:val="208"/>
        </w:trPr>
        <w:tc>
          <w:tcPr>
            <w:tcW w:w="136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EEEFEF"/>
          </w:tcPr>
          <w:p>
            <w:pPr>
              <w:jc w:val="center"/>
              <w:spacing w:after="0"/>
              <w:rPr>
                <w:sz w:val="20"/>
                <w:szCs w:val="20"/>
                <w:color w:val="auto"/>
              </w:rPr>
            </w:pPr>
            <w:r>
              <w:rPr>
                <w:rFonts w:ascii="Arial" w:cs="Arial" w:eastAsia="Arial" w:hAnsi="Arial"/>
                <w:sz w:val="14"/>
                <w:szCs w:val="14"/>
                <w:color w:val="auto"/>
                <w:w w:val="98"/>
              </w:rPr>
              <w:t>ROE</w:t>
            </w:r>
          </w:p>
        </w:tc>
      </w:tr>
      <w:tr>
        <w:trPr>
          <w:trHeight w:val="427"/>
        </w:trPr>
        <w:tc>
          <w:tcPr>
            <w:tcW w:w="136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21.2</w:t>
            </w:r>
            <w:r>
              <w:rPr>
                <w:rFonts w:ascii="Arial" w:cs="Arial" w:eastAsia="Arial" w:hAnsi="Arial"/>
                <w:sz w:val="23"/>
                <w:szCs w:val="23"/>
                <w:color w:val="074A75"/>
                <w:w w:val="95"/>
              </w:rPr>
              <w:t>B</w:t>
            </w:r>
          </w:p>
        </w:tc>
        <w:tc>
          <w:tcPr>
            <w:tcW w:w="1320" w:type="dxa"/>
            <w:vAlign w:val="bottom"/>
            <w:shd w:val="clear" w:color="auto" w:fill="EEEFEF"/>
          </w:tcPr>
          <w:p>
            <w:pPr>
              <w:jc w:val="center"/>
              <w:spacing w:after="0"/>
              <w:rPr>
                <w:sz w:val="20"/>
                <w:szCs w:val="20"/>
                <w:color w:val="auto"/>
              </w:rPr>
            </w:pPr>
            <w:r>
              <w:rPr>
                <w:rFonts w:ascii="Arial" w:cs="Arial" w:eastAsia="Arial" w:hAnsi="Arial"/>
                <w:sz w:val="29"/>
                <w:szCs w:val="29"/>
                <w:color w:val="074A75"/>
                <w:w w:val="92"/>
              </w:rPr>
              <w:t>38</w:t>
            </w:r>
            <w:r>
              <w:rPr>
                <w:rFonts w:ascii="Arial" w:cs="Arial" w:eastAsia="Arial" w:hAnsi="Arial"/>
                <w:sz w:val="37"/>
                <w:szCs w:val="37"/>
                <w:color w:val="074A75"/>
                <w:w w:val="92"/>
                <w:vertAlign w:val="superscript"/>
              </w:rPr>
              <w:t>%</w:t>
            </w:r>
          </w:p>
        </w:tc>
      </w:tr>
    </w:tbl>
    <w:p>
      <w:pPr>
        <w:spacing w:after="0" w:line="50" w:lineRule="exact"/>
        <w:rPr>
          <w:sz w:val="20"/>
          <w:szCs w:val="20"/>
          <w:color w:val="auto"/>
        </w:rPr>
      </w:pPr>
    </w:p>
    <w:p>
      <w:pPr>
        <w:ind w:left="220" w:right="480" w:hanging="194"/>
        <w:spacing w:after="0" w:line="248" w:lineRule="auto"/>
        <w:tabs>
          <w:tab w:leader="none" w:pos="214" w:val="left"/>
        </w:tabs>
        <w:numPr>
          <w:ilvl w:val="0"/>
          <w:numId w:val="161"/>
        </w:numPr>
        <w:rPr>
          <w:rFonts w:ascii="Arial" w:cs="Arial" w:eastAsia="Arial" w:hAnsi="Arial"/>
          <w:sz w:val="15"/>
          <w:szCs w:val="15"/>
          <w:color w:val="074A75"/>
        </w:rPr>
      </w:pPr>
      <w:r>
        <w:rPr>
          <w:rFonts w:ascii="Arial" w:cs="Arial" w:eastAsia="Arial" w:hAnsi="Arial"/>
          <w:sz w:val="15"/>
          <w:szCs w:val="15"/>
          <w:color w:val="auto"/>
        </w:rPr>
        <w:t>#1 market share in U.S. retail deposits</w:t>
      </w:r>
      <w:r>
        <w:rPr>
          <w:rFonts w:ascii="Arial" w:cs="Arial" w:eastAsia="Arial" w:hAnsi="Arial"/>
          <w:sz w:val="19"/>
          <w:szCs w:val="19"/>
          <w:color w:val="auto"/>
          <w:vertAlign w:val="superscript"/>
        </w:rPr>
        <w:t>4</w:t>
      </w:r>
    </w:p>
    <w:p>
      <w:pPr>
        <w:spacing w:after="0" w:line="1" w:lineRule="exact"/>
        <w:rPr>
          <w:rFonts w:ascii="Arial" w:cs="Arial" w:eastAsia="Arial" w:hAnsi="Arial"/>
          <w:sz w:val="15"/>
          <w:szCs w:val="15"/>
          <w:color w:val="074A75"/>
        </w:rPr>
      </w:pPr>
    </w:p>
    <w:p>
      <w:pPr>
        <w:ind w:left="220" w:right="120" w:hanging="194"/>
        <w:spacing w:after="0" w:line="244" w:lineRule="auto"/>
        <w:tabs>
          <w:tab w:leader="none" w:pos="214" w:val="left"/>
        </w:tabs>
        <w:numPr>
          <w:ilvl w:val="0"/>
          <w:numId w:val="161"/>
        </w:numPr>
        <w:rPr>
          <w:rFonts w:ascii="Arial" w:cs="Arial" w:eastAsia="Arial" w:hAnsi="Arial"/>
          <w:sz w:val="15"/>
          <w:szCs w:val="15"/>
          <w:color w:val="074A75"/>
        </w:rPr>
      </w:pPr>
      <w:r>
        <w:rPr>
          <w:rFonts w:ascii="Arial" w:cs="Arial" w:eastAsia="Arial" w:hAnsi="Arial"/>
          <w:sz w:val="15"/>
          <w:szCs w:val="15"/>
          <w:color w:val="auto"/>
        </w:rPr>
        <w:t>#1 market share in Card, based on U.S. sales and outstandings</w:t>
      </w:r>
    </w:p>
    <w:p>
      <w:pPr>
        <w:spacing w:after="0" w:line="26" w:lineRule="exact"/>
        <w:rPr>
          <w:rFonts w:ascii="Arial" w:cs="Arial" w:eastAsia="Arial" w:hAnsi="Arial"/>
          <w:sz w:val="15"/>
          <w:szCs w:val="15"/>
          <w:color w:val="074A75"/>
        </w:rPr>
      </w:pPr>
    </w:p>
    <w:p>
      <w:pPr>
        <w:ind w:left="220" w:right="400" w:hanging="194"/>
        <w:spacing w:after="0" w:line="264" w:lineRule="auto"/>
        <w:tabs>
          <w:tab w:leader="none" w:pos="214" w:val="left"/>
        </w:tabs>
        <w:numPr>
          <w:ilvl w:val="0"/>
          <w:numId w:val="161"/>
        </w:numPr>
        <w:rPr>
          <w:rFonts w:ascii="Arial" w:cs="Arial" w:eastAsia="Arial" w:hAnsi="Arial"/>
          <w:sz w:val="15"/>
          <w:szCs w:val="15"/>
          <w:color w:val="074A75"/>
        </w:rPr>
      </w:pPr>
      <w:r>
        <w:rPr>
          <w:rFonts w:ascii="Arial" w:cs="Arial" w:eastAsia="Arial" w:hAnsi="Arial"/>
          <w:sz w:val="15"/>
          <w:szCs w:val="15"/>
          <w:color w:val="auto"/>
        </w:rPr>
        <w:t>#1 primary bank for U.S. small businesses</w:t>
      </w:r>
    </w:p>
    <w:p>
      <w:pPr>
        <w:spacing w:after="0" w:line="10" w:lineRule="exact"/>
        <w:rPr>
          <w:rFonts w:ascii="Arial" w:cs="Arial" w:eastAsia="Arial" w:hAnsi="Arial"/>
          <w:sz w:val="15"/>
          <w:szCs w:val="15"/>
          <w:color w:val="074A75"/>
        </w:rPr>
      </w:pPr>
    </w:p>
    <w:p>
      <w:pPr>
        <w:ind w:left="220" w:hanging="194"/>
        <w:spacing w:after="0"/>
        <w:tabs>
          <w:tab w:leader="none" w:pos="220" w:val="left"/>
        </w:tabs>
        <w:numPr>
          <w:ilvl w:val="0"/>
          <w:numId w:val="161"/>
        </w:numPr>
        <w:rPr>
          <w:rFonts w:ascii="Arial" w:cs="Arial" w:eastAsia="Arial" w:hAnsi="Arial"/>
          <w:sz w:val="15"/>
          <w:szCs w:val="15"/>
          <w:color w:val="074A75"/>
        </w:rPr>
      </w:pPr>
      <w:r>
        <w:rPr>
          <w:rFonts w:ascii="Arial" w:cs="Arial" w:eastAsia="Arial" w:hAnsi="Arial"/>
          <w:sz w:val="15"/>
          <w:szCs w:val="15"/>
          <w:color w:val="auto"/>
        </w:rPr>
        <w:t>#1 banking platform in the U.S.</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1697355" cy="9429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697355" cy="942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80"/>
        <w:spacing w:after="0"/>
        <w:tabs>
          <w:tab w:leader="none" w:pos="1960" w:val="left"/>
        </w:tabs>
        <w:rPr>
          <w:sz w:val="20"/>
          <w:szCs w:val="20"/>
          <w:color w:val="auto"/>
        </w:rPr>
      </w:pPr>
      <w:r>
        <w:rPr>
          <w:rFonts w:ascii="Arial" w:cs="Arial" w:eastAsia="Arial" w:hAnsi="Arial"/>
          <w:sz w:val="14"/>
          <w:szCs w:val="14"/>
          <w:color w:val="auto"/>
        </w:rPr>
        <w:t>BVPS</w:t>
      </w:r>
      <w:r>
        <w:rPr>
          <w:sz w:val="20"/>
          <w:szCs w:val="20"/>
          <w:color w:val="auto"/>
        </w:rPr>
        <w:tab/>
      </w:r>
      <w:r>
        <w:rPr>
          <w:rFonts w:ascii="Arial" w:cs="Arial" w:eastAsia="Arial" w:hAnsi="Arial"/>
          <w:sz w:val="14"/>
          <w:szCs w:val="14"/>
          <w:color w:val="auto"/>
        </w:rPr>
        <w:t>TBVPS</w:t>
      </w:r>
      <w:r>
        <w:rPr>
          <w:rFonts w:ascii="Arial" w:cs="Arial" w:eastAsia="Arial" w:hAnsi="Arial"/>
          <w:sz w:val="18"/>
          <w:szCs w:val="18"/>
          <w:color w:val="auto"/>
          <w:vertAlign w:val="superscript"/>
        </w:rPr>
        <w:t>2</w:t>
      </w:r>
    </w:p>
    <w:p>
      <w:pPr>
        <w:spacing w:after="0" w:line="30"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104.45</w:t>
      </w:r>
      <w:r>
        <w:rPr>
          <w:sz w:val="20"/>
          <w:szCs w:val="20"/>
          <w:color w:val="auto"/>
        </w:rPr>
        <w:tab/>
      </w:r>
      <w:r>
        <w:rPr>
          <w:rFonts w:ascii="Arial" w:cs="Arial" w:eastAsia="Arial" w:hAnsi="Arial"/>
          <w:sz w:val="37"/>
          <w:szCs w:val="37"/>
          <w:color w:val="074A75"/>
          <w:vertAlign w:val="superscript"/>
        </w:rPr>
        <w:t>$</w:t>
      </w:r>
      <w:r>
        <w:rPr>
          <w:rFonts w:ascii="Arial" w:cs="Arial" w:eastAsia="Arial" w:hAnsi="Arial"/>
          <w:sz w:val="28"/>
          <w:szCs w:val="28"/>
          <w:color w:val="074A75"/>
        </w:rPr>
        <w:t>86.08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1270</wp:posOffset>
            </wp:positionV>
            <wp:extent cx="1739900" cy="6032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739900" cy="603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138430</wp:posOffset>
            </wp:positionV>
            <wp:extent cx="1714500" cy="5911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714500" cy="591185"/>
                    </a:xfrm>
                    <a:prstGeom prst="rect">
                      <a:avLst/>
                    </a:prstGeom>
                    <a:noFill/>
                  </pic:spPr>
                </pic:pic>
              </a:graphicData>
            </a:graphic>
          </wp:anchor>
        </w:drawing>
      </w:r>
    </w:p>
    <w:p>
      <w:pPr>
        <w:spacing w:after="0" w:line="203" w:lineRule="exact"/>
        <w:rPr>
          <w:sz w:val="20"/>
          <w:szCs w:val="20"/>
          <w:color w:val="auto"/>
        </w:rPr>
      </w:pPr>
    </w:p>
    <w:p>
      <w:pPr>
        <w:jc w:val="center"/>
        <w:ind w:left="-19"/>
        <w:spacing w:after="0"/>
        <w:rPr>
          <w:sz w:val="20"/>
          <w:szCs w:val="20"/>
          <w:color w:val="auto"/>
        </w:rPr>
      </w:pPr>
      <w:r>
        <w:rPr>
          <w:rFonts w:ascii="Arial" w:cs="Arial" w:eastAsia="Arial" w:hAnsi="Arial"/>
          <w:sz w:val="20"/>
          <w:szCs w:val="20"/>
          <w:color w:val="074A75"/>
        </w:rPr>
        <w:t>CORPORATE &amp;</w:t>
      </w:r>
    </w:p>
    <w:p>
      <w:pPr>
        <w:spacing w:after="0" w:line="18" w:lineRule="exact"/>
        <w:rPr>
          <w:sz w:val="20"/>
          <w:szCs w:val="20"/>
          <w:color w:val="auto"/>
        </w:rPr>
      </w:pPr>
    </w:p>
    <w:p>
      <w:pPr>
        <w:jc w:val="center"/>
        <w:ind w:left="-19"/>
        <w:spacing w:after="0"/>
        <w:rPr>
          <w:sz w:val="20"/>
          <w:szCs w:val="20"/>
          <w:color w:val="auto"/>
        </w:rPr>
      </w:pPr>
      <w:r>
        <w:rPr>
          <w:rFonts w:ascii="Arial" w:cs="Arial" w:eastAsia="Arial" w:hAnsi="Arial"/>
          <w:sz w:val="20"/>
          <w:szCs w:val="20"/>
          <w:color w:val="074A75"/>
        </w:rPr>
        <w:t>INVESTMENT BANK</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46"/>
        </w:trPr>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w w:val="99"/>
              </w:rPr>
              <w:t>REVENUE</w:t>
            </w:r>
            <w:r>
              <w:rPr>
                <w:rFonts w:ascii="Arial" w:cs="Arial" w:eastAsia="Arial" w:hAnsi="Arial"/>
                <w:sz w:val="18"/>
                <w:szCs w:val="18"/>
                <w:color w:val="auto"/>
                <w:w w:val="99"/>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PRE-TAX INCOME</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59"/>
        </w:trPr>
        <w:tc>
          <w:tcPr>
            <w:tcW w:w="1380" w:type="dxa"/>
            <w:vAlign w:val="bottom"/>
            <w:tcBorders>
              <w:right w:val="single" w:sz="8" w:color="454545"/>
            </w:tcBorders>
            <w:vMerge w:val="restart"/>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48.8</w:t>
            </w:r>
            <w:r>
              <w:rPr>
                <w:rFonts w:ascii="Arial" w:cs="Arial" w:eastAsia="Arial" w:hAnsi="Arial"/>
                <w:sz w:val="23"/>
                <w:szCs w:val="23"/>
                <w:color w:val="074A75"/>
                <w:w w:val="95"/>
              </w:rPr>
              <w:t>B</w:t>
            </w: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1380" w:type="dxa"/>
            <w:vAlign w:val="bottom"/>
            <w:tcBorders>
              <w:bottom w:val="single" w:sz="8" w:color="EEEFEF"/>
              <w:right w:val="single" w:sz="8" w:color="454545"/>
            </w:tcBorders>
            <w:vMerge w:val="continue"/>
            <w:shd w:val="clear" w:color="auto" w:fill="EEEFEF"/>
          </w:tcPr>
          <w:p>
            <w:pPr>
              <w:spacing w:after="0"/>
              <w:rPr>
                <w:sz w:val="24"/>
                <w:szCs w:val="24"/>
                <w:color w:val="auto"/>
              </w:rPr>
            </w:pPr>
          </w:p>
        </w:tc>
        <w:tc>
          <w:tcPr>
            <w:tcW w:w="1320" w:type="dxa"/>
            <w:vAlign w:val="bottom"/>
            <w:tcBorders>
              <w:bottom w:val="single" w:sz="8" w:color="EEEFEF"/>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20.1</w:t>
            </w:r>
            <w:r>
              <w:rPr>
                <w:rFonts w:ascii="Arial" w:cs="Arial" w:eastAsia="Arial" w:hAnsi="Arial"/>
                <w:sz w:val="23"/>
                <w:szCs w:val="23"/>
                <w:color w:val="074A75"/>
                <w:w w:val="95"/>
              </w:rPr>
              <w:t>B</w:t>
            </w:r>
          </w:p>
        </w:tc>
        <w:tc>
          <w:tcPr>
            <w:tcW w:w="0" w:type="dxa"/>
            <w:vAlign w:val="bottom"/>
          </w:tcPr>
          <w:p>
            <w:pPr>
              <w:spacing w:after="0"/>
              <w:rPr>
                <w:sz w:val="1"/>
                <w:szCs w:val="1"/>
                <w:color w:val="auto"/>
              </w:rPr>
            </w:pPr>
          </w:p>
        </w:tc>
      </w:tr>
      <w:tr>
        <w:trPr>
          <w:trHeight w:val="208"/>
        </w:trPr>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EEEFEF"/>
          </w:tcPr>
          <w:p>
            <w:pPr>
              <w:jc w:val="center"/>
              <w:spacing w:after="0"/>
              <w:rPr>
                <w:sz w:val="20"/>
                <w:szCs w:val="20"/>
                <w:color w:val="auto"/>
              </w:rPr>
            </w:pPr>
            <w:r>
              <w:rPr>
                <w:rFonts w:ascii="Arial" w:cs="Arial" w:eastAsia="Arial" w:hAnsi="Arial"/>
                <w:sz w:val="14"/>
                <w:szCs w:val="14"/>
                <w:color w:val="auto"/>
              </w:rPr>
              <w:t>ROE</w:t>
            </w:r>
          </w:p>
        </w:tc>
        <w:tc>
          <w:tcPr>
            <w:tcW w:w="0" w:type="dxa"/>
            <w:vAlign w:val="bottom"/>
          </w:tcPr>
          <w:p>
            <w:pPr>
              <w:spacing w:after="0"/>
              <w:rPr>
                <w:sz w:val="1"/>
                <w:szCs w:val="1"/>
                <w:color w:val="auto"/>
              </w:rPr>
            </w:pPr>
          </w:p>
        </w:tc>
      </w:tr>
      <w:tr>
        <w:trPr>
          <w:trHeight w:val="427"/>
        </w:trPr>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14.1</w:t>
            </w:r>
            <w:r>
              <w:rPr>
                <w:rFonts w:ascii="Arial" w:cs="Arial" w:eastAsia="Arial" w:hAnsi="Arial"/>
                <w:sz w:val="23"/>
                <w:szCs w:val="23"/>
                <w:color w:val="074A75"/>
                <w:w w:val="95"/>
              </w:rPr>
              <w:t>B</w:t>
            </w:r>
          </w:p>
        </w:tc>
        <w:tc>
          <w:tcPr>
            <w:tcW w:w="1320" w:type="dxa"/>
            <w:vAlign w:val="bottom"/>
            <w:shd w:val="clear" w:color="auto" w:fill="EEEFEF"/>
          </w:tcPr>
          <w:p>
            <w:pPr>
              <w:jc w:val="center"/>
              <w:spacing w:after="0"/>
              <w:rPr>
                <w:sz w:val="20"/>
                <w:szCs w:val="20"/>
                <w:color w:val="auto"/>
              </w:rPr>
            </w:pPr>
            <w:r>
              <w:rPr>
                <w:rFonts w:ascii="Arial" w:cs="Arial" w:eastAsia="Arial" w:hAnsi="Arial"/>
                <w:sz w:val="29"/>
                <w:szCs w:val="29"/>
                <w:color w:val="074A75"/>
                <w:w w:val="88"/>
              </w:rPr>
              <w:t>13</w:t>
            </w:r>
            <w:r>
              <w:rPr>
                <w:rFonts w:ascii="Arial" w:cs="Arial" w:eastAsia="Arial" w:hAnsi="Arial"/>
                <w:sz w:val="37"/>
                <w:szCs w:val="37"/>
                <w:color w:val="074A75"/>
                <w:w w:val="88"/>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714500" cy="9429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714500" cy="942975"/>
                    </a:xfrm>
                    <a:prstGeom prst="rect">
                      <a:avLst/>
                    </a:prstGeom>
                    <a:noFill/>
                  </pic:spPr>
                </pic:pic>
              </a:graphicData>
            </a:graphic>
          </wp:anchor>
        </w:drawing>
      </w:r>
    </w:p>
    <w:p>
      <w:pPr>
        <w:spacing w:after="0" w:line="44" w:lineRule="exact"/>
        <w:rPr>
          <w:sz w:val="20"/>
          <w:szCs w:val="20"/>
          <w:color w:val="auto"/>
        </w:rPr>
      </w:pPr>
    </w:p>
    <w:p>
      <w:pPr>
        <w:ind w:left="220" w:right="80" w:hanging="193"/>
        <w:spacing w:after="0" w:line="268" w:lineRule="auto"/>
        <w:tabs>
          <w:tab w:leader="none" w:pos="214" w:val="left"/>
        </w:tabs>
        <w:numPr>
          <w:ilvl w:val="0"/>
          <w:numId w:val="162"/>
        </w:numPr>
        <w:rPr>
          <w:rFonts w:ascii="Arial" w:cs="Arial" w:eastAsia="Arial" w:hAnsi="Arial"/>
          <w:sz w:val="15"/>
          <w:szCs w:val="15"/>
          <w:color w:val="074A75"/>
        </w:rPr>
      </w:pPr>
      <w:r>
        <w:rPr>
          <w:rFonts w:ascii="Arial" w:cs="Arial" w:eastAsia="Arial" w:hAnsi="Arial"/>
          <w:sz w:val="15"/>
          <w:szCs w:val="15"/>
          <w:color w:val="auto"/>
        </w:rPr>
        <w:t>#1 in Global IB fees for 15 consecutive years, with 8.8% wallet share</w:t>
      </w:r>
      <w:r>
        <w:rPr>
          <w:rFonts w:ascii="Arial" w:cs="Arial" w:eastAsia="Arial" w:hAnsi="Arial"/>
          <w:sz w:val="19"/>
          <w:szCs w:val="19"/>
          <w:color w:val="auto"/>
          <w:vertAlign w:val="superscript"/>
        </w:rPr>
        <w:t>5</w:t>
      </w:r>
    </w:p>
    <w:p>
      <w:pPr>
        <w:ind w:left="220" w:hanging="193"/>
        <w:spacing w:after="0"/>
        <w:tabs>
          <w:tab w:leader="none" w:pos="220" w:val="left"/>
        </w:tabs>
        <w:numPr>
          <w:ilvl w:val="0"/>
          <w:numId w:val="162"/>
        </w:numPr>
        <w:rPr>
          <w:rFonts w:ascii="Arial" w:cs="Arial" w:eastAsia="Arial" w:hAnsi="Arial"/>
          <w:sz w:val="15"/>
          <w:szCs w:val="15"/>
          <w:color w:val="074A75"/>
        </w:rPr>
      </w:pPr>
      <w:r>
        <w:rPr>
          <w:rFonts w:ascii="Arial" w:cs="Arial" w:eastAsia="Arial" w:hAnsi="Arial"/>
          <w:sz w:val="15"/>
          <w:szCs w:val="15"/>
          <w:color w:val="auto"/>
        </w:rPr>
        <w:t>#1 in Markets revenue</w:t>
      </w:r>
      <w:r>
        <w:rPr>
          <w:rFonts w:ascii="Arial" w:cs="Arial" w:eastAsia="Arial" w:hAnsi="Arial"/>
          <w:sz w:val="19"/>
          <w:szCs w:val="19"/>
          <w:color w:val="auto"/>
          <w:vertAlign w:val="superscript"/>
        </w:rPr>
        <w:t>5</w:t>
      </w:r>
    </w:p>
    <w:p>
      <w:pPr>
        <w:spacing w:after="0" w:line="38" w:lineRule="exact"/>
        <w:rPr>
          <w:rFonts w:ascii="Arial" w:cs="Arial" w:eastAsia="Arial" w:hAnsi="Arial"/>
          <w:sz w:val="15"/>
          <w:szCs w:val="15"/>
          <w:color w:val="074A75"/>
        </w:rPr>
      </w:pPr>
    </w:p>
    <w:p>
      <w:pPr>
        <w:ind w:left="220" w:hanging="193"/>
        <w:spacing w:after="0"/>
        <w:tabs>
          <w:tab w:leader="none" w:pos="220" w:val="left"/>
        </w:tabs>
        <w:numPr>
          <w:ilvl w:val="0"/>
          <w:numId w:val="162"/>
        </w:numPr>
        <w:rPr>
          <w:rFonts w:ascii="Arial" w:cs="Arial" w:eastAsia="Arial" w:hAnsi="Arial"/>
          <w:sz w:val="15"/>
          <w:szCs w:val="15"/>
          <w:color w:val="074A75"/>
        </w:rPr>
      </w:pPr>
      <w:r>
        <w:rPr>
          <w:rFonts w:ascii="Arial" w:cs="Arial" w:eastAsia="Arial" w:hAnsi="Arial"/>
          <w:sz w:val="15"/>
          <w:szCs w:val="15"/>
          <w:color w:val="auto"/>
        </w:rPr>
        <w:t>#1 in USD payments volume</w:t>
      </w:r>
      <w:r>
        <w:rPr>
          <w:rFonts w:ascii="Arial" w:cs="Arial" w:eastAsia="Arial" w:hAnsi="Arial"/>
          <w:sz w:val="19"/>
          <w:szCs w:val="19"/>
          <w:color w:val="auto"/>
          <w:vertAlign w:val="superscript"/>
        </w:rPr>
        <w:t>6</w:t>
      </w:r>
    </w:p>
    <w:p>
      <w:pPr>
        <w:spacing w:after="0" w:line="38" w:lineRule="exact"/>
        <w:rPr>
          <w:rFonts w:ascii="Arial" w:cs="Arial" w:eastAsia="Arial" w:hAnsi="Arial"/>
          <w:sz w:val="15"/>
          <w:szCs w:val="15"/>
          <w:color w:val="074A75"/>
        </w:rPr>
      </w:pPr>
    </w:p>
    <w:p>
      <w:pPr>
        <w:ind w:left="220" w:hanging="193"/>
        <w:spacing w:after="0"/>
        <w:tabs>
          <w:tab w:leader="none" w:pos="220" w:val="left"/>
        </w:tabs>
        <w:numPr>
          <w:ilvl w:val="0"/>
          <w:numId w:val="162"/>
        </w:numPr>
        <w:rPr>
          <w:rFonts w:ascii="Arial" w:cs="Arial" w:eastAsia="Arial" w:hAnsi="Arial"/>
          <w:sz w:val="15"/>
          <w:szCs w:val="15"/>
          <w:color w:val="074A75"/>
        </w:rPr>
      </w:pPr>
      <w:r>
        <w:rPr>
          <w:rFonts w:ascii="Arial" w:cs="Arial" w:eastAsia="Arial" w:hAnsi="Arial"/>
          <w:sz w:val="15"/>
          <w:szCs w:val="15"/>
          <w:color w:val="auto"/>
        </w:rPr>
        <w:t>#3 custodian globally by revenue</w:t>
      </w:r>
      <w:r>
        <w:rPr>
          <w:rFonts w:ascii="Arial" w:cs="Arial" w:eastAsia="Arial" w:hAnsi="Arial"/>
          <w:sz w:val="19"/>
          <w:szCs w:val="19"/>
          <w:color w:val="auto"/>
          <w:vertAlign w:val="superscript"/>
        </w:rPr>
        <w:t>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20" w:type="dxa"/>
            <w:vAlign w:val="bottom"/>
          </w:tcPr>
          <w:p>
            <w:pPr>
              <w:spacing w:after="0"/>
              <w:rPr>
                <w:sz w:val="18"/>
                <w:szCs w:val="18"/>
                <w:color w:val="auto"/>
              </w:rPr>
            </w:pPr>
          </w:p>
        </w:tc>
        <w:tc>
          <w:tcPr>
            <w:tcW w:w="2480" w:type="dxa"/>
            <w:vAlign w:val="bottom"/>
            <w:gridSpan w:val="3"/>
          </w:tcPr>
          <w:p>
            <w:pPr>
              <w:jc w:val="center"/>
              <w:ind w:right="180"/>
              <w:spacing w:after="0"/>
              <w:rPr>
                <w:sz w:val="20"/>
                <w:szCs w:val="20"/>
                <w:color w:val="auto"/>
              </w:rPr>
            </w:pPr>
            <w:r>
              <w:rPr>
                <w:rFonts w:ascii="Arial" w:cs="Arial" w:eastAsia="Arial" w:hAnsi="Arial"/>
                <w:sz w:val="14"/>
                <w:szCs w:val="14"/>
                <w:color w:val="auto"/>
              </w:rPr>
              <w:t>MARKET CAPITALIZATION</w:t>
            </w:r>
          </w:p>
        </w:tc>
        <w:tc>
          <w:tcPr>
            <w:tcW w:w="140" w:type="dxa"/>
            <w:vAlign w:val="bottom"/>
          </w:tcPr>
          <w:p>
            <w:pPr>
              <w:spacing w:after="0"/>
              <w:rPr>
                <w:sz w:val="18"/>
                <w:szCs w:val="18"/>
                <w:color w:val="auto"/>
              </w:rPr>
            </w:pPr>
          </w:p>
        </w:tc>
        <w:tc>
          <w:tcPr>
            <w:tcW w:w="2720" w:type="dxa"/>
            <w:vAlign w:val="bottom"/>
            <w:gridSpan w:val="3"/>
          </w:tcPr>
          <w:p>
            <w:pPr>
              <w:ind w:left="140"/>
              <w:spacing w:after="0"/>
              <w:rPr>
                <w:sz w:val="20"/>
                <w:szCs w:val="20"/>
                <w:color w:val="auto"/>
              </w:rPr>
            </w:pPr>
            <w:r>
              <w:rPr>
                <w:rFonts w:ascii="Arial" w:cs="Arial" w:eastAsia="Arial" w:hAnsi="Arial"/>
                <w:sz w:val="14"/>
                <w:szCs w:val="14"/>
                <w:color w:val="auto"/>
              </w:rPr>
              <w:t>NET CAPITAL DISTRIBUTIONS</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470"/>
        </w:trPr>
        <w:tc>
          <w:tcPr>
            <w:tcW w:w="220" w:type="dxa"/>
            <w:vAlign w:val="bottom"/>
          </w:tcPr>
          <w:p>
            <w:pPr>
              <w:spacing w:after="0"/>
              <w:rPr>
                <w:sz w:val="24"/>
                <w:szCs w:val="24"/>
                <w:color w:val="auto"/>
              </w:rPr>
            </w:pPr>
          </w:p>
        </w:tc>
        <w:tc>
          <w:tcPr>
            <w:tcW w:w="2480" w:type="dxa"/>
            <w:vAlign w:val="bottom"/>
            <w:gridSpan w:val="3"/>
          </w:tcPr>
          <w:p>
            <w:pPr>
              <w:jc w:val="center"/>
              <w:ind w:right="160"/>
              <w:spacing w:after="0"/>
              <w:rPr>
                <w:sz w:val="20"/>
                <w:szCs w:val="20"/>
                <w:color w:val="auto"/>
              </w:rPr>
            </w:pPr>
            <w:r>
              <w:rPr>
                <w:rFonts w:ascii="Arial" w:cs="Arial" w:eastAsia="Arial" w:hAnsi="Arial"/>
                <w:sz w:val="39"/>
                <w:szCs w:val="39"/>
                <w:color w:val="074A75"/>
                <w:w w:val="96"/>
                <w:vertAlign w:val="superscript"/>
              </w:rPr>
              <w:t>$</w:t>
            </w:r>
            <w:r>
              <w:rPr>
                <w:rFonts w:ascii="Arial" w:cs="Arial" w:eastAsia="Arial" w:hAnsi="Arial"/>
                <w:sz w:val="31"/>
                <w:szCs w:val="31"/>
                <w:color w:val="074A75"/>
                <w:w w:val="96"/>
              </w:rPr>
              <w:t>489.3</w:t>
            </w:r>
            <w:r>
              <w:rPr>
                <w:rFonts w:ascii="Arial" w:cs="Arial" w:eastAsia="Arial" w:hAnsi="Arial"/>
                <w:sz w:val="23"/>
                <w:szCs w:val="23"/>
                <w:color w:val="074A75"/>
                <w:w w:val="96"/>
              </w:rPr>
              <w:t>B</w:t>
            </w:r>
          </w:p>
        </w:tc>
        <w:tc>
          <w:tcPr>
            <w:tcW w:w="140" w:type="dxa"/>
            <w:vAlign w:val="bottom"/>
          </w:tcPr>
          <w:p>
            <w:pPr>
              <w:spacing w:after="0"/>
              <w:rPr>
                <w:sz w:val="24"/>
                <w:szCs w:val="24"/>
                <w:color w:val="auto"/>
              </w:rPr>
            </w:pPr>
          </w:p>
        </w:tc>
        <w:tc>
          <w:tcPr>
            <w:tcW w:w="2720" w:type="dxa"/>
            <w:vAlign w:val="bottom"/>
            <w:gridSpan w:val="3"/>
          </w:tcPr>
          <w:p>
            <w:pPr>
              <w:ind w:left="78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19.8</w:t>
            </w:r>
            <w:r>
              <w:rPr>
                <w:rFonts w:ascii="Arial" w:cs="Arial" w:eastAsia="Arial" w:hAnsi="Arial"/>
                <w:sz w:val="23"/>
                <w:szCs w:val="23"/>
                <w:color w:val="074A75"/>
              </w:rPr>
              <w:t>B</w:t>
            </w: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1140" w:type="dxa"/>
            <w:vAlign w:val="bottom"/>
            <w:tcBorders>
              <w:right w:val="single" w:sz="8" w:color="EEEFEF"/>
            </w:tcBorders>
            <w:shd w:val="clear" w:color="auto" w:fill="EEEFEF"/>
          </w:tcPr>
          <w:p>
            <w:pPr>
              <w:spacing w:after="0"/>
              <w:rPr>
                <w:sz w:val="8"/>
                <w:szCs w:val="8"/>
                <w:color w:val="auto"/>
              </w:rPr>
            </w:pPr>
          </w:p>
        </w:tc>
        <w:tc>
          <w:tcPr>
            <w:tcW w:w="1180" w:type="dxa"/>
            <w:vAlign w:val="bottom"/>
            <w:shd w:val="clear" w:color="auto" w:fill="EEEFEF"/>
          </w:tcPr>
          <w:p>
            <w:pPr>
              <w:spacing w:after="0"/>
              <w:rPr>
                <w:sz w:val="8"/>
                <w:szCs w:val="8"/>
                <w:color w:val="auto"/>
              </w:rPr>
            </w:pPr>
          </w:p>
        </w:tc>
        <w:tc>
          <w:tcPr>
            <w:tcW w:w="160" w:type="dxa"/>
            <w:vAlign w:val="bottom"/>
            <w:tcBorders>
              <w:right w:val="single" w:sz="8" w:color="EEEFEF"/>
            </w:tcBorders>
          </w:tcPr>
          <w:p>
            <w:pPr>
              <w:spacing w:after="0"/>
              <w:rPr>
                <w:sz w:val="8"/>
                <w:szCs w:val="8"/>
                <w:color w:val="auto"/>
              </w:rPr>
            </w:pPr>
          </w:p>
        </w:tc>
        <w:tc>
          <w:tcPr>
            <w:tcW w:w="140" w:type="dxa"/>
            <w:vAlign w:val="bottom"/>
            <w:shd w:val="clear" w:color="auto" w:fill="EEEFEF"/>
          </w:tcPr>
          <w:p>
            <w:pPr>
              <w:spacing w:after="0"/>
              <w:rPr>
                <w:sz w:val="8"/>
                <w:szCs w:val="8"/>
                <w:color w:val="auto"/>
              </w:rPr>
            </w:pPr>
          </w:p>
        </w:tc>
        <w:tc>
          <w:tcPr>
            <w:tcW w:w="1380" w:type="dxa"/>
            <w:vAlign w:val="bottom"/>
            <w:tcBorders>
              <w:right w:val="single" w:sz="8" w:color="EEEFEF"/>
            </w:tcBorders>
            <w:shd w:val="clear" w:color="auto" w:fill="EEEFEF"/>
          </w:tcPr>
          <w:p>
            <w:pPr>
              <w:spacing w:after="0"/>
              <w:rPr>
                <w:sz w:val="8"/>
                <w:szCs w:val="8"/>
                <w:color w:val="auto"/>
              </w:rPr>
            </w:pPr>
          </w:p>
        </w:tc>
        <w:tc>
          <w:tcPr>
            <w:tcW w:w="1200" w:type="dxa"/>
            <w:vAlign w:val="bottom"/>
            <w:shd w:val="clear" w:color="auto" w:fill="EEEFEF"/>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20" w:type="dxa"/>
            <w:vAlign w:val="bottom"/>
            <w:shd w:val="clear" w:color="auto" w:fill="EEEFEF"/>
          </w:tcPr>
          <w:p>
            <w:pPr>
              <w:spacing w:after="0"/>
              <w:rPr>
                <w:sz w:val="20"/>
                <w:szCs w:val="20"/>
                <w:color w:val="auto"/>
              </w:rPr>
            </w:pPr>
          </w:p>
        </w:tc>
        <w:tc>
          <w:tcPr>
            <w:tcW w:w="2480" w:type="dxa"/>
            <w:vAlign w:val="bottom"/>
            <w:tcBorders>
              <w:right w:val="single" w:sz="8" w:color="EEEFEF"/>
            </w:tcBorders>
            <w:gridSpan w:val="3"/>
            <w:shd w:val="clear" w:color="auto" w:fill="EEEFEF"/>
          </w:tcPr>
          <w:p>
            <w:pPr>
              <w:jc w:val="center"/>
              <w:ind w:right="220"/>
              <w:spacing w:after="0"/>
              <w:rPr>
                <w:sz w:val="20"/>
                <w:szCs w:val="20"/>
                <w:color w:val="auto"/>
              </w:rPr>
            </w:pPr>
            <w:r>
              <w:rPr>
                <w:rFonts w:ascii="Arial" w:cs="Arial" w:eastAsia="Arial" w:hAnsi="Arial"/>
                <w:sz w:val="20"/>
                <w:szCs w:val="20"/>
                <w:color w:val="074A75"/>
                <w:w w:val="98"/>
              </w:rPr>
              <w:t>COMMERCIAL</w:t>
            </w:r>
          </w:p>
        </w:tc>
        <w:tc>
          <w:tcPr>
            <w:tcW w:w="140" w:type="dxa"/>
            <w:vAlign w:val="bottom"/>
          </w:tcPr>
          <w:p>
            <w:pPr>
              <w:spacing w:after="0"/>
              <w:rPr>
                <w:sz w:val="20"/>
                <w:szCs w:val="20"/>
                <w:color w:val="auto"/>
              </w:rPr>
            </w:pPr>
          </w:p>
        </w:tc>
        <w:tc>
          <w:tcPr>
            <w:tcW w:w="2720" w:type="dxa"/>
            <w:vAlign w:val="bottom"/>
            <w:gridSpan w:val="3"/>
            <w:shd w:val="clear" w:color="auto" w:fill="EEEFEF"/>
          </w:tcPr>
          <w:p>
            <w:pPr>
              <w:ind w:left="520"/>
              <w:spacing w:after="0"/>
              <w:rPr>
                <w:sz w:val="20"/>
                <w:szCs w:val="20"/>
                <w:color w:val="auto"/>
              </w:rPr>
            </w:pPr>
            <w:r>
              <w:rPr>
                <w:rFonts w:ascii="Arial" w:cs="Arial" w:eastAsia="Arial" w:hAnsi="Arial"/>
                <w:sz w:val="20"/>
                <w:szCs w:val="20"/>
                <w:color w:val="074A75"/>
              </w:rPr>
              <w:t>ASSET &amp; WEALTH</w:t>
            </w:r>
          </w:p>
        </w:tc>
        <w:tc>
          <w:tcPr>
            <w:tcW w:w="0" w:type="dxa"/>
            <w:vAlign w:val="bottom"/>
          </w:tcPr>
          <w:p>
            <w:pPr>
              <w:spacing w:after="0"/>
              <w:rPr>
                <w:sz w:val="1"/>
                <w:szCs w:val="1"/>
                <w:color w:val="auto"/>
              </w:rPr>
            </w:pPr>
          </w:p>
        </w:tc>
      </w:tr>
      <w:tr>
        <w:trPr>
          <w:trHeight w:val="272"/>
        </w:trPr>
        <w:tc>
          <w:tcPr>
            <w:tcW w:w="220" w:type="dxa"/>
            <w:vAlign w:val="bottom"/>
            <w:tcBorders>
              <w:bottom w:val="single" w:sz="8" w:color="EEEFEF"/>
            </w:tcBorders>
            <w:shd w:val="clear" w:color="auto" w:fill="EEEFEF"/>
          </w:tcPr>
          <w:p>
            <w:pPr>
              <w:spacing w:after="0"/>
              <w:rPr>
                <w:sz w:val="23"/>
                <w:szCs w:val="23"/>
                <w:color w:val="auto"/>
              </w:rPr>
            </w:pPr>
          </w:p>
        </w:tc>
        <w:tc>
          <w:tcPr>
            <w:tcW w:w="2480" w:type="dxa"/>
            <w:vAlign w:val="bottom"/>
            <w:tcBorders>
              <w:bottom w:val="single" w:sz="8" w:color="EEEFEF"/>
              <w:right w:val="single" w:sz="8" w:color="EEEFEF"/>
            </w:tcBorders>
            <w:gridSpan w:val="3"/>
            <w:shd w:val="clear" w:color="auto" w:fill="EEEFEF"/>
          </w:tcPr>
          <w:p>
            <w:pPr>
              <w:jc w:val="center"/>
              <w:ind w:right="220"/>
              <w:spacing w:after="0"/>
              <w:rPr>
                <w:sz w:val="20"/>
                <w:szCs w:val="20"/>
                <w:color w:val="auto"/>
              </w:rPr>
            </w:pPr>
            <w:r>
              <w:rPr>
                <w:rFonts w:ascii="Arial" w:cs="Arial" w:eastAsia="Arial" w:hAnsi="Arial"/>
                <w:sz w:val="20"/>
                <w:szCs w:val="20"/>
                <w:color w:val="074A75"/>
                <w:w w:val="99"/>
              </w:rPr>
              <w:t>BANKING</w:t>
            </w:r>
          </w:p>
        </w:tc>
        <w:tc>
          <w:tcPr>
            <w:tcW w:w="140" w:type="dxa"/>
            <w:vAlign w:val="bottom"/>
          </w:tcPr>
          <w:p>
            <w:pPr>
              <w:spacing w:after="0"/>
              <w:rPr>
                <w:sz w:val="23"/>
                <w:szCs w:val="23"/>
                <w:color w:val="auto"/>
              </w:rPr>
            </w:pPr>
          </w:p>
        </w:tc>
        <w:tc>
          <w:tcPr>
            <w:tcW w:w="2720" w:type="dxa"/>
            <w:vAlign w:val="bottom"/>
            <w:tcBorders>
              <w:bottom w:val="single" w:sz="8" w:color="EEEFEF"/>
            </w:tcBorders>
            <w:gridSpan w:val="3"/>
            <w:shd w:val="clear" w:color="auto" w:fill="EEEFEF"/>
          </w:tcPr>
          <w:p>
            <w:pPr>
              <w:ind w:left="660"/>
              <w:spacing w:after="0"/>
              <w:rPr>
                <w:sz w:val="20"/>
                <w:szCs w:val="20"/>
                <w:color w:val="auto"/>
              </w:rPr>
            </w:pPr>
            <w:r>
              <w:rPr>
                <w:rFonts w:ascii="Arial" w:cs="Arial" w:eastAsia="Arial" w:hAnsi="Arial"/>
                <w:sz w:val="20"/>
                <w:szCs w:val="20"/>
                <w:color w:val="074A75"/>
              </w:rPr>
              <w:t>MANAGEMENT</w:t>
            </w:r>
          </w:p>
        </w:tc>
        <w:tc>
          <w:tcPr>
            <w:tcW w:w="0" w:type="dxa"/>
            <w:vAlign w:val="bottom"/>
          </w:tcPr>
          <w:p>
            <w:pPr>
              <w:spacing w:after="0"/>
              <w:rPr>
                <w:sz w:val="1"/>
                <w:szCs w:val="1"/>
                <w:color w:val="auto"/>
              </w:rPr>
            </w:pPr>
          </w:p>
        </w:tc>
      </w:tr>
      <w:tr>
        <w:trPr>
          <w:trHeight w:val="243"/>
        </w:trPr>
        <w:tc>
          <w:tcPr>
            <w:tcW w:w="220" w:type="dxa"/>
            <w:vAlign w:val="bottom"/>
            <w:shd w:val="clear" w:color="auto" w:fill="EEEFEF"/>
          </w:tcPr>
          <w:p>
            <w:pPr>
              <w:spacing w:after="0"/>
              <w:rPr>
                <w:sz w:val="21"/>
                <w:szCs w:val="21"/>
                <w:color w:val="auto"/>
              </w:rPr>
            </w:pPr>
          </w:p>
        </w:tc>
        <w:tc>
          <w:tcPr>
            <w:tcW w:w="1140" w:type="dxa"/>
            <w:vAlign w:val="bottom"/>
            <w:tcBorders>
              <w:right w:val="single" w:sz="8" w:color="454545"/>
            </w:tcBorders>
            <w:shd w:val="clear" w:color="auto" w:fill="EEEFEF"/>
          </w:tcPr>
          <w:p>
            <w:pPr>
              <w:jc w:val="center"/>
              <w:ind w:right="133"/>
              <w:spacing w:after="0"/>
              <w:rPr>
                <w:sz w:val="20"/>
                <w:szCs w:val="20"/>
                <w:color w:val="auto"/>
              </w:rPr>
            </w:pPr>
            <w:r>
              <w:rPr>
                <w:rFonts w:ascii="Arial" w:cs="Arial" w:eastAsia="Arial" w:hAnsi="Arial"/>
                <w:sz w:val="14"/>
                <w:szCs w:val="14"/>
                <w:color w:val="auto"/>
                <w:w w:val="99"/>
              </w:rPr>
              <w:t>REVENUE</w:t>
            </w:r>
            <w:r>
              <w:rPr>
                <w:rFonts w:ascii="Arial" w:cs="Arial" w:eastAsia="Arial" w:hAnsi="Arial"/>
                <w:sz w:val="18"/>
                <w:szCs w:val="18"/>
                <w:color w:val="auto"/>
                <w:w w:val="99"/>
                <w:vertAlign w:val="superscript"/>
              </w:rPr>
              <w:t>1</w:t>
            </w:r>
          </w:p>
        </w:tc>
        <w:tc>
          <w:tcPr>
            <w:tcW w:w="1340" w:type="dxa"/>
            <w:vAlign w:val="bottom"/>
            <w:tcBorders>
              <w:right w:val="single" w:sz="8" w:color="EEEFEF"/>
            </w:tcBorders>
            <w:gridSpan w:val="2"/>
            <w:shd w:val="clear" w:color="auto" w:fill="EEEFEF"/>
          </w:tcPr>
          <w:p>
            <w:pPr>
              <w:jc w:val="center"/>
              <w:spacing w:after="0"/>
              <w:rPr>
                <w:sz w:val="20"/>
                <w:szCs w:val="20"/>
                <w:color w:val="auto"/>
              </w:rPr>
            </w:pPr>
            <w:r>
              <w:rPr>
                <w:rFonts w:ascii="Arial" w:cs="Arial" w:eastAsia="Arial" w:hAnsi="Arial"/>
                <w:sz w:val="14"/>
                <w:szCs w:val="14"/>
                <w:color w:val="auto"/>
              </w:rPr>
              <w:t>PRE-TAX INCOME</w:t>
            </w:r>
          </w:p>
        </w:tc>
        <w:tc>
          <w:tcPr>
            <w:tcW w:w="140" w:type="dxa"/>
            <w:vAlign w:val="bottom"/>
          </w:tcPr>
          <w:p>
            <w:pPr>
              <w:spacing w:after="0"/>
              <w:rPr>
                <w:sz w:val="21"/>
                <w:szCs w:val="21"/>
                <w:color w:val="auto"/>
              </w:rPr>
            </w:pPr>
          </w:p>
        </w:tc>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14"/>
                <w:szCs w:val="14"/>
                <w:color w:val="auto"/>
                <w:w w:val="99"/>
              </w:rPr>
              <w:t>REVENUE</w:t>
            </w:r>
            <w:r>
              <w:rPr>
                <w:rFonts w:ascii="Arial" w:cs="Arial" w:eastAsia="Arial" w:hAnsi="Arial"/>
                <w:sz w:val="18"/>
                <w:szCs w:val="18"/>
                <w:color w:val="auto"/>
                <w:w w:val="99"/>
                <w:vertAlign w:val="superscript"/>
              </w:rPr>
              <w:t>1</w:t>
            </w:r>
          </w:p>
        </w:tc>
        <w:tc>
          <w:tcPr>
            <w:tcW w:w="1340" w:type="dxa"/>
            <w:vAlign w:val="bottom"/>
            <w:gridSpan w:val="2"/>
            <w:shd w:val="clear" w:color="auto" w:fill="EEEFEF"/>
          </w:tcPr>
          <w:p>
            <w:pPr>
              <w:jc w:val="center"/>
              <w:spacing w:after="0"/>
              <w:rPr>
                <w:sz w:val="20"/>
                <w:szCs w:val="20"/>
                <w:color w:val="auto"/>
              </w:rPr>
            </w:pPr>
            <w:r>
              <w:rPr>
                <w:rFonts w:ascii="Arial" w:cs="Arial" w:eastAsia="Arial" w:hAnsi="Arial"/>
                <w:sz w:val="14"/>
                <w:szCs w:val="14"/>
                <w:color w:val="auto"/>
              </w:rPr>
              <w:t>PRE-TAX INCOME</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62"/>
        </w:trPr>
        <w:tc>
          <w:tcPr>
            <w:tcW w:w="220" w:type="dxa"/>
            <w:vAlign w:val="bottom"/>
            <w:shd w:val="clear" w:color="auto" w:fill="EEEFEF"/>
          </w:tcPr>
          <w:p>
            <w:pPr>
              <w:spacing w:after="0"/>
              <w:rPr>
                <w:sz w:val="14"/>
                <w:szCs w:val="14"/>
                <w:color w:val="auto"/>
              </w:rPr>
            </w:pPr>
          </w:p>
        </w:tc>
        <w:tc>
          <w:tcPr>
            <w:tcW w:w="1140" w:type="dxa"/>
            <w:vAlign w:val="bottom"/>
            <w:tcBorders>
              <w:right w:val="single" w:sz="8" w:color="454545"/>
            </w:tcBorders>
            <w:shd w:val="clear" w:color="auto" w:fill="EEEFEF"/>
          </w:tcPr>
          <w:p>
            <w:pPr>
              <w:spacing w:after="0"/>
              <w:rPr>
                <w:sz w:val="14"/>
                <w:szCs w:val="14"/>
                <w:color w:val="auto"/>
              </w:rPr>
            </w:pPr>
          </w:p>
        </w:tc>
        <w:tc>
          <w:tcPr>
            <w:tcW w:w="1340" w:type="dxa"/>
            <w:vAlign w:val="bottom"/>
            <w:tcBorders>
              <w:right w:val="single" w:sz="8" w:color="EEEFEF"/>
            </w:tcBorders>
            <w:gridSpan w:val="2"/>
            <w:shd w:val="clear" w:color="auto" w:fill="EEEFEF"/>
          </w:tcPr>
          <w:p>
            <w:pPr>
              <w:jc w:val="center"/>
              <w:spacing w:after="0"/>
              <w:rPr>
                <w:sz w:val="20"/>
                <w:szCs w:val="20"/>
                <w:color w:val="auto"/>
              </w:rPr>
            </w:pPr>
            <w:r>
              <w:rPr>
                <w:rFonts w:ascii="Arial" w:cs="Arial" w:eastAsia="Arial" w:hAnsi="Arial"/>
                <w:sz w:val="14"/>
                <w:szCs w:val="14"/>
                <w:color w:val="auto"/>
              </w:rPr>
              <w:t>ex. LLR</w:t>
            </w:r>
            <w:r>
              <w:rPr>
                <w:rFonts w:ascii="Arial" w:cs="Arial" w:eastAsia="Arial" w:hAnsi="Arial"/>
                <w:sz w:val="9"/>
                <w:szCs w:val="9"/>
                <w:color w:val="auto"/>
              </w:rPr>
              <w:t>1,2</w:t>
            </w:r>
          </w:p>
        </w:tc>
        <w:tc>
          <w:tcPr>
            <w:tcW w:w="140" w:type="dxa"/>
            <w:vAlign w:val="bottom"/>
          </w:tcPr>
          <w:p>
            <w:pPr>
              <w:spacing w:after="0"/>
              <w:rPr>
                <w:sz w:val="14"/>
                <w:szCs w:val="14"/>
                <w:color w:val="auto"/>
              </w:rPr>
            </w:pPr>
          </w:p>
        </w:tc>
        <w:tc>
          <w:tcPr>
            <w:tcW w:w="1380" w:type="dxa"/>
            <w:vAlign w:val="bottom"/>
            <w:tcBorders>
              <w:right w:val="single" w:sz="8" w:color="454545"/>
            </w:tcBorders>
            <w:shd w:val="clear" w:color="auto" w:fill="EEEFEF"/>
          </w:tcPr>
          <w:p>
            <w:pPr>
              <w:spacing w:after="0"/>
              <w:rPr>
                <w:sz w:val="14"/>
                <w:szCs w:val="14"/>
                <w:color w:val="auto"/>
              </w:rPr>
            </w:pPr>
          </w:p>
        </w:tc>
        <w:tc>
          <w:tcPr>
            <w:tcW w:w="1200" w:type="dxa"/>
            <w:vAlign w:val="bottom"/>
            <w:shd w:val="clear" w:color="auto" w:fill="EEEFEF"/>
          </w:tcPr>
          <w:p>
            <w:pPr>
              <w:spacing w:after="0"/>
              <w:rPr>
                <w:sz w:val="14"/>
                <w:szCs w:val="14"/>
                <w:color w:val="auto"/>
              </w:rPr>
            </w:pPr>
          </w:p>
        </w:tc>
        <w:tc>
          <w:tcPr>
            <w:tcW w:w="140" w:type="dxa"/>
            <w:vAlign w:val="bottom"/>
            <w:shd w:val="clear" w:color="auto" w:fill="EEEFEF"/>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220" w:type="dxa"/>
            <w:vAlign w:val="bottom"/>
            <w:tcBorders>
              <w:bottom w:val="single" w:sz="8" w:color="EEEFEF"/>
            </w:tcBorders>
            <w:shd w:val="clear" w:color="auto" w:fill="EEEFEF"/>
          </w:tcPr>
          <w:p>
            <w:pPr>
              <w:spacing w:after="0"/>
              <w:rPr>
                <w:sz w:val="24"/>
                <w:szCs w:val="24"/>
                <w:color w:val="auto"/>
              </w:rPr>
            </w:pPr>
          </w:p>
        </w:tc>
        <w:tc>
          <w:tcPr>
            <w:tcW w:w="1140" w:type="dxa"/>
            <w:vAlign w:val="bottom"/>
            <w:tcBorders>
              <w:bottom w:val="single" w:sz="8" w:color="EEEFEF"/>
              <w:right w:val="single" w:sz="8" w:color="454545"/>
            </w:tcBorders>
            <w:shd w:val="clear" w:color="auto" w:fill="EEEFEF"/>
          </w:tcPr>
          <w:p>
            <w:pPr>
              <w:jc w:val="center"/>
              <w:ind w:right="133"/>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15.5</w:t>
            </w:r>
            <w:r>
              <w:rPr>
                <w:rFonts w:ascii="Arial" w:cs="Arial" w:eastAsia="Arial" w:hAnsi="Arial"/>
                <w:sz w:val="23"/>
                <w:szCs w:val="23"/>
                <w:color w:val="074A75"/>
                <w:w w:val="95"/>
              </w:rPr>
              <w:t>B</w:t>
            </w:r>
          </w:p>
        </w:tc>
        <w:tc>
          <w:tcPr>
            <w:tcW w:w="1340" w:type="dxa"/>
            <w:vAlign w:val="bottom"/>
            <w:tcBorders>
              <w:bottom w:val="single" w:sz="8" w:color="EEEFEF"/>
              <w:right w:val="single" w:sz="8" w:color="EEEFEF"/>
            </w:tcBorders>
            <w:gridSpan w:val="2"/>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9.9</w:t>
            </w:r>
            <w:r>
              <w:rPr>
                <w:rFonts w:ascii="Arial" w:cs="Arial" w:eastAsia="Arial" w:hAnsi="Arial"/>
                <w:sz w:val="23"/>
                <w:szCs w:val="23"/>
                <w:color w:val="074A75"/>
                <w:w w:val="95"/>
              </w:rPr>
              <w:t>B</w:t>
            </w:r>
          </w:p>
        </w:tc>
        <w:tc>
          <w:tcPr>
            <w:tcW w:w="140" w:type="dxa"/>
            <w:vAlign w:val="bottom"/>
          </w:tcPr>
          <w:p>
            <w:pPr>
              <w:spacing w:after="0"/>
              <w:rPr>
                <w:sz w:val="24"/>
                <w:szCs w:val="24"/>
                <w:color w:val="auto"/>
              </w:rPr>
            </w:pPr>
          </w:p>
        </w:tc>
        <w:tc>
          <w:tcPr>
            <w:tcW w:w="1380" w:type="dxa"/>
            <w:vAlign w:val="bottom"/>
            <w:tcBorders>
              <w:bottom w:val="single" w:sz="8" w:color="EEEFEF"/>
              <w:right w:val="single" w:sz="8" w:color="454545"/>
            </w:tcBorders>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19.8</w:t>
            </w:r>
            <w:r>
              <w:rPr>
                <w:rFonts w:ascii="Arial" w:cs="Arial" w:eastAsia="Arial" w:hAnsi="Arial"/>
                <w:sz w:val="23"/>
                <w:szCs w:val="23"/>
                <w:color w:val="074A75"/>
                <w:w w:val="95"/>
              </w:rPr>
              <w:t>B</w:t>
            </w:r>
          </w:p>
        </w:tc>
        <w:tc>
          <w:tcPr>
            <w:tcW w:w="1340" w:type="dxa"/>
            <w:vAlign w:val="bottom"/>
            <w:tcBorders>
              <w:bottom w:val="single" w:sz="8" w:color="EEEFEF"/>
            </w:tcBorders>
            <w:gridSpan w:val="2"/>
            <w:shd w:val="clear" w:color="auto" w:fill="EEEFEF"/>
          </w:tcPr>
          <w:p>
            <w:pPr>
              <w:jc w:val="center"/>
              <w:spacing w:after="0" w:line="405" w:lineRule="exact"/>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6.9</w:t>
            </w:r>
            <w:r>
              <w:rPr>
                <w:rFonts w:ascii="Arial" w:cs="Arial" w:eastAsia="Arial" w:hAnsi="Arial"/>
                <w:sz w:val="23"/>
                <w:szCs w:val="23"/>
                <w:color w:val="074A75"/>
                <w:w w:val="95"/>
              </w:rPr>
              <w:t>B</w:t>
            </w:r>
          </w:p>
        </w:tc>
        <w:tc>
          <w:tcPr>
            <w:tcW w:w="0" w:type="dxa"/>
            <w:vAlign w:val="bottom"/>
          </w:tcPr>
          <w:p>
            <w:pPr>
              <w:spacing w:after="0"/>
              <w:rPr>
                <w:sz w:val="1"/>
                <w:szCs w:val="1"/>
                <w:color w:val="auto"/>
              </w:rPr>
            </w:pPr>
          </w:p>
        </w:tc>
      </w:tr>
      <w:tr>
        <w:trPr>
          <w:trHeight w:val="208"/>
        </w:trPr>
        <w:tc>
          <w:tcPr>
            <w:tcW w:w="220" w:type="dxa"/>
            <w:vAlign w:val="bottom"/>
            <w:shd w:val="clear" w:color="auto" w:fill="EEEFEF"/>
          </w:tcPr>
          <w:p>
            <w:pPr>
              <w:spacing w:after="0"/>
              <w:rPr>
                <w:sz w:val="18"/>
                <w:szCs w:val="18"/>
                <w:color w:val="auto"/>
              </w:rPr>
            </w:pPr>
          </w:p>
        </w:tc>
        <w:tc>
          <w:tcPr>
            <w:tcW w:w="1140" w:type="dxa"/>
            <w:vAlign w:val="bottom"/>
            <w:tcBorders>
              <w:right w:val="single" w:sz="8" w:color="454545"/>
            </w:tcBorders>
            <w:shd w:val="clear" w:color="auto" w:fill="EEEFEF"/>
          </w:tcPr>
          <w:p>
            <w:pPr>
              <w:spacing w:after="0"/>
              <w:rPr>
                <w:sz w:val="20"/>
                <w:szCs w:val="20"/>
                <w:color w:val="auto"/>
              </w:rPr>
            </w:pPr>
            <w:r>
              <w:rPr>
                <w:rFonts w:ascii="Arial" w:cs="Arial" w:eastAsia="Arial" w:hAnsi="Arial"/>
                <w:sz w:val="14"/>
                <w:szCs w:val="14"/>
                <w:color w:val="auto"/>
              </w:rPr>
              <w:t>NET INCOME</w:t>
            </w:r>
          </w:p>
        </w:tc>
        <w:tc>
          <w:tcPr>
            <w:tcW w:w="1340" w:type="dxa"/>
            <w:vAlign w:val="bottom"/>
            <w:tcBorders>
              <w:right w:val="single" w:sz="8" w:color="EEEFEF"/>
            </w:tcBorders>
            <w:gridSpan w:val="2"/>
            <w:shd w:val="clear" w:color="auto" w:fill="EEEFEF"/>
          </w:tcPr>
          <w:p>
            <w:pPr>
              <w:jc w:val="center"/>
              <w:spacing w:after="0"/>
              <w:rPr>
                <w:sz w:val="20"/>
                <w:szCs w:val="20"/>
                <w:color w:val="auto"/>
              </w:rPr>
            </w:pPr>
            <w:r>
              <w:rPr>
                <w:rFonts w:ascii="Arial" w:cs="Arial" w:eastAsia="Arial" w:hAnsi="Arial"/>
                <w:sz w:val="14"/>
                <w:szCs w:val="14"/>
                <w:color w:val="auto"/>
                <w:w w:val="98"/>
              </w:rPr>
              <w:t>ROE</w:t>
            </w:r>
          </w:p>
        </w:tc>
        <w:tc>
          <w:tcPr>
            <w:tcW w:w="140" w:type="dxa"/>
            <w:vAlign w:val="bottom"/>
          </w:tcPr>
          <w:p>
            <w:pPr>
              <w:spacing w:after="0"/>
              <w:rPr>
                <w:sz w:val="18"/>
                <w:szCs w:val="18"/>
                <w:color w:val="auto"/>
              </w:rPr>
            </w:pPr>
          </w:p>
        </w:tc>
        <w:tc>
          <w:tcPr>
            <w:tcW w:w="1380" w:type="dxa"/>
            <w:vAlign w:val="bottom"/>
            <w:tcBorders>
              <w:right w:val="single" w:sz="8" w:color="454545"/>
            </w:tcBorders>
            <w:shd w:val="clear" w:color="auto" w:fill="EEEFEF"/>
          </w:tcPr>
          <w:p>
            <w:pPr>
              <w:ind w:left="240"/>
              <w:spacing w:after="0"/>
              <w:rPr>
                <w:sz w:val="20"/>
                <w:szCs w:val="20"/>
                <w:color w:val="auto"/>
              </w:rPr>
            </w:pPr>
            <w:r>
              <w:rPr>
                <w:rFonts w:ascii="Arial" w:cs="Arial" w:eastAsia="Arial" w:hAnsi="Arial"/>
                <w:sz w:val="14"/>
                <w:szCs w:val="14"/>
                <w:color w:val="auto"/>
              </w:rPr>
              <w:t>NET INCOME</w:t>
            </w:r>
          </w:p>
        </w:tc>
        <w:tc>
          <w:tcPr>
            <w:tcW w:w="1340" w:type="dxa"/>
            <w:vAlign w:val="bottom"/>
            <w:gridSpan w:val="2"/>
            <w:shd w:val="clear" w:color="auto" w:fill="EEEFEF"/>
          </w:tcPr>
          <w:p>
            <w:pPr>
              <w:jc w:val="center"/>
              <w:spacing w:after="0"/>
              <w:rPr>
                <w:sz w:val="20"/>
                <w:szCs w:val="20"/>
                <w:color w:val="auto"/>
              </w:rPr>
            </w:pPr>
            <w:r>
              <w:rPr>
                <w:rFonts w:ascii="Arial" w:cs="Arial" w:eastAsia="Arial" w:hAnsi="Arial"/>
                <w:sz w:val="14"/>
                <w:szCs w:val="14"/>
                <w:color w:val="auto"/>
                <w:w w:val="98"/>
              </w:rPr>
              <w:t>ROE</w:t>
            </w:r>
          </w:p>
        </w:tc>
        <w:tc>
          <w:tcPr>
            <w:tcW w:w="0" w:type="dxa"/>
            <w:vAlign w:val="bottom"/>
          </w:tcPr>
          <w:p>
            <w:pPr>
              <w:spacing w:after="0"/>
              <w:rPr>
                <w:sz w:val="1"/>
                <w:szCs w:val="1"/>
                <w:color w:val="auto"/>
              </w:rPr>
            </w:pPr>
          </w:p>
        </w:tc>
      </w:tr>
      <w:tr>
        <w:trPr>
          <w:trHeight w:val="427"/>
        </w:trPr>
        <w:tc>
          <w:tcPr>
            <w:tcW w:w="220" w:type="dxa"/>
            <w:vAlign w:val="bottom"/>
            <w:shd w:val="clear" w:color="auto" w:fill="EEEFEF"/>
          </w:tcPr>
          <w:p>
            <w:pPr>
              <w:spacing w:after="0"/>
              <w:rPr>
                <w:sz w:val="24"/>
                <w:szCs w:val="24"/>
                <w:color w:val="auto"/>
              </w:rPr>
            </w:pPr>
          </w:p>
        </w:tc>
        <w:tc>
          <w:tcPr>
            <w:tcW w:w="1140" w:type="dxa"/>
            <w:vAlign w:val="bottom"/>
            <w:tcBorders>
              <w:right w:val="single" w:sz="8" w:color="454545"/>
            </w:tcBorders>
            <w:shd w:val="clear" w:color="auto" w:fill="EEEFEF"/>
          </w:tcPr>
          <w:p>
            <w:pPr>
              <w:jc w:val="center"/>
              <w:ind w:right="133"/>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6.1</w:t>
            </w:r>
            <w:r>
              <w:rPr>
                <w:rFonts w:ascii="Arial" w:cs="Arial" w:eastAsia="Arial" w:hAnsi="Arial"/>
                <w:sz w:val="23"/>
                <w:szCs w:val="23"/>
                <w:color w:val="074A75"/>
                <w:w w:val="95"/>
              </w:rPr>
              <w:t>B</w:t>
            </w:r>
          </w:p>
        </w:tc>
        <w:tc>
          <w:tcPr>
            <w:tcW w:w="1180" w:type="dxa"/>
            <w:vAlign w:val="bottom"/>
            <w:shd w:val="clear" w:color="auto" w:fill="EEEFEF"/>
          </w:tcPr>
          <w:p>
            <w:pPr>
              <w:jc w:val="center"/>
              <w:ind w:left="59"/>
              <w:spacing w:after="0"/>
              <w:rPr>
                <w:sz w:val="20"/>
                <w:szCs w:val="20"/>
                <w:color w:val="auto"/>
              </w:rPr>
            </w:pPr>
            <w:r>
              <w:rPr>
                <w:rFonts w:ascii="Arial" w:cs="Arial" w:eastAsia="Arial" w:hAnsi="Arial"/>
                <w:sz w:val="29"/>
                <w:szCs w:val="29"/>
                <w:color w:val="074A75"/>
                <w:w w:val="92"/>
              </w:rPr>
              <w:t>20</w:t>
            </w:r>
            <w:r>
              <w:rPr>
                <w:rFonts w:ascii="Arial" w:cs="Arial" w:eastAsia="Arial" w:hAnsi="Arial"/>
                <w:sz w:val="37"/>
                <w:szCs w:val="37"/>
                <w:color w:val="074A75"/>
                <w:w w:val="92"/>
                <w:vertAlign w:val="superscript"/>
              </w:rPr>
              <w:t>%</w:t>
            </w:r>
          </w:p>
        </w:tc>
        <w:tc>
          <w:tcPr>
            <w:tcW w:w="160" w:type="dxa"/>
            <w:vAlign w:val="bottom"/>
            <w:tcBorders>
              <w:right w:val="single" w:sz="8" w:color="EEEFEF"/>
            </w:tcBorders>
            <w:shd w:val="clear" w:color="auto" w:fill="EEEFEF"/>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right w:val="single" w:sz="8" w:color="454545"/>
            </w:tcBorders>
            <w:shd w:val="clear" w:color="auto" w:fill="EEEFEF"/>
          </w:tcPr>
          <w:p>
            <w:pPr>
              <w:jc w:val="center"/>
              <w:spacing w:after="0"/>
              <w:rPr>
                <w:sz w:val="20"/>
                <w:szCs w:val="20"/>
                <w:color w:val="auto"/>
              </w:rPr>
            </w:pPr>
            <w:r>
              <w:rPr>
                <w:rFonts w:ascii="Arial" w:cs="Arial" w:eastAsia="Arial" w:hAnsi="Arial"/>
                <w:sz w:val="37"/>
                <w:szCs w:val="37"/>
                <w:color w:val="074A75"/>
                <w:w w:val="95"/>
                <w:vertAlign w:val="superscript"/>
              </w:rPr>
              <w:t>$</w:t>
            </w:r>
            <w:r>
              <w:rPr>
                <w:rFonts w:ascii="Arial" w:cs="Arial" w:eastAsia="Arial" w:hAnsi="Arial"/>
                <w:sz w:val="29"/>
                <w:szCs w:val="29"/>
                <w:color w:val="074A75"/>
                <w:w w:val="95"/>
              </w:rPr>
              <w:t>5.2</w:t>
            </w:r>
            <w:r>
              <w:rPr>
                <w:rFonts w:ascii="Arial" w:cs="Arial" w:eastAsia="Arial" w:hAnsi="Arial"/>
                <w:sz w:val="23"/>
                <w:szCs w:val="23"/>
                <w:color w:val="074A75"/>
                <w:w w:val="95"/>
              </w:rPr>
              <w:t>B</w:t>
            </w:r>
          </w:p>
        </w:tc>
        <w:tc>
          <w:tcPr>
            <w:tcW w:w="1200" w:type="dxa"/>
            <w:vAlign w:val="bottom"/>
            <w:shd w:val="clear" w:color="auto" w:fill="EEEFEF"/>
          </w:tcPr>
          <w:p>
            <w:pPr>
              <w:jc w:val="center"/>
              <w:ind w:left="32"/>
              <w:spacing w:after="0"/>
              <w:rPr>
                <w:sz w:val="20"/>
                <w:szCs w:val="20"/>
                <w:color w:val="auto"/>
              </w:rPr>
            </w:pPr>
            <w:r>
              <w:rPr>
                <w:rFonts w:ascii="Arial" w:cs="Arial" w:eastAsia="Arial" w:hAnsi="Arial"/>
                <w:sz w:val="29"/>
                <w:szCs w:val="29"/>
                <w:color w:val="074A75"/>
                <w:w w:val="92"/>
              </w:rPr>
              <w:t>31</w:t>
            </w:r>
            <w:r>
              <w:rPr>
                <w:rFonts w:ascii="Arial" w:cs="Arial" w:eastAsia="Arial" w:hAnsi="Arial"/>
                <w:sz w:val="37"/>
                <w:szCs w:val="37"/>
                <w:color w:val="074A75"/>
                <w:w w:val="92"/>
                <w:vertAlign w:val="superscript"/>
              </w:rPr>
              <w:t>%</w:t>
            </w:r>
          </w:p>
        </w:tc>
        <w:tc>
          <w:tcPr>
            <w:tcW w:w="140" w:type="dxa"/>
            <w:vAlign w:val="bottom"/>
            <w:shd w:val="clear" w:color="auto" w:fill="EEEFE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60" w:type="dxa"/>
            <w:vAlign w:val="bottom"/>
            <w:gridSpan w:val="2"/>
          </w:tcPr>
          <w:p>
            <w:pPr>
              <w:spacing w:after="0"/>
              <w:rPr>
                <w:sz w:val="4"/>
                <w:szCs w:val="4"/>
                <w:color w:val="auto"/>
              </w:rPr>
            </w:pPr>
          </w:p>
        </w:tc>
        <w:tc>
          <w:tcPr>
            <w:tcW w:w="13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700" w:type="dxa"/>
            <w:vAlign w:val="bottom"/>
            <w:tcBorders>
              <w:right w:val="single" w:sz="8" w:color="EEEFEF"/>
            </w:tcBorders>
            <w:gridSpan w:val="4"/>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Record revenues overall and in</w:t>
            </w:r>
          </w:p>
        </w:tc>
        <w:tc>
          <w:tcPr>
            <w:tcW w:w="140" w:type="dxa"/>
            <w:vAlign w:val="bottom"/>
          </w:tcPr>
          <w:p>
            <w:pPr>
              <w:spacing w:after="0"/>
              <w:rPr>
                <w:sz w:val="16"/>
                <w:szCs w:val="16"/>
                <w:color w:val="auto"/>
              </w:rPr>
            </w:pPr>
          </w:p>
        </w:tc>
        <w:tc>
          <w:tcPr>
            <w:tcW w:w="2720" w:type="dxa"/>
            <w:vAlign w:val="bottom"/>
            <w:gridSpan w:val="3"/>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Pre-tax margin of 35%</w:t>
            </w:r>
          </w:p>
        </w:tc>
        <w:tc>
          <w:tcPr>
            <w:tcW w:w="0" w:type="dxa"/>
            <w:vAlign w:val="bottom"/>
          </w:tcPr>
          <w:p>
            <w:pPr>
              <w:spacing w:after="0"/>
              <w:rPr>
                <w:sz w:val="1"/>
                <w:szCs w:val="1"/>
                <w:color w:val="auto"/>
              </w:rPr>
            </w:pPr>
          </w:p>
        </w:tc>
      </w:tr>
      <w:tr>
        <w:trPr>
          <w:trHeight w:val="189"/>
        </w:trPr>
        <w:tc>
          <w:tcPr>
            <w:tcW w:w="2700" w:type="dxa"/>
            <w:vAlign w:val="bottom"/>
            <w:tcBorders>
              <w:right w:val="single" w:sz="8" w:color="EEEFEF"/>
            </w:tcBorders>
            <w:gridSpan w:val="4"/>
            <w:shd w:val="clear" w:color="auto" w:fill="EEEFEF"/>
          </w:tcPr>
          <w:p>
            <w:pPr>
              <w:ind w:left="220"/>
              <w:spacing w:after="0"/>
              <w:rPr>
                <w:sz w:val="20"/>
                <w:szCs w:val="20"/>
                <w:color w:val="auto"/>
              </w:rPr>
            </w:pPr>
            <w:r>
              <w:rPr>
                <w:rFonts w:ascii="Arial" w:cs="Arial" w:eastAsia="Arial" w:hAnsi="Arial"/>
                <w:sz w:val="15"/>
                <w:szCs w:val="15"/>
                <w:color w:val="auto"/>
              </w:rPr>
              <w:t>MMBSI of $7.4B, CCBSI of $4.8B</w:t>
            </w:r>
          </w:p>
        </w:tc>
        <w:tc>
          <w:tcPr>
            <w:tcW w:w="140" w:type="dxa"/>
            <w:vAlign w:val="bottom"/>
          </w:tcPr>
          <w:p>
            <w:pPr>
              <w:spacing w:after="0"/>
              <w:rPr>
                <w:sz w:val="16"/>
                <w:szCs w:val="16"/>
                <w:color w:val="auto"/>
              </w:rPr>
            </w:pPr>
          </w:p>
        </w:tc>
        <w:tc>
          <w:tcPr>
            <w:tcW w:w="2720" w:type="dxa"/>
            <w:vAlign w:val="bottom"/>
            <w:gridSpan w:val="3"/>
            <w:vMerge w:val="restart"/>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Long-term AUM flows of $140B, top</w:t>
            </w:r>
          </w:p>
        </w:tc>
        <w:tc>
          <w:tcPr>
            <w:tcW w:w="0" w:type="dxa"/>
            <w:vAlign w:val="bottom"/>
          </w:tcPr>
          <w:p>
            <w:pPr>
              <w:spacing w:after="0"/>
              <w:rPr>
                <w:sz w:val="1"/>
                <w:szCs w:val="1"/>
                <w:color w:val="auto"/>
              </w:rPr>
            </w:pPr>
          </w:p>
        </w:tc>
      </w:tr>
      <w:tr>
        <w:trPr>
          <w:trHeight w:val="66"/>
        </w:trPr>
        <w:tc>
          <w:tcPr>
            <w:tcW w:w="2700" w:type="dxa"/>
            <w:vAlign w:val="bottom"/>
            <w:tcBorders>
              <w:right w:val="single" w:sz="8" w:color="EEEFEF"/>
            </w:tcBorders>
            <w:gridSpan w:val="4"/>
            <w:vMerge w:val="restart"/>
            <w:shd w:val="clear" w:color="auto" w:fill="EEEFEF"/>
          </w:tcPr>
          <w:p>
            <w:pPr>
              <w:ind w:left="220"/>
              <w:spacing w:after="0"/>
              <w:rPr>
                <w:sz w:val="20"/>
                <w:szCs w:val="20"/>
                <w:color w:val="auto"/>
              </w:rPr>
            </w:pPr>
            <w:r>
              <w:rPr>
                <w:rFonts w:ascii="Arial" w:cs="Arial" w:eastAsia="Arial" w:hAnsi="Arial"/>
                <w:sz w:val="15"/>
                <w:szCs w:val="15"/>
                <w:color w:val="auto"/>
              </w:rPr>
              <w:t>and CRE of $3.3B</w:t>
            </w:r>
          </w:p>
        </w:tc>
        <w:tc>
          <w:tcPr>
            <w:tcW w:w="140" w:type="dxa"/>
            <w:vAlign w:val="bottom"/>
          </w:tcPr>
          <w:p>
            <w:pPr>
              <w:spacing w:after="0"/>
              <w:rPr>
                <w:sz w:val="5"/>
                <w:szCs w:val="5"/>
                <w:color w:val="auto"/>
              </w:rPr>
            </w:pPr>
          </w:p>
        </w:tc>
        <w:tc>
          <w:tcPr>
            <w:tcW w:w="2720" w:type="dxa"/>
            <w:vAlign w:val="bottom"/>
            <w:gridSpan w:val="3"/>
            <w:vMerge w:val="continue"/>
            <w:shd w:val="clear" w:color="auto" w:fill="EEEFE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700" w:type="dxa"/>
            <w:vAlign w:val="bottom"/>
            <w:tcBorders>
              <w:right w:val="single" w:sz="8" w:color="EEEFEF"/>
            </w:tcBorders>
            <w:gridSpan w:val="4"/>
            <w:vMerge w:val="continue"/>
            <w:shd w:val="clear" w:color="auto" w:fill="EEEFEF"/>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3"/>
            <w:shd w:val="clear" w:color="auto" w:fill="EEEFEF"/>
          </w:tcPr>
          <w:p>
            <w:pPr>
              <w:ind w:left="220"/>
              <w:spacing w:after="0" w:line="191" w:lineRule="exact"/>
              <w:rPr>
                <w:sz w:val="20"/>
                <w:szCs w:val="20"/>
                <w:color w:val="auto"/>
              </w:rPr>
            </w:pPr>
            <w:r>
              <w:rPr>
                <w:rFonts w:ascii="Arial" w:cs="Arial" w:eastAsia="Arial" w:hAnsi="Arial"/>
                <w:sz w:val="15"/>
                <w:szCs w:val="15"/>
                <w:color w:val="auto"/>
              </w:rPr>
              <w:t>2 rank in Client Asset Flows</w:t>
            </w:r>
            <w:r>
              <w:rPr>
                <w:rFonts w:ascii="Arial" w:cs="Arial" w:eastAsia="Arial" w:hAnsi="Arial"/>
                <w:sz w:val="19"/>
                <w:szCs w:val="19"/>
                <w:color w:val="auto"/>
                <w:vertAlign w:val="superscript"/>
              </w:rPr>
              <w:t>7</w:t>
            </w:r>
            <w:r>
              <w:rPr>
                <w:rFonts w:ascii="Arial" w:cs="Arial" w:eastAsia="Arial" w:hAnsi="Arial"/>
                <w:sz w:val="15"/>
                <w:szCs w:val="15"/>
                <w:color w:val="auto"/>
              </w:rPr>
              <w:t xml:space="preserve"> over a</w:t>
            </w:r>
          </w:p>
        </w:tc>
        <w:tc>
          <w:tcPr>
            <w:tcW w:w="0" w:type="dxa"/>
            <w:vAlign w:val="bottom"/>
          </w:tcPr>
          <w:p>
            <w:pPr>
              <w:spacing w:after="0"/>
              <w:rPr>
                <w:sz w:val="1"/>
                <w:szCs w:val="1"/>
                <w:color w:val="auto"/>
              </w:rPr>
            </w:pPr>
          </w:p>
        </w:tc>
      </w:tr>
      <w:tr>
        <w:trPr>
          <w:trHeight w:val="175"/>
        </w:trPr>
        <w:tc>
          <w:tcPr>
            <w:tcW w:w="2700" w:type="dxa"/>
            <w:vAlign w:val="bottom"/>
            <w:tcBorders>
              <w:right w:val="single" w:sz="8" w:color="EEEFEF"/>
            </w:tcBorders>
            <w:gridSpan w:val="4"/>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Record average loans of $268.3B</w:t>
            </w:r>
          </w:p>
        </w:tc>
        <w:tc>
          <w:tcPr>
            <w:tcW w:w="140" w:type="dxa"/>
            <w:vAlign w:val="bottom"/>
          </w:tcPr>
          <w:p>
            <w:pPr>
              <w:spacing w:after="0"/>
              <w:rPr>
                <w:sz w:val="15"/>
                <w:szCs w:val="15"/>
                <w:color w:val="auto"/>
              </w:rPr>
            </w:pPr>
          </w:p>
        </w:tc>
        <w:tc>
          <w:tcPr>
            <w:tcW w:w="1380" w:type="dxa"/>
            <w:vAlign w:val="bottom"/>
            <w:tcBorders>
              <w:right w:val="single" w:sz="8" w:color="EEEFEF"/>
            </w:tcBorders>
            <w:shd w:val="clear" w:color="auto" w:fill="EEEFEF"/>
          </w:tcPr>
          <w:p>
            <w:pPr>
              <w:ind w:left="220"/>
              <w:spacing w:after="0"/>
              <w:rPr>
                <w:sz w:val="20"/>
                <w:szCs w:val="20"/>
                <w:color w:val="auto"/>
              </w:rPr>
            </w:pPr>
            <w:r>
              <w:rPr>
                <w:rFonts w:ascii="Arial" w:cs="Arial" w:eastAsia="Arial" w:hAnsi="Arial"/>
                <w:sz w:val="15"/>
                <w:szCs w:val="15"/>
                <w:color w:val="auto"/>
              </w:rPr>
              <w:t>5-year period</w:t>
            </w:r>
          </w:p>
        </w:tc>
        <w:tc>
          <w:tcPr>
            <w:tcW w:w="1200" w:type="dxa"/>
            <w:vAlign w:val="bottom"/>
            <w:shd w:val="clear" w:color="auto" w:fill="EEEFEF"/>
          </w:tcPr>
          <w:p>
            <w:pPr>
              <w:spacing w:after="0"/>
              <w:rPr>
                <w:sz w:val="15"/>
                <w:szCs w:val="15"/>
                <w:color w:val="auto"/>
              </w:rPr>
            </w:pPr>
          </w:p>
        </w:tc>
        <w:tc>
          <w:tcPr>
            <w:tcW w:w="140" w:type="dxa"/>
            <w:vAlign w:val="bottom"/>
            <w:shd w:val="clear" w:color="auto" w:fill="EEEFE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360" w:type="dxa"/>
            <w:vAlign w:val="bottom"/>
            <w:tcBorders>
              <w:right w:val="single" w:sz="8" w:color="EEEFEF"/>
            </w:tcBorders>
            <w:gridSpan w:val="2"/>
            <w:shd w:val="clear" w:color="auto" w:fill="EEEFEF"/>
          </w:tcPr>
          <w:p>
            <w:pPr>
              <w:ind w:left="220"/>
              <w:spacing w:after="0"/>
              <w:rPr>
                <w:sz w:val="20"/>
                <w:szCs w:val="20"/>
                <w:color w:val="auto"/>
              </w:rPr>
            </w:pPr>
            <w:r>
              <w:rPr>
                <w:rFonts w:ascii="Arial" w:cs="Arial" w:eastAsia="Arial" w:hAnsi="Arial"/>
                <w:sz w:val="15"/>
                <w:szCs w:val="15"/>
                <w:color w:val="auto"/>
              </w:rPr>
              <w:t>(up 20%)</w:t>
            </w:r>
          </w:p>
        </w:tc>
        <w:tc>
          <w:tcPr>
            <w:tcW w:w="1180" w:type="dxa"/>
            <w:vAlign w:val="bottom"/>
            <w:shd w:val="clear" w:color="auto" w:fill="EEEFEF"/>
          </w:tcPr>
          <w:p>
            <w:pPr>
              <w:spacing w:after="0"/>
              <w:rPr>
                <w:sz w:val="17"/>
                <w:szCs w:val="17"/>
                <w:color w:val="auto"/>
              </w:rPr>
            </w:pPr>
          </w:p>
        </w:tc>
        <w:tc>
          <w:tcPr>
            <w:tcW w:w="160" w:type="dxa"/>
            <w:vAlign w:val="bottom"/>
            <w:tcBorders>
              <w:right w:val="single" w:sz="8" w:color="EEEFEF"/>
            </w:tcBorders>
            <w:shd w:val="clear" w:color="auto" w:fill="EEEFEF"/>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3"/>
            <w:vMerge w:val="restart"/>
            <w:shd w:val="clear" w:color="auto" w:fill="EEEFEF"/>
          </w:tcPr>
          <w:p>
            <w:pPr>
              <w:ind w:lef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Average deposits of $216.2B (down</w:t>
            </w:r>
          </w:p>
        </w:tc>
        <w:tc>
          <w:tcPr>
            <w:tcW w:w="0" w:type="dxa"/>
            <w:vAlign w:val="bottom"/>
          </w:tcPr>
          <w:p>
            <w:pPr>
              <w:spacing w:after="0"/>
              <w:rPr>
                <w:sz w:val="1"/>
                <w:szCs w:val="1"/>
                <w:color w:val="auto"/>
              </w:rPr>
            </w:pPr>
          </w:p>
        </w:tc>
      </w:tr>
      <w:tr>
        <w:trPr>
          <w:trHeight w:val="56"/>
        </w:trPr>
        <w:tc>
          <w:tcPr>
            <w:tcW w:w="220" w:type="dxa"/>
            <w:vAlign w:val="bottom"/>
            <w:shd w:val="clear" w:color="auto" w:fill="EEEFEF"/>
          </w:tcPr>
          <w:p>
            <w:pPr>
              <w:spacing w:after="0"/>
              <w:rPr>
                <w:sz w:val="4"/>
                <w:szCs w:val="4"/>
                <w:color w:val="auto"/>
              </w:rPr>
            </w:pPr>
          </w:p>
        </w:tc>
        <w:tc>
          <w:tcPr>
            <w:tcW w:w="1140" w:type="dxa"/>
            <w:vAlign w:val="bottom"/>
            <w:tcBorders>
              <w:right w:val="single" w:sz="8" w:color="EEEFEF"/>
            </w:tcBorders>
            <w:shd w:val="clear" w:color="auto" w:fill="EEEFEF"/>
          </w:tcPr>
          <w:p>
            <w:pPr>
              <w:spacing w:after="0"/>
              <w:rPr>
                <w:sz w:val="4"/>
                <w:szCs w:val="4"/>
                <w:color w:val="auto"/>
              </w:rPr>
            </w:pPr>
          </w:p>
        </w:tc>
        <w:tc>
          <w:tcPr>
            <w:tcW w:w="1180" w:type="dxa"/>
            <w:vAlign w:val="bottom"/>
            <w:shd w:val="clear" w:color="auto" w:fill="EEEFEF"/>
          </w:tcPr>
          <w:p>
            <w:pPr>
              <w:spacing w:after="0"/>
              <w:rPr>
                <w:sz w:val="4"/>
                <w:szCs w:val="4"/>
                <w:color w:val="auto"/>
              </w:rPr>
            </w:pPr>
          </w:p>
        </w:tc>
        <w:tc>
          <w:tcPr>
            <w:tcW w:w="160" w:type="dxa"/>
            <w:vAlign w:val="bottom"/>
            <w:tcBorders>
              <w:right w:val="single" w:sz="8" w:color="EEEFEF"/>
            </w:tcBorders>
            <w:shd w:val="clear" w:color="auto" w:fill="EEEFEF"/>
          </w:tcPr>
          <w:p>
            <w:pPr>
              <w:spacing w:after="0"/>
              <w:rPr>
                <w:sz w:val="4"/>
                <w:szCs w:val="4"/>
                <w:color w:val="auto"/>
              </w:rPr>
            </w:pPr>
          </w:p>
        </w:tc>
        <w:tc>
          <w:tcPr>
            <w:tcW w:w="140" w:type="dxa"/>
            <w:vAlign w:val="bottom"/>
          </w:tcPr>
          <w:p>
            <w:pPr>
              <w:spacing w:after="0"/>
              <w:rPr>
                <w:sz w:val="4"/>
                <w:szCs w:val="4"/>
                <w:color w:val="auto"/>
              </w:rPr>
            </w:pPr>
          </w:p>
        </w:tc>
        <w:tc>
          <w:tcPr>
            <w:tcW w:w="2720" w:type="dxa"/>
            <w:vAlign w:val="bottom"/>
            <w:gridSpan w:val="3"/>
            <w:vMerge w:val="continue"/>
            <w:shd w:val="clear" w:color="auto" w:fill="EEEFE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00" w:type="dxa"/>
            <w:vAlign w:val="bottom"/>
            <w:tcBorders>
              <w:right w:val="single" w:sz="8" w:color="EEEFEF"/>
            </w:tcBorders>
            <w:gridSpan w:val="4"/>
            <w:shd w:val="clear" w:color="auto" w:fill="EEEFEF"/>
          </w:tcPr>
          <w:p>
            <w:pPr>
              <w:jc w:val="center"/>
              <w:ind w:right="20"/>
              <w:spacing w:after="0"/>
              <w:rPr>
                <w:sz w:val="20"/>
                <w:szCs w:val="20"/>
                <w:color w:val="auto"/>
              </w:rPr>
            </w:pPr>
            <w:r>
              <w:rPr>
                <w:rFonts w:ascii="Arial" w:cs="Arial" w:eastAsia="Arial" w:hAnsi="Arial"/>
                <w:sz w:val="15"/>
                <w:szCs w:val="15"/>
                <w:color w:val="074A75"/>
              </w:rPr>
              <w:t xml:space="preserve">•  </w:t>
            </w:r>
            <w:r>
              <w:rPr>
                <w:rFonts w:ascii="Arial" w:cs="Arial" w:eastAsia="Arial" w:hAnsi="Arial"/>
                <w:sz w:val="15"/>
                <w:szCs w:val="15"/>
                <w:color w:val="000000"/>
              </w:rPr>
              <w:t>Strong credit performance with a net</w:t>
            </w:r>
          </w:p>
        </w:tc>
        <w:tc>
          <w:tcPr>
            <w:tcW w:w="140" w:type="dxa"/>
            <w:vAlign w:val="bottom"/>
          </w:tcPr>
          <w:p>
            <w:pPr>
              <w:spacing w:after="0"/>
              <w:rPr>
                <w:sz w:val="16"/>
                <w:szCs w:val="16"/>
                <w:color w:val="auto"/>
              </w:rPr>
            </w:pPr>
          </w:p>
        </w:tc>
        <w:tc>
          <w:tcPr>
            <w:tcW w:w="2720" w:type="dxa"/>
            <w:vAlign w:val="bottom"/>
            <w:gridSpan w:val="3"/>
            <w:shd w:val="clear" w:color="auto" w:fill="EEEFEF"/>
          </w:tcPr>
          <w:p>
            <w:pPr>
              <w:ind w:left="220"/>
              <w:spacing w:after="0"/>
              <w:rPr>
                <w:sz w:val="20"/>
                <w:szCs w:val="20"/>
                <w:color w:val="auto"/>
              </w:rPr>
            </w:pPr>
            <w:r>
              <w:rPr>
                <w:rFonts w:ascii="Arial" w:cs="Arial" w:eastAsia="Arial" w:hAnsi="Arial"/>
                <w:sz w:val="15"/>
                <w:szCs w:val="15"/>
                <w:color w:val="auto"/>
              </w:rPr>
              <w:t>17%); record average loans of</w:t>
            </w:r>
          </w:p>
        </w:tc>
        <w:tc>
          <w:tcPr>
            <w:tcW w:w="0" w:type="dxa"/>
            <w:vAlign w:val="bottom"/>
          </w:tcPr>
          <w:p>
            <w:pPr>
              <w:spacing w:after="0"/>
              <w:rPr>
                <w:sz w:val="1"/>
                <w:szCs w:val="1"/>
                <w:color w:val="auto"/>
              </w:rPr>
            </w:pPr>
          </w:p>
        </w:tc>
      </w:tr>
      <w:tr>
        <w:trPr>
          <w:trHeight w:val="200"/>
        </w:trPr>
        <w:tc>
          <w:tcPr>
            <w:tcW w:w="2700" w:type="dxa"/>
            <w:vAlign w:val="bottom"/>
            <w:tcBorders>
              <w:right w:val="single" w:sz="8" w:color="EEEFEF"/>
            </w:tcBorders>
            <w:gridSpan w:val="4"/>
            <w:shd w:val="clear" w:color="auto" w:fill="EEEFEF"/>
          </w:tcPr>
          <w:p>
            <w:pPr>
              <w:ind w:left="220"/>
              <w:spacing w:after="0"/>
              <w:rPr>
                <w:sz w:val="20"/>
                <w:szCs w:val="20"/>
                <w:color w:val="auto"/>
              </w:rPr>
            </w:pPr>
            <w:r>
              <w:rPr>
                <w:rFonts w:ascii="Arial" w:cs="Arial" w:eastAsia="Arial" w:hAnsi="Arial"/>
                <w:sz w:val="15"/>
                <w:szCs w:val="15"/>
                <w:color w:val="auto"/>
              </w:rPr>
              <w:t>charge-off ratio of 12bps</w:t>
            </w:r>
          </w:p>
        </w:tc>
        <w:tc>
          <w:tcPr>
            <w:tcW w:w="140" w:type="dxa"/>
            <w:vAlign w:val="bottom"/>
          </w:tcPr>
          <w:p>
            <w:pPr>
              <w:spacing w:after="0"/>
              <w:rPr>
                <w:sz w:val="17"/>
                <w:szCs w:val="17"/>
                <w:color w:val="auto"/>
              </w:rPr>
            </w:pPr>
          </w:p>
        </w:tc>
        <w:tc>
          <w:tcPr>
            <w:tcW w:w="1380" w:type="dxa"/>
            <w:vAlign w:val="bottom"/>
            <w:tcBorders>
              <w:right w:val="single" w:sz="8" w:color="EEEFEF"/>
            </w:tcBorders>
            <w:shd w:val="clear" w:color="auto" w:fill="EEEFEF"/>
          </w:tcPr>
          <w:p>
            <w:pPr>
              <w:ind w:left="220"/>
              <w:spacing w:after="0"/>
              <w:rPr>
                <w:sz w:val="20"/>
                <w:szCs w:val="20"/>
                <w:color w:val="auto"/>
              </w:rPr>
            </w:pPr>
            <w:r>
              <w:rPr>
                <w:rFonts w:ascii="Arial" w:cs="Arial" w:eastAsia="Arial" w:hAnsi="Arial"/>
                <w:sz w:val="15"/>
                <w:szCs w:val="15"/>
                <w:color w:val="auto"/>
                <w:w w:val="99"/>
              </w:rPr>
              <w:t>$220.5B (up 2%)</w:t>
            </w:r>
          </w:p>
        </w:tc>
        <w:tc>
          <w:tcPr>
            <w:tcW w:w="1200" w:type="dxa"/>
            <w:vAlign w:val="bottom"/>
            <w:shd w:val="clear" w:color="auto" w:fill="EEEFEF"/>
          </w:tcPr>
          <w:p>
            <w:pPr>
              <w:spacing w:after="0"/>
              <w:rPr>
                <w:sz w:val="17"/>
                <w:szCs w:val="17"/>
                <w:color w:val="auto"/>
              </w:rPr>
            </w:pPr>
          </w:p>
        </w:tc>
        <w:tc>
          <w:tcPr>
            <w:tcW w:w="140" w:type="dxa"/>
            <w:vAlign w:val="bottom"/>
            <w:shd w:val="clear" w:color="auto" w:fill="EEEFE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20" w:type="dxa"/>
            <w:vAlign w:val="bottom"/>
            <w:shd w:val="clear" w:color="auto" w:fill="EEEFEF"/>
          </w:tcPr>
          <w:p>
            <w:pPr>
              <w:spacing w:after="0"/>
              <w:rPr>
                <w:sz w:val="2"/>
                <w:szCs w:val="2"/>
                <w:color w:val="auto"/>
              </w:rPr>
            </w:pPr>
          </w:p>
        </w:tc>
        <w:tc>
          <w:tcPr>
            <w:tcW w:w="1140" w:type="dxa"/>
            <w:vAlign w:val="bottom"/>
            <w:tcBorders>
              <w:right w:val="single" w:sz="8" w:color="EEEFEF"/>
            </w:tcBorders>
            <w:shd w:val="clear" w:color="auto" w:fill="EEEFEF"/>
          </w:tcPr>
          <w:p>
            <w:pPr>
              <w:spacing w:after="0"/>
              <w:rPr>
                <w:sz w:val="2"/>
                <w:szCs w:val="2"/>
                <w:color w:val="auto"/>
              </w:rPr>
            </w:pPr>
          </w:p>
        </w:tc>
        <w:tc>
          <w:tcPr>
            <w:tcW w:w="1180" w:type="dxa"/>
            <w:vAlign w:val="bottom"/>
            <w:shd w:val="clear" w:color="auto" w:fill="EEEFEF"/>
          </w:tcPr>
          <w:p>
            <w:pPr>
              <w:spacing w:after="0"/>
              <w:rPr>
                <w:sz w:val="2"/>
                <w:szCs w:val="2"/>
                <w:color w:val="auto"/>
              </w:rPr>
            </w:pPr>
          </w:p>
        </w:tc>
        <w:tc>
          <w:tcPr>
            <w:tcW w:w="160" w:type="dxa"/>
            <w:vAlign w:val="bottom"/>
            <w:tcBorders>
              <w:right w:val="single" w:sz="8" w:color="EEEFEF"/>
            </w:tcBorders>
            <w:shd w:val="clear" w:color="auto" w:fill="EEEFEF"/>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Borders>
              <w:right w:val="single" w:sz="8" w:color="EEEFEF"/>
            </w:tcBorders>
            <w:shd w:val="clear" w:color="auto" w:fill="EEEFEF"/>
          </w:tcPr>
          <w:p>
            <w:pPr>
              <w:spacing w:after="0"/>
              <w:rPr>
                <w:sz w:val="2"/>
                <w:szCs w:val="2"/>
                <w:color w:val="auto"/>
              </w:rPr>
            </w:pPr>
          </w:p>
        </w:tc>
        <w:tc>
          <w:tcPr>
            <w:tcW w:w="1200" w:type="dxa"/>
            <w:vAlign w:val="bottom"/>
            <w:shd w:val="clear" w:color="auto" w:fill="EEEFEF"/>
          </w:tcPr>
          <w:p>
            <w:pPr>
              <w:spacing w:after="0"/>
              <w:rPr>
                <w:sz w:val="2"/>
                <w:szCs w:val="2"/>
                <w:color w:val="auto"/>
              </w:rPr>
            </w:pPr>
          </w:p>
        </w:tc>
        <w:tc>
          <w:tcPr>
            <w:tcW w:w="140" w:type="dxa"/>
            <w:vAlign w:val="bottom"/>
            <w:shd w:val="clear" w:color="auto" w:fill="EEEFE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3">
            <w:col w:w="2680" w:space="140"/>
            <w:col w:w="2700" w:space="160"/>
            <w:col w:w="5580"/>
          </w:cols>
          <w:pgMar w:left="320" w:top="157" w:right="319" w:bottom="1440" w:gutter="0" w:footer="0" w:header="0"/>
          <w:type w:val="continuous"/>
        </w:sectPr>
      </w:pPr>
    </w:p>
    <w:p>
      <w:pPr>
        <w:ind w:right="400"/>
        <w:spacing w:after="0" w:line="184" w:lineRule="auto"/>
        <w:rPr>
          <w:sz w:val="20"/>
          <w:szCs w:val="20"/>
          <w:color w:val="auto"/>
        </w:rPr>
      </w:pPr>
      <w:r>
        <w:rPr>
          <w:rFonts w:ascii="Arial" w:cs="Arial" w:eastAsia="Arial" w:hAnsi="Arial"/>
          <w:sz w:val="17"/>
          <w:szCs w:val="17"/>
          <w:color w:val="auto"/>
        </w:rPr>
        <w:t>Excluding the impact of First Republic Bank</w:t>
      </w:r>
      <w:r>
        <w:rPr>
          <w:rFonts w:ascii="Arial" w:cs="Arial" w:eastAsia="Arial" w:hAnsi="Arial"/>
          <w:sz w:val="22"/>
          <w:szCs w:val="22"/>
          <w:color w:val="auto"/>
          <w:vertAlign w:val="superscript"/>
        </w:rPr>
        <w:t>8</w:t>
      </w:r>
      <w:r>
        <w:rPr>
          <w:rFonts w:ascii="Arial" w:cs="Arial" w:eastAsia="Arial" w:hAnsi="Arial"/>
          <w:sz w:val="17"/>
          <w:szCs w:val="17"/>
          <w:color w:val="auto"/>
        </w:rPr>
        <w:t>, the Firm achieved managed revenue</w:t>
      </w:r>
      <w:r>
        <w:rPr>
          <w:rFonts w:ascii="Arial" w:cs="Arial" w:eastAsia="Arial" w:hAnsi="Arial"/>
          <w:sz w:val="22"/>
          <w:szCs w:val="22"/>
          <w:color w:val="auto"/>
          <w:vertAlign w:val="superscript"/>
        </w:rPr>
        <w:t>1,2</w:t>
      </w:r>
      <w:r>
        <w:rPr>
          <w:rFonts w:ascii="Arial" w:cs="Arial" w:eastAsia="Arial" w:hAnsi="Arial"/>
          <w:sz w:val="17"/>
          <w:szCs w:val="17"/>
          <w:color w:val="auto"/>
        </w:rPr>
        <w:t xml:space="preserve"> of $154.2 billion, pre-tax income ex. LLR</w:t>
      </w:r>
      <w:r>
        <w:rPr>
          <w:rFonts w:ascii="Arial" w:cs="Arial" w:eastAsia="Arial" w:hAnsi="Arial"/>
          <w:sz w:val="22"/>
          <w:szCs w:val="22"/>
          <w:color w:val="auto"/>
          <w:vertAlign w:val="superscript"/>
        </w:rPr>
        <w:t>1,2</w:t>
      </w:r>
      <w:r>
        <w:rPr>
          <w:rFonts w:ascii="Arial" w:cs="Arial" w:eastAsia="Arial" w:hAnsi="Arial"/>
          <w:sz w:val="17"/>
          <w:szCs w:val="17"/>
          <w:color w:val="auto"/>
        </w:rPr>
        <w:t xml:space="preserve"> of $63.2 billion, net income of $45.4 billion, or $14.84 per share, and ROTCE</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19%; CCB achieved managed revenue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of $66.9 billion, pre-tax</w:t>
      </w:r>
    </w:p>
    <w:p>
      <w:pPr>
        <w:jc w:val="both"/>
        <w:ind w:right="480"/>
        <w:spacing w:after="0" w:line="193" w:lineRule="auto"/>
        <w:rPr>
          <w:sz w:val="20"/>
          <w:szCs w:val="20"/>
          <w:color w:val="auto"/>
        </w:rPr>
      </w:pPr>
      <w:r>
        <w:rPr>
          <w:rFonts w:ascii="Arial" w:cs="Arial" w:eastAsia="Arial" w:hAnsi="Arial"/>
          <w:sz w:val="18"/>
          <w:szCs w:val="18"/>
          <w:color w:val="auto"/>
        </w:rPr>
        <w:t>income ex. LLR</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$27.9 billion, net income of $20.0 billion and ROE of 38%; CB achieved managed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$14.6 billion, pre-tax income ex. LLR</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$9.0 billion, net income of $ 6.0 billion and ROE of 20%; AWM achieved managed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$18.7 billion, pre-tax income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$5.9 billion, net income of $4.5 billion and ROE of 27%.</w:t>
      </w:r>
    </w:p>
    <w:p>
      <w:pPr>
        <w:ind w:left="200" w:hanging="192"/>
        <w:spacing w:after="0" w:line="189" w:lineRule="auto"/>
        <w:tabs>
          <w:tab w:leader="none" w:pos="200" w:val="left"/>
        </w:tabs>
        <w:numPr>
          <w:ilvl w:val="0"/>
          <w:numId w:val="163"/>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Firm and the lines of business on a managed basis. Refer to Note 2, on page 113 for a definition of managed basis.</w:t>
      </w:r>
    </w:p>
    <w:p>
      <w:pPr>
        <w:ind w:left="200" w:hanging="192"/>
        <w:spacing w:after="0" w:line="181" w:lineRule="auto"/>
        <w:tabs>
          <w:tab w:leader="none" w:pos="200" w:val="left"/>
        </w:tabs>
        <w:numPr>
          <w:ilvl w:val="0"/>
          <w:numId w:val="164"/>
        </w:numPr>
        <w:rPr>
          <w:rFonts w:ascii="Arial" w:cs="Arial" w:eastAsia="Arial" w:hAnsi="Arial"/>
          <w:sz w:val="14"/>
          <w:szCs w:val="14"/>
          <w:color w:val="auto"/>
          <w:vertAlign w:val="superscript"/>
        </w:rPr>
      </w:pPr>
      <w:r>
        <w:rPr>
          <w:rFonts w:ascii="Arial" w:cs="Arial" w:eastAsia="Arial" w:hAnsi="Arial"/>
          <w:sz w:val="11"/>
          <w:szCs w:val="11"/>
          <w:color w:val="auto"/>
        </w:rPr>
        <w:t>Managed Revenue, Pre-Tax Income (ex. LLR), ROTCE and TBVPS are each non-GAAP financial measures; refer to Notes 1 and 2 on page 113 for a further discussion of these measures.</w:t>
      </w:r>
    </w:p>
    <w:p>
      <w:pPr>
        <w:ind w:left="200" w:hanging="192"/>
        <w:spacing w:after="0" w:line="188" w:lineRule="auto"/>
        <w:tabs>
          <w:tab w:leader="none" w:pos="200" w:val="left"/>
        </w:tabs>
        <w:numPr>
          <w:ilvl w:val="0"/>
          <w:numId w:val="165"/>
        </w:numPr>
        <w:rPr>
          <w:rFonts w:ascii="Arial" w:cs="Arial" w:eastAsia="Arial" w:hAnsi="Arial"/>
          <w:sz w:val="15"/>
          <w:szCs w:val="15"/>
          <w:color w:val="auto"/>
          <w:vertAlign w:val="superscript"/>
        </w:rPr>
      </w:pPr>
      <w:r>
        <w:rPr>
          <w:rFonts w:ascii="Arial" w:cs="Arial" w:eastAsia="Arial" w:hAnsi="Arial"/>
          <w:sz w:val="12"/>
          <w:szCs w:val="12"/>
          <w:color w:val="auto"/>
        </w:rPr>
        <w:t>Reflects common dividends and common stock repurchases, net of common stock issued to employees.</w:t>
      </w:r>
    </w:p>
    <w:p>
      <w:pPr>
        <w:ind w:left="200" w:hanging="192"/>
        <w:spacing w:after="0" w:line="188" w:lineRule="auto"/>
        <w:tabs>
          <w:tab w:leader="none" w:pos="200" w:val="left"/>
        </w:tabs>
        <w:numPr>
          <w:ilvl w:val="0"/>
          <w:numId w:val="166"/>
        </w:numPr>
        <w:rPr>
          <w:rFonts w:ascii="Arial" w:cs="Arial" w:eastAsia="Arial" w:hAnsi="Arial"/>
          <w:sz w:val="15"/>
          <w:szCs w:val="15"/>
          <w:color w:val="auto"/>
          <w:vertAlign w:val="superscript"/>
        </w:rPr>
      </w:pPr>
      <w:r>
        <w:rPr>
          <w:rFonts w:ascii="Arial" w:cs="Arial" w:eastAsia="Arial" w:hAnsi="Arial"/>
          <w:sz w:val="12"/>
          <w:szCs w:val="12"/>
          <w:color w:val="auto"/>
        </w:rPr>
        <w:t>Refer to Notes 2 and 3 on page 59.</w:t>
      </w:r>
    </w:p>
    <w:p>
      <w:pPr>
        <w:ind w:left="200" w:hanging="192"/>
        <w:spacing w:after="0" w:line="188" w:lineRule="auto"/>
        <w:tabs>
          <w:tab w:leader="none" w:pos="200" w:val="left"/>
        </w:tabs>
        <w:numPr>
          <w:ilvl w:val="0"/>
          <w:numId w:val="167"/>
        </w:numPr>
        <w:rPr>
          <w:rFonts w:ascii="Arial" w:cs="Arial" w:eastAsia="Arial" w:hAnsi="Arial"/>
          <w:sz w:val="15"/>
          <w:szCs w:val="15"/>
          <w:color w:val="auto"/>
          <w:vertAlign w:val="superscript"/>
        </w:rPr>
      </w:pPr>
      <w:r>
        <w:rPr>
          <w:rFonts w:ascii="Arial" w:cs="Arial" w:eastAsia="Arial" w:hAnsi="Arial"/>
          <w:sz w:val="12"/>
          <w:szCs w:val="12"/>
          <w:color w:val="auto"/>
        </w:rPr>
        <w:t>Refer to Notes 2 and 3 on page 57.</w:t>
      </w:r>
    </w:p>
    <w:p>
      <w:pPr>
        <w:ind w:left="200" w:hanging="192"/>
        <w:spacing w:after="0" w:line="188" w:lineRule="auto"/>
        <w:tabs>
          <w:tab w:leader="none" w:pos="200" w:val="left"/>
        </w:tabs>
        <w:numPr>
          <w:ilvl w:val="0"/>
          <w:numId w:val="168"/>
        </w:numPr>
        <w:rPr>
          <w:rFonts w:ascii="Arial" w:cs="Arial" w:eastAsia="Arial" w:hAnsi="Arial"/>
          <w:sz w:val="15"/>
          <w:szCs w:val="15"/>
          <w:color w:val="auto"/>
          <w:vertAlign w:val="superscript"/>
        </w:rPr>
      </w:pPr>
      <w:r>
        <w:rPr>
          <w:rFonts w:ascii="Arial" w:cs="Arial" w:eastAsia="Arial" w:hAnsi="Arial"/>
          <w:sz w:val="12"/>
          <w:szCs w:val="12"/>
          <w:color w:val="auto"/>
        </w:rPr>
        <w:t>Refer to Notes 6 and 7 on page 2.</w:t>
      </w:r>
    </w:p>
    <w:p>
      <w:pPr>
        <w:ind w:left="200" w:hanging="192"/>
        <w:spacing w:after="0" w:line="181" w:lineRule="auto"/>
        <w:tabs>
          <w:tab w:leader="none" w:pos="200" w:val="left"/>
        </w:tabs>
        <w:numPr>
          <w:ilvl w:val="0"/>
          <w:numId w:val="169"/>
        </w:numPr>
        <w:rPr>
          <w:rFonts w:ascii="Arial" w:cs="Arial" w:eastAsia="Arial" w:hAnsi="Arial"/>
          <w:sz w:val="14"/>
          <w:szCs w:val="14"/>
          <w:color w:val="auto"/>
          <w:vertAlign w:val="superscript"/>
        </w:rPr>
      </w:pPr>
      <w:r>
        <w:rPr>
          <w:rFonts w:ascii="Arial" w:cs="Arial" w:eastAsia="Arial" w:hAnsi="Arial"/>
          <w:sz w:val="11"/>
          <w:szCs w:val="11"/>
          <w:color w:val="auto"/>
        </w:rPr>
        <w:t>Refer to Note 2 on page 58.</w:t>
      </w:r>
    </w:p>
    <w:p>
      <w:pPr>
        <w:ind w:left="200" w:hanging="192"/>
        <w:spacing w:after="0" w:line="219" w:lineRule="auto"/>
        <w:tabs>
          <w:tab w:leader="none" w:pos="200" w:val="left"/>
        </w:tabs>
        <w:numPr>
          <w:ilvl w:val="0"/>
          <w:numId w:val="170"/>
        </w:numPr>
        <w:rPr>
          <w:rFonts w:ascii="Arial" w:cs="Arial" w:eastAsia="Arial" w:hAnsi="Arial"/>
          <w:sz w:val="16"/>
          <w:szCs w:val="16"/>
          <w:color w:val="auto"/>
          <w:vertAlign w:val="superscript"/>
        </w:rPr>
      </w:pPr>
      <w:r>
        <w:rPr>
          <w:rFonts w:ascii="Arial" w:cs="Arial" w:eastAsia="Arial" w:hAnsi="Arial"/>
          <w:sz w:val="13"/>
          <w:szCs w:val="13"/>
          <w:color w:val="auto"/>
        </w:rPr>
        <w:t>Refer to Note 9 on page 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60" w:type="dxa"/>
            <w:vAlign w:val="bottom"/>
          </w:tcPr>
          <w:p>
            <w:pPr>
              <w:spacing w:after="0"/>
              <w:rPr>
                <w:sz w:val="22"/>
                <w:szCs w:val="22"/>
                <w:color w:val="auto"/>
              </w:rPr>
            </w:pPr>
          </w:p>
        </w:tc>
        <w:tc>
          <w:tcPr>
            <w:tcW w:w="3720" w:type="dxa"/>
            <w:vAlign w:val="bottom"/>
            <w:tcBorders>
              <w:top w:val="single" w:sz="8" w:color="E7E7E8"/>
            </w:tcBorders>
            <w:shd w:val="clear" w:color="auto" w:fill="E7E7E8"/>
          </w:tcPr>
          <w:p>
            <w:pPr>
              <w:ind w:left="240"/>
              <w:spacing w:after="0"/>
              <w:rPr>
                <w:sz w:val="20"/>
                <w:szCs w:val="20"/>
                <w:color w:val="auto"/>
              </w:rPr>
            </w:pPr>
            <w:r>
              <w:rPr>
                <w:rFonts w:ascii="Arial" w:cs="Arial" w:eastAsia="Arial" w:hAnsi="Arial"/>
                <w:sz w:val="15"/>
                <w:szCs w:val="15"/>
                <w:color w:val="074A75"/>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372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037705" cy="2228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037705" cy="222885"/>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5"/>
          <w:szCs w:val="25"/>
          <w:color w:val="FFFFFF"/>
        </w:rPr>
        <w:t>Risk, Controls &amp; Conduct</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Risk management is an inherent part of the Firm's business activities, and we believe a strong control environment is fundamental to the success of the Firm. The Firm manages its business and the associated risks in a manner that balances serving the interests of its clients, customers and shareholders, and protecting the safety and soundness of the Firm. We continue to invest in strengthening our controls and infrastructure and improving how we serve our customers and clients. Additionally, as digital solutions continue to evolve and play a role in financial services and the economy as a whole, the risk of cyberattacks and other threats to information security continues to evolve and grow, and we continue to invest in enhancing our cyber defense capabilities.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074A75"/>
        </w:rPr>
        <w:t>CYBERSECURITY AND DATA PRIVACY</w:t>
      </w:r>
    </w:p>
    <w:p>
      <w:pPr>
        <w:spacing w:after="0" w:line="23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Cybersecurity risk is an important and continuously evolving focus for the Firm, and significant resources are devoted to protecting and enhancing the security of computer systems, software, networks, storage devices and other technology. The Firm’s security efforts are designed to protect against, among other things, cybersecurity attacks that can result in unauthorized access to confidential information, the destruction of data, disruptions to or degradations of service, the sabotaging of systems or other damage. The Firm continues to strengthen its partnerships with the appropriate government and law enforcement agencies and other businesses in order to understand the full spectrum of cybersecurity risks in the operating environment, enhance defenses and improve resiliency against cybersecurity threats.</w:t>
      </w:r>
    </w:p>
    <w:p>
      <w:pPr>
        <w:spacing w:after="0" w:line="74"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As a global financial institution, the Firm collects, processes, uses, shares and dispositions personal and financial information every day, and we have processes designed to manage that data in accordance with the laws, rules and regulations of the jurisdictions in which we operate. We continue to take a multi-faceted approach to addressing privacy and data protection risks, including maintaining and evolving our internal controls, establishing policies covering all stages of the data lifecycle and deploying appropriate technology.</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CONTINUED FOCUS ON CULTURE AND CONDUCT</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continue to reinforce our culture and remain focused on managing employee conduct. Our Business Principles are embedded throughout the employee lifecycle, starting with the onboarding process and extending to ongoing training, compensation, promoting and rewarding employees; and our performance development and compensation processes are designed to hold employees accountable for their conduct, where appropriate. We recognize our employees are a key driver of our success and that it is through their service, heart, curiosity, courage and excellence that we are able to deliver for our customers, communities and shareholders. We continue to foster a strong culture through our Purpose and Values which further promote engagement with our employees.</w:t>
      </w:r>
    </w:p>
    <w:p>
      <w:pPr>
        <w:spacing w:after="0" w:line="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strive to clearly and frequently communicate our expectations that all employee conduct must adhere to the highest ethical standards encompassed by our Business Principles, including through town hall meetings and senior leadership messages, business conduct training, and by including culture and conduct related questions in our employee listening and engagement surveys.</w:t>
      </w:r>
    </w:p>
    <w:p>
      <w:pPr>
        <w:spacing w:after="0" w:line="6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Firm endeavors to promote a culture of respect that allows every employee to feel safe and empowered at work. To that end, the Firm has in place employee training and protocols for preventing, reporting and addressing sexual, discriminatory or other misconduct and prohibits retaliation against an individual who reports a concern in good faith or assists with any inquiry or investigation. We have continued to make enhancements to current listening strategies that enable the Firm to more effectively measure how employees are experiencing the company. Across the Firm, we have also created forums for employee engagement, initiatives to advance inclusion and share diverse views, and education and training programs designed to identify ways that all of our employees can contribute to a dynamic and inclusive culture.</w:t>
      </w:r>
    </w:p>
    <w:p>
      <w:pPr>
        <w:spacing w:after="0" w:line="6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remain focused on our anti-harassment, anti-discrimination, and culture of respect efforts across the company and continue to take a holistic approach to reinforce our culture by increasing awareness and education through engagement, communication and training while adhering to policy and regulatory requirements. Managers are expected to drive culture activities and initiatives that are consistent with our Business Principles and to escalate issues when appropriate. Conduct training is regularly assigned to active employees.</w:t>
      </w:r>
    </w:p>
    <w:p>
      <w:pPr>
        <w:spacing w:after="0" w:line="6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actual or potential misconduct of individuals involved in matters that create material risk and control concerns is escalated and reviewed through the HR Control Forum process, discussed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237490</wp:posOffset>
            </wp:positionV>
            <wp:extent cx="27432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51  </w:t>
      </w:r>
      <w:r>
        <w:rPr>
          <w:sz w:val="1"/>
          <w:szCs w:val="1"/>
          <w:color w:val="auto"/>
        </w:rPr>
        <w:drawing>
          <wp:inline distT="0" distB="0" distL="0" distR="0">
            <wp:extent cx="2203450" cy="154305"/>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329565</wp:posOffset>
            </wp:positionV>
            <wp:extent cx="77470" cy="1454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329565</wp:posOffset>
            </wp:positionV>
            <wp:extent cx="76835" cy="1454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329565</wp:posOffset>
            </wp:positionV>
            <wp:extent cx="77470" cy="1454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58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Pr>
          <w:p>
            <w:pPr>
              <w:spacing w:after="0"/>
              <w:rPr>
                <w:sz w:val="22"/>
                <w:szCs w:val="22"/>
                <w:color w:val="auto"/>
              </w:rPr>
            </w:pPr>
          </w:p>
        </w:tc>
        <w:tc>
          <w:tcPr>
            <w:tcW w:w="3700" w:type="dxa"/>
            <w:vAlign w:val="bottom"/>
            <w:tcBorders>
              <w:top w:val="single" w:sz="8" w:color="E7E7E8"/>
            </w:tcBorders>
            <w:shd w:val="clear" w:color="auto" w:fill="E7E7E8"/>
          </w:tcPr>
          <w:p>
            <w:pPr>
              <w:ind w:left="240"/>
              <w:spacing w:after="0"/>
              <w:rPr>
                <w:sz w:val="20"/>
                <w:szCs w:val="20"/>
                <w:color w:val="auto"/>
              </w:rPr>
            </w:pPr>
            <w:r>
              <w:rPr>
                <w:rFonts w:ascii="Arial" w:cs="Arial" w:eastAsia="Arial" w:hAnsi="Arial"/>
                <w:sz w:val="15"/>
                <w:szCs w:val="15"/>
                <w:color w:val="074A75"/>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0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58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70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0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037705" cy="2228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037705" cy="222885"/>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5"/>
          <w:szCs w:val="25"/>
          <w:color w:val="FFFFFF"/>
        </w:rPr>
        <w:t>Client/Customer/Stakeholder</w:t>
      </w:r>
    </w:p>
    <w:p>
      <w:pPr>
        <w:spacing w:after="0" w:line="243"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Our performance reflects our ongoing commitment to invest in our employees and businesses, further strengthen the market leadership of our franchises, generate long-term value for our shareholders, and help strengthen the broader economy. The Firm continued to serve our clients and customers amid growing geopolitical tensions, the regional banking turmoil, and continued to invest in our communities, making further progress on our longer-term commitment to drive inclusive economic growth.</w:t>
      </w:r>
    </w:p>
    <w:p>
      <w:pPr>
        <w:spacing w:after="0" w:line="6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Firm's future success is driven by our commitment to meet or exceed expectations; deal fairly and ethically with our suppliers as good partners to help us meet our missions; support the communities in which we work; and protect the environment by enhancing sustainable practices across our businesses.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ENHANCING OUR CUSTOMER AND CLIENT EXPERIENCE</w:t>
      </w:r>
    </w:p>
    <w:p>
      <w:pPr>
        <w:spacing w:after="0" w:line="1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Exceptional Client Service is one of our Business Principles. We strive to deliver value by offering our customers and clients choice, through a full set of products and services; security through processes designed to protect their data and transactions; ease of doing business in a fast and simple way; personalization through tailored customer solutions and integrated experiences; and continued investments in technology. Our LOBs are able to leverage the unique scale advantage of our Firm in order to benefit our customers and clients. For more information about our lines of businesses, please see our 2023 Form 10-K.</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074A75"/>
        </w:rPr>
        <w:t>INVESTING IN OUR COMMUNITIES</w:t>
      </w:r>
    </w:p>
    <w:p>
      <w:pPr>
        <w:spacing w:after="0" w:line="232"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We endeavor to help build a sustainable and inclusive global economy and advance equity for our employees, customers, clients and communities. Highlights of our work include:</w:t>
      </w:r>
    </w:p>
    <w:p>
      <w:pPr>
        <w:spacing w:after="0" w:line="45" w:lineRule="exact"/>
        <w:rPr>
          <w:sz w:val="20"/>
          <w:szCs w:val="20"/>
          <w:color w:val="auto"/>
        </w:rPr>
      </w:pPr>
    </w:p>
    <w:p>
      <w:pPr>
        <w:ind w:left="200" w:right="60" w:hanging="192"/>
        <w:spacing w:after="0" w:line="268" w:lineRule="auto"/>
        <w:tabs>
          <w:tab w:leader="none" w:pos="204" w:val="left"/>
        </w:tabs>
        <w:numPr>
          <w:ilvl w:val="0"/>
          <w:numId w:val="171"/>
        </w:numPr>
        <w:rPr>
          <w:rFonts w:ascii="Arial" w:cs="Arial" w:eastAsia="Arial" w:hAnsi="Arial"/>
          <w:sz w:val="18"/>
          <w:szCs w:val="18"/>
          <w:color w:val="074A75"/>
        </w:rPr>
      </w:pPr>
      <w:r>
        <w:rPr>
          <w:rFonts w:ascii="Arial" w:cs="Arial" w:eastAsia="Arial" w:hAnsi="Arial"/>
          <w:sz w:val="18"/>
          <w:szCs w:val="18"/>
          <w:b w:val="1"/>
          <w:bCs w:val="1"/>
          <w:color w:val="auto"/>
        </w:rPr>
        <w:t xml:space="preserve">Sustainable Development Target: </w:t>
      </w:r>
      <w:r>
        <w:rPr>
          <w:rFonts w:ascii="Arial" w:cs="Arial" w:eastAsia="Arial" w:hAnsi="Arial"/>
          <w:sz w:val="18"/>
          <w:szCs w:val="18"/>
          <w:color w:val="auto"/>
        </w:rPr>
        <w:t>Building off prior initiatives, in 2021, we set a Sustainable Development Target to finance and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$2.5 trillion by the end of 2030 to help advance long-term climate solutions and contribute to sustainable development across three objectives:</w:t>
      </w:r>
    </w:p>
    <w:p>
      <w:pPr>
        <w:spacing w:after="0" w:line="35" w:lineRule="exact"/>
        <w:rPr>
          <w:rFonts w:ascii="Arial" w:cs="Arial" w:eastAsia="Arial" w:hAnsi="Arial"/>
          <w:sz w:val="18"/>
          <w:szCs w:val="18"/>
          <w:color w:val="074A75"/>
        </w:rPr>
      </w:pPr>
    </w:p>
    <w:p>
      <w:pPr>
        <w:ind w:left="400" w:right="40" w:hanging="198"/>
        <w:spacing w:after="0" w:line="268" w:lineRule="auto"/>
        <w:tabs>
          <w:tab w:leader="none" w:pos="391" w:val="left"/>
        </w:tabs>
        <w:numPr>
          <w:ilvl w:val="1"/>
          <w:numId w:val="171"/>
        </w:numPr>
        <w:rPr>
          <w:rFonts w:ascii="Arial" w:cs="Arial" w:eastAsia="Arial" w:hAnsi="Arial"/>
          <w:sz w:val="18"/>
          <w:szCs w:val="18"/>
          <w:color w:val="074A75"/>
        </w:rPr>
      </w:pPr>
      <w:r>
        <w:rPr>
          <w:rFonts w:ascii="Arial" w:cs="Arial" w:eastAsia="Arial" w:hAnsi="Arial"/>
          <w:sz w:val="18"/>
          <w:szCs w:val="18"/>
          <w:color w:val="auto"/>
        </w:rPr>
        <w:t>Green: Aiming to support climate action, clean energy, and sustainable resource management, with a focus on accelerating the deployment of solutions for cleaner sources of energy and facilitating the transition to a low-carbon economy. We are targeting $1 trillion toward this objective by the end of 2030.</w:t>
      </w:r>
    </w:p>
    <w:p>
      <w:pPr>
        <w:spacing w:after="0" w:line="22" w:lineRule="exact"/>
        <w:rPr>
          <w:rFonts w:ascii="Arial" w:cs="Arial" w:eastAsia="Arial" w:hAnsi="Arial"/>
          <w:sz w:val="18"/>
          <w:szCs w:val="18"/>
          <w:color w:val="074A75"/>
        </w:rPr>
      </w:pPr>
    </w:p>
    <w:p>
      <w:pPr>
        <w:ind w:left="400" w:right="620" w:hanging="198"/>
        <w:spacing w:after="0" w:line="287" w:lineRule="auto"/>
        <w:tabs>
          <w:tab w:leader="none" w:pos="391" w:val="left"/>
        </w:tabs>
        <w:numPr>
          <w:ilvl w:val="1"/>
          <w:numId w:val="171"/>
        </w:numPr>
        <w:rPr>
          <w:rFonts w:ascii="Arial" w:cs="Arial" w:eastAsia="Arial" w:hAnsi="Arial"/>
          <w:sz w:val="18"/>
          <w:szCs w:val="18"/>
          <w:color w:val="074A75"/>
        </w:rPr>
      </w:pPr>
      <w:r>
        <w:rPr>
          <w:rFonts w:ascii="Arial" w:cs="Arial" w:eastAsia="Arial" w:hAnsi="Arial"/>
          <w:sz w:val="18"/>
          <w:szCs w:val="18"/>
          <w:color w:val="auto"/>
        </w:rPr>
        <w:t>Development Finance: Working to support sustainable development in emerging economies, with a focus on mobilizing capital to advance the United Nations Sustainable Development Goals ("SDGs").</w:t>
      </w:r>
    </w:p>
    <w:p>
      <w:pPr>
        <w:spacing w:after="0" w:line="4" w:lineRule="exact"/>
        <w:rPr>
          <w:rFonts w:ascii="Arial" w:cs="Arial" w:eastAsia="Arial" w:hAnsi="Arial"/>
          <w:sz w:val="18"/>
          <w:szCs w:val="18"/>
          <w:color w:val="074A75"/>
        </w:rPr>
      </w:pPr>
    </w:p>
    <w:p>
      <w:pPr>
        <w:ind w:left="400" w:right="180" w:hanging="198"/>
        <w:spacing w:after="0" w:line="268" w:lineRule="auto"/>
        <w:tabs>
          <w:tab w:leader="none" w:pos="391" w:val="left"/>
        </w:tabs>
        <w:numPr>
          <w:ilvl w:val="1"/>
          <w:numId w:val="171"/>
        </w:numPr>
        <w:rPr>
          <w:rFonts w:ascii="Arial" w:cs="Arial" w:eastAsia="Arial" w:hAnsi="Arial"/>
          <w:sz w:val="18"/>
          <w:szCs w:val="18"/>
          <w:color w:val="074A75"/>
        </w:rPr>
      </w:pPr>
      <w:r>
        <w:rPr>
          <w:rFonts w:ascii="Arial" w:cs="Arial" w:eastAsia="Arial" w:hAnsi="Arial"/>
          <w:sz w:val="18"/>
          <w:szCs w:val="18"/>
          <w:color w:val="auto"/>
        </w:rPr>
        <w:t>Community Development: Striving to advance economic inclusion in developed markets, with a focus in the U.S. on Low-to-Moderate Income individuals and communities and closing the racial wealth gap among Black, Hispanic and Latino individuals and communities. This includes the actions we are taking as part of our Racial Equity Commitment.</w:t>
      </w:r>
    </w:p>
    <w:p>
      <w:pPr>
        <w:spacing w:after="0" w:line="35" w:lineRule="exact"/>
        <w:rPr>
          <w:rFonts w:ascii="Arial" w:cs="Arial" w:eastAsia="Arial" w:hAnsi="Arial"/>
          <w:sz w:val="18"/>
          <w:szCs w:val="18"/>
          <w:color w:val="074A75"/>
        </w:rPr>
      </w:pPr>
    </w:p>
    <w:p>
      <w:pPr>
        <w:ind w:left="200" w:right="420" w:hanging="192"/>
        <w:spacing w:after="0" w:line="268" w:lineRule="auto"/>
        <w:tabs>
          <w:tab w:leader="none" w:pos="204" w:val="left"/>
        </w:tabs>
        <w:numPr>
          <w:ilvl w:val="0"/>
          <w:numId w:val="171"/>
        </w:numPr>
        <w:rPr>
          <w:rFonts w:ascii="Arial" w:cs="Arial" w:eastAsia="Arial" w:hAnsi="Arial"/>
          <w:sz w:val="18"/>
          <w:szCs w:val="18"/>
          <w:color w:val="074A75"/>
        </w:rPr>
      </w:pPr>
      <w:r>
        <w:rPr>
          <w:rFonts w:ascii="Arial" w:cs="Arial" w:eastAsia="Arial" w:hAnsi="Arial"/>
          <w:sz w:val="18"/>
          <w:szCs w:val="18"/>
          <w:b w:val="1"/>
          <w:bCs w:val="1"/>
          <w:color w:val="auto"/>
        </w:rPr>
        <w:t xml:space="preserve">Driving inclusive economic growth: </w:t>
      </w:r>
      <w:r>
        <w:rPr>
          <w:rFonts w:ascii="Arial" w:cs="Arial" w:eastAsia="Arial" w:hAnsi="Arial"/>
          <w:sz w:val="18"/>
          <w:szCs w:val="18"/>
          <w:color w:val="auto"/>
        </w:rPr>
        <w:t>The Firm continues to advance solutions that create economic opportunities for our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the communities we serve. Our efforts are focused where we believe we can leverage our business and expertise to create meaningful impact, including through:</w:t>
      </w:r>
    </w:p>
    <w:p>
      <w:pPr>
        <w:spacing w:after="0" w:line="22" w:lineRule="exact"/>
        <w:rPr>
          <w:rFonts w:ascii="Arial" w:cs="Arial" w:eastAsia="Arial" w:hAnsi="Arial"/>
          <w:sz w:val="18"/>
          <w:szCs w:val="18"/>
          <w:color w:val="074A75"/>
        </w:rPr>
      </w:pPr>
    </w:p>
    <w:p>
      <w:pPr>
        <w:ind w:left="400" w:right="820" w:hanging="198"/>
        <w:spacing w:after="0" w:line="287" w:lineRule="auto"/>
        <w:tabs>
          <w:tab w:leader="none" w:pos="391" w:val="left"/>
        </w:tabs>
        <w:numPr>
          <w:ilvl w:val="1"/>
          <w:numId w:val="171"/>
        </w:numPr>
        <w:rPr>
          <w:rFonts w:ascii="Arial" w:cs="Arial" w:eastAsia="Arial" w:hAnsi="Arial"/>
          <w:sz w:val="18"/>
          <w:szCs w:val="18"/>
          <w:color w:val="074A75"/>
        </w:rPr>
      </w:pPr>
      <w:r>
        <w:rPr>
          <w:rFonts w:ascii="Arial" w:cs="Arial" w:eastAsia="Arial" w:hAnsi="Arial"/>
          <w:sz w:val="18"/>
          <w:szCs w:val="18"/>
          <w:color w:val="auto"/>
        </w:rPr>
        <w:t>Building careers and skills: Increasing access to rewarding careers and opportunities within our workforce and beyond through supporting inclusive hiring; skills training, learning and credentialing; and employee well-being</w:t>
      </w:r>
    </w:p>
    <w:p>
      <w:pPr>
        <w:spacing w:after="0" w:line="4" w:lineRule="exact"/>
        <w:rPr>
          <w:rFonts w:ascii="Arial" w:cs="Arial" w:eastAsia="Arial" w:hAnsi="Arial"/>
          <w:sz w:val="18"/>
          <w:szCs w:val="18"/>
          <w:color w:val="074A75"/>
        </w:rPr>
      </w:pPr>
    </w:p>
    <w:p>
      <w:pPr>
        <w:ind w:left="400" w:right="280" w:hanging="198"/>
        <w:spacing w:after="0" w:line="287" w:lineRule="auto"/>
        <w:tabs>
          <w:tab w:leader="none" w:pos="391" w:val="left"/>
        </w:tabs>
        <w:numPr>
          <w:ilvl w:val="1"/>
          <w:numId w:val="171"/>
        </w:numPr>
        <w:rPr>
          <w:rFonts w:ascii="Arial" w:cs="Arial" w:eastAsia="Arial" w:hAnsi="Arial"/>
          <w:sz w:val="18"/>
          <w:szCs w:val="18"/>
          <w:color w:val="074A75"/>
        </w:rPr>
      </w:pPr>
      <w:r>
        <w:rPr>
          <w:rFonts w:ascii="Arial" w:cs="Arial" w:eastAsia="Arial" w:hAnsi="Arial"/>
          <w:sz w:val="18"/>
          <w:szCs w:val="18"/>
          <w:color w:val="auto"/>
        </w:rPr>
        <w:t>Fueling business growth and entrepreneurship: Helping businesses of all sizes access tools and resources to achieve their goals and prosper in their communities, with a focus on capital, customers and connections</w:t>
      </w:r>
    </w:p>
    <w:p>
      <w:pPr>
        <w:spacing w:after="0" w:line="17" w:lineRule="exact"/>
        <w:rPr>
          <w:rFonts w:ascii="Arial" w:cs="Arial" w:eastAsia="Arial" w:hAnsi="Arial"/>
          <w:sz w:val="18"/>
          <w:szCs w:val="18"/>
          <w:color w:val="074A75"/>
        </w:rPr>
      </w:pPr>
    </w:p>
    <w:p>
      <w:pPr>
        <w:ind w:left="400" w:right="280" w:hanging="198"/>
        <w:spacing w:after="0" w:line="287" w:lineRule="auto"/>
        <w:tabs>
          <w:tab w:leader="none" w:pos="391" w:val="left"/>
        </w:tabs>
        <w:numPr>
          <w:ilvl w:val="1"/>
          <w:numId w:val="171"/>
        </w:numPr>
        <w:rPr>
          <w:rFonts w:ascii="Arial" w:cs="Arial" w:eastAsia="Arial" w:hAnsi="Arial"/>
          <w:sz w:val="18"/>
          <w:szCs w:val="18"/>
          <w:color w:val="074A75"/>
        </w:rPr>
      </w:pPr>
      <w:r>
        <w:rPr>
          <w:rFonts w:ascii="Arial" w:cs="Arial" w:eastAsia="Arial" w:hAnsi="Arial"/>
          <w:sz w:val="18"/>
          <w:szCs w:val="18"/>
          <w:color w:val="auto"/>
        </w:rPr>
        <w:t>Catalyzing community development: Improving housing affordability and expanding access to homeownership; supporting institutions that assist in community wealth building and in creating inclusive communities</w:t>
      </w:r>
    </w:p>
    <w:p>
      <w:pPr>
        <w:spacing w:after="0" w:line="4" w:lineRule="exact"/>
        <w:rPr>
          <w:rFonts w:ascii="Arial" w:cs="Arial" w:eastAsia="Arial" w:hAnsi="Arial"/>
          <w:sz w:val="18"/>
          <w:szCs w:val="18"/>
          <w:color w:val="074A75"/>
        </w:rPr>
      </w:pPr>
    </w:p>
    <w:p>
      <w:pPr>
        <w:ind w:left="400" w:right="520" w:hanging="198"/>
        <w:spacing w:after="0" w:line="287" w:lineRule="auto"/>
        <w:tabs>
          <w:tab w:leader="none" w:pos="391" w:val="left"/>
        </w:tabs>
        <w:numPr>
          <w:ilvl w:val="1"/>
          <w:numId w:val="171"/>
        </w:numPr>
        <w:rPr>
          <w:rFonts w:ascii="Arial" w:cs="Arial" w:eastAsia="Arial" w:hAnsi="Arial"/>
          <w:sz w:val="18"/>
          <w:szCs w:val="18"/>
          <w:color w:val="074A75"/>
        </w:rPr>
      </w:pPr>
      <w:r>
        <w:rPr>
          <w:rFonts w:ascii="Arial" w:cs="Arial" w:eastAsia="Arial" w:hAnsi="Arial"/>
          <w:sz w:val="18"/>
          <w:szCs w:val="18"/>
          <w:color w:val="auto"/>
        </w:rPr>
        <w:t>Strengthening financial health and wealth creation: Helping individuals build wealth through better access to financial services and credit, along with managing cash flow</w:t>
      </w:r>
    </w:p>
    <w:p>
      <w:pPr>
        <w:spacing w:after="0" w:line="4" w:lineRule="exact"/>
        <w:rPr>
          <w:rFonts w:ascii="Arial" w:cs="Arial" w:eastAsia="Arial" w:hAnsi="Arial"/>
          <w:sz w:val="18"/>
          <w:szCs w:val="18"/>
          <w:color w:val="074A75"/>
        </w:rPr>
      </w:pPr>
    </w:p>
    <w:p>
      <w:pPr>
        <w:ind w:left="400" w:right="560" w:hanging="198"/>
        <w:spacing w:after="0" w:line="287" w:lineRule="auto"/>
        <w:tabs>
          <w:tab w:leader="none" w:pos="391" w:val="left"/>
        </w:tabs>
        <w:numPr>
          <w:ilvl w:val="1"/>
          <w:numId w:val="171"/>
        </w:numPr>
        <w:rPr>
          <w:rFonts w:ascii="Arial" w:cs="Arial" w:eastAsia="Arial" w:hAnsi="Arial"/>
          <w:sz w:val="18"/>
          <w:szCs w:val="18"/>
          <w:color w:val="074A75"/>
        </w:rPr>
      </w:pPr>
      <w:r>
        <w:rPr>
          <w:rFonts w:ascii="Arial" w:cs="Arial" w:eastAsia="Arial" w:hAnsi="Arial"/>
          <w:sz w:val="18"/>
          <w:szCs w:val="18"/>
          <w:color w:val="auto"/>
        </w:rPr>
        <w:t>Promoting environmental sustainability within our communities: Contributing to a more sustainable future by supporting an orderly energy transition</w:t>
      </w:r>
    </w:p>
    <w:p>
      <w:pPr>
        <w:spacing w:after="0" w:line="17" w:lineRule="exact"/>
        <w:rPr>
          <w:rFonts w:ascii="Arial" w:cs="Arial" w:eastAsia="Arial" w:hAnsi="Arial"/>
          <w:sz w:val="18"/>
          <w:szCs w:val="18"/>
          <w:color w:val="074A75"/>
        </w:rPr>
      </w:pPr>
    </w:p>
    <w:p>
      <w:pPr>
        <w:ind w:left="200" w:right="60" w:hanging="192"/>
        <w:spacing w:after="0" w:line="262" w:lineRule="auto"/>
        <w:tabs>
          <w:tab w:leader="none" w:pos="204" w:val="left"/>
        </w:tabs>
        <w:numPr>
          <w:ilvl w:val="0"/>
          <w:numId w:val="171"/>
        </w:numPr>
        <w:rPr>
          <w:rFonts w:ascii="Arial" w:cs="Arial" w:eastAsia="Arial" w:hAnsi="Arial"/>
          <w:sz w:val="18"/>
          <w:szCs w:val="18"/>
          <w:color w:val="074A75"/>
        </w:rPr>
      </w:pPr>
      <w:r>
        <w:rPr>
          <w:rFonts w:ascii="Arial" w:cs="Arial" w:eastAsia="Arial" w:hAnsi="Arial"/>
          <w:sz w:val="18"/>
          <w:szCs w:val="18"/>
          <w:b w:val="1"/>
          <w:bCs w:val="1"/>
          <w:color w:val="auto"/>
        </w:rPr>
        <w:t xml:space="preserve">Advancing racial equity: </w:t>
      </w:r>
      <w:r>
        <w:rPr>
          <w:rFonts w:ascii="Arial" w:cs="Arial" w:eastAsia="Arial" w:hAnsi="Arial"/>
          <w:sz w:val="18"/>
          <w:szCs w:val="18"/>
          <w:color w:val="auto"/>
        </w:rPr>
        <w:t>By the end of 2023, we reported nearly $31 billion of progress toward our five-year $30 billion Racial Equity</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help close the racial wealth gap and advance economic inclusion among historically underserved communities in the U.S., including Black, Hispanic and Latino customers and communities. The Firm is committed to continuing work beyond the five-year timeframe identified in our original commitment to complete the 18 individually identified sub-commitments.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60" w:type="dxa"/>
            <w:vAlign w:val="bottom"/>
          </w:tcPr>
          <w:p>
            <w:pPr>
              <w:spacing w:after="0"/>
              <w:rPr>
                <w:sz w:val="22"/>
                <w:szCs w:val="22"/>
                <w:color w:val="auto"/>
              </w:rPr>
            </w:pPr>
          </w:p>
        </w:tc>
        <w:tc>
          <w:tcPr>
            <w:tcW w:w="3720" w:type="dxa"/>
            <w:vAlign w:val="bottom"/>
            <w:tcBorders>
              <w:top w:val="single" w:sz="8" w:color="E7E7E8"/>
            </w:tcBorders>
            <w:shd w:val="clear" w:color="auto" w:fill="E7E7E8"/>
          </w:tcPr>
          <w:p>
            <w:pPr>
              <w:ind w:left="240"/>
              <w:spacing w:after="0"/>
              <w:rPr>
                <w:sz w:val="20"/>
                <w:szCs w:val="20"/>
                <w:color w:val="auto"/>
              </w:rPr>
            </w:pPr>
            <w:r>
              <w:rPr>
                <w:rFonts w:ascii="Arial" w:cs="Arial" w:eastAsia="Arial" w:hAnsi="Arial"/>
                <w:sz w:val="15"/>
                <w:szCs w:val="15"/>
                <w:color w:val="074A75"/>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372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037705" cy="2228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037705" cy="222885"/>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5"/>
          <w:szCs w:val="25"/>
          <w:color w:val="FFFFFF"/>
        </w:rPr>
        <w:t>Teamwork &amp; Leadership</w:t>
      </w:r>
    </w:p>
    <w:p>
      <w:pPr>
        <w:spacing w:after="0" w:line="229"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Our employees’ effectiveness, career development and ability to adapt to a changing landscape enables continued delivery of sustained shareholder value. In order to attract and retain the highest quality talent, we develop key talent and succession plans, invest in Firmwide diversity, equity and inclusion initiatives, and provide well-paid jobs with strong benefits and wellness programs.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SUCCESSION PLANNING</w:t>
      </w:r>
    </w:p>
    <w:p>
      <w:pPr>
        <w:spacing w:after="0" w:line="1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Succession planning is a priority for the Board and the Firm’s senior leadership, with the objective of having a pipeline of the best executives who lead inclusively for today and the future. We have implemented a disciplined executive talent management and succession planning process that includes LOBs and Functions holding talent review discussions within their management teams and identifying potential successors for key leadership roles.</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One of the Board’s top priorities is succession planning for Mr. Dimon, which entails enabling an orderly CEO transition to take place in the medium-term. As part of succession planning, the Board continues to oversee management's development of several Operating Committee members who are well-known to shareholders as strong potential candidates to succeed Mr. Dimon. As noted on page 35 of the CD&amp;A, in January 2024, the Firm announced leadership and organizational changes.</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Board has well-developed processes in place to support proper governance. This includes the CMDC reviewing the succession plan for the CEO, and the Lead Independent Director regularly leading succession discussions with the non-executive directors of the Board. The CMDC also reviews the succession plan for members of the Operating Committee other than the CEO, which is also discussed by the full Board of Directors. This is in addition to Board discussions of talent management, which occur frequently throughout the year.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DIVERSITY, EQUITY AND INCLUSION</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Having an inclusive workforce that is reflective of diverse backgrounds and perspectives is important to the work we do. We remain focused on maintaining a culture of respect and inclusion and believe that all individuals should have the opportunity to succeed. This starts with taking a broad lens when sourcing talent, and building and fostering an inclusive work environment where our employees are respected, trusted and encouraged to bring their authentic and most productive selves to work. We are focused on being an employer of choice for all talent, where employees feel like they belong.</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An important part of our efforts include the Firm's Business Resource Groups ("BRGs"), which serve as networks for employees to connect with colleagues and grow professionally, while advancing the Firm's DEI strategies. In addition to the BRGs, the Firm has Global DEI Centers of Excellence that play an important role in taking a coordinated and intersectional approach to identify and provide equitable pathways to opportunities for employees, customers and communities to grow and thrive.</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senior leaders are accountable for building and fostering an inclusive work environment within their businesses and across the Firm. The Accountability Framework drives feedback for our senior leaders, including OC members, on inclusive leadership behaviors, practices and progress on the Firm's DEI priorities as part of the year-end performance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248920</wp:posOffset>
            </wp:positionV>
            <wp:extent cx="27432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53  </w:t>
      </w:r>
      <w:r>
        <w:rPr>
          <w:sz w:val="1"/>
          <w:szCs w:val="1"/>
          <w:color w:val="auto"/>
        </w:rPr>
        <w:drawing>
          <wp:inline distT="0" distB="0" distL="0" distR="0">
            <wp:extent cx="2203450" cy="154305"/>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217805</wp:posOffset>
            </wp:positionV>
            <wp:extent cx="77470" cy="1460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217805</wp:posOffset>
            </wp:positionV>
            <wp:extent cx="76835" cy="1460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217805</wp:posOffset>
            </wp:positionV>
            <wp:extent cx="77470" cy="1460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60" w:type="dxa"/>
            <w:vAlign w:val="bottom"/>
          </w:tcPr>
          <w:p>
            <w:pPr>
              <w:spacing w:after="0"/>
              <w:rPr>
                <w:sz w:val="22"/>
                <w:szCs w:val="22"/>
                <w:color w:val="auto"/>
              </w:rPr>
            </w:pPr>
          </w:p>
        </w:tc>
        <w:tc>
          <w:tcPr>
            <w:tcW w:w="3720" w:type="dxa"/>
            <w:vAlign w:val="bottom"/>
            <w:tcBorders>
              <w:top w:val="single" w:sz="8" w:color="E7E7E8"/>
            </w:tcBorders>
            <w:shd w:val="clear" w:color="auto" w:fill="E7E7E8"/>
          </w:tcPr>
          <w:p>
            <w:pPr>
              <w:ind w:left="240"/>
              <w:spacing w:after="0"/>
              <w:rPr>
                <w:sz w:val="20"/>
                <w:szCs w:val="20"/>
                <w:color w:val="auto"/>
              </w:rPr>
            </w:pPr>
            <w:r>
              <w:rPr>
                <w:rFonts w:ascii="Arial" w:cs="Arial" w:eastAsia="Arial" w:hAnsi="Arial"/>
                <w:sz w:val="15"/>
                <w:szCs w:val="15"/>
                <w:color w:val="074A75"/>
              </w:rPr>
              <w:t>How we performed against our business strategy</w:t>
            </w:r>
          </w:p>
        </w:tc>
        <w:tc>
          <w:tcPr>
            <w:tcW w:w="300" w:type="dxa"/>
            <w:vAlign w:val="bottom"/>
            <w:tcBorders>
              <w:right w:val="single" w:sz="8" w:color="E7E7E8"/>
            </w:tcBorders>
          </w:tcPr>
          <w:p>
            <w:pPr>
              <w:spacing w:after="0"/>
              <w:rPr>
                <w:sz w:val="22"/>
                <w:szCs w:val="22"/>
                <w:color w:val="auto"/>
              </w:rPr>
            </w:pPr>
          </w:p>
        </w:tc>
        <w:tc>
          <w:tcPr>
            <w:tcW w:w="3220" w:type="dxa"/>
            <w:vAlign w:val="bottom"/>
            <w:tcBorders>
              <w:top w:val="single" w:sz="8" w:color="E7E7E8"/>
              <w:right w:val="single" w:sz="8" w:color="E7E7E8"/>
            </w:tcBorders>
          </w:tcPr>
          <w:p>
            <w:pPr>
              <w:ind w:left="200"/>
              <w:spacing w:after="0"/>
              <w:rPr>
                <w:sz w:val="20"/>
                <w:szCs w:val="20"/>
                <w:color w:val="auto"/>
              </w:rPr>
            </w:pPr>
            <w:r>
              <w:rPr>
                <w:rFonts w:ascii="Arial" w:cs="Arial" w:eastAsia="Arial" w:hAnsi="Arial"/>
                <w:sz w:val="15"/>
                <w:szCs w:val="15"/>
                <w:color w:val="58585A"/>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3720" w:type="dxa"/>
            <w:vAlign w:val="bottom"/>
            <w:tcBorders>
              <w:bottom w:val="single" w:sz="8" w:color="E7E7E8"/>
            </w:tcBorders>
            <w:shd w:val="clear" w:color="auto" w:fill="E7E7E8"/>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22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EMPLOYEE GROWTH</w:t>
      </w:r>
    </w:p>
    <w:p>
      <w:pPr>
        <w:spacing w:after="0" w:line="9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dedicated to a culture that enables employees and leaders to grow and succeed throughout their careers while encouraging them to uphold a standard of excellence. To do so, we make substantial investments in learning content, tools and training programs to help employees build their knowledge, skills and experience, and to guide their career advancement. In 2023, we continued to invest in our employees' development through a robust suite of training, upskilling and reskilling and leadership development programs.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EMPLOYEE WELL-BEING</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committed to providing programs and policies that support the needs of our employees and their families. We continually invest in and explore ways to improve health outcomes and strengthen our benefits offerings. We offer a comprehensive benefits and wellness package to employees and their families, including healthcare coverage, retirement benefits, life and disability insurance, on-site health and wellness centers, employee assistance programs, competitive vacation and leave policies, backup child care arrangements, tuition reimbursement programs, counseling and resources related to mental health and financial coaching.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Highlights include:</w:t>
      </w:r>
    </w:p>
    <w:p>
      <w:pPr>
        <w:spacing w:after="0" w:line="117" w:lineRule="exact"/>
        <w:rPr>
          <w:sz w:val="20"/>
          <w:szCs w:val="20"/>
          <w:color w:val="auto"/>
        </w:rPr>
      </w:pPr>
    </w:p>
    <w:p>
      <w:pPr>
        <w:ind w:left="200" w:right="60" w:hanging="192"/>
        <w:spacing w:after="0" w:line="268"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b w:val="1"/>
          <w:bCs w:val="1"/>
          <w:color w:val="auto"/>
        </w:rPr>
        <w:t xml:space="preserve">Health &amp; Wellness Programs: </w:t>
      </w:r>
      <w:r>
        <w:rPr>
          <w:rFonts w:ascii="Arial" w:cs="Arial" w:eastAsia="Arial" w:hAnsi="Arial"/>
          <w:sz w:val="18"/>
          <w:szCs w:val="18"/>
          <w:color w:val="auto"/>
        </w:rPr>
        <w:t>Over the past two years, the Firm invested an additional $170 million in the U.S. Medical Plan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their families, further enhancing our health and wellness benefits through updates to the Plan, as well as expedited access to an expanded network of professionals for free mental health counseling and coaching</w:t>
      </w:r>
    </w:p>
    <w:p>
      <w:pPr>
        <w:spacing w:after="0" w:line="22" w:lineRule="exact"/>
        <w:rPr>
          <w:rFonts w:ascii="Arial" w:cs="Arial" w:eastAsia="Arial" w:hAnsi="Arial"/>
          <w:sz w:val="18"/>
          <w:szCs w:val="18"/>
          <w:color w:val="074A75"/>
        </w:rPr>
      </w:pPr>
    </w:p>
    <w:p>
      <w:pPr>
        <w:ind w:left="200" w:right="60" w:hanging="192"/>
        <w:spacing w:after="0" w:line="268"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b w:val="1"/>
          <w:bCs w:val="1"/>
          <w:color w:val="auto"/>
        </w:rPr>
        <w:t xml:space="preserve">Supporting Families: </w:t>
      </w:r>
      <w:r>
        <w:rPr>
          <w:rFonts w:ascii="Arial" w:cs="Arial" w:eastAsia="Arial" w:hAnsi="Arial"/>
          <w:sz w:val="18"/>
          <w:szCs w:val="18"/>
          <w:color w:val="auto"/>
        </w:rPr>
        <w:t>The Firm provides family building assistance to help U.S. employees with the high costs of adoption, surrogacy and</w:t>
      </w:r>
      <w:r>
        <w:rPr>
          <w:rFonts w:ascii="Arial" w:cs="Arial" w:eastAsia="Arial" w:hAnsi="Arial"/>
          <w:sz w:val="18"/>
          <w:szCs w:val="18"/>
          <w:b w:val="1"/>
          <w:bCs w:val="1"/>
          <w:color w:val="auto"/>
        </w:rPr>
        <w:t xml:space="preserve"> </w:t>
      </w:r>
      <w:r>
        <w:rPr>
          <w:rFonts w:ascii="Arial" w:cs="Arial" w:eastAsia="Arial" w:hAnsi="Arial"/>
          <w:sz w:val="18"/>
          <w:szCs w:val="18"/>
          <w:color w:val="auto"/>
        </w:rPr>
        <w:t>fertility expenses, and continues enhancing paid time off for employees to handle personal and family needs, which includes expanded bereavement paid time off as well as critical caregivers paid time off</w:t>
      </w:r>
    </w:p>
    <w:p>
      <w:pPr>
        <w:spacing w:after="0" w:line="35" w:lineRule="exact"/>
        <w:rPr>
          <w:rFonts w:ascii="Arial" w:cs="Arial" w:eastAsia="Arial" w:hAnsi="Arial"/>
          <w:sz w:val="18"/>
          <w:szCs w:val="18"/>
          <w:color w:val="074A75"/>
        </w:rPr>
      </w:pPr>
    </w:p>
    <w:p>
      <w:pPr>
        <w:ind w:left="200" w:right="880" w:hanging="192"/>
        <w:spacing w:after="0" w:line="287"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b w:val="1"/>
          <w:bCs w:val="1"/>
          <w:color w:val="auto"/>
        </w:rPr>
        <w:t xml:space="preserve">Financial Health: </w:t>
      </w:r>
      <w:r>
        <w:rPr>
          <w:rFonts w:ascii="Arial" w:cs="Arial" w:eastAsia="Arial" w:hAnsi="Arial"/>
          <w:sz w:val="18"/>
          <w:szCs w:val="18"/>
          <w:color w:val="auto"/>
        </w:rPr>
        <w:t>The Firm offers a wide range of benefits and programs to help employees with their financial health,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educational sessions, financial wellness assessments and one-on-one financial coaching</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2"/>
                <w:szCs w:val="22"/>
                <w:color w:val="auto"/>
              </w:rPr>
            </w:pPr>
          </w:p>
        </w:tc>
        <w:tc>
          <w:tcPr>
            <w:tcW w:w="324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240" w:type="dxa"/>
            <w:vAlign w:val="bottom"/>
            <w:tcBorders>
              <w:bottom w:val="single" w:sz="8" w:color="E7E7E8"/>
            </w:tcBorders>
            <w:shd w:val="clear" w:color="auto" w:fill="E7E7E8"/>
          </w:tcPr>
          <w:p>
            <w:pPr>
              <w:spacing w:after="0"/>
              <w:rPr>
                <w:sz w:val="5"/>
                <w:szCs w:val="5"/>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442"/>
        </w:trPr>
        <w:tc>
          <w:tcPr>
            <w:tcW w:w="1440" w:type="dxa"/>
            <w:vAlign w:val="bottom"/>
            <w:vMerge w:val="restart"/>
            <w:shd w:val="clear" w:color="auto" w:fill="E7E7E8"/>
          </w:tcPr>
          <w:p>
            <w:pPr>
              <w:jc w:val="right"/>
              <w:spacing w:after="0"/>
              <w:rPr>
                <w:sz w:val="20"/>
                <w:szCs w:val="20"/>
                <w:color w:val="auto"/>
              </w:rPr>
            </w:pPr>
            <w:r>
              <w:rPr>
                <w:rFonts w:ascii="Arial" w:cs="Arial" w:eastAsia="Arial" w:hAnsi="Arial"/>
                <w:sz w:val="104"/>
                <w:szCs w:val="104"/>
                <w:color w:val="074A75"/>
              </w:rPr>
              <w:t>3</w:t>
            </w:r>
          </w:p>
        </w:tc>
        <w:tc>
          <w:tcPr>
            <w:tcW w:w="9780" w:type="dxa"/>
            <w:vAlign w:val="bottom"/>
          </w:tcPr>
          <w:p>
            <w:pPr>
              <w:ind w:left="160"/>
              <w:spacing w:after="0"/>
              <w:rPr>
                <w:sz w:val="20"/>
                <w:szCs w:val="20"/>
                <w:color w:val="auto"/>
              </w:rPr>
            </w:pPr>
            <w:r>
              <w:rPr>
                <w:rFonts w:ascii="Arial" w:cs="Arial" w:eastAsia="Arial" w:hAnsi="Arial"/>
                <w:sz w:val="36"/>
                <w:szCs w:val="36"/>
                <w:color w:val="074A75"/>
              </w:rPr>
              <w:t>How performance determined pay in 2023</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780" w:type="dxa"/>
            <w:vAlign w:val="bottom"/>
          </w:tcPr>
          <w:p>
            <w:pPr>
              <w:ind w:left="160"/>
              <w:spacing w:after="0"/>
              <w:rPr>
                <w:sz w:val="20"/>
                <w:szCs w:val="20"/>
                <w:color w:val="auto"/>
              </w:rPr>
            </w:pPr>
            <w:r>
              <w:rPr>
                <w:rFonts w:ascii="Arial" w:cs="Arial" w:eastAsia="Arial" w:hAnsi="Arial"/>
                <w:sz w:val="18"/>
                <w:szCs w:val="18"/>
                <w:i w:val="1"/>
                <w:iCs w:val="1"/>
                <w:color w:val="074A75"/>
              </w:rPr>
              <w:t>CEO pay is strongly aligned to the Firm’s short-, medium- and long-term performance, with approximately 86% of the</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780" w:type="dxa"/>
            <w:vAlign w:val="bottom"/>
          </w:tcPr>
          <w:p>
            <w:pPr>
              <w:ind w:left="160"/>
              <w:spacing w:after="0"/>
              <w:rPr>
                <w:sz w:val="20"/>
                <w:szCs w:val="20"/>
                <w:color w:val="auto"/>
              </w:rPr>
            </w:pPr>
            <w:r>
              <w:rPr>
                <w:rFonts w:ascii="Arial" w:cs="Arial" w:eastAsia="Arial" w:hAnsi="Arial"/>
                <w:sz w:val="18"/>
                <w:szCs w:val="18"/>
                <w:i w:val="1"/>
                <w:iCs w:val="1"/>
                <w:color w:val="074A75"/>
              </w:rPr>
              <w:t>CEO’s variable pay deferred into equity, of which 100% is in at-risk PSUs for both our CEO and our President &amp; COO.</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780" w:type="dxa"/>
            <w:vAlign w:val="bottom"/>
          </w:tcPr>
          <w:p>
            <w:pPr>
              <w:ind w:left="160"/>
              <w:spacing w:after="0"/>
              <w:rPr>
                <w:sz w:val="20"/>
                <w:szCs w:val="20"/>
                <w:color w:val="auto"/>
              </w:rPr>
            </w:pPr>
            <w:r>
              <w:rPr>
                <w:rFonts w:ascii="Arial" w:cs="Arial" w:eastAsia="Arial" w:hAnsi="Arial"/>
                <w:sz w:val="18"/>
                <w:szCs w:val="18"/>
                <w:i w:val="1"/>
                <w:iCs w:val="1"/>
                <w:color w:val="074A75"/>
                <w:w w:val="99"/>
              </w:rPr>
              <w:t>Other NEO pay is also strongly aligned to Firm and LOB performance, with a majority of variable pay deferred into equity,</w:t>
            </w:r>
          </w:p>
        </w:tc>
        <w:tc>
          <w:tcPr>
            <w:tcW w:w="0" w:type="dxa"/>
            <w:vAlign w:val="bottom"/>
          </w:tcPr>
          <w:p>
            <w:pPr>
              <w:spacing w:after="0"/>
              <w:rPr>
                <w:sz w:val="1"/>
                <w:szCs w:val="1"/>
                <w:color w:val="auto"/>
              </w:rPr>
            </w:pPr>
          </w:p>
        </w:tc>
      </w:tr>
      <w:tr>
        <w:trPr>
          <w:trHeight w:val="260"/>
        </w:trPr>
        <w:tc>
          <w:tcPr>
            <w:tcW w:w="1440" w:type="dxa"/>
            <w:vAlign w:val="bottom"/>
            <w:vMerge w:val="continue"/>
            <w:shd w:val="clear" w:color="auto" w:fill="E7E7E8"/>
          </w:tcPr>
          <w:p>
            <w:pPr>
              <w:spacing w:after="0"/>
              <w:rPr>
                <w:sz w:val="22"/>
                <w:szCs w:val="22"/>
                <w:color w:val="auto"/>
              </w:rPr>
            </w:pPr>
          </w:p>
        </w:tc>
        <w:tc>
          <w:tcPr>
            <w:tcW w:w="9780" w:type="dxa"/>
            <w:vAlign w:val="bottom"/>
          </w:tcPr>
          <w:p>
            <w:pPr>
              <w:ind w:left="160"/>
              <w:spacing w:after="0"/>
              <w:rPr>
                <w:sz w:val="20"/>
                <w:szCs w:val="20"/>
                <w:color w:val="auto"/>
              </w:rPr>
            </w:pPr>
            <w:r>
              <w:rPr>
                <w:rFonts w:ascii="Arial" w:cs="Arial" w:eastAsia="Arial" w:hAnsi="Arial"/>
                <w:sz w:val="18"/>
                <w:szCs w:val="18"/>
                <w:i w:val="1"/>
                <w:iCs w:val="1"/>
                <w:color w:val="074A75"/>
              </w:rPr>
              <w:t>of which 50% is in at-risk PSUs.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below sets forth salary and incentive compensation awarded to our NEOs for 2023 performance. The pages that follow summarize the performance of individual NEOs that drove the CMDC’s 2023 pay decisions. Officer position titles within this Proxy Statement reflect current roles and responsibilities as of the record date. Refer to Note 1 on page 5.</w:t>
      </w:r>
    </w:p>
    <w:p>
      <w:pPr>
        <w:spacing w:after="0" w:line="49" w:lineRule="exact"/>
        <w:rPr>
          <w:sz w:val="20"/>
          <w:szCs w:val="20"/>
          <w:color w:val="auto"/>
        </w:rPr>
      </w:pPr>
    </w:p>
    <w:p>
      <w:pPr>
        <w:spacing w:after="0"/>
        <w:rPr>
          <w:sz w:val="20"/>
          <w:szCs w:val="20"/>
          <w:color w:val="auto"/>
        </w:rPr>
      </w:pPr>
      <w:r>
        <w:rPr>
          <w:rFonts w:ascii="Arial" w:cs="Arial" w:eastAsia="Arial" w:hAnsi="Arial"/>
          <w:sz w:val="29"/>
          <w:szCs w:val="29"/>
          <w:color w:val="074A75"/>
        </w:rPr>
        <w:t>NEO annual compensation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Borders>
              <w:bottom w:val="single" w:sz="8" w:color="494949"/>
            </w:tcBorders>
          </w:tcPr>
          <w:p>
            <w:pPr>
              <w:spacing w:after="0"/>
              <w:rPr>
                <w:sz w:val="19"/>
                <w:szCs w:val="19"/>
                <w:color w:val="auto"/>
              </w:rPr>
            </w:pPr>
          </w:p>
        </w:tc>
        <w:tc>
          <w:tcPr>
            <w:tcW w:w="200" w:type="dxa"/>
            <w:vAlign w:val="bottom"/>
            <w:tcBorders>
              <w:bottom w:val="single" w:sz="8" w:color="494949"/>
            </w:tcBorders>
          </w:tcPr>
          <w:p>
            <w:pPr>
              <w:spacing w:after="0"/>
              <w:rPr>
                <w:sz w:val="19"/>
                <w:szCs w:val="19"/>
                <w:color w:val="auto"/>
              </w:rPr>
            </w:pPr>
          </w:p>
        </w:tc>
        <w:tc>
          <w:tcPr>
            <w:tcW w:w="3440" w:type="dxa"/>
            <w:vAlign w:val="bottom"/>
            <w:tcBorders>
              <w:bottom w:val="single" w:sz="8" w:color="494949"/>
            </w:tcBorders>
            <w:gridSpan w:val="4"/>
          </w:tcPr>
          <w:p>
            <w:pPr>
              <w:jc w:val="right"/>
              <w:ind w:right="28"/>
              <w:spacing w:after="0"/>
              <w:rPr>
                <w:sz w:val="20"/>
                <w:szCs w:val="20"/>
                <w:color w:val="auto"/>
              </w:rPr>
            </w:pPr>
            <w:r>
              <w:rPr>
                <w:rFonts w:ascii="Arial" w:cs="Arial" w:eastAsia="Arial" w:hAnsi="Arial"/>
                <w:sz w:val="16"/>
                <w:szCs w:val="16"/>
                <w:color w:val="auto"/>
              </w:rPr>
              <w:t>Annual Compensation (For Performance Year)</w:t>
            </w:r>
          </w:p>
        </w:tc>
        <w:tc>
          <w:tcPr>
            <w:tcW w:w="440" w:type="dxa"/>
            <w:vAlign w:val="bottom"/>
            <w:tcBorders>
              <w:bottom w:val="single" w:sz="8" w:color="494949"/>
            </w:tcBorders>
          </w:tcPr>
          <w:p>
            <w:pPr>
              <w:spacing w:after="0"/>
              <w:rPr>
                <w:sz w:val="19"/>
                <w:szCs w:val="19"/>
                <w:color w:val="auto"/>
              </w:rPr>
            </w:pPr>
          </w:p>
        </w:tc>
        <w:tc>
          <w:tcPr>
            <w:tcW w:w="920" w:type="dxa"/>
            <w:vAlign w:val="bottom"/>
            <w:tcBorders>
              <w:bottom w:val="single" w:sz="8" w:color="494949"/>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Borders>
              <w:bottom w:val="single" w:sz="8" w:color="494949"/>
            </w:tcBorders>
          </w:tcPr>
          <w:p>
            <w:pPr>
              <w:spacing w:after="0"/>
              <w:rPr>
                <w:sz w:val="20"/>
                <w:szCs w:val="20"/>
                <w:color w:val="auto"/>
              </w:rPr>
            </w:pPr>
          </w:p>
        </w:tc>
        <w:tc>
          <w:tcPr>
            <w:tcW w:w="2540" w:type="dxa"/>
            <w:vAlign w:val="bottom"/>
            <w:tcBorders>
              <w:bottom w:val="single" w:sz="8" w:color="494949"/>
            </w:tcBorders>
            <w:gridSpan w:val="3"/>
          </w:tcPr>
          <w:p>
            <w:pPr>
              <w:jc w:val="right"/>
              <w:spacing w:after="0"/>
              <w:rPr>
                <w:sz w:val="20"/>
                <w:szCs w:val="20"/>
                <w:color w:val="auto"/>
              </w:rPr>
            </w:pPr>
            <w:r>
              <w:rPr>
                <w:rFonts w:ascii="Arial" w:cs="Arial" w:eastAsia="Arial" w:hAnsi="Arial"/>
                <w:sz w:val="16"/>
                <w:szCs w:val="16"/>
                <w:color w:val="auto"/>
              </w:rPr>
              <w:t>Incentive Compensation</w:t>
            </w:r>
          </w:p>
        </w:tc>
        <w:tc>
          <w:tcPr>
            <w:tcW w:w="900" w:type="dxa"/>
            <w:vAlign w:val="bottom"/>
            <w:tcBorders>
              <w:bottom w:val="single" w:sz="8" w:color="494949"/>
            </w:tcBorders>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16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Name and principal position</w:t>
            </w:r>
          </w:p>
        </w:tc>
        <w:tc>
          <w:tcPr>
            <w:tcW w:w="820" w:type="dxa"/>
            <w:vAlign w:val="bottom"/>
            <w:tcBorders>
              <w:bottom w:val="single" w:sz="8" w:color="494949"/>
            </w:tcBorders>
          </w:tcPr>
          <w:p>
            <w:pPr>
              <w:ind w:left="340"/>
              <w:spacing w:after="0"/>
              <w:rPr>
                <w:sz w:val="20"/>
                <w:szCs w:val="20"/>
                <w:color w:val="auto"/>
              </w:rPr>
            </w:pPr>
            <w:r>
              <w:rPr>
                <w:rFonts w:ascii="Arial" w:cs="Arial" w:eastAsia="Arial" w:hAnsi="Arial"/>
                <w:sz w:val="16"/>
                <w:szCs w:val="16"/>
                <w:color w:val="074A75"/>
              </w:rPr>
              <w:t>Year</w:t>
            </w:r>
          </w:p>
        </w:tc>
        <w:tc>
          <w:tcPr>
            <w:tcW w:w="1260" w:type="dxa"/>
            <w:vAlign w:val="bottom"/>
            <w:tcBorders>
              <w:bottom w:val="single" w:sz="8" w:color="494949"/>
            </w:tcBorders>
          </w:tcPr>
          <w:p>
            <w:pPr>
              <w:jc w:val="right"/>
              <w:ind w:right="388"/>
              <w:spacing w:after="0"/>
              <w:rPr>
                <w:sz w:val="20"/>
                <w:szCs w:val="20"/>
                <w:color w:val="auto"/>
              </w:rPr>
            </w:pPr>
            <w:r>
              <w:rPr>
                <w:rFonts w:ascii="Arial" w:cs="Arial" w:eastAsia="Arial" w:hAnsi="Arial"/>
                <w:sz w:val="16"/>
                <w:szCs w:val="16"/>
                <w:color w:val="074A75"/>
              </w:rPr>
              <w:t>Salary</w:t>
            </w:r>
          </w:p>
        </w:tc>
        <w:tc>
          <w:tcPr>
            <w:tcW w:w="200" w:type="dxa"/>
            <w:vAlign w:val="bottom"/>
            <w:tcBorders>
              <w:bottom w:val="single" w:sz="8" w:color="494949"/>
            </w:tcBorders>
          </w:tcPr>
          <w:p>
            <w:pPr>
              <w:spacing w:after="0"/>
              <w:rPr>
                <w:sz w:val="24"/>
                <w:szCs w:val="24"/>
                <w:color w:val="auto"/>
              </w:rPr>
            </w:pPr>
          </w:p>
        </w:tc>
        <w:tc>
          <w:tcPr>
            <w:tcW w:w="1140" w:type="dxa"/>
            <w:vAlign w:val="bottom"/>
            <w:tcBorders>
              <w:bottom w:val="single" w:sz="8" w:color="494949"/>
            </w:tcBorders>
          </w:tcPr>
          <w:p>
            <w:pPr>
              <w:jc w:val="right"/>
              <w:ind w:right="427"/>
              <w:spacing w:after="0"/>
              <w:rPr>
                <w:sz w:val="20"/>
                <w:szCs w:val="20"/>
                <w:color w:val="auto"/>
              </w:rPr>
            </w:pPr>
            <w:r>
              <w:rPr>
                <w:rFonts w:ascii="Arial" w:cs="Arial" w:eastAsia="Arial" w:hAnsi="Arial"/>
                <w:sz w:val="16"/>
                <w:szCs w:val="16"/>
                <w:color w:val="074A75"/>
              </w:rPr>
              <w:t>Cash</w:t>
            </w:r>
          </w:p>
        </w:tc>
        <w:tc>
          <w:tcPr>
            <w:tcW w:w="240" w:type="dxa"/>
            <w:vAlign w:val="bottom"/>
            <w:tcBorders>
              <w:bottom w:val="single" w:sz="8" w:color="494949"/>
            </w:tcBorders>
          </w:tcPr>
          <w:p>
            <w:pPr>
              <w:spacing w:after="0"/>
              <w:rPr>
                <w:sz w:val="24"/>
                <w:szCs w:val="24"/>
                <w:color w:val="auto"/>
              </w:rPr>
            </w:pPr>
          </w:p>
        </w:tc>
        <w:tc>
          <w:tcPr>
            <w:tcW w:w="1160" w:type="dxa"/>
            <w:vAlign w:val="bottom"/>
            <w:tcBorders>
              <w:bottom w:val="single" w:sz="8" w:color="494949"/>
            </w:tcBorders>
          </w:tcPr>
          <w:p>
            <w:pPr>
              <w:jc w:val="right"/>
              <w:ind w:right="588"/>
              <w:spacing w:after="0"/>
              <w:rPr>
                <w:sz w:val="20"/>
                <w:szCs w:val="20"/>
                <w:color w:val="auto"/>
              </w:rPr>
            </w:pPr>
            <w:r>
              <w:rPr>
                <w:rFonts w:ascii="Arial" w:cs="Arial" w:eastAsia="Arial" w:hAnsi="Arial"/>
                <w:sz w:val="16"/>
                <w:szCs w:val="16"/>
                <w:color w:val="074A75"/>
              </w:rPr>
              <w:t>RSUs</w:t>
            </w:r>
          </w:p>
        </w:tc>
        <w:tc>
          <w:tcPr>
            <w:tcW w:w="900" w:type="dxa"/>
            <w:vAlign w:val="bottom"/>
            <w:tcBorders>
              <w:bottom w:val="single" w:sz="8" w:color="494949"/>
            </w:tcBorders>
          </w:tcPr>
          <w:p>
            <w:pPr>
              <w:jc w:val="right"/>
              <w:ind w:right="308"/>
              <w:spacing w:after="0"/>
              <w:rPr>
                <w:sz w:val="20"/>
                <w:szCs w:val="20"/>
                <w:color w:val="auto"/>
              </w:rPr>
            </w:pPr>
            <w:r>
              <w:rPr>
                <w:rFonts w:ascii="Arial" w:cs="Arial" w:eastAsia="Arial" w:hAnsi="Arial"/>
                <w:sz w:val="16"/>
                <w:szCs w:val="16"/>
                <w:color w:val="074A75"/>
              </w:rPr>
              <w:t>PSUs</w:t>
            </w:r>
            <w:r>
              <w:rPr>
                <w:rFonts w:ascii="Arial" w:cs="Arial" w:eastAsia="Arial" w:hAnsi="Arial"/>
                <w:sz w:val="21"/>
                <w:szCs w:val="21"/>
                <w:color w:val="074A75"/>
                <w:vertAlign w:val="superscript"/>
              </w:rPr>
              <w:t>1</w:t>
            </w:r>
          </w:p>
        </w:tc>
        <w:tc>
          <w:tcPr>
            <w:tcW w:w="440" w:type="dxa"/>
            <w:vAlign w:val="bottom"/>
            <w:tcBorders>
              <w:bottom w:val="single" w:sz="8" w:color="494949"/>
            </w:tcBorders>
          </w:tcPr>
          <w:p>
            <w:pPr>
              <w:spacing w:after="0"/>
              <w:rPr>
                <w:sz w:val="24"/>
                <w:szCs w:val="24"/>
                <w:color w:val="auto"/>
              </w:rPr>
            </w:pPr>
          </w:p>
        </w:tc>
        <w:tc>
          <w:tcPr>
            <w:tcW w:w="920" w:type="dxa"/>
            <w:vAlign w:val="bottom"/>
            <w:tcBorders>
              <w:bottom w:val="single" w:sz="8" w:color="494949"/>
            </w:tcBorders>
          </w:tcPr>
          <w:p>
            <w:pPr>
              <w:ind w:left="140"/>
              <w:spacing w:after="0"/>
              <w:rPr>
                <w:sz w:val="20"/>
                <w:szCs w:val="20"/>
                <w:color w:val="auto"/>
              </w:rPr>
            </w:pPr>
            <w:r>
              <w:rPr>
                <w:rFonts w:ascii="Arial" w:cs="Arial" w:eastAsia="Arial" w:hAnsi="Arial"/>
                <w:sz w:val="16"/>
                <w:szCs w:val="16"/>
                <w:color w:val="074A75"/>
              </w:rPr>
              <w:t>Total</w:t>
            </w:r>
          </w:p>
        </w:tc>
        <w:tc>
          <w:tcPr>
            <w:tcW w:w="0" w:type="dxa"/>
            <w:vAlign w:val="bottom"/>
          </w:tcPr>
          <w:p>
            <w:pPr>
              <w:spacing w:after="0"/>
              <w:rPr>
                <w:sz w:val="1"/>
                <w:szCs w:val="1"/>
                <w:color w:val="auto"/>
              </w:rPr>
            </w:pPr>
          </w:p>
        </w:tc>
      </w:tr>
      <w:tr>
        <w:trPr>
          <w:trHeight w:val="187"/>
        </w:trPr>
        <w:tc>
          <w:tcPr>
            <w:tcW w:w="4160" w:type="dxa"/>
            <w:vAlign w:val="bottom"/>
          </w:tcPr>
          <w:p>
            <w:pPr>
              <w:ind w:left="20"/>
              <w:spacing w:after="0" w:line="187" w:lineRule="exact"/>
              <w:rPr>
                <w:sz w:val="20"/>
                <w:szCs w:val="20"/>
                <w:color w:val="auto"/>
              </w:rPr>
            </w:pPr>
            <w:r>
              <w:rPr>
                <w:rFonts w:ascii="Arial" w:cs="Arial" w:eastAsia="Arial" w:hAnsi="Arial"/>
                <w:sz w:val="14"/>
                <w:szCs w:val="14"/>
                <w:b w:val="1"/>
                <w:bCs w:val="1"/>
                <w:color w:val="auto"/>
              </w:rPr>
              <w:t>James Dimon</w:t>
            </w:r>
            <w:r>
              <w:rPr>
                <w:rFonts w:ascii="Arial" w:cs="Arial" w:eastAsia="Arial" w:hAnsi="Arial"/>
                <w:sz w:val="18"/>
                <w:szCs w:val="18"/>
                <w:b w:val="1"/>
                <w:bCs w:val="1"/>
                <w:color w:val="auto"/>
                <w:vertAlign w:val="superscript"/>
              </w:rPr>
              <w:t>2</w:t>
            </w: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   1,500,000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7"/>
              <w:spacing w:after="0"/>
              <w:rPr>
                <w:sz w:val="20"/>
                <w:szCs w:val="20"/>
                <w:color w:val="auto"/>
              </w:rPr>
            </w:pPr>
            <w:r>
              <w:rPr>
                <w:rFonts w:ascii="Arial" w:cs="Arial" w:eastAsia="Arial" w:hAnsi="Arial"/>
                <w:sz w:val="14"/>
                <w:szCs w:val="14"/>
                <w:b w:val="1"/>
                <w:bCs w:val="1"/>
                <w:color w:val="auto"/>
              </w:rPr>
              <w:t>5,000,000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   $</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29,500,000</w:t>
            </w:r>
          </w:p>
        </w:tc>
        <w:tc>
          <w:tcPr>
            <w:tcW w:w="4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36,000,000</w:t>
            </w: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c>
          <w:tcPr>
            <w:tcW w:w="820" w:type="dxa"/>
            <w:vAlign w:val="bottom"/>
            <w:vMerge w:val="restart"/>
          </w:tcPr>
          <w:p>
            <w:pPr>
              <w:ind w:left="340"/>
              <w:spacing w:after="0"/>
              <w:rPr>
                <w:sz w:val="20"/>
                <w:szCs w:val="20"/>
                <w:color w:val="auto"/>
              </w:rPr>
            </w:pPr>
            <w:r>
              <w:rPr>
                <w:rFonts w:ascii="Arial" w:cs="Arial" w:eastAsia="Arial" w:hAnsi="Arial"/>
                <w:sz w:val="14"/>
                <w:szCs w:val="14"/>
                <w:color w:val="auto"/>
              </w:rPr>
              <w:t>2022</w:t>
            </w: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color w:val="auto"/>
              </w:rPr>
              <w:t>1,500,000</w:t>
            </w:r>
          </w:p>
        </w:tc>
        <w:tc>
          <w:tcPr>
            <w:tcW w:w="200" w:type="dxa"/>
            <w:vAlign w:val="bottom"/>
          </w:tcPr>
          <w:p>
            <w:pPr>
              <w:spacing w:after="0"/>
              <w:rPr>
                <w:sz w:val="16"/>
                <w:szCs w:val="16"/>
                <w:color w:val="auto"/>
              </w:rPr>
            </w:pPr>
          </w:p>
        </w:tc>
        <w:tc>
          <w:tcPr>
            <w:tcW w:w="1140" w:type="dxa"/>
            <w:vAlign w:val="bottom"/>
            <w:vMerge w:val="restart"/>
          </w:tcPr>
          <w:p>
            <w:pPr>
              <w:jc w:val="right"/>
              <w:ind w:right="27"/>
              <w:spacing w:after="0"/>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6"/>
                <w:szCs w:val="16"/>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28,000,000</w:t>
            </w:r>
          </w:p>
        </w:tc>
        <w:tc>
          <w:tcPr>
            <w:tcW w:w="440" w:type="dxa"/>
            <w:vAlign w:val="bottom"/>
          </w:tcPr>
          <w:p>
            <w:pPr>
              <w:spacing w:after="0"/>
              <w:rPr>
                <w:sz w:val="16"/>
                <w:szCs w:val="16"/>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34,500,000</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820" w:type="dxa"/>
            <w:vAlign w:val="bottom"/>
          </w:tcPr>
          <w:p>
            <w:pPr>
              <w:ind w:left="340"/>
              <w:spacing w:after="0"/>
              <w:rPr>
                <w:sz w:val="20"/>
                <w:szCs w:val="20"/>
                <w:color w:val="auto"/>
              </w:rPr>
            </w:pPr>
            <w:r>
              <w:rPr>
                <w:rFonts w:ascii="Arial" w:cs="Arial" w:eastAsia="Arial" w:hAnsi="Arial"/>
                <w:sz w:val="14"/>
                <w:szCs w:val="14"/>
                <w:color w:val="auto"/>
              </w:rPr>
              <w:t>2021</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1,500,000</w:t>
            </w:r>
          </w:p>
        </w:tc>
        <w:tc>
          <w:tcPr>
            <w:tcW w:w="200" w:type="dxa"/>
            <w:vAlign w:val="bottom"/>
          </w:tcPr>
          <w:p>
            <w:pPr>
              <w:spacing w:after="0"/>
              <w:rPr>
                <w:sz w:val="19"/>
                <w:szCs w:val="19"/>
                <w:color w:val="auto"/>
              </w:rPr>
            </w:pPr>
          </w:p>
        </w:tc>
        <w:tc>
          <w:tcPr>
            <w:tcW w:w="1140" w:type="dxa"/>
            <w:vAlign w:val="bottom"/>
          </w:tcPr>
          <w:p>
            <w:pPr>
              <w:jc w:val="right"/>
              <w:ind w:right="27"/>
              <w:spacing w:after="0"/>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9"/>
                <w:szCs w:val="19"/>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28,000,000</w:t>
            </w:r>
          </w:p>
        </w:tc>
        <w:tc>
          <w:tcPr>
            <w:tcW w:w="44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34,500,000</w:t>
            </w:r>
          </w:p>
        </w:tc>
        <w:tc>
          <w:tcPr>
            <w:tcW w:w="0" w:type="dxa"/>
            <w:vAlign w:val="bottom"/>
          </w:tcPr>
          <w:p>
            <w:pPr>
              <w:spacing w:after="0"/>
              <w:rPr>
                <w:sz w:val="1"/>
                <w:szCs w:val="1"/>
                <w:color w:val="auto"/>
              </w:rPr>
            </w:pPr>
          </w:p>
        </w:tc>
      </w:tr>
      <w:tr>
        <w:trPr>
          <w:trHeight w:val="22"/>
        </w:trPr>
        <w:tc>
          <w:tcPr>
            <w:tcW w:w="4160" w:type="dxa"/>
            <w:vAlign w:val="bottom"/>
            <w:tcBorders>
              <w:bottom w:val="single" w:sz="8" w:color="494949"/>
            </w:tcBorders>
          </w:tcPr>
          <w:p>
            <w:pPr>
              <w:spacing w:after="0" w:line="20" w:lineRule="exact"/>
              <w:rPr>
                <w:sz w:val="1"/>
                <w:szCs w:val="1"/>
                <w:color w:val="auto"/>
              </w:rPr>
            </w:pPr>
          </w:p>
        </w:tc>
        <w:tc>
          <w:tcPr>
            <w:tcW w:w="820" w:type="dxa"/>
            <w:vAlign w:val="bottom"/>
            <w:tcBorders>
              <w:bottom w:val="single" w:sz="8" w:color="494949"/>
            </w:tcBorders>
          </w:tcPr>
          <w:p>
            <w:pPr>
              <w:spacing w:after="0" w:line="20" w:lineRule="exact"/>
              <w:rPr>
                <w:sz w:val="1"/>
                <w:szCs w:val="1"/>
                <w:color w:val="auto"/>
              </w:rPr>
            </w:pPr>
          </w:p>
        </w:tc>
        <w:tc>
          <w:tcPr>
            <w:tcW w:w="1260" w:type="dxa"/>
            <w:vAlign w:val="bottom"/>
            <w:tcBorders>
              <w:bottom w:val="single" w:sz="8" w:color="494949"/>
            </w:tcBorders>
          </w:tcPr>
          <w:p>
            <w:pPr>
              <w:spacing w:after="0" w:line="20" w:lineRule="exact"/>
              <w:rPr>
                <w:sz w:val="1"/>
                <w:szCs w:val="1"/>
                <w:color w:val="auto"/>
              </w:rPr>
            </w:pPr>
          </w:p>
        </w:tc>
        <w:tc>
          <w:tcPr>
            <w:tcW w:w="200" w:type="dxa"/>
            <w:vAlign w:val="bottom"/>
            <w:tcBorders>
              <w:bottom w:val="single" w:sz="8" w:color="494949"/>
            </w:tcBorders>
          </w:tcPr>
          <w:p>
            <w:pPr>
              <w:spacing w:after="0" w:line="20" w:lineRule="exact"/>
              <w:rPr>
                <w:sz w:val="1"/>
                <w:szCs w:val="1"/>
                <w:color w:val="auto"/>
              </w:rPr>
            </w:pPr>
          </w:p>
        </w:tc>
        <w:tc>
          <w:tcPr>
            <w:tcW w:w="1140" w:type="dxa"/>
            <w:vAlign w:val="bottom"/>
            <w:tcBorders>
              <w:bottom w:val="single" w:sz="8" w:color="494949"/>
            </w:tcBorders>
          </w:tcPr>
          <w:p>
            <w:pPr>
              <w:spacing w:after="0" w:line="20" w:lineRule="exact"/>
              <w:rPr>
                <w:sz w:val="1"/>
                <w:szCs w:val="1"/>
                <w:color w:val="auto"/>
              </w:rPr>
            </w:pPr>
          </w:p>
        </w:tc>
        <w:tc>
          <w:tcPr>
            <w:tcW w:w="240" w:type="dxa"/>
            <w:vAlign w:val="bottom"/>
            <w:tcBorders>
              <w:bottom w:val="single" w:sz="8" w:color="494949"/>
            </w:tcBorders>
          </w:tcPr>
          <w:p>
            <w:pPr>
              <w:spacing w:after="0" w:line="20" w:lineRule="exact"/>
              <w:rPr>
                <w:sz w:val="1"/>
                <w:szCs w:val="1"/>
                <w:color w:val="auto"/>
              </w:rPr>
            </w:pPr>
          </w:p>
        </w:tc>
        <w:tc>
          <w:tcPr>
            <w:tcW w:w="1160" w:type="dxa"/>
            <w:vAlign w:val="bottom"/>
            <w:tcBorders>
              <w:bottom w:val="single" w:sz="8" w:color="494949"/>
            </w:tcBorders>
          </w:tcPr>
          <w:p>
            <w:pPr>
              <w:spacing w:after="0" w:line="20" w:lineRule="exact"/>
              <w:rPr>
                <w:sz w:val="1"/>
                <w:szCs w:val="1"/>
                <w:color w:val="auto"/>
              </w:rPr>
            </w:pPr>
          </w:p>
        </w:tc>
        <w:tc>
          <w:tcPr>
            <w:tcW w:w="900" w:type="dxa"/>
            <w:vAlign w:val="bottom"/>
            <w:tcBorders>
              <w:bottom w:val="single" w:sz="8" w:color="494949"/>
            </w:tcBorders>
          </w:tcPr>
          <w:p>
            <w:pPr>
              <w:spacing w:after="0" w:line="20" w:lineRule="exact"/>
              <w:rPr>
                <w:sz w:val="1"/>
                <w:szCs w:val="1"/>
                <w:color w:val="auto"/>
              </w:rPr>
            </w:pPr>
          </w:p>
        </w:tc>
        <w:tc>
          <w:tcPr>
            <w:tcW w:w="440" w:type="dxa"/>
            <w:vAlign w:val="bottom"/>
            <w:tcBorders>
              <w:bottom w:val="single" w:sz="8" w:color="494949"/>
            </w:tcBorders>
          </w:tcPr>
          <w:p>
            <w:pPr>
              <w:spacing w:after="0" w:line="20" w:lineRule="exact"/>
              <w:rPr>
                <w:sz w:val="1"/>
                <w:szCs w:val="1"/>
                <w:color w:val="auto"/>
              </w:rPr>
            </w:pPr>
          </w:p>
        </w:tc>
        <w:tc>
          <w:tcPr>
            <w:tcW w:w="9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20"/>
              <w:spacing w:after="0" w:line="187" w:lineRule="exact"/>
              <w:rPr>
                <w:sz w:val="20"/>
                <w:szCs w:val="20"/>
                <w:color w:val="auto"/>
              </w:rPr>
            </w:pPr>
            <w:r>
              <w:rPr>
                <w:rFonts w:ascii="Arial" w:cs="Arial" w:eastAsia="Arial" w:hAnsi="Arial"/>
                <w:sz w:val="14"/>
                <w:szCs w:val="14"/>
                <w:b w:val="1"/>
                <w:bCs w:val="1"/>
                <w:color w:val="auto"/>
              </w:rPr>
              <w:t>Daniel Pinto</w:t>
            </w:r>
            <w:r>
              <w:rPr>
                <w:rFonts w:ascii="Arial" w:cs="Arial" w:eastAsia="Arial" w:hAnsi="Arial"/>
                <w:sz w:val="18"/>
                <w:szCs w:val="18"/>
                <w:b w:val="1"/>
                <w:bCs w:val="1"/>
                <w:color w:val="auto"/>
                <w:vertAlign w:val="superscript"/>
              </w:rPr>
              <w:t>2,3</w:t>
            </w: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1,500,000</w:t>
            </w:r>
          </w:p>
        </w:tc>
        <w:tc>
          <w:tcPr>
            <w:tcW w:w="200" w:type="dxa"/>
            <w:vAlign w:val="bottom"/>
          </w:tcPr>
          <w:p>
            <w:pPr>
              <w:spacing w:after="0"/>
              <w:rPr>
                <w:sz w:val="16"/>
                <w:szCs w:val="16"/>
                <w:color w:val="auto"/>
              </w:rPr>
            </w:pPr>
          </w:p>
        </w:tc>
        <w:tc>
          <w:tcPr>
            <w:tcW w:w="1140" w:type="dxa"/>
            <w:vAlign w:val="bottom"/>
          </w:tcPr>
          <w:p>
            <w:pPr>
              <w:jc w:val="right"/>
              <w:ind w:right="27"/>
              <w:spacing w:after="0"/>
              <w:rPr>
                <w:sz w:val="20"/>
                <w:szCs w:val="20"/>
                <w:color w:val="auto"/>
              </w:rPr>
            </w:pPr>
            <w:r>
              <w:rPr>
                <w:rFonts w:ascii="Arial" w:cs="Arial" w:eastAsia="Arial" w:hAnsi="Arial"/>
                <w:sz w:val="14"/>
                <w:szCs w:val="14"/>
                <w:b w:val="1"/>
                <w:bCs w:val="1"/>
                <w:color w:val="auto"/>
              </w:rPr>
              <w:t>5,000,000</w:t>
            </w:r>
          </w:p>
        </w:tc>
        <w:tc>
          <w:tcPr>
            <w:tcW w:w="240" w:type="dxa"/>
            <w:vAlign w:val="bottom"/>
          </w:tcPr>
          <w:p>
            <w:pPr>
              <w:spacing w:after="0"/>
              <w:rPr>
                <w:sz w:val="16"/>
                <w:szCs w:val="16"/>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23,500,000</w:t>
            </w:r>
          </w:p>
        </w:tc>
        <w:tc>
          <w:tcPr>
            <w:tcW w:w="44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30,000,000</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4"/>
                <w:szCs w:val="14"/>
                <w:color w:val="auto"/>
              </w:rPr>
              <w:t>President and Chief Operating Officer</w:t>
            </w:r>
          </w:p>
        </w:tc>
        <w:tc>
          <w:tcPr>
            <w:tcW w:w="820" w:type="dxa"/>
            <w:vAlign w:val="bottom"/>
            <w:vMerge w:val="restart"/>
          </w:tcPr>
          <w:p>
            <w:pPr>
              <w:ind w:left="340"/>
              <w:spacing w:after="0"/>
              <w:rPr>
                <w:sz w:val="20"/>
                <w:szCs w:val="20"/>
                <w:color w:val="auto"/>
              </w:rPr>
            </w:pPr>
            <w:r>
              <w:rPr>
                <w:rFonts w:ascii="Arial" w:cs="Arial" w:eastAsia="Arial" w:hAnsi="Arial"/>
                <w:sz w:val="14"/>
                <w:szCs w:val="14"/>
                <w:color w:val="auto"/>
              </w:rPr>
              <w:t>2022</w:t>
            </w: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color w:val="auto"/>
              </w:rPr>
              <w:t>1,500,000</w:t>
            </w:r>
          </w:p>
        </w:tc>
        <w:tc>
          <w:tcPr>
            <w:tcW w:w="200" w:type="dxa"/>
            <w:vAlign w:val="bottom"/>
          </w:tcPr>
          <w:p>
            <w:pPr>
              <w:spacing w:after="0"/>
              <w:rPr>
                <w:sz w:val="15"/>
                <w:szCs w:val="15"/>
                <w:color w:val="auto"/>
              </w:rPr>
            </w:pPr>
          </w:p>
        </w:tc>
        <w:tc>
          <w:tcPr>
            <w:tcW w:w="1140" w:type="dxa"/>
            <w:vAlign w:val="bottom"/>
            <w:vMerge w:val="restart"/>
          </w:tcPr>
          <w:p>
            <w:pPr>
              <w:jc w:val="right"/>
              <w:ind w:right="27"/>
              <w:spacing w:after="0"/>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5"/>
                <w:szCs w:val="15"/>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22,000,000</w:t>
            </w:r>
          </w:p>
        </w:tc>
        <w:tc>
          <w:tcPr>
            <w:tcW w:w="440" w:type="dxa"/>
            <w:vAlign w:val="bottom"/>
          </w:tcPr>
          <w:p>
            <w:pPr>
              <w:spacing w:after="0"/>
              <w:rPr>
                <w:sz w:val="15"/>
                <w:szCs w:val="15"/>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28,500,000</w:t>
            </w:r>
          </w:p>
        </w:tc>
        <w:tc>
          <w:tcPr>
            <w:tcW w:w="0" w:type="dxa"/>
            <w:vAlign w:val="bottom"/>
          </w:tcPr>
          <w:p>
            <w:pPr>
              <w:spacing w:after="0"/>
              <w:rPr>
                <w:sz w:val="1"/>
                <w:szCs w:val="1"/>
                <w:color w:val="auto"/>
              </w:rPr>
            </w:pPr>
          </w:p>
        </w:tc>
      </w:tr>
      <w:tr>
        <w:trPr>
          <w:trHeight w:val="69"/>
        </w:trPr>
        <w:tc>
          <w:tcPr>
            <w:tcW w:w="4160" w:type="dxa"/>
            <w:vAlign w:val="bottom"/>
            <w:vMerge w:val="restart"/>
          </w:tcPr>
          <w:p>
            <w:pPr>
              <w:ind w:left="20"/>
              <w:spacing w:after="0"/>
              <w:rPr>
                <w:sz w:val="20"/>
                <w:szCs w:val="20"/>
                <w:color w:val="auto"/>
              </w:rPr>
            </w:pPr>
            <w:r>
              <w:rPr>
                <w:rFonts w:ascii="Arial" w:cs="Arial" w:eastAsia="Arial" w:hAnsi="Arial"/>
                <w:sz w:val="14"/>
                <w:szCs w:val="14"/>
                <w:color w:val="auto"/>
              </w:rPr>
              <w:t>Former CEO, Corporate &amp; Investment Bank</w:t>
            </w:r>
          </w:p>
        </w:tc>
        <w:tc>
          <w:tcPr>
            <w:tcW w:w="8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160" w:type="dxa"/>
            <w:vAlign w:val="bottom"/>
            <w:vMerge w:val="continue"/>
          </w:tcPr>
          <w:p>
            <w:pPr>
              <w:spacing w:after="0"/>
              <w:rPr>
                <w:sz w:val="10"/>
                <w:szCs w:val="10"/>
                <w:color w:val="auto"/>
              </w:rPr>
            </w:pPr>
          </w:p>
        </w:tc>
        <w:tc>
          <w:tcPr>
            <w:tcW w:w="820" w:type="dxa"/>
            <w:vAlign w:val="bottom"/>
            <w:vMerge w:val="restart"/>
          </w:tcPr>
          <w:p>
            <w:pPr>
              <w:ind w:left="340"/>
              <w:spacing w:after="0"/>
              <w:rPr>
                <w:sz w:val="20"/>
                <w:szCs w:val="20"/>
                <w:color w:val="auto"/>
              </w:rPr>
            </w:pPr>
            <w:r>
              <w:rPr>
                <w:rFonts w:ascii="Arial" w:cs="Arial" w:eastAsia="Arial" w:hAnsi="Arial"/>
                <w:sz w:val="14"/>
                <w:szCs w:val="14"/>
                <w:color w:val="auto"/>
              </w:rPr>
              <w:t>2021</w:t>
            </w: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color w:val="auto"/>
              </w:rPr>
              <w:t>9,055,948</w:t>
            </w:r>
          </w:p>
        </w:tc>
        <w:tc>
          <w:tcPr>
            <w:tcW w:w="200" w:type="dxa"/>
            <w:vAlign w:val="bottom"/>
          </w:tcPr>
          <w:p>
            <w:pPr>
              <w:spacing w:after="0"/>
              <w:rPr>
                <w:sz w:val="10"/>
                <w:szCs w:val="10"/>
                <w:color w:val="auto"/>
              </w:rPr>
            </w:pPr>
          </w:p>
        </w:tc>
        <w:tc>
          <w:tcPr>
            <w:tcW w:w="114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color w:val="auto"/>
              </w:rPr>
              <w:t>9,722,026</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9,722,026</w:t>
            </w:r>
          </w:p>
        </w:tc>
        <w:tc>
          <w:tcPr>
            <w:tcW w:w="440" w:type="dxa"/>
            <w:vAlign w:val="bottom"/>
          </w:tcPr>
          <w:p>
            <w:pPr>
              <w:spacing w:after="0"/>
              <w:rPr>
                <w:sz w:val="10"/>
                <w:szCs w:val="10"/>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28,500,000</w:t>
            </w:r>
          </w:p>
        </w:tc>
        <w:tc>
          <w:tcPr>
            <w:tcW w:w="0" w:type="dxa"/>
            <w:vAlign w:val="bottom"/>
          </w:tcPr>
          <w:p>
            <w:pPr>
              <w:spacing w:after="0"/>
              <w:rPr>
                <w:sz w:val="1"/>
                <w:szCs w:val="1"/>
                <w:color w:val="auto"/>
              </w:rPr>
            </w:pPr>
          </w:p>
        </w:tc>
      </w:tr>
      <w:tr>
        <w:trPr>
          <w:trHeight w:val="108"/>
        </w:trPr>
        <w:tc>
          <w:tcPr>
            <w:tcW w:w="4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160" w:type="dxa"/>
            <w:vAlign w:val="bottom"/>
            <w:tcBorders>
              <w:bottom w:val="single" w:sz="8" w:color="494949"/>
            </w:tcBorders>
          </w:tcPr>
          <w:p>
            <w:pPr>
              <w:spacing w:after="0" w:line="20" w:lineRule="exact"/>
              <w:rPr>
                <w:sz w:val="1"/>
                <w:szCs w:val="1"/>
                <w:color w:val="auto"/>
              </w:rPr>
            </w:pPr>
          </w:p>
        </w:tc>
        <w:tc>
          <w:tcPr>
            <w:tcW w:w="820" w:type="dxa"/>
            <w:vAlign w:val="bottom"/>
            <w:tcBorders>
              <w:bottom w:val="single" w:sz="8" w:color="494949"/>
            </w:tcBorders>
          </w:tcPr>
          <w:p>
            <w:pPr>
              <w:spacing w:after="0" w:line="20" w:lineRule="exact"/>
              <w:rPr>
                <w:sz w:val="1"/>
                <w:szCs w:val="1"/>
                <w:color w:val="auto"/>
              </w:rPr>
            </w:pPr>
          </w:p>
        </w:tc>
        <w:tc>
          <w:tcPr>
            <w:tcW w:w="1260" w:type="dxa"/>
            <w:vAlign w:val="bottom"/>
            <w:tcBorders>
              <w:bottom w:val="single" w:sz="8" w:color="494949"/>
            </w:tcBorders>
          </w:tcPr>
          <w:p>
            <w:pPr>
              <w:spacing w:after="0" w:line="20" w:lineRule="exact"/>
              <w:rPr>
                <w:sz w:val="1"/>
                <w:szCs w:val="1"/>
                <w:color w:val="auto"/>
              </w:rPr>
            </w:pPr>
          </w:p>
        </w:tc>
        <w:tc>
          <w:tcPr>
            <w:tcW w:w="200" w:type="dxa"/>
            <w:vAlign w:val="bottom"/>
            <w:tcBorders>
              <w:bottom w:val="single" w:sz="8" w:color="494949"/>
            </w:tcBorders>
          </w:tcPr>
          <w:p>
            <w:pPr>
              <w:spacing w:after="0" w:line="20" w:lineRule="exact"/>
              <w:rPr>
                <w:sz w:val="1"/>
                <w:szCs w:val="1"/>
                <w:color w:val="auto"/>
              </w:rPr>
            </w:pPr>
          </w:p>
        </w:tc>
        <w:tc>
          <w:tcPr>
            <w:tcW w:w="1140" w:type="dxa"/>
            <w:vAlign w:val="bottom"/>
            <w:tcBorders>
              <w:bottom w:val="single" w:sz="8" w:color="494949"/>
            </w:tcBorders>
          </w:tcPr>
          <w:p>
            <w:pPr>
              <w:spacing w:after="0" w:line="20" w:lineRule="exact"/>
              <w:rPr>
                <w:sz w:val="1"/>
                <w:szCs w:val="1"/>
                <w:color w:val="auto"/>
              </w:rPr>
            </w:pPr>
          </w:p>
        </w:tc>
        <w:tc>
          <w:tcPr>
            <w:tcW w:w="240" w:type="dxa"/>
            <w:vAlign w:val="bottom"/>
            <w:tcBorders>
              <w:bottom w:val="single" w:sz="8" w:color="494949"/>
            </w:tcBorders>
          </w:tcPr>
          <w:p>
            <w:pPr>
              <w:spacing w:after="0" w:line="20" w:lineRule="exact"/>
              <w:rPr>
                <w:sz w:val="1"/>
                <w:szCs w:val="1"/>
                <w:color w:val="auto"/>
              </w:rPr>
            </w:pPr>
          </w:p>
        </w:tc>
        <w:tc>
          <w:tcPr>
            <w:tcW w:w="1160" w:type="dxa"/>
            <w:vAlign w:val="bottom"/>
            <w:tcBorders>
              <w:bottom w:val="single" w:sz="8" w:color="494949"/>
            </w:tcBorders>
          </w:tcPr>
          <w:p>
            <w:pPr>
              <w:spacing w:after="0" w:line="20" w:lineRule="exact"/>
              <w:rPr>
                <w:sz w:val="1"/>
                <w:szCs w:val="1"/>
                <w:color w:val="auto"/>
              </w:rPr>
            </w:pPr>
          </w:p>
        </w:tc>
        <w:tc>
          <w:tcPr>
            <w:tcW w:w="900" w:type="dxa"/>
            <w:vAlign w:val="bottom"/>
            <w:tcBorders>
              <w:bottom w:val="single" w:sz="8" w:color="494949"/>
            </w:tcBorders>
          </w:tcPr>
          <w:p>
            <w:pPr>
              <w:spacing w:after="0" w:line="20" w:lineRule="exact"/>
              <w:rPr>
                <w:sz w:val="1"/>
                <w:szCs w:val="1"/>
                <w:color w:val="auto"/>
              </w:rPr>
            </w:pPr>
          </w:p>
        </w:tc>
        <w:tc>
          <w:tcPr>
            <w:tcW w:w="440" w:type="dxa"/>
            <w:vAlign w:val="bottom"/>
            <w:tcBorders>
              <w:bottom w:val="single" w:sz="8" w:color="494949"/>
            </w:tcBorders>
          </w:tcPr>
          <w:p>
            <w:pPr>
              <w:spacing w:after="0" w:line="20" w:lineRule="exact"/>
              <w:rPr>
                <w:sz w:val="1"/>
                <w:szCs w:val="1"/>
                <w:color w:val="auto"/>
              </w:rPr>
            </w:pPr>
          </w:p>
        </w:tc>
        <w:tc>
          <w:tcPr>
            <w:tcW w:w="9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20"/>
              <w:spacing w:after="0" w:line="187" w:lineRule="exact"/>
              <w:rPr>
                <w:sz w:val="20"/>
                <w:szCs w:val="20"/>
                <w:color w:val="auto"/>
              </w:rPr>
            </w:pPr>
            <w:r>
              <w:rPr>
                <w:rFonts w:ascii="Arial" w:cs="Arial" w:eastAsia="Arial" w:hAnsi="Arial"/>
                <w:sz w:val="14"/>
                <w:szCs w:val="14"/>
                <w:b w:val="1"/>
                <w:bCs w:val="1"/>
                <w:color w:val="auto"/>
              </w:rPr>
              <w:t>Mary Callahan Erdoes</w:t>
            </w:r>
            <w:r>
              <w:rPr>
                <w:rFonts w:ascii="Arial" w:cs="Arial" w:eastAsia="Arial" w:hAnsi="Arial"/>
                <w:sz w:val="18"/>
                <w:szCs w:val="18"/>
                <w:b w:val="1"/>
                <w:bCs w:val="1"/>
                <w:color w:val="auto"/>
                <w:vertAlign w:val="superscript"/>
              </w:rPr>
              <w:t>4</w:t>
            </w: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750,000</w:t>
            </w:r>
          </w:p>
        </w:tc>
        <w:tc>
          <w:tcPr>
            <w:tcW w:w="200" w:type="dxa"/>
            <w:vAlign w:val="bottom"/>
          </w:tcPr>
          <w:p>
            <w:pPr>
              <w:spacing w:after="0"/>
              <w:rPr>
                <w:sz w:val="16"/>
                <w:szCs w:val="16"/>
                <w:color w:val="auto"/>
              </w:rPr>
            </w:pPr>
          </w:p>
        </w:tc>
        <w:tc>
          <w:tcPr>
            <w:tcW w:w="1140" w:type="dxa"/>
            <w:vAlign w:val="bottom"/>
          </w:tcPr>
          <w:p>
            <w:pPr>
              <w:jc w:val="right"/>
              <w:ind w:right="27"/>
              <w:spacing w:after="0"/>
              <w:rPr>
                <w:sz w:val="20"/>
                <w:szCs w:val="20"/>
                <w:color w:val="auto"/>
              </w:rPr>
            </w:pPr>
            <w:r>
              <w:rPr>
                <w:rFonts w:ascii="Arial" w:cs="Arial" w:eastAsia="Arial" w:hAnsi="Arial"/>
                <w:sz w:val="14"/>
                <w:szCs w:val="14"/>
                <w:b w:val="1"/>
                <w:bCs w:val="1"/>
                <w:color w:val="auto"/>
              </w:rPr>
              <w:t>10,500,000</w:t>
            </w:r>
          </w:p>
        </w:tc>
        <w:tc>
          <w:tcPr>
            <w:tcW w:w="240" w:type="dxa"/>
            <w:vAlign w:val="bottom"/>
          </w:tcPr>
          <w:p>
            <w:pPr>
              <w:spacing w:after="0"/>
              <w:rPr>
                <w:sz w:val="16"/>
                <w:szCs w:val="16"/>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7,875,000</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7,875,000</w:t>
            </w:r>
          </w:p>
        </w:tc>
        <w:tc>
          <w:tcPr>
            <w:tcW w:w="44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27,000,000</w:t>
            </w: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Arial" w:cs="Arial" w:eastAsia="Arial" w:hAnsi="Arial"/>
                <w:sz w:val="14"/>
                <w:szCs w:val="14"/>
                <w:color w:val="auto"/>
              </w:rPr>
              <w:t>Chief Executive Officer, Asset &amp; Wealth Management</w:t>
            </w:r>
          </w:p>
        </w:tc>
        <w:tc>
          <w:tcPr>
            <w:tcW w:w="820" w:type="dxa"/>
            <w:vAlign w:val="bottom"/>
            <w:vMerge w:val="restart"/>
          </w:tcPr>
          <w:p>
            <w:pPr>
              <w:ind w:left="340"/>
              <w:spacing w:after="0"/>
              <w:rPr>
                <w:sz w:val="20"/>
                <w:szCs w:val="20"/>
                <w:color w:val="auto"/>
              </w:rPr>
            </w:pPr>
            <w:r>
              <w:rPr>
                <w:rFonts w:ascii="Arial" w:cs="Arial" w:eastAsia="Arial" w:hAnsi="Arial"/>
                <w:sz w:val="14"/>
                <w:szCs w:val="14"/>
                <w:color w:val="auto"/>
              </w:rPr>
              <w:t>2022</w:t>
            </w: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color w:val="auto"/>
              </w:rPr>
              <w:t>750,000</w:t>
            </w:r>
          </w:p>
        </w:tc>
        <w:tc>
          <w:tcPr>
            <w:tcW w:w="200" w:type="dxa"/>
            <w:vAlign w:val="bottom"/>
          </w:tcPr>
          <w:p>
            <w:pPr>
              <w:spacing w:after="0"/>
              <w:rPr>
                <w:sz w:val="16"/>
                <w:szCs w:val="16"/>
                <w:color w:val="auto"/>
              </w:rPr>
            </w:pPr>
          </w:p>
        </w:tc>
        <w:tc>
          <w:tcPr>
            <w:tcW w:w="1140" w:type="dxa"/>
            <w:vAlign w:val="bottom"/>
            <w:vMerge w:val="restart"/>
          </w:tcPr>
          <w:p>
            <w:pPr>
              <w:jc w:val="right"/>
              <w:ind w:right="27"/>
              <w:spacing w:after="0"/>
              <w:rPr>
                <w:sz w:val="20"/>
                <w:szCs w:val="20"/>
                <w:color w:val="auto"/>
              </w:rPr>
            </w:pPr>
            <w:r>
              <w:rPr>
                <w:rFonts w:ascii="Arial" w:cs="Arial" w:eastAsia="Arial" w:hAnsi="Arial"/>
                <w:sz w:val="14"/>
                <w:szCs w:val="14"/>
                <w:color w:val="auto"/>
              </w:rPr>
              <w:t>9,900,000</w:t>
            </w:r>
          </w:p>
        </w:tc>
        <w:tc>
          <w:tcPr>
            <w:tcW w:w="240" w:type="dxa"/>
            <w:vAlign w:val="bottom"/>
          </w:tcPr>
          <w:p>
            <w:pPr>
              <w:spacing w:after="0"/>
              <w:rPr>
                <w:sz w:val="16"/>
                <w:szCs w:val="16"/>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color w:val="auto"/>
              </w:rPr>
              <w:t>7,425,000</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7,425,000</w:t>
            </w:r>
          </w:p>
        </w:tc>
        <w:tc>
          <w:tcPr>
            <w:tcW w:w="440" w:type="dxa"/>
            <w:vAlign w:val="bottom"/>
          </w:tcPr>
          <w:p>
            <w:pPr>
              <w:spacing w:after="0"/>
              <w:rPr>
                <w:sz w:val="16"/>
                <w:szCs w:val="16"/>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25,500,000</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820" w:type="dxa"/>
            <w:vAlign w:val="bottom"/>
          </w:tcPr>
          <w:p>
            <w:pPr>
              <w:ind w:left="340"/>
              <w:spacing w:after="0"/>
              <w:rPr>
                <w:sz w:val="20"/>
                <w:szCs w:val="20"/>
                <w:color w:val="auto"/>
              </w:rPr>
            </w:pPr>
            <w:r>
              <w:rPr>
                <w:rFonts w:ascii="Arial" w:cs="Arial" w:eastAsia="Arial" w:hAnsi="Arial"/>
                <w:sz w:val="14"/>
                <w:szCs w:val="14"/>
                <w:color w:val="auto"/>
              </w:rPr>
              <w:t>2021</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750,000</w:t>
            </w:r>
          </w:p>
        </w:tc>
        <w:tc>
          <w:tcPr>
            <w:tcW w:w="200" w:type="dxa"/>
            <w:vAlign w:val="bottom"/>
          </w:tcPr>
          <w:p>
            <w:pPr>
              <w:spacing w:after="0"/>
              <w:rPr>
                <w:sz w:val="19"/>
                <w:szCs w:val="19"/>
                <w:color w:val="auto"/>
              </w:rPr>
            </w:pPr>
          </w:p>
        </w:tc>
        <w:tc>
          <w:tcPr>
            <w:tcW w:w="1140" w:type="dxa"/>
            <w:vAlign w:val="bottom"/>
          </w:tcPr>
          <w:p>
            <w:pPr>
              <w:jc w:val="right"/>
              <w:ind w:right="27"/>
              <w:spacing w:after="0"/>
              <w:rPr>
                <w:sz w:val="20"/>
                <w:szCs w:val="20"/>
                <w:color w:val="auto"/>
              </w:rPr>
            </w:pPr>
            <w:r>
              <w:rPr>
                <w:rFonts w:ascii="Arial" w:cs="Arial" w:eastAsia="Arial" w:hAnsi="Arial"/>
                <w:sz w:val="14"/>
                <w:szCs w:val="14"/>
                <w:color w:val="auto"/>
              </w:rPr>
              <w:t>7,900,000</w:t>
            </w:r>
          </w:p>
        </w:tc>
        <w:tc>
          <w:tcPr>
            <w:tcW w:w="240" w:type="dxa"/>
            <w:vAlign w:val="bottom"/>
          </w:tcPr>
          <w:p>
            <w:pPr>
              <w:spacing w:after="0"/>
              <w:rPr>
                <w:sz w:val="19"/>
                <w:szCs w:val="19"/>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5,925,000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5,925,000</w:t>
            </w:r>
          </w:p>
        </w:tc>
        <w:tc>
          <w:tcPr>
            <w:tcW w:w="44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20,500,000</w:t>
            </w:r>
          </w:p>
        </w:tc>
        <w:tc>
          <w:tcPr>
            <w:tcW w:w="0" w:type="dxa"/>
            <w:vAlign w:val="bottom"/>
          </w:tcPr>
          <w:p>
            <w:pPr>
              <w:spacing w:after="0"/>
              <w:rPr>
                <w:sz w:val="1"/>
                <w:szCs w:val="1"/>
                <w:color w:val="auto"/>
              </w:rPr>
            </w:pPr>
          </w:p>
        </w:tc>
      </w:tr>
      <w:tr>
        <w:trPr>
          <w:trHeight w:val="22"/>
        </w:trPr>
        <w:tc>
          <w:tcPr>
            <w:tcW w:w="4160" w:type="dxa"/>
            <w:vAlign w:val="bottom"/>
            <w:tcBorders>
              <w:bottom w:val="single" w:sz="8" w:color="494949"/>
            </w:tcBorders>
          </w:tcPr>
          <w:p>
            <w:pPr>
              <w:spacing w:after="0" w:line="20" w:lineRule="exact"/>
              <w:rPr>
                <w:sz w:val="1"/>
                <w:szCs w:val="1"/>
                <w:color w:val="auto"/>
              </w:rPr>
            </w:pPr>
          </w:p>
        </w:tc>
        <w:tc>
          <w:tcPr>
            <w:tcW w:w="820" w:type="dxa"/>
            <w:vAlign w:val="bottom"/>
            <w:tcBorders>
              <w:bottom w:val="single" w:sz="8" w:color="494949"/>
            </w:tcBorders>
          </w:tcPr>
          <w:p>
            <w:pPr>
              <w:spacing w:after="0" w:line="20" w:lineRule="exact"/>
              <w:rPr>
                <w:sz w:val="1"/>
                <w:szCs w:val="1"/>
                <w:color w:val="auto"/>
              </w:rPr>
            </w:pPr>
          </w:p>
        </w:tc>
        <w:tc>
          <w:tcPr>
            <w:tcW w:w="1260" w:type="dxa"/>
            <w:vAlign w:val="bottom"/>
            <w:tcBorders>
              <w:bottom w:val="single" w:sz="8" w:color="494949"/>
            </w:tcBorders>
          </w:tcPr>
          <w:p>
            <w:pPr>
              <w:spacing w:after="0" w:line="20" w:lineRule="exact"/>
              <w:rPr>
                <w:sz w:val="1"/>
                <w:szCs w:val="1"/>
                <w:color w:val="auto"/>
              </w:rPr>
            </w:pPr>
          </w:p>
        </w:tc>
        <w:tc>
          <w:tcPr>
            <w:tcW w:w="200" w:type="dxa"/>
            <w:vAlign w:val="bottom"/>
            <w:tcBorders>
              <w:bottom w:val="single" w:sz="8" w:color="494949"/>
            </w:tcBorders>
          </w:tcPr>
          <w:p>
            <w:pPr>
              <w:spacing w:after="0" w:line="20" w:lineRule="exact"/>
              <w:rPr>
                <w:sz w:val="1"/>
                <w:szCs w:val="1"/>
                <w:color w:val="auto"/>
              </w:rPr>
            </w:pPr>
          </w:p>
        </w:tc>
        <w:tc>
          <w:tcPr>
            <w:tcW w:w="1140" w:type="dxa"/>
            <w:vAlign w:val="bottom"/>
            <w:tcBorders>
              <w:bottom w:val="single" w:sz="8" w:color="494949"/>
            </w:tcBorders>
          </w:tcPr>
          <w:p>
            <w:pPr>
              <w:spacing w:after="0" w:line="20" w:lineRule="exact"/>
              <w:rPr>
                <w:sz w:val="1"/>
                <w:szCs w:val="1"/>
                <w:color w:val="auto"/>
              </w:rPr>
            </w:pPr>
          </w:p>
        </w:tc>
        <w:tc>
          <w:tcPr>
            <w:tcW w:w="240" w:type="dxa"/>
            <w:vAlign w:val="bottom"/>
            <w:tcBorders>
              <w:bottom w:val="single" w:sz="8" w:color="494949"/>
            </w:tcBorders>
          </w:tcPr>
          <w:p>
            <w:pPr>
              <w:spacing w:after="0" w:line="20" w:lineRule="exact"/>
              <w:rPr>
                <w:sz w:val="1"/>
                <w:szCs w:val="1"/>
                <w:color w:val="auto"/>
              </w:rPr>
            </w:pPr>
          </w:p>
        </w:tc>
        <w:tc>
          <w:tcPr>
            <w:tcW w:w="1160" w:type="dxa"/>
            <w:vAlign w:val="bottom"/>
            <w:tcBorders>
              <w:bottom w:val="single" w:sz="8" w:color="494949"/>
            </w:tcBorders>
          </w:tcPr>
          <w:p>
            <w:pPr>
              <w:spacing w:after="0" w:line="20" w:lineRule="exact"/>
              <w:rPr>
                <w:sz w:val="1"/>
                <w:szCs w:val="1"/>
                <w:color w:val="auto"/>
              </w:rPr>
            </w:pPr>
          </w:p>
        </w:tc>
        <w:tc>
          <w:tcPr>
            <w:tcW w:w="900" w:type="dxa"/>
            <w:vAlign w:val="bottom"/>
            <w:tcBorders>
              <w:bottom w:val="single" w:sz="8" w:color="494949"/>
            </w:tcBorders>
          </w:tcPr>
          <w:p>
            <w:pPr>
              <w:spacing w:after="0" w:line="20" w:lineRule="exact"/>
              <w:rPr>
                <w:sz w:val="1"/>
                <w:szCs w:val="1"/>
                <w:color w:val="auto"/>
              </w:rPr>
            </w:pPr>
          </w:p>
        </w:tc>
        <w:tc>
          <w:tcPr>
            <w:tcW w:w="440" w:type="dxa"/>
            <w:vAlign w:val="bottom"/>
            <w:tcBorders>
              <w:bottom w:val="single" w:sz="8" w:color="494949"/>
            </w:tcBorders>
          </w:tcPr>
          <w:p>
            <w:pPr>
              <w:spacing w:after="0" w:line="20" w:lineRule="exact"/>
              <w:rPr>
                <w:sz w:val="1"/>
                <w:szCs w:val="1"/>
                <w:color w:val="auto"/>
              </w:rPr>
            </w:pPr>
          </w:p>
        </w:tc>
        <w:tc>
          <w:tcPr>
            <w:tcW w:w="9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20"/>
              <w:spacing w:after="0" w:line="187" w:lineRule="exact"/>
              <w:rPr>
                <w:sz w:val="20"/>
                <w:szCs w:val="20"/>
                <w:color w:val="auto"/>
              </w:rPr>
            </w:pPr>
            <w:r>
              <w:rPr>
                <w:rFonts w:ascii="Arial" w:cs="Arial" w:eastAsia="Arial" w:hAnsi="Arial"/>
                <w:sz w:val="14"/>
                <w:szCs w:val="14"/>
                <w:b w:val="1"/>
                <w:bCs w:val="1"/>
                <w:color w:val="auto"/>
              </w:rPr>
              <w:t>Marianne Lake</w:t>
            </w:r>
            <w:r>
              <w:rPr>
                <w:rFonts w:ascii="Arial" w:cs="Arial" w:eastAsia="Arial" w:hAnsi="Arial"/>
                <w:sz w:val="18"/>
                <w:szCs w:val="18"/>
                <w:b w:val="1"/>
                <w:bCs w:val="1"/>
                <w:color w:val="auto"/>
                <w:vertAlign w:val="superscript"/>
              </w:rPr>
              <w:t>5</w:t>
            </w: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750,000</w:t>
            </w:r>
          </w:p>
        </w:tc>
        <w:tc>
          <w:tcPr>
            <w:tcW w:w="200" w:type="dxa"/>
            <w:vAlign w:val="bottom"/>
          </w:tcPr>
          <w:p>
            <w:pPr>
              <w:spacing w:after="0"/>
              <w:rPr>
                <w:sz w:val="16"/>
                <w:szCs w:val="16"/>
                <w:color w:val="auto"/>
              </w:rPr>
            </w:pPr>
          </w:p>
        </w:tc>
        <w:tc>
          <w:tcPr>
            <w:tcW w:w="1140" w:type="dxa"/>
            <w:vAlign w:val="bottom"/>
          </w:tcPr>
          <w:p>
            <w:pPr>
              <w:jc w:val="right"/>
              <w:ind w:right="27"/>
              <w:spacing w:after="0"/>
              <w:rPr>
                <w:sz w:val="20"/>
                <w:szCs w:val="20"/>
                <w:color w:val="auto"/>
              </w:rPr>
            </w:pPr>
            <w:r>
              <w:rPr>
                <w:rFonts w:ascii="Arial" w:cs="Arial" w:eastAsia="Arial" w:hAnsi="Arial"/>
                <w:sz w:val="14"/>
                <w:szCs w:val="14"/>
                <w:b w:val="1"/>
                <w:bCs w:val="1"/>
                <w:color w:val="auto"/>
              </w:rPr>
              <w:t>7,100,000</w:t>
            </w:r>
          </w:p>
        </w:tc>
        <w:tc>
          <w:tcPr>
            <w:tcW w:w="240" w:type="dxa"/>
            <w:vAlign w:val="bottom"/>
          </w:tcPr>
          <w:p>
            <w:pPr>
              <w:spacing w:after="0"/>
              <w:rPr>
                <w:sz w:val="16"/>
                <w:szCs w:val="16"/>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5,325,000</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5,325,000</w:t>
            </w:r>
          </w:p>
        </w:tc>
        <w:tc>
          <w:tcPr>
            <w:tcW w:w="44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18,500,000</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4"/>
                <w:szCs w:val="14"/>
                <w:color w:val="auto"/>
              </w:rPr>
              <w:t>Chief Executive Officer, Consumer &amp; Community Banking</w:t>
            </w:r>
          </w:p>
        </w:tc>
        <w:tc>
          <w:tcPr>
            <w:tcW w:w="820" w:type="dxa"/>
            <w:vAlign w:val="bottom"/>
            <w:vMerge w:val="restart"/>
          </w:tcPr>
          <w:p>
            <w:pPr>
              <w:ind w:left="340"/>
              <w:spacing w:after="0"/>
              <w:rPr>
                <w:sz w:val="20"/>
                <w:szCs w:val="20"/>
                <w:color w:val="auto"/>
              </w:rPr>
            </w:pPr>
            <w:r>
              <w:rPr>
                <w:rFonts w:ascii="Arial" w:cs="Arial" w:eastAsia="Arial" w:hAnsi="Arial"/>
                <w:sz w:val="14"/>
                <w:szCs w:val="14"/>
                <w:color w:val="auto"/>
              </w:rPr>
              <w:t>2022</w:t>
            </w: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color w:val="auto"/>
              </w:rPr>
              <w:t>750,000</w:t>
            </w:r>
          </w:p>
        </w:tc>
        <w:tc>
          <w:tcPr>
            <w:tcW w:w="200" w:type="dxa"/>
            <w:vAlign w:val="bottom"/>
          </w:tcPr>
          <w:p>
            <w:pPr>
              <w:spacing w:after="0"/>
              <w:rPr>
                <w:sz w:val="15"/>
                <w:szCs w:val="15"/>
                <w:color w:val="auto"/>
              </w:rPr>
            </w:pPr>
          </w:p>
        </w:tc>
        <w:tc>
          <w:tcPr>
            <w:tcW w:w="1140" w:type="dxa"/>
            <w:vAlign w:val="bottom"/>
            <w:vMerge w:val="restart"/>
          </w:tcPr>
          <w:p>
            <w:pPr>
              <w:jc w:val="right"/>
              <w:ind w:right="27"/>
              <w:spacing w:after="0"/>
              <w:rPr>
                <w:sz w:val="20"/>
                <w:szCs w:val="20"/>
                <w:color w:val="auto"/>
              </w:rPr>
            </w:pPr>
            <w:r>
              <w:rPr>
                <w:rFonts w:ascii="Arial" w:cs="Arial" w:eastAsia="Arial" w:hAnsi="Arial"/>
                <w:sz w:val="14"/>
                <w:szCs w:val="14"/>
                <w:color w:val="auto"/>
              </w:rPr>
              <w:t>6,700,000</w:t>
            </w:r>
          </w:p>
        </w:tc>
        <w:tc>
          <w:tcPr>
            <w:tcW w:w="240" w:type="dxa"/>
            <w:vAlign w:val="bottom"/>
          </w:tcPr>
          <w:p>
            <w:pPr>
              <w:spacing w:after="0"/>
              <w:rPr>
                <w:sz w:val="15"/>
                <w:szCs w:val="15"/>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color w:val="auto"/>
              </w:rPr>
              <w:t>5,025,000</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5,025,000</w:t>
            </w:r>
          </w:p>
        </w:tc>
        <w:tc>
          <w:tcPr>
            <w:tcW w:w="440" w:type="dxa"/>
            <w:vAlign w:val="bottom"/>
          </w:tcPr>
          <w:p>
            <w:pPr>
              <w:spacing w:after="0"/>
              <w:rPr>
                <w:sz w:val="15"/>
                <w:szCs w:val="15"/>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17,500,000</w:t>
            </w:r>
          </w:p>
        </w:tc>
        <w:tc>
          <w:tcPr>
            <w:tcW w:w="0" w:type="dxa"/>
            <w:vAlign w:val="bottom"/>
          </w:tcPr>
          <w:p>
            <w:pPr>
              <w:spacing w:after="0"/>
              <w:rPr>
                <w:sz w:val="1"/>
                <w:szCs w:val="1"/>
                <w:color w:val="auto"/>
              </w:rPr>
            </w:pPr>
          </w:p>
        </w:tc>
      </w:tr>
      <w:tr>
        <w:trPr>
          <w:trHeight w:val="136"/>
        </w:trPr>
        <w:tc>
          <w:tcPr>
            <w:tcW w:w="4160" w:type="dxa"/>
            <w:vAlign w:val="bottom"/>
            <w:vMerge w:val="restart"/>
          </w:tcPr>
          <w:p>
            <w:pPr>
              <w:ind w:left="20"/>
              <w:spacing w:after="0"/>
              <w:rPr>
                <w:sz w:val="20"/>
                <w:szCs w:val="20"/>
                <w:color w:val="auto"/>
              </w:rPr>
            </w:pPr>
            <w:r>
              <w:rPr>
                <w:rFonts w:ascii="Arial" w:cs="Arial" w:eastAsia="Arial" w:hAnsi="Arial"/>
                <w:sz w:val="14"/>
                <w:szCs w:val="14"/>
                <w:color w:val="auto"/>
              </w:rPr>
              <w:t>Former Co-CEO, Consumer &amp; Community Banking</w:t>
            </w:r>
          </w:p>
        </w:tc>
        <w:tc>
          <w:tcPr>
            <w:tcW w:w="8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4160" w:type="dxa"/>
            <w:vAlign w:val="bottom"/>
            <w:tcBorders>
              <w:bottom w:val="single" w:sz="8" w:color="494949"/>
            </w:tcBorders>
            <w:vMerge w:val="continue"/>
          </w:tcPr>
          <w:p>
            <w:pPr>
              <w:spacing w:after="0"/>
              <w:rPr>
                <w:sz w:val="5"/>
                <w:szCs w:val="5"/>
                <w:color w:val="auto"/>
              </w:rPr>
            </w:pPr>
          </w:p>
        </w:tc>
        <w:tc>
          <w:tcPr>
            <w:tcW w:w="820" w:type="dxa"/>
            <w:vAlign w:val="bottom"/>
            <w:tcBorders>
              <w:bottom w:val="single" w:sz="8" w:color="494949"/>
            </w:tcBorders>
          </w:tcPr>
          <w:p>
            <w:pPr>
              <w:spacing w:after="0"/>
              <w:rPr>
                <w:sz w:val="5"/>
                <w:szCs w:val="5"/>
                <w:color w:val="auto"/>
              </w:rPr>
            </w:pPr>
          </w:p>
        </w:tc>
        <w:tc>
          <w:tcPr>
            <w:tcW w:w="1260" w:type="dxa"/>
            <w:vAlign w:val="bottom"/>
            <w:tcBorders>
              <w:bottom w:val="single" w:sz="8" w:color="494949"/>
            </w:tcBorders>
          </w:tcPr>
          <w:p>
            <w:pPr>
              <w:spacing w:after="0"/>
              <w:rPr>
                <w:sz w:val="5"/>
                <w:szCs w:val="5"/>
                <w:color w:val="auto"/>
              </w:rPr>
            </w:pPr>
          </w:p>
        </w:tc>
        <w:tc>
          <w:tcPr>
            <w:tcW w:w="200" w:type="dxa"/>
            <w:vAlign w:val="bottom"/>
            <w:tcBorders>
              <w:bottom w:val="single" w:sz="8" w:color="494949"/>
            </w:tcBorders>
          </w:tcPr>
          <w:p>
            <w:pPr>
              <w:spacing w:after="0"/>
              <w:rPr>
                <w:sz w:val="5"/>
                <w:szCs w:val="5"/>
                <w:color w:val="auto"/>
              </w:rPr>
            </w:pPr>
          </w:p>
        </w:tc>
        <w:tc>
          <w:tcPr>
            <w:tcW w:w="1140" w:type="dxa"/>
            <w:vAlign w:val="bottom"/>
            <w:tcBorders>
              <w:bottom w:val="single" w:sz="8" w:color="494949"/>
            </w:tcBorders>
          </w:tcPr>
          <w:p>
            <w:pPr>
              <w:spacing w:after="0"/>
              <w:rPr>
                <w:sz w:val="5"/>
                <w:szCs w:val="5"/>
                <w:color w:val="auto"/>
              </w:rPr>
            </w:pPr>
          </w:p>
        </w:tc>
        <w:tc>
          <w:tcPr>
            <w:tcW w:w="240" w:type="dxa"/>
            <w:vAlign w:val="bottom"/>
            <w:tcBorders>
              <w:bottom w:val="single" w:sz="8" w:color="494949"/>
            </w:tcBorders>
          </w:tcPr>
          <w:p>
            <w:pPr>
              <w:spacing w:after="0"/>
              <w:rPr>
                <w:sz w:val="5"/>
                <w:szCs w:val="5"/>
                <w:color w:val="auto"/>
              </w:rPr>
            </w:pPr>
          </w:p>
        </w:tc>
        <w:tc>
          <w:tcPr>
            <w:tcW w:w="1160" w:type="dxa"/>
            <w:vAlign w:val="bottom"/>
            <w:tcBorders>
              <w:bottom w:val="single" w:sz="8" w:color="494949"/>
            </w:tcBorders>
          </w:tcPr>
          <w:p>
            <w:pPr>
              <w:spacing w:after="0"/>
              <w:rPr>
                <w:sz w:val="5"/>
                <w:szCs w:val="5"/>
                <w:color w:val="auto"/>
              </w:rPr>
            </w:pPr>
          </w:p>
        </w:tc>
        <w:tc>
          <w:tcPr>
            <w:tcW w:w="900" w:type="dxa"/>
            <w:vAlign w:val="bottom"/>
            <w:tcBorders>
              <w:bottom w:val="single" w:sz="8" w:color="494949"/>
            </w:tcBorders>
          </w:tcPr>
          <w:p>
            <w:pPr>
              <w:spacing w:after="0"/>
              <w:rPr>
                <w:sz w:val="5"/>
                <w:szCs w:val="5"/>
                <w:color w:val="auto"/>
              </w:rPr>
            </w:pPr>
          </w:p>
        </w:tc>
        <w:tc>
          <w:tcPr>
            <w:tcW w:w="440" w:type="dxa"/>
            <w:vAlign w:val="bottom"/>
            <w:tcBorders>
              <w:bottom w:val="single" w:sz="8" w:color="494949"/>
            </w:tcBorders>
          </w:tcPr>
          <w:p>
            <w:pPr>
              <w:spacing w:after="0"/>
              <w:rPr>
                <w:sz w:val="5"/>
                <w:szCs w:val="5"/>
                <w:color w:val="auto"/>
              </w:rPr>
            </w:pPr>
          </w:p>
        </w:tc>
        <w:tc>
          <w:tcPr>
            <w:tcW w:w="920" w:type="dxa"/>
            <w:vAlign w:val="bottom"/>
            <w:tcBorders>
              <w:bottom w:val="single" w:sz="8" w:color="494949"/>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line="191" w:lineRule="exact"/>
              <w:rPr>
                <w:sz w:val="20"/>
                <w:szCs w:val="20"/>
                <w:color w:val="auto"/>
              </w:rPr>
            </w:pPr>
            <w:r>
              <w:rPr>
                <w:rFonts w:ascii="Arial" w:cs="Arial" w:eastAsia="Arial" w:hAnsi="Arial"/>
                <w:sz w:val="14"/>
                <w:szCs w:val="14"/>
                <w:b w:val="1"/>
                <w:bCs w:val="1"/>
                <w:color w:val="auto"/>
              </w:rPr>
              <w:t>Jennifer Piepszak</w:t>
            </w:r>
            <w:r>
              <w:rPr>
                <w:rFonts w:ascii="Arial" w:cs="Arial" w:eastAsia="Arial" w:hAnsi="Arial"/>
                <w:sz w:val="18"/>
                <w:szCs w:val="18"/>
                <w:b w:val="1"/>
                <w:bCs w:val="1"/>
                <w:color w:val="auto"/>
                <w:vertAlign w:val="superscript"/>
              </w:rPr>
              <w:t>6</w:t>
            </w: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750,000</w:t>
            </w:r>
          </w:p>
        </w:tc>
        <w:tc>
          <w:tcPr>
            <w:tcW w:w="200" w:type="dxa"/>
            <w:vAlign w:val="bottom"/>
          </w:tcPr>
          <w:p>
            <w:pPr>
              <w:spacing w:after="0"/>
              <w:rPr>
                <w:sz w:val="16"/>
                <w:szCs w:val="16"/>
                <w:color w:val="auto"/>
              </w:rPr>
            </w:pPr>
          </w:p>
        </w:tc>
        <w:tc>
          <w:tcPr>
            <w:tcW w:w="1140" w:type="dxa"/>
            <w:vAlign w:val="bottom"/>
          </w:tcPr>
          <w:p>
            <w:pPr>
              <w:jc w:val="right"/>
              <w:ind w:right="27"/>
              <w:spacing w:after="0"/>
              <w:rPr>
                <w:sz w:val="20"/>
                <w:szCs w:val="20"/>
                <w:color w:val="auto"/>
              </w:rPr>
            </w:pPr>
            <w:r>
              <w:rPr>
                <w:rFonts w:ascii="Arial" w:cs="Arial" w:eastAsia="Arial" w:hAnsi="Arial"/>
                <w:sz w:val="14"/>
                <w:szCs w:val="14"/>
                <w:b w:val="1"/>
                <w:bCs w:val="1"/>
                <w:color w:val="auto"/>
              </w:rPr>
              <w:t>7,100,000</w:t>
            </w:r>
          </w:p>
        </w:tc>
        <w:tc>
          <w:tcPr>
            <w:tcW w:w="240" w:type="dxa"/>
            <w:vAlign w:val="bottom"/>
          </w:tcPr>
          <w:p>
            <w:pPr>
              <w:spacing w:after="0"/>
              <w:rPr>
                <w:sz w:val="16"/>
                <w:szCs w:val="16"/>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5,325,000</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5,325,000</w:t>
            </w:r>
          </w:p>
        </w:tc>
        <w:tc>
          <w:tcPr>
            <w:tcW w:w="44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18,500,000</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4"/>
                <w:szCs w:val="14"/>
                <w:color w:val="auto"/>
              </w:rPr>
              <w:t>Co-Chief Executive Officer, Commercial &amp; Investment Bank</w:t>
            </w:r>
          </w:p>
        </w:tc>
        <w:tc>
          <w:tcPr>
            <w:tcW w:w="820" w:type="dxa"/>
            <w:vAlign w:val="bottom"/>
            <w:vMerge w:val="restart"/>
          </w:tcPr>
          <w:p>
            <w:pPr>
              <w:ind w:left="340"/>
              <w:spacing w:after="0"/>
              <w:rPr>
                <w:sz w:val="20"/>
                <w:szCs w:val="20"/>
                <w:color w:val="auto"/>
              </w:rPr>
            </w:pPr>
            <w:r>
              <w:rPr>
                <w:rFonts w:ascii="Arial" w:cs="Arial" w:eastAsia="Arial" w:hAnsi="Arial"/>
                <w:sz w:val="14"/>
                <w:szCs w:val="14"/>
                <w:color w:val="auto"/>
              </w:rPr>
              <w:t>2022</w:t>
            </w: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color w:val="auto"/>
              </w:rPr>
              <w:t>750,000</w:t>
            </w:r>
          </w:p>
        </w:tc>
        <w:tc>
          <w:tcPr>
            <w:tcW w:w="200" w:type="dxa"/>
            <w:vAlign w:val="bottom"/>
          </w:tcPr>
          <w:p>
            <w:pPr>
              <w:spacing w:after="0"/>
              <w:rPr>
                <w:sz w:val="15"/>
                <w:szCs w:val="15"/>
                <w:color w:val="auto"/>
              </w:rPr>
            </w:pPr>
          </w:p>
        </w:tc>
        <w:tc>
          <w:tcPr>
            <w:tcW w:w="1140" w:type="dxa"/>
            <w:vAlign w:val="bottom"/>
            <w:vMerge w:val="restart"/>
          </w:tcPr>
          <w:p>
            <w:pPr>
              <w:jc w:val="right"/>
              <w:ind w:right="27"/>
              <w:spacing w:after="0"/>
              <w:rPr>
                <w:sz w:val="20"/>
                <w:szCs w:val="20"/>
                <w:color w:val="auto"/>
              </w:rPr>
            </w:pPr>
            <w:r>
              <w:rPr>
                <w:rFonts w:ascii="Arial" w:cs="Arial" w:eastAsia="Arial" w:hAnsi="Arial"/>
                <w:sz w:val="14"/>
                <w:szCs w:val="14"/>
                <w:color w:val="auto"/>
              </w:rPr>
              <w:t>6,700,000</w:t>
            </w:r>
          </w:p>
        </w:tc>
        <w:tc>
          <w:tcPr>
            <w:tcW w:w="240" w:type="dxa"/>
            <w:vAlign w:val="bottom"/>
          </w:tcPr>
          <w:p>
            <w:pPr>
              <w:spacing w:after="0"/>
              <w:rPr>
                <w:sz w:val="15"/>
                <w:szCs w:val="15"/>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color w:val="auto"/>
              </w:rPr>
              <w:t>5,025,000</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5,025,000</w:t>
            </w:r>
          </w:p>
        </w:tc>
        <w:tc>
          <w:tcPr>
            <w:tcW w:w="440" w:type="dxa"/>
            <w:vAlign w:val="bottom"/>
          </w:tcPr>
          <w:p>
            <w:pPr>
              <w:spacing w:after="0"/>
              <w:rPr>
                <w:sz w:val="15"/>
                <w:szCs w:val="15"/>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17,500,000</w:t>
            </w:r>
          </w:p>
        </w:tc>
        <w:tc>
          <w:tcPr>
            <w:tcW w:w="0" w:type="dxa"/>
            <w:vAlign w:val="bottom"/>
          </w:tcPr>
          <w:p>
            <w:pPr>
              <w:spacing w:after="0"/>
              <w:rPr>
                <w:sz w:val="1"/>
                <w:szCs w:val="1"/>
                <w:color w:val="auto"/>
              </w:rPr>
            </w:pPr>
          </w:p>
        </w:tc>
      </w:tr>
      <w:tr>
        <w:trPr>
          <w:trHeight w:val="69"/>
        </w:trPr>
        <w:tc>
          <w:tcPr>
            <w:tcW w:w="4160" w:type="dxa"/>
            <w:vAlign w:val="bottom"/>
            <w:vMerge w:val="restart"/>
          </w:tcPr>
          <w:p>
            <w:pPr>
              <w:ind w:left="20"/>
              <w:spacing w:after="0"/>
              <w:rPr>
                <w:sz w:val="20"/>
                <w:szCs w:val="20"/>
                <w:color w:val="auto"/>
              </w:rPr>
            </w:pPr>
            <w:r>
              <w:rPr>
                <w:rFonts w:ascii="Arial" w:cs="Arial" w:eastAsia="Arial" w:hAnsi="Arial"/>
                <w:sz w:val="14"/>
                <w:szCs w:val="14"/>
                <w:color w:val="auto"/>
              </w:rPr>
              <w:t>Former Co-CEO, Consumer &amp; Community Banking</w:t>
            </w:r>
          </w:p>
        </w:tc>
        <w:tc>
          <w:tcPr>
            <w:tcW w:w="8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160" w:type="dxa"/>
            <w:vAlign w:val="bottom"/>
            <w:vMerge w:val="continue"/>
          </w:tcPr>
          <w:p>
            <w:pPr>
              <w:spacing w:after="0"/>
              <w:rPr>
                <w:sz w:val="10"/>
                <w:szCs w:val="10"/>
                <w:color w:val="auto"/>
              </w:rPr>
            </w:pPr>
          </w:p>
        </w:tc>
        <w:tc>
          <w:tcPr>
            <w:tcW w:w="820" w:type="dxa"/>
            <w:vAlign w:val="bottom"/>
            <w:vMerge w:val="restart"/>
          </w:tcPr>
          <w:p>
            <w:pPr>
              <w:ind w:left="340"/>
              <w:spacing w:after="0"/>
              <w:rPr>
                <w:sz w:val="20"/>
                <w:szCs w:val="20"/>
                <w:color w:val="auto"/>
              </w:rPr>
            </w:pPr>
            <w:r>
              <w:rPr>
                <w:rFonts w:ascii="Arial" w:cs="Arial" w:eastAsia="Arial" w:hAnsi="Arial"/>
                <w:sz w:val="14"/>
                <w:szCs w:val="14"/>
                <w:color w:val="auto"/>
              </w:rPr>
              <w:t>2021</w:t>
            </w: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color w:val="auto"/>
              </w:rPr>
              <w:t>750,000</w:t>
            </w:r>
          </w:p>
        </w:tc>
        <w:tc>
          <w:tcPr>
            <w:tcW w:w="200" w:type="dxa"/>
            <w:vAlign w:val="bottom"/>
          </w:tcPr>
          <w:p>
            <w:pPr>
              <w:spacing w:after="0"/>
              <w:rPr>
                <w:sz w:val="10"/>
                <w:szCs w:val="10"/>
                <w:color w:val="auto"/>
              </w:rPr>
            </w:pPr>
          </w:p>
        </w:tc>
        <w:tc>
          <w:tcPr>
            <w:tcW w:w="1140" w:type="dxa"/>
            <w:vAlign w:val="bottom"/>
            <w:vMerge w:val="restart"/>
          </w:tcPr>
          <w:p>
            <w:pPr>
              <w:jc w:val="right"/>
              <w:ind w:right="27"/>
              <w:spacing w:after="0"/>
              <w:rPr>
                <w:sz w:val="20"/>
                <w:szCs w:val="20"/>
                <w:color w:val="auto"/>
              </w:rPr>
            </w:pPr>
            <w:r>
              <w:rPr>
                <w:rFonts w:ascii="Arial" w:cs="Arial" w:eastAsia="Arial" w:hAnsi="Arial"/>
                <w:sz w:val="14"/>
                <w:szCs w:val="14"/>
                <w:color w:val="auto"/>
              </w:rPr>
              <w:t>6,300,000</w:t>
            </w:r>
          </w:p>
        </w:tc>
        <w:tc>
          <w:tcPr>
            <w:tcW w:w="240" w:type="dxa"/>
            <w:vAlign w:val="bottom"/>
          </w:tcPr>
          <w:p>
            <w:pPr>
              <w:spacing w:after="0"/>
              <w:rPr>
                <w:sz w:val="10"/>
                <w:szCs w:val="10"/>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color w:val="auto"/>
              </w:rPr>
              <w:t>4,725,000</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4,725,000</w:t>
            </w:r>
          </w:p>
        </w:tc>
        <w:tc>
          <w:tcPr>
            <w:tcW w:w="440" w:type="dxa"/>
            <w:vAlign w:val="bottom"/>
          </w:tcPr>
          <w:p>
            <w:pPr>
              <w:spacing w:after="0"/>
              <w:rPr>
                <w:sz w:val="10"/>
                <w:szCs w:val="10"/>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16,500,000</w:t>
            </w:r>
          </w:p>
        </w:tc>
        <w:tc>
          <w:tcPr>
            <w:tcW w:w="0" w:type="dxa"/>
            <w:vAlign w:val="bottom"/>
          </w:tcPr>
          <w:p>
            <w:pPr>
              <w:spacing w:after="0"/>
              <w:rPr>
                <w:sz w:val="1"/>
                <w:szCs w:val="1"/>
                <w:color w:val="auto"/>
              </w:rPr>
            </w:pPr>
          </w:p>
        </w:tc>
      </w:tr>
      <w:tr>
        <w:trPr>
          <w:trHeight w:val="108"/>
        </w:trPr>
        <w:tc>
          <w:tcPr>
            <w:tcW w:w="4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160" w:type="dxa"/>
            <w:vAlign w:val="bottom"/>
            <w:tcBorders>
              <w:bottom w:val="single" w:sz="8" w:color="494949"/>
            </w:tcBorders>
          </w:tcPr>
          <w:p>
            <w:pPr>
              <w:spacing w:after="0" w:line="20" w:lineRule="exact"/>
              <w:rPr>
                <w:sz w:val="1"/>
                <w:szCs w:val="1"/>
                <w:color w:val="auto"/>
              </w:rPr>
            </w:pPr>
          </w:p>
        </w:tc>
        <w:tc>
          <w:tcPr>
            <w:tcW w:w="820" w:type="dxa"/>
            <w:vAlign w:val="bottom"/>
            <w:tcBorders>
              <w:bottom w:val="single" w:sz="8" w:color="494949"/>
            </w:tcBorders>
          </w:tcPr>
          <w:p>
            <w:pPr>
              <w:spacing w:after="0" w:line="20" w:lineRule="exact"/>
              <w:rPr>
                <w:sz w:val="1"/>
                <w:szCs w:val="1"/>
                <w:color w:val="auto"/>
              </w:rPr>
            </w:pPr>
          </w:p>
        </w:tc>
        <w:tc>
          <w:tcPr>
            <w:tcW w:w="1260" w:type="dxa"/>
            <w:vAlign w:val="bottom"/>
            <w:tcBorders>
              <w:bottom w:val="single" w:sz="8" w:color="494949"/>
            </w:tcBorders>
          </w:tcPr>
          <w:p>
            <w:pPr>
              <w:spacing w:after="0" w:line="20" w:lineRule="exact"/>
              <w:rPr>
                <w:sz w:val="1"/>
                <w:szCs w:val="1"/>
                <w:color w:val="auto"/>
              </w:rPr>
            </w:pPr>
          </w:p>
        </w:tc>
        <w:tc>
          <w:tcPr>
            <w:tcW w:w="200" w:type="dxa"/>
            <w:vAlign w:val="bottom"/>
            <w:tcBorders>
              <w:bottom w:val="single" w:sz="8" w:color="494949"/>
            </w:tcBorders>
          </w:tcPr>
          <w:p>
            <w:pPr>
              <w:spacing w:after="0" w:line="20" w:lineRule="exact"/>
              <w:rPr>
                <w:sz w:val="1"/>
                <w:szCs w:val="1"/>
                <w:color w:val="auto"/>
              </w:rPr>
            </w:pPr>
          </w:p>
        </w:tc>
        <w:tc>
          <w:tcPr>
            <w:tcW w:w="1140" w:type="dxa"/>
            <w:vAlign w:val="bottom"/>
            <w:tcBorders>
              <w:bottom w:val="single" w:sz="8" w:color="494949"/>
            </w:tcBorders>
          </w:tcPr>
          <w:p>
            <w:pPr>
              <w:spacing w:after="0" w:line="20" w:lineRule="exact"/>
              <w:rPr>
                <w:sz w:val="1"/>
                <w:szCs w:val="1"/>
                <w:color w:val="auto"/>
              </w:rPr>
            </w:pPr>
          </w:p>
        </w:tc>
        <w:tc>
          <w:tcPr>
            <w:tcW w:w="240" w:type="dxa"/>
            <w:vAlign w:val="bottom"/>
            <w:tcBorders>
              <w:bottom w:val="single" w:sz="8" w:color="494949"/>
            </w:tcBorders>
          </w:tcPr>
          <w:p>
            <w:pPr>
              <w:spacing w:after="0" w:line="20" w:lineRule="exact"/>
              <w:rPr>
                <w:sz w:val="1"/>
                <w:szCs w:val="1"/>
                <w:color w:val="auto"/>
              </w:rPr>
            </w:pPr>
          </w:p>
        </w:tc>
        <w:tc>
          <w:tcPr>
            <w:tcW w:w="1160" w:type="dxa"/>
            <w:vAlign w:val="bottom"/>
            <w:tcBorders>
              <w:bottom w:val="single" w:sz="8" w:color="494949"/>
            </w:tcBorders>
          </w:tcPr>
          <w:p>
            <w:pPr>
              <w:spacing w:after="0" w:line="20" w:lineRule="exact"/>
              <w:rPr>
                <w:sz w:val="1"/>
                <w:szCs w:val="1"/>
                <w:color w:val="auto"/>
              </w:rPr>
            </w:pPr>
          </w:p>
        </w:tc>
        <w:tc>
          <w:tcPr>
            <w:tcW w:w="900" w:type="dxa"/>
            <w:vAlign w:val="bottom"/>
            <w:tcBorders>
              <w:bottom w:val="single" w:sz="8" w:color="494949"/>
            </w:tcBorders>
          </w:tcPr>
          <w:p>
            <w:pPr>
              <w:spacing w:after="0" w:line="20" w:lineRule="exact"/>
              <w:rPr>
                <w:sz w:val="1"/>
                <w:szCs w:val="1"/>
                <w:color w:val="auto"/>
              </w:rPr>
            </w:pPr>
          </w:p>
        </w:tc>
        <w:tc>
          <w:tcPr>
            <w:tcW w:w="440" w:type="dxa"/>
            <w:vAlign w:val="bottom"/>
            <w:tcBorders>
              <w:bottom w:val="single" w:sz="8" w:color="494949"/>
            </w:tcBorders>
          </w:tcPr>
          <w:p>
            <w:pPr>
              <w:spacing w:after="0" w:line="20" w:lineRule="exact"/>
              <w:rPr>
                <w:sz w:val="1"/>
                <w:szCs w:val="1"/>
                <w:color w:val="auto"/>
              </w:rPr>
            </w:pPr>
          </w:p>
        </w:tc>
        <w:tc>
          <w:tcPr>
            <w:tcW w:w="9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Jeremy Barnum</w:t>
            </w: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750,000</w:t>
            </w:r>
          </w:p>
        </w:tc>
        <w:tc>
          <w:tcPr>
            <w:tcW w:w="200" w:type="dxa"/>
            <w:vAlign w:val="bottom"/>
          </w:tcPr>
          <w:p>
            <w:pPr>
              <w:spacing w:after="0"/>
              <w:rPr>
                <w:sz w:val="16"/>
                <w:szCs w:val="16"/>
                <w:color w:val="auto"/>
              </w:rPr>
            </w:pPr>
          </w:p>
        </w:tc>
        <w:tc>
          <w:tcPr>
            <w:tcW w:w="1140" w:type="dxa"/>
            <w:vAlign w:val="bottom"/>
          </w:tcPr>
          <w:p>
            <w:pPr>
              <w:jc w:val="right"/>
              <w:ind w:right="27"/>
              <w:spacing w:after="0"/>
              <w:rPr>
                <w:sz w:val="20"/>
                <w:szCs w:val="20"/>
                <w:color w:val="auto"/>
              </w:rPr>
            </w:pPr>
            <w:r>
              <w:rPr>
                <w:rFonts w:ascii="Arial" w:cs="Arial" w:eastAsia="Arial" w:hAnsi="Arial"/>
                <w:sz w:val="14"/>
                <w:szCs w:val="14"/>
                <w:b w:val="1"/>
                <w:bCs w:val="1"/>
                <w:color w:val="auto"/>
              </w:rPr>
              <w:t>5,700,000</w:t>
            </w:r>
          </w:p>
        </w:tc>
        <w:tc>
          <w:tcPr>
            <w:tcW w:w="240" w:type="dxa"/>
            <w:vAlign w:val="bottom"/>
          </w:tcPr>
          <w:p>
            <w:pPr>
              <w:spacing w:after="0"/>
              <w:rPr>
                <w:sz w:val="16"/>
                <w:szCs w:val="16"/>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4,275,000</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4,275,000</w:t>
            </w:r>
          </w:p>
        </w:tc>
        <w:tc>
          <w:tcPr>
            <w:tcW w:w="44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15,000,000</w:t>
            </w: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820" w:type="dxa"/>
            <w:vAlign w:val="bottom"/>
            <w:vMerge w:val="restart"/>
          </w:tcPr>
          <w:p>
            <w:pPr>
              <w:ind w:left="340"/>
              <w:spacing w:after="0"/>
              <w:rPr>
                <w:sz w:val="20"/>
                <w:szCs w:val="20"/>
                <w:color w:val="auto"/>
              </w:rPr>
            </w:pPr>
            <w:r>
              <w:rPr>
                <w:rFonts w:ascii="Arial" w:cs="Arial" w:eastAsia="Arial" w:hAnsi="Arial"/>
                <w:sz w:val="14"/>
                <w:szCs w:val="14"/>
                <w:color w:val="auto"/>
              </w:rPr>
              <w:t>2022</w:t>
            </w: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color w:val="auto"/>
              </w:rPr>
              <w:t>750,000</w:t>
            </w:r>
          </w:p>
        </w:tc>
        <w:tc>
          <w:tcPr>
            <w:tcW w:w="200" w:type="dxa"/>
            <w:vAlign w:val="bottom"/>
          </w:tcPr>
          <w:p>
            <w:pPr>
              <w:spacing w:after="0"/>
              <w:rPr>
                <w:sz w:val="16"/>
                <w:szCs w:val="16"/>
                <w:color w:val="auto"/>
              </w:rPr>
            </w:pPr>
          </w:p>
        </w:tc>
        <w:tc>
          <w:tcPr>
            <w:tcW w:w="1140" w:type="dxa"/>
            <w:vAlign w:val="bottom"/>
            <w:vMerge w:val="restart"/>
          </w:tcPr>
          <w:p>
            <w:pPr>
              <w:jc w:val="right"/>
              <w:ind w:right="27"/>
              <w:spacing w:after="0"/>
              <w:rPr>
                <w:sz w:val="20"/>
                <w:szCs w:val="20"/>
                <w:color w:val="auto"/>
              </w:rPr>
            </w:pPr>
            <w:r>
              <w:rPr>
                <w:rFonts w:ascii="Arial" w:cs="Arial" w:eastAsia="Arial" w:hAnsi="Arial"/>
                <w:sz w:val="14"/>
                <w:szCs w:val="14"/>
                <w:color w:val="auto"/>
              </w:rPr>
              <w:t>4,500,000</w:t>
            </w:r>
          </w:p>
        </w:tc>
        <w:tc>
          <w:tcPr>
            <w:tcW w:w="240" w:type="dxa"/>
            <w:vAlign w:val="bottom"/>
          </w:tcPr>
          <w:p>
            <w:pPr>
              <w:spacing w:after="0"/>
              <w:rPr>
                <w:sz w:val="16"/>
                <w:szCs w:val="16"/>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color w:val="auto"/>
              </w:rPr>
              <w:t>3,375,000</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3,375,000</w:t>
            </w:r>
          </w:p>
        </w:tc>
        <w:tc>
          <w:tcPr>
            <w:tcW w:w="440" w:type="dxa"/>
            <w:vAlign w:val="bottom"/>
          </w:tcPr>
          <w:p>
            <w:pPr>
              <w:spacing w:after="0"/>
              <w:rPr>
                <w:sz w:val="16"/>
                <w:szCs w:val="16"/>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820" w:type="dxa"/>
            <w:vAlign w:val="bottom"/>
          </w:tcPr>
          <w:p>
            <w:pPr>
              <w:ind w:left="340"/>
              <w:spacing w:after="0"/>
              <w:rPr>
                <w:sz w:val="20"/>
                <w:szCs w:val="20"/>
                <w:color w:val="auto"/>
              </w:rPr>
            </w:pPr>
            <w:r>
              <w:rPr>
                <w:rFonts w:ascii="Arial" w:cs="Arial" w:eastAsia="Arial" w:hAnsi="Arial"/>
                <w:sz w:val="14"/>
                <w:szCs w:val="14"/>
                <w:color w:val="auto"/>
              </w:rPr>
              <w:t>2021</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693,750</w:t>
            </w:r>
          </w:p>
        </w:tc>
        <w:tc>
          <w:tcPr>
            <w:tcW w:w="200" w:type="dxa"/>
            <w:vAlign w:val="bottom"/>
          </w:tcPr>
          <w:p>
            <w:pPr>
              <w:spacing w:after="0"/>
              <w:rPr>
                <w:sz w:val="19"/>
                <w:szCs w:val="19"/>
                <w:color w:val="auto"/>
              </w:rPr>
            </w:pPr>
          </w:p>
        </w:tc>
        <w:tc>
          <w:tcPr>
            <w:tcW w:w="1140" w:type="dxa"/>
            <w:vAlign w:val="bottom"/>
          </w:tcPr>
          <w:p>
            <w:pPr>
              <w:jc w:val="right"/>
              <w:ind w:right="27"/>
              <w:spacing w:after="0"/>
              <w:rPr>
                <w:sz w:val="20"/>
                <w:szCs w:val="20"/>
                <w:color w:val="auto"/>
              </w:rPr>
            </w:pPr>
            <w:r>
              <w:rPr>
                <w:rFonts w:ascii="Arial" w:cs="Arial" w:eastAsia="Arial" w:hAnsi="Arial"/>
                <w:sz w:val="14"/>
                <w:szCs w:val="14"/>
                <w:color w:val="auto"/>
              </w:rPr>
              <w:t>3,722,500</w:t>
            </w:r>
          </w:p>
        </w:tc>
        <w:tc>
          <w:tcPr>
            <w:tcW w:w="240" w:type="dxa"/>
            <w:vAlign w:val="bottom"/>
          </w:tcPr>
          <w:p>
            <w:pPr>
              <w:spacing w:after="0"/>
              <w:rPr>
                <w:sz w:val="19"/>
                <w:szCs w:val="19"/>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2,791,875</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2,791,875</w:t>
            </w:r>
          </w:p>
        </w:tc>
        <w:tc>
          <w:tcPr>
            <w:tcW w:w="44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left="200" w:right="380" w:hanging="192"/>
        <w:spacing w:after="0" w:line="221" w:lineRule="auto"/>
        <w:tabs>
          <w:tab w:leader="none" w:pos="200" w:val="left"/>
        </w:tabs>
        <w:numPr>
          <w:ilvl w:val="0"/>
          <w:numId w:val="173"/>
        </w:numPr>
        <w:rPr>
          <w:rFonts w:ascii="Arial" w:cs="Arial" w:eastAsia="Arial" w:hAnsi="Arial"/>
          <w:sz w:val="16"/>
          <w:szCs w:val="16"/>
          <w:color w:val="auto"/>
          <w:vertAlign w:val="superscript"/>
        </w:rPr>
      </w:pPr>
      <w:r>
        <w:rPr>
          <w:rFonts w:ascii="Arial" w:cs="Arial" w:eastAsia="Arial" w:hAnsi="Arial"/>
          <w:sz w:val="13"/>
          <w:szCs w:val="13"/>
          <w:color w:val="auto"/>
        </w:rPr>
        <w:t>Reflects the grant date fair value. Actual amounts of PSUs received by NEOs upon vesting may range from 0% to 150% of the target shares (excluding accrued dividends), depending upon the Firm’s performance.</w:t>
      </w:r>
    </w:p>
    <w:p>
      <w:pPr>
        <w:ind w:left="200" w:hanging="192"/>
        <w:spacing w:after="0" w:line="196" w:lineRule="auto"/>
        <w:tabs>
          <w:tab w:leader="none" w:pos="200" w:val="left"/>
        </w:tabs>
        <w:numPr>
          <w:ilvl w:val="0"/>
          <w:numId w:val="174"/>
        </w:numPr>
        <w:rPr>
          <w:rFonts w:ascii="Arial" w:cs="Arial" w:eastAsia="Arial" w:hAnsi="Arial"/>
          <w:sz w:val="16"/>
          <w:szCs w:val="16"/>
          <w:color w:val="auto"/>
          <w:vertAlign w:val="superscript"/>
        </w:rPr>
      </w:pPr>
      <w:r>
        <w:rPr>
          <w:rFonts w:ascii="Arial" w:cs="Arial" w:eastAsia="Arial" w:hAnsi="Arial"/>
          <w:sz w:val="13"/>
          <w:szCs w:val="13"/>
          <w:color w:val="auto"/>
        </w:rPr>
        <w:t>In 2021, the Board and CMDC granted one-time special awards of SARs to Messrs. Dimon and Pinto, which are not reflected in the table above because they were not part of regular annual</w:t>
      </w:r>
    </w:p>
    <w:p>
      <w:pPr>
        <w:ind w:left="200"/>
        <w:spacing w:after="0" w:line="237" w:lineRule="auto"/>
        <w:rPr>
          <w:sz w:val="20"/>
          <w:szCs w:val="20"/>
          <w:color w:val="auto"/>
        </w:rPr>
      </w:pPr>
      <w:r>
        <w:rPr>
          <w:rFonts w:ascii="Arial" w:cs="Arial" w:eastAsia="Arial" w:hAnsi="Arial"/>
          <w:sz w:val="13"/>
          <w:szCs w:val="13"/>
          <w:color w:val="auto"/>
        </w:rPr>
        <w:t>compensation. Refer to the Summary Compensation Table on page 63 for further information.</w:t>
      </w:r>
    </w:p>
    <w:p>
      <w:pPr>
        <w:ind w:left="200" w:hanging="192"/>
        <w:spacing w:after="0" w:line="215" w:lineRule="auto"/>
        <w:tabs>
          <w:tab w:leader="none" w:pos="200" w:val="left"/>
        </w:tabs>
        <w:numPr>
          <w:ilvl w:val="0"/>
          <w:numId w:val="175"/>
        </w:numPr>
        <w:rPr>
          <w:rFonts w:ascii="Arial" w:cs="Arial" w:eastAsia="Arial" w:hAnsi="Arial"/>
          <w:sz w:val="15"/>
          <w:szCs w:val="15"/>
          <w:color w:val="auto"/>
          <w:vertAlign w:val="superscript"/>
        </w:rPr>
      </w:pPr>
      <w:r>
        <w:rPr>
          <w:rFonts w:ascii="Arial" w:cs="Arial" w:eastAsia="Arial" w:hAnsi="Arial"/>
          <w:sz w:val="12"/>
          <w:szCs w:val="12"/>
          <w:color w:val="auto"/>
        </w:rPr>
        <w:t>Mr. Pinto's 2022 and 2023 salary of $1,500,000 includes a fee of £100,000 and £96,164 respectively for his service on the J.P. Morgan Securities plc Board. In 2021, he received a salary of £475,000</w:t>
      </w:r>
    </w:p>
    <w:p>
      <w:pPr>
        <w:ind w:left="200"/>
        <w:spacing w:after="0" w:line="229" w:lineRule="auto"/>
        <w:rPr>
          <w:sz w:val="20"/>
          <w:szCs w:val="20"/>
          <w:color w:val="auto"/>
        </w:rPr>
      </w:pPr>
      <w:r>
        <w:rPr>
          <w:rFonts w:ascii="Arial" w:cs="Arial" w:eastAsia="Arial" w:hAnsi="Arial"/>
          <w:sz w:val="13"/>
          <w:szCs w:val="13"/>
          <w:color w:val="auto"/>
        </w:rPr>
        <w:t>and a fixed allowance paid in British pound sterling of $8,400,000, in accordance with local regulations.</w:t>
      </w:r>
    </w:p>
    <w:p>
      <w:pPr>
        <w:ind w:left="200" w:hanging="192"/>
        <w:spacing w:after="0" w:line="225" w:lineRule="auto"/>
        <w:tabs>
          <w:tab w:leader="none" w:pos="200" w:val="left"/>
        </w:tabs>
        <w:numPr>
          <w:ilvl w:val="0"/>
          <w:numId w:val="176"/>
        </w:numPr>
        <w:rPr>
          <w:rFonts w:ascii="Arial" w:cs="Arial" w:eastAsia="Arial" w:hAnsi="Arial"/>
          <w:sz w:val="15"/>
          <w:szCs w:val="15"/>
          <w:color w:val="auto"/>
          <w:vertAlign w:val="superscript"/>
        </w:rPr>
      </w:pPr>
      <w:r>
        <w:rPr>
          <w:rFonts w:ascii="Arial" w:cs="Arial" w:eastAsia="Arial" w:hAnsi="Arial"/>
          <w:sz w:val="12"/>
          <w:szCs w:val="12"/>
          <w:color w:val="auto"/>
        </w:rPr>
        <w:t>Ms. Erdoes's 2021 incentive compensation included a significant reduction related to internal, SEC and CFTC investigations into the Firm's compliance with certain record preservation requirements.</w:t>
      </w:r>
    </w:p>
    <w:p>
      <w:pPr>
        <w:ind w:left="200" w:hanging="192"/>
        <w:spacing w:after="0" w:line="194" w:lineRule="auto"/>
        <w:tabs>
          <w:tab w:leader="none" w:pos="200" w:val="left"/>
        </w:tabs>
        <w:numPr>
          <w:ilvl w:val="0"/>
          <w:numId w:val="177"/>
        </w:numPr>
        <w:rPr>
          <w:rFonts w:ascii="Arial" w:cs="Arial" w:eastAsia="Arial" w:hAnsi="Arial"/>
          <w:sz w:val="16"/>
          <w:szCs w:val="16"/>
          <w:color w:val="auto"/>
          <w:vertAlign w:val="superscript"/>
        </w:rPr>
      </w:pPr>
      <w:r>
        <w:rPr>
          <w:rFonts w:ascii="Arial" w:cs="Arial" w:eastAsia="Arial" w:hAnsi="Arial"/>
          <w:sz w:val="13"/>
          <w:szCs w:val="13"/>
          <w:color w:val="auto"/>
        </w:rPr>
        <w:t>Ms. Lake was not a NEO in 2021.</w:t>
      </w:r>
    </w:p>
    <w:p>
      <w:pPr>
        <w:ind w:left="200" w:right="160" w:hanging="192"/>
        <w:spacing w:after="0" w:line="218" w:lineRule="auto"/>
        <w:tabs>
          <w:tab w:leader="none" w:pos="200" w:val="left"/>
        </w:tabs>
        <w:numPr>
          <w:ilvl w:val="0"/>
          <w:numId w:val="178"/>
        </w:numPr>
        <w:rPr>
          <w:rFonts w:ascii="Arial" w:cs="Arial" w:eastAsia="Arial" w:hAnsi="Arial"/>
          <w:sz w:val="16"/>
          <w:szCs w:val="16"/>
          <w:color w:val="auto"/>
          <w:vertAlign w:val="superscript"/>
        </w:rPr>
      </w:pPr>
      <w:r>
        <w:rPr>
          <w:rFonts w:ascii="Arial" w:cs="Arial" w:eastAsia="Arial" w:hAnsi="Arial"/>
          <w:sz w:val="13"/>
          <w:szCs w:val="13"/>
          <w:color w:val="auto"/>
        </w:rPr>
        <w:t>Ms. Piepszak was included as a NEO in the 2021 Proxy Statement due to her role as CFO. She is voluntarily disclosed as a NEO in this year's Proxy Statement due to her role as Co-CEO of CCB, which she shared with Ms. Lake in 2022 and 2023.</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074A75"/>
        </w:rPr>
        <w:t>INTERPRETING 2023 NEO COMPENSATION</w:t>
      </w:r>
    </w:p>
    <w:p>
      <w:pPr>
        <w:spacing w:after="0" w:line="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above is presented to show how the CMDC and Board viewed compensation awarded for 2023 performance. It differs from how compensation is reported in the “Summary Compensation Table” (“SCT”) on page 63, which is required by the SEC, and is not intended as a substitute for the SCT. There are two principal differences between the SCT and the table above:</w:t>
      </w:r>
    </w:p>
    <w:p>
      <w:pPr>
        <w:spacing w:after="0" w:line="49" w:lineRule="exact"/>
        <w:rPr>
          <w:sz w:val="20"/>
          <w:szCs w:val="20"/>
          <w:color w:val="auto"/>
        </w:rPr>
      </w:pPr>
    </w:p>
    <w:p>
      <w:pPr>
        <w:ind w:left="260" w:right="180" w:hanging="252"/>
        <w:spacing w:after="0" w:line="259" w:lineRule="auto"/>
        <w:tabs>
          <w:tab w:leader="none" w:pos="25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Firm grants both cash and equity incentive compensation after a performance year is completed. In both the table above and the SCT, cash incentive compensation paid in 2024 for 2023 performance is shown as 2023 compensation. In the table above, the equity awards (RSUs and PSUs) granted in 2024 for 2023 performance are shown as 2023 compensation. In contrast, the SCT reports the value of equity awards in the year in which they are granted. As a result, awards granted in 2023 for 2022 performance are shown in the SCT as 2023 compensation.</w:t>
      </w:r>
    </w:p>
    <w:p>
      <w:pPr>
        <w:spacing w:after="0" w:line="30" w:lineRule="exact"/>
        <w:rPr>
          <w:rFonts w:ascii="Arial" w:cs="Arial" w:eastAsia="Arial" w:hAnsi="Arial"/>
          <w:sz w:val="18"/>
          <w:szCs w:val="18"/>
          <w:color w:val="auto"/>
        </w:rPr>
      </w:pPr>
    </w:p>
    <w:p>
      <w:pPr>
        <w:ind w:left="260" w:right="260" w:hanging="252"/>
        <w:spacing w:after="0" w:line="287" w:lineRule="auto"/>
        <w:tabs>
          <w:tab w:leader="none" w:pos="25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SCT reports the change in pension value and nonqualified deferred compensation and all other compensation. These amounts are not shown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220345</wp:posOffset>
            </wp:positionV>
            <wp:extent cx="27432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55  </w:t>
      </w:r>
      <w:r>
        <w:rPr>
          <w:sz w:val="1"/>
          <w:szCs w:val="1"/>
          <w:color w:val="auto"/>
        </w:rPr>
        <w:drawing>
          <wp:inline distT="0" distB="0" distL="0" distR="0">
            <wp:extent cx="2203450" cy="154305"/>
            <wp:effectExtent l="0" t="0" r="0" b="0"/>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2"/>
                <w:szCs w:val="22"/>
                <w:color w:val="auto"/>
              </w:rPr>
            </w:pPr>
          </w:p>
        </w:tc>
        <w:tc>
          <w:tcPr>
            <w:tcW w:w="324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2023</w:t>
            </w: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260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240" w:type="dxa"/>
            <w:vAlign w:val="bottom"/>
            <w:tcBorders>
              <w:bottom w:val="single" w:sz="8" w:color="E7E7E8"/>
            </w:tcBorders>
            <w:shd w:val="clear" w:color="auto" w:fill="E7E7E8"/>
          </w:tcPr>
          <w:p>
            <w:pPr>
              <w:spacing w:after="0"/>
              <w:rPr>
                <w:sz w:val="5"/>
                <w:szCs w:val="5"/>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29"/>
          <w:szCs w:val="29"/>
          <w:color w:val="074A75"/>
        </w:rPr>
        <w:t>2023 CEO annual compensation is aligned with multi-year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29413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92" w:lineRule="exact"/>
        <w:rPr>
          <w:sz w:val="20"/>
          <w:szCs w:val="20"/>
          <w:color w:val="auto"/>
        </w:rPr>
      </w:pPr>
    </w:p>
    <w:p>
      <w:pPr>
        <w:ind w:left="2360"/>
        <w:spacing w:after="0"/>
        <w:rPr>
          <w:sz w:val="20"/>
          <w:szCs w:val="20"/>
          <w:color w:val="auto"/>
        </w:rPr>
      </w:pPr>
      <w:r>
        <w:rPr>
          <w:rFonts w:ascii="Arial" w:cs="Arial" w:eastAsia="Arial" w:hAnsi="Arial"/>
          <w:sz w:val="29"/>
          <w:szCs w:val="29"/>
          <w:color w:val="074A75"/>
        </w:rPr>
        <w:t>James Dimon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-207645</wp:posOffset>
            </wp:positionV>
            <wp:extent cx="5734685" cy="12604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734685" cy="126047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-207645</wp:posOffset>
            </wp:positionV>
            <wp:extent cx="5734685" cy="12604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734685" cy="1260475"/>
                    </a:xfrm>
                    <a:prstGeom prst="rect">
                      <a:avLst/>
                    </a:prstGeom>
                    <a:noFill/>
                  </pic:spPr>
                </pic:pic>
              </a:graphicData>
            </a:graphic>
          </wp:anchor>
        </w:drawing>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color w:val="074A75"/>
        </w:rPr>
        <w:t>CHAIRMAN &amp; CHIEF EXECUTIVE OFFICER</w:t>
      </w:r>
    </w:p>
    <w:p>
      <w:pPr>
        <w:spacing w:after="0" w:line="51" w:lineRule="exact"/>
        <w:rPr>
          <w:sz w:val="20"/>
          <w:szCs w:val="20"/>
          <w:color w:val="auto"/>
        </w:rPr>
      </w:pPr>
    </w:p>
    <w:p>
      <w:pPr>
        <w:ind w:left="2360" w:right="3780"/>
        <w:spacing w:after="0" w:line="260" w:lineRule="auto"/>
        <w:rPr>
          <w:sz w:val="20"/>
          <w:szCs w:val="20"/>
          <w:color w:val="auto"/>
        </w:rPr>
      </w:pPr>
      <w:r>
        <w:rPr>
          <w:rFonts w:ascii="Arial" w:cs="Arial" w:eastAsia="Arial" w:hAnsi="Arial"/>
          <w:sz w:val="16"/>
          <w:szCs w:val="16"/>
          <w:color w:val="auto"/>
        </w:rPr>
        <w:t>In determining Mr. Dimon’s compensation, independent members of the Board considered his exemplary leadership and achievements across the Firm's four broad performance dimensions. The Board continues to recognize that the Firm is in a uniquely fortunate position to be led by such a highly talented and experienced executive.</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74A75"/>
        </w:rPr>
        <w:t>CEO PERFORMANCE DASHBOARD</w:t>
      </w:r>
      <w:r>
        <w:rPr>
          <w:rFonts w:ascii="Arial" w:cs="Arial" w:eastAsia="Arial" w:hAnsi="Arial"/>
          <w:sz w:val="18"/>
          <w:szCs w:val="18"/>
          <w:color w:val="074A75"/>
        </w:rPr>
        <w:t>: Assessment of results against long-term strategic priorities and qualitative considerations</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3571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235712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074A75"/>
        </w:rPr>
        <w:t>2023 financial performance highlights</w:t>
      </w:r>
    </w:p>
    <w:p>
      <w:pPr>
        <w:ind w:left="880" w:hanging="196"/>
        <w:spacing w:after="0" w:line="232" w:lineRule="auto"/>
        <w:tabs>
          <w:tab w:leader="none" w:pos="880" w:val="left"/>
        </w:tabs>
        <w:numPr>
          <w:ilvl w:val="0"/>
          <w:numId w:val="180"/>
        </w:numPr>
        <w:rPr>
          <w:rFonts w:ascii="Arial" w:cs="Arial" w:eastAsia="Arial" w:hAnsi="Arial"/>
          <w:sz w:val="18"/>
          <w:szCs w:val="18"/>
          <w:color w:val="104C98"/>
        </w:rPr>
      </w:pPr>
      <w:r>
        <w:rPr>
          <w:rFonts w:ascii="Arial" w:cs="Arial" w:eastAsia="Arial" w:hAnsi="Arial"/>
          <w:sz w:val="18"/>
          <w:szCs w:val="18"/>
          <w:color w:val="auto"/>
        </w:rPr>
        <w:t>Record revenue</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$162.4 billion</w:t>
      </w:r>
    </w:p>
    <w:p>
      <w:pPr>
        <w:ind w:left="880" w:hanging="196"/>
        <w:spacing w:after="0" w:line="219" w:lineRule="auto"/>
        <w:tabs>
          <w:tab w:leader="none" w:pos="884" w:val="left"/>
        </w:tabs>
        <w:numPr>
          <w:ilvl w:val="0"/>
          <w:numId w:val="180"/>
        </w:numPr>
        <w:rPr>
          <w:rFonts w:ascii="Arial" w:cs="Arial" w:eastAsia="Arial" w:hAnsi="Arial"/>
          <w:sz w:val="18"/>
          <w:szCs w:val="18"/>
          <w:color w:val="104C98"/>
        </w:rPr>
      </w:pPr>
      <w:r>
        <w:rPr>
          <w:rFonts w:ascii="Arial" w:cs="Arial" w:eastAsia="Arial" w:hAnsi="Arial"/>
          <w:sz w:val="18"/>
          <w:szCs w:val="18"/>
          <w:color w:val="auto"/>
        </w:rPr>
        <w:t>Pre-tax income of $61.6 billion; Pre-tax income ex. LLR</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$69.0 billion</w:t>
      </w:r>
    </w:p>
    <w:p>
      <w:pPr>
        <w:spacing w:after="0" w:line="1" w:lineRule="exact"/>
        <w:rPr>
          <w:rFonts w:ascii="Arial" w:cs="Arial" w:eastAsia="Arial" w:hAnsi="Arial"/>
          <w:sz w:val="18"/>
          <w:szCs w:val="18"/>
          <w:color w:val="104C98"/>
        </w:rPr>
      </w:pPr>
    </w:p>
    <w:p>
      <w:pPr>
        <w:ind w:left="880" w:hanging="196"/>
        <w:spacing w:after="0"/>
        <w:tabs>
          <w:tab w:leader="none" w:pos="880" w:val="left"/>
        </w:tabs>
        <w:numPr>
          <w:ilvl w:val="0"/>
          <w:numId w:val="180"/>
        </w:numPr>
        <w:rPr>
          <w:rFonts w:ascii="Arial" w:cs="Arial" w:eastAsia="Arial" w:hAnsi="Arial"/>
          <w:sz w:val="18"/>
          <w:szCs w:val="18"/>
          <w:color w:val="104C98"/>
        </w:rPr>
      </w:pPr>
      <w:r>
        <w:rPr>
          <w:rFonts w:ascii="Arial" w:cs="Arial" w:eastAsia="Arial" w:hAnsi="Arial"/>
          <w:sz w:val="18"/>
          <w:szCs w:val="18"/>
          <w:color w:val="auto"/>
        </w:rPr>
        <w:t>Record Net Income of $49.6 billion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203" w:hanging="203"/>
        <w:spacing w:after="0"/>
        <w:tabs>
          <w:tab w:leader="none" w:pos="203" w:val="left"/>
        </w:tabs>
        <w:numPr>
          <w:ilvl w:val="0"/>
          <w:numId w:val="181"/>
        </w:numPr>
        <w:rPr>
          <w:rFonts w:ascii="Arial" w:cs="Arial" w:eastAsia="Arial" w:hAnsi="Arial"/>
          <w:sz w:val="18"/>
          <w:szCs w:val="18"/>
          <w:color w:val="104C98"/>
        </w:rPr>
      </w:pPr>
      <w:r>
        <w:rPr>
          <w:rFonts w:ascii="Arial" w:cs="Arial" w:eastAsia="Arial" w:hAnsi="Arial"/>
          <w:sz w:val="18"/>
          <w:szCs w:val="18"/>
          <w:color w:val="auto"/>
        </w:rPr>
        <w:t>EPS of $16.23</w:t>
      </w:r>
    </w:p>
    <w:p>
      <w:pPr>
        <w:spacing w:after="0" w:line="27" w:lineRule="exact"/>
        <w:rPr>
          <w:rFonts w:ascii="Arial" w:cs="Arial" w:eastAsia="Arial" w:hAnsi="Arial"/>
          <w:sz w:val="18"/>
          <w:szCs w:val="18"/>
          <w:color w:val="104C98"/>
        </w:rPr>
      </w:pPr>
    </w:p>
    <w:p>
      <w:pPr>
        <w:ind w:left="203" w:hanging="203"/>
        <w:spacing w:after="0" w:line="204" w:lineRule="auto"/>
        <w:tabs>
          <w:tab w:leader="none" w:pos="203" w:val="left"/>
        </w:tabs>
        <w:numPr>
          <w:ilvl w:val="0"/>
          <w:numId w:val="181"/>
        </w:numPr>
        <w:rPr>
          <w:rFonts w:ascii="Arial" w:cs="Arial" w:eastAsia="Arial" w:hAnsi="Arial"/>
          <w:sz w:val="17"/>
          <w:szCs w:val="17"/>
          <w:color w:val="104C98"/>
        </w:rPr>
      </w:pPr>
      <w:r>
        <w:rPr>
          <w:rFonts w:ascii="Arial" w:cs="Arial" w:eastAsia="Arial" w:hAnsi="Arial"/>
          <w:sz w:val="17"/>
          <w:szCs w:val="17"/>
          <w:color w:val="auto"/>
        </w:rPr>
        <w:t>BVPS of $104.45; TBVPS of $86.08</w:t>
      </w:r>
      <w:r>
        <w:rPr>
          <w:rFonts w:ascii="Arial" w:cs="Arial" w:eastAsia="Arial" w:hAnsi="Arial"/>
          <w:sz w:val="22"/>
          <w:szCs w:val="22"/>
          <w:color w:val="auto"/>
          <w:vertAlign w:val="superscript"/>
        </w:rPr>
        <w:t>2</w:t>
      </w:r>
    </w:p>
    <w:p>
      <w:pPr>
        <w:ind w:left="203" w:hanging="203"/>
        <w:spacing w:after="0"/>
        <w:tabs>
          <w:tab w:leader="none" w:pos="203" w:val="left"/>
        </w:tabs>
        <w:numPr>
          <w:ilvl w:val="0"/>
          <w:numId w:val="181"/>
        </w:numPr>
        <w:rPr>
          <w:rFonts w:ascii="Arial" w:cs="Arial" w:eastAsia="Arial" w:hAnsi="Arial"/>
          <w:sz w:val="18"/>
          <w:szCs w:val="18"/>
          <w:color w:val="104C98"/>
        </w:rPr>
      </w:pPr>
      <w:r>
        <w:rPr>
          <w:rFonts w:ascii="Arial" w:cs="Arial" w:eastAsia="Arial" w:hAnsi="Arial"/>
          <w:sz w:val="18"/>
          <w:szCs w:val="18"/>
          <w:color w:val="auto"/>
        </w:rPr>
        <w:t>ROE of 17%; ROTCE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21%</w:t>
      </w:r>
    </w:p>
    <w:p>
      <w:pPr>
        <w:spacing w:after="0" w:line="177" w:lineRule="exact"/>
        <w:rPr>
          <w:sz w:val="20"/>
          <w:szCs w:val="20"/>
          <w:color w:val="auto"/>
        </w:rPr>
      </w:pPr>
    </w:p>
    <w:p>
      <w:pPr>
        <w:sectPr>
          <w:pgSz w:w="11900" w:h="16838" w:orient="portrait"/>
          <w:cols w:equalWidth="0" w:num="2">
            <w:col w:w="5640" w:space="417"/>
            <w:col w:w="5203"/>
          </w:cols>
          <w:pgMar w:left="320" w:top="157" w:right="319" w:bottom="1440" w:gutter="0" w:footer="0" w:header="0"/>
          <w:type w:val="continuous"/>
        </w:sectPr>
      </w:pPr>
    </w:p>
    <w:p>
      <w:pPr>
        <w:jc w:val="center"/>
        <w:ind w:left="560"/>
        <w:spacing w:after="0"/>
        <w:rPr>
          <w:sz w:val="20"/>
          <w:szCs w:val="20"/>
          <w:color w:val="auto"/>
        </w:rPr>
      </w:pPr>
      <w:r>
        <w:rPr>
          <w:rFonts w:ascii="Arial" w:cs="Arial" w:eastAsia="Arial" w:hAnsi="Arial"/>
          <w:sz w:val="18"/>
          <w:szCs w:val="18"/>
          <w:b w:val="1"/>
          <w:bCs w:val="1"/>
          <w:color w:val="FFFFFF"/>
        </w:rPr>
        <w:t>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-127635</wp:posOffset>
            </wp:positionV>
            <wp:extent cx="6763385" cy="16319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763385" cy="163195"/>
                    </a:xfrm>
                    <a:prstGeom prst="rect">
                      <a:avLst/>
                    </a:prstGeom>
                    <a:noFill/>
                  </pic:spPr>
                </pic:pic>
              </a:graphicData>
            </a:graphic>
          </wp:anchor>
        </w:drawing>
      </w:r>
    </w:p>
    <w:p>
      <w:pPr>
        <w:spacing w:after="0" w:line="43" w:lineRule="exact"/>
        <w:rPr>
          <w:sz w:val="20"/>
          <w:szCs w:val="20"/>
          <w:color w:val="auto"/>
        </w:rPr>
      </w:pPr>
    </w:p>
    <w:p>
      <w:pPr>
        <w:ind w:left="680"/>
        <w:spacing w:after="0"/>
        <w:tabs>
          <w:tab w:leader="none" w:pos="860" w:val="left"/>
          <w:tab w:leader="none" w:pos="6040" w:val="left"/>
          <w:tab w:leader="none" w:pos="6220" w:val="left"/>
        </w:tabs>
        <w:rPr>
          <w:sz w:val="20"/>
          <w:szCs w:val="20"/>
          <w:color w:val="auto"/>
        </w:rPr>
      </w:pPr>
      <w:r>
        <w:rPr>
          <w:rFonts w:ascii="Arial" w:cs="Arial" w:eastAsia="Arial" w:hAnsi="Arial"/>
          <w:sz w:val="16"/>
          <w:szCs w:val="16"/>
          <w:color w:val="104C98"/>
        </w:rPr>
        <w:t>•</w:t>
      </w:r>
      <w:r>
        <w:rPr>
          <w:sz w:val="20"/>
          <w:szCs w:val="20"/>
          <w:color w:val="auto"/>
        </w:rPr>
        <w:tab/>
      </w:r>
      <w:r>
        <w:rPr>
          <w:rFonts w:ascii="Arial" w:cs="Arial" w:eastAsia="Arial" w:hAnsi="Arial"/>
          <w:sz w:val="18"/>
          <w:szCs w:val="18"/>
          <w:color w:val="auto"/>
        </w:rPr>
        <w:t>CCB: #1 in U.S. retail deposit market share</w:t>
      </w:r>
      <w:r>
        <w:rPr>
          <w:sz w:val="20"/>
          <w:szCs w:val="20"/>
          <w:color w:val="auto"/>
        </w:rPr>
        <w:tab/>
      </w:r>
      <w:r>
        <w:rPr>
          <w:rFonts w:ascii="Arial" w:cs="Arial" w:eastAsia="Arial" w:hAnsi="Arial"/>
          <w:sz w:val="16"/>
          <w:szCs w:val="16"/>
          <w:color w:val="104C98"/>
        </w:rPr>
        <w:t>•</w:t>
      </w:r>
      <w:r>
        <w:rPr>
          <w:sz w:val="20"/>
          <w:szCs w:val="20"/>
          <w:color w:val="auto"/>
        </w:rPr>
        <w:tab/>
      </w:r>
      <w:r>
        <w:rPr>
          <w:rFonts w:ascii="Arial" w:cs="Arial" w:eastAsia="Arial" w:hAnsi="Arial"/>
          <w:sz w:val="17"/>
          <w:szCs w:val="17"/>
          <w:color w:val="auto"/>
        </w:rPr>
        <w:t>CB: #1 multifamily lender</w:t>
      </w:r>
    </w:p>
    <w:p>
      <w:pPr>
        <w:spacing w:after="0" w:line="27" w:lineRule="exact"/>
        <w:rPr>
          <w:sz w:val="20"/>
          <w:szCs w:val="20"/>
          <w:color w:val="auto"/>
        </w:rPr>
      </w:pPr>
    </w:p>
    <w:p>
      <w:pPr>
        <w:ind w:left="680"/>
        <w:spacing w:after="0"/>
        <w:tabs>
          <w:tab w:leader="none" w:pos="860" w:val="left"/>
          <w:tab w:leader="none" w:pos="6040" w:val="left"/>
          <w:tab w:leader="none" w:pos="6220" w:val="left"/>
        </w:tabs>
        <w:rPr>
          <w:sz w:val="20"/>
          <w:szCs w:val="20"/>
          <w:color w:val="auto"/>
        </w:rPr>
      </w:pPr>
      <w:r>
        <w:rPr>
          <w:rFonts w:ascii="Arial" w:cs="Arial" w:eastAsia="Arial" w:hAnsi="Arial"/>
          <w:sz w:val="16"/>
          <w:szCs w:val="16"/>
          <w:color w:val="104C98"/>
        </w:rPr>
        <w:t>•</w:t>
      </w:r>
      <w:r>
        <w:rPr>
          <w:sz w:val="20"/>
          <w:szCs w:val="20"/>
          <w:color w:val="auto"/>
        </w:rPr>
        <w:tab/>
      </w:r>
      <w:r>
        <w:rPr>
          <w:rFonts w:ascii="Arial" w:cs="Arial" w:eastAsia="Arial" w:hAnsi="Arial"/>
          <w:sz w:val="18"/>
          <w:szCs w:val="18"/>
          <w:color w:val="auto"/>
        </w:rPr>
        <w:t>CIB: #1 in Total Markets and global IB fees</w:t>
      </w:r>
      <w:r>
        <w:rPr>
          <w:sz w:val="20"/>
          <w:szCs w:val="20"/>
          <w:color w:val="auto"/>
        </w:rPr>
        <w:tab/>
      </w:r>
      <w:r>
        <w:rPr>
          <w:rFonts w:ascii="Arial" w:cs="Arial" w:eastAsia="Arial" w:hAnsi="Arial"/>
          <w:sz w:val="16"/>
          <w:szCs w:val="16"/>
          <w:color w:val="104C98"/>
        </w:rPr>
        <w:t>•</w:t>
      </w:r>
      <w:r>
        <w:rPr>
          <w:sz w:val="20"/>
          <w:szCs w:val="20"/>
          <w:color w:val="auto"/>
        </w:rPr>
        <w:tab/>
      </w:r>
      <w:r>
        <w:rPr>
          <w:rFonts w:ascii="Arial" w:cs="Arial" w:eastAsia="Arial" w:hAnsi="Arial"/>
          <w:sz w:val="17"/>
          <w:szCs w:val="17"/>
          <w:color w:val="auto"/>
        </w:rPr>
        <w:t>AWM: #1 Total Client Asset Flows</w:t>
      </w:r>
    </w:p>
    <w:p>
      <w:pPr>
        <w:spacing w:after="0" w:line="45" w:lineRule="exact"/>
        <w:rPr>
          <w:sz w:val="20"/>
          <w:szCs w:val="20"/>
          <w:color w:val="auto"/>
        </w:rPr>
      </w:pPr>
    </w:p>
    <w:p>
      <w:pPr>
        <w:ind w:left="880" w:hanging="196"/>
        <w:spacing w:after="0"/>
        <w:tabs>
          <w:tab w:leader="none" w:pos="880" w:val="left"/>
        </w:tabs>
        <w:numPr>
          <w:ilvl w:val="0"/>
          <w:numId w:val="182"/>
        </w:numPr>
        <w:rPr>
          <w:rFonts w:ascii="Arial" w:cs="Arial" w:eastAsia="Arial" w:hAnsi="Arial"/>
          <w:sz w:val="16"/>
          <w:szCs w:val="16"/>
          <w:color w:val="104C98"/>
        </w:rPr>
      </w:pPr>
      <w:r>
        <w:rPr>
          <w:rFonts w:ascii="Arial" w:cs="Arial" w:eastAsia="Arial" w:hAnsi="Arial"/>
          <w:sz w:val="18"/>
          <w:szCs w:val="18"/>
          <w:color w:val="auto"/>
        </w:rPr>
        <w:t>Fortified our balance sheet with $1.4 trillion in liquid assets; $3.9 trillion in total assets</w:t>
      </w:r>
    </w:p>
    <w:p>
      <w:pPr>
        <w:spacing w:after="0" w:line="27" w:lineRule="exact"/>
        <w:rPr>
          <w:rFonts w:ascii="Arial" w:cs="Arial" w:eastAsia="Arial" w:hAnsi="Arial"/>
          <w:sz w:val="16"/>
          <w:szCs w:val="16"/>
          <w:color w:val="104C98"/>
        </w:rPr>
      </w:pPr>
    </w:p>
    <w:p>
      <w:pPr>
        <w:ind w:left="880" w:hanging="196"/>
        <w:spacing w:after="0"/>
        <w:tabs>
          <w:tab w:leader="none" w:pos="880" w:val="left"/>
        </w:tabs>
        <w:numPr>
          <w:ilvl w:val="0"/>
          <w:numId w:val="182"/>
        </w:numPr>
        <w:rPr>
          <w:rFonts w:ascii="Arial" w:cs="Arial" w:eastAsia="Arial" w:hAnsi="Arial"/>
          <w:sz w:val="16"/>
          <w:szCs w:val="16"/>
          <w:color w:val="104C98"/>
        </w:rPr>
      </w:pPr>
      <w:r>
        <w:rPr>
          <w:rFonts w:ascii="Arial" w:cs="Arial" w:eastAsia="Arial" w:hAnsi="Arial"/>
          <w:sz w:val="18"/>
          <w:szCs w:val="18"/>
          <w:color w:val="auto"/>
        </w:rPr>
        <w:t>Continued to efficiently address risk and controls while improving client and customer experience</w:t>
      </w:r>
    </w:p>
    <w:p>
      <w:pPr>
        <w:spacing w:after="0" w:line="9" w:lineRule="exact"/>
        <w:rPr>
          <w:rFonts w:ascii="Arial" w:cs="Arial" w:eastAsia="Arial" w:hAnsi="Arial"/>
          <w:sz w:val="16"/>
          <w:szCs w:val="16"/>
          <w:color w:val="104C98"/>
        </w:rPr>
      </w:pPr>
    </w:p>
    <w:p>
      <w:pPr>
        <w:ind w:left="880" w:right="560" w:hanging="196"/>
        <w:spacing w:after="0" w:line="250" w:lineRule="auto"/>
        <w:tabs>
          <w:tab w:leader="none" w:pos="877" w:val="left"/>
        </w:tabs>
        <w:numPr>
          <w:ilvl w:val="0"/>
          <w:numId w:val="182"/>
        </w:numPr>
        <w:rPr>
          <w:rFonts w:ascii="Arial" w:cs="Arial" w:eastAsia="Arial" w:hAnsi="Arial"/>
          <w:sz w:val="16"/>
          <w:szCs w:val="16"/>
          <w:color w:val="104C98"/>
        </w:rPr>
      </w:pPr>
      <w:r>
        <w:rPr>
          <w:rFonts w:ascii="Arial" w:cs="Arial" w:eastAsia="Arial" w:hAnsi="Arial"/>
          <w:sz w:val="18"/>
          <w:szCs w:val="18"/>
          <w:color w:val="auto"/>
        </w:rPr>
        <w:t>Successfully navigated and supported our clients and customers through the regional bank turmoil as well as completed the acquisition of First Republic Bank</w:t>
      </w:r>
    </w:p>
    <w:p>
      <w:pPr>
        <w:ind w:left="880" w:hanging="196"/>
        <w:spacing w:after="0"/>
        <w:tabs>
          <w:tab w:leader="none" w:pos="880" w:val="left"/>
        </w:tabs>
        <w:numPr>
          <w:ilvl w:val="0"/>
          <w:numId w:val="182"/>
        </w:numPr>
        <w:rPr>
          <w:rFonts w:ascii="Arial" w:cs="Arial" w:eastAsia="Arial" w:hAnsi="Arial"/>
          <w:sz w:val="16"/>
          <w:szCs w:val="16"/>
          <w:color w:val="104C98"/>
        </w:rPr>
      </w:pPr>
      <w:r>
        <w:rPr>
          <w:rFonts w:ascii="Arial" w:cs="Arial" w:eastAsia="Arial" w:hAnsi="Arial"/>
          <w:sz w:val="18"/>
          <w:szCs w:val="18"/>
          <w:color w:val="auto"/>
        </w:rPr>
        <w:t>Continued investment in technology, including the modernization of infrastructure and developer tools</w:t>
      </w:r>
    </w:p>
    <w:p>
      <w:pPr>
        <w:spacing w:after="0" w:line="9" w:lineRule="exact"/>
        <w:rPr>
          <w:rFonts w:ascii="Arial" w:cs="Arial" w:eastAsia="Arial" w:hAnsi="Arial"/>
          <w:sz w:val="16"/>
          <w:szCs w:val="16"/>
          <w:color w:val="104C98"/>
        </w:rPr>
      </w:pPr>
    </w:p>
    <w:p>
      <w:pPr>
        <w:ind w:left="880" w:hanging="196"/>
        <w:spacing w:after="0"/>
        <w:tabs>
          <w:tab w:leader="none" w:pos="880" w:val="left"/>
        </w:tabs>
        <w:numPr>
          <w:ilvl w:val="0"/>
          <w:numId w:val="182"/>
        </w:numPr>
        <w:rPr>
          <w:rFonts w:ascii="Arial" w:cs="Arial" w:eastAsia="Arial" w:hAnsi="Arial"/>
          <w:sz w:val="16"/>
          <w:szCs w:val="16"/>
          <w:color w:val="104C98"/>
        </w:rPr>
      </w:pPr>
      <w:r>
        <w:rPr>
          <w:rFonts w:ascii="Arial" w:cs="Arial" w:eastAsia="Arial" w:hAnsi="Arial"/>
          <w:sz w:val="18"/>
          <w:szCs w:val="18"/>
          <w:color w:val="auto"/>
        </w:rPr>
        <w:t>Financed and facilitated $675 billion of our $2.5 trillion Sustainable Development Target</w:t>
      </w:r>
    </w:p>
    <w:p>
      <w:pPr>
        <w:spacing w:after="0" w:line="9" w:lineRule="exact"/>
        <w:rPr>
          <w:rFonts w:ascii="Arial" w:cs="Arial" w:eastAsia="Arial" w:hAnsi="Arial"/>
          <w:sz w:val="16"/>
          <w:szCs w:val="16"/>
          <w:color w:val="104C98"/>
        </w:rPr>
      </w:pPr>
    </w:p>
    <w:p>
      <w:pPr>
        <w:ind w:left="880" w:hanging="196"/>
        <w:spacing w:after="0"/>
        <w:tabs>
          <w:tab w:leader="none" w:pos="880" w:val="left"/>
        </w:tabs>
        <w:numPr>
          <w:ilvl w:val="0"/>
          <w:numId w:val="182"/>
        </w:numPr>
        <w:rPr>
          <w:rFonts w:ascii="Arial" w:cs="Arial" w:eastAsia="Arial" w:hAnsi="Arial"/>
          <w:sz w:val="16"/>
          <w:szCs w:val="16"/>
          <w:color w:val="104C98"/>
        </w:rPr>
      </w:pPr>
      <w:r>
        <w:rPr>
          <w:rFonts w:ascii="Arial" w:cs="Arial" w:eastAsia="Arial" w:hAnsi="Arial"/>
          <w:sz w:val="18"/>
          <w:szCs w:val="18"/>
          <w:color w:val="auto"/>
        </w:rPr>
        <w:t>Reported nearly $31 billion of progress toward our 2025 $30 billion Racial Equity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21437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3214370"/>
                    </a:xfrm>
                    <a:prstGeom prst="rect">
                      <a:avLst/>
                    </a:prstGeom>
                    <a:noFill/>
                  </pic:spPr>
                </pic:pic>
              </a:graphicData>
            </a:graphic>
          </wp:anchor>
        </w:drawing>
      </w:r>
    </w:p>
    <w:p>
      <w:pPr>
        <w:spacing w:after="0" w:line="7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FFFFFF"/>
        </w:rPr>
        <w:t>Risk, Controls &amp; Conduct</w:t>
      </w:r>
    </w:p>
    <w:p>
      <w:pPr>
        <w:spacing w:after="0" w:line="63" w:lineRule="exact"/>
        <w:rPr>
          <w:sz w:val="20"/>
          <w:szCs w:val="20"/>
          <w:color w:val="auto"/>
        </w:rPr>
      </w:pPr>
    </w:p>
    <w:p>
      <w:pPr>
        <w:ind w:left="880" w:hanging="196"/>
        <w:spacing w:after="0"/>
        <w:tabs>
          <w:tab w:leader="none" w:pos="880" w:val="left"/>
        </w:tabs>
        <w:numPr>
          <w:ilvl w:val="0"/>
          <w:numId w:val="183"/>
        </w:numPr>
        <w:rPr>
          <w:rFonts w:ascii="Arial" w:cs="Arial" w:eastAsia="Arial" w:hAnsi="Arial"/>
          <w:sz w:val="18"/>
          <w:szCs w:val="18"/>
          <w:color w:val="104C98"/>
        </w:rPr>
      </w:pPr>
      <w:r>
        <w:rPr>
          <w:rFonts w:ascii="Arial" w:cs="Arial" w:eastAsia="Arial" w:hAnsi="Arial"/>
          <w:sz w:val="18"/>
          <w:szCs w:val="18"/>
          <w:color w:val="auto"/>
        </w:rPr>
        <w:t>Continued to focus on:</w:t>
      </w:r>
    </w:p>
    <w:p>
      <w:pPr>
        <w:spacing w:after="0" w:line="27" w:lineRule="exact"/>
        <w:rPr>
          <w:rFonts w:ascii="Arial" w:cs="Arial" w:eastAsia="Arial" w:hAnsi="Arial"/>
          <w:sz w:val="18"/>
          <w:szCs w:val="18"/>
          <w:color w:val="104C98"/>
        </w:rPr>
      </w:pPr>
    </w:p>
    <w:p>
      <w:pPr>
        <w:ind w:left="1060" w:hanging="181"/>
        <w:spacing w:after="0"/>
        <w:tabs>
          <w:tab w:leader="none" w:pos="1060" w:val="left"/>
        </w:tabs>
        <w:numPr>
          <w:ilvl w:val="1"/>
          <w:numId w:val="183"/>
        </w:numPr>
        <w:rPr>
          <w:rFonts w:ascii="Arial" w:cs="Arial" w:eastAsia="Arial" w:hAnsi="Arial"/>
          <w:sz w:val="18"/>
          <w:szCs w:val="18"/>
          <w:color w:val="104C98"/>
        </w:rPr>
      </w:pPr>
      <w:r>
        <w:rPr>
          <w:rFonts w:ascii="Arial" w:cs="Arial" w:eastAsia="Arial" w:hAnsi="Arial"/>
          <w:sz w:val="18"/>
          <w:szCs w:val="18"/>
          <w:color w:val="auto"/>
        </w:rPr>
        <w:t>Maintaining a satisfactory risk and controls environment as well as strong risk discipline across the organization</w:t>
      </w:r>
    </w:p>
    <w:p>
      <w:pPr>
        <w:spacing w:after="0" w:line="9" w:lineRule="exact"/>
        <w:rPr>
          <w:rFonts w:ascii="Arial" w:cs="Arial" w:eastAsia="Arial" w:hAnsi="Arial"/>
          <w:sz w:val="18"/>
          <w:szCs w:val="18"/>
          <w:color w:val="104C98"/>
        </w:rPr>
      </w:pPr>
    </w:p>
    <w:p>
      <w:pPr>
        <w:ind w:left="1080" w:right="260" w:hanging="201"/>
        <w:spacing w:after="0" w:line="250" w:lineRule="auto"/>
        <w:tabs>
          <w:tab w:leader="none" w:pos="1071" w:val="left"/>
        </w:tabs>
        <w:numPr>
          <w:ilvl w:val="1"/>
          <w:numId w:val="183"/>
        </w:numPr>
        <w:rPr>
          <w:rFonts w:ascii="Arial" w:cs="Arial" w:eastAsia="Arial" w:hAnsi="Arial"/>
          <w:sz w:val="18"/>
          <w:szCs w:val="18"/>
          <w:color w:val="104C98"/>
        </w:rPr>
      </w:pPr>
      <w:r>
        <w:rPr>
          <w:rFonts w:ascii="Arial" w:cs="Arial" w:eastAsia="Arial" w:hAnsi="Arial"/>
          <w:sz w:val="18"/>
          <w:szCs w:val="18"/>
          <w:color w:val="auto"/>
        </w:rPr>
        <w:t>Investing significantly in our cyber defense capabilities and strengthening partnerships with government and law enforcement agencies to enhance our defenses</w:t>
      </w:r>
    </w:p>
    <w:p>
      <w:pPr>
        <w:ind w:left="1080" w:right="60" w:hanging="201"/>
        <w:spacing w:after="0" w:line="250" w:lineRule="auto"/>
        <w:tabs>
          <w:tab w:leader="none" w:pos="1071" w:val="left"/>
        </w:tabs>
        <w:numPr>
          <w:ilvl w:val="1"/>
          <w:numId w:val="183"/>
        </w:numPr>
        <w:rPr>
          <w:rFonts w:ascii="Arial" w:cs="Arial" w:eastAsia="Arial" w:hAnsi="Arial"/>
          <w:sz w:val="18"/>
          <w:szCs w:val="18"/>
          <w:color w:val="00497F"/>
        </w:rPr>
      </w:pPr>
      <w:r>
        <w:rPr>
          <w:rFonts w:ascii="Arial" w:cs="Arial" w:eastAsia="Arial" w:hAnsi="Arial"/>
          <w:sz w:val="18"/>
          <w:szCs w:val="18"/>
          <w:color w:val="auto"/>
        </w:rPr>
        <w:t>Conducting deep dives into top risk areas including those associated with geopolitical tensions, sustained inflation, and regional bank failures</w:t>
      </w:r>
    </w:p>
    <w:p>
      <w:pPr>
        <w:ind w:left="1080" w:right="180" w:hanging="201"/>
        <w:spacing w:after="0" w:line="266" w:lineRule="auto"/>
        <w:tabs>
          <w:tab w:leader="none" w:pos="1071" w:val="left"/>
        </w:tabs>
        <w:numPr>
          <w:ilvl w:val="1"/>
          <w:numId w:val="183"/>
        </w:numPr>
        <w:rPr>
          <w:rFonts w:ascii="Arial" w:cs="Arial" w:eastAsia="Arial" w:hAnsi="Arial"/>
          <w:sz w:val="18"/>
          <w:szCs w:val="18"/>
          <w:color w:val="104C98"/>
        </w:rPr>
      </w:pPr>
      <w:r>
        <w:rPr>
          <w:rFonts w:ascii="Arial" w:cs="Arial" w:eastAsia="Arial" w:hAnsi="Arial"/>
          <w:sz w:val="18"/>
          <w:szCs w:val="18"/>
          <w:color w:val="auto"/>
        </w:rPr>
        <w:t>Setting the highest standards of leadership and manager expectations to drive the Firm’s culture, consistent with our Business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635</wp:posOffset>
            </wp:positionV>
            <wp:extent cx="6763385" cy="1714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b w:val="1"/>
          <w:bCs w:val="1"/>
          <w:color w:val="FFFFFF"/>
        </w:rPr>
        <w:t>Client/Customer/Stakeholder</w:t>
      </w:r>
    </w:p>
    <w:p>
      <w:pPr>
        <w:spacing w:after="0" w:line="63" w:lineRule="exact"/>
        <w:rPr>
          <w:sz w:val="20"/>
          <w:szCs w:val="20"/>
          <w:color w:val="auto"/>
        </w:rPr>
      </w:pPr>
    </w:p>
    <w:p>
      <w:pPr>
        <w:ind w:left="880" w:right="900" w:hanging="196"/>
        <w:spacing w:after="0" w:line="260" w:lineRule="auto"/>
        <w:tabs>
          <w:tab w:leader="none" w:pos="877" w:val="left"/>
        </w:tabs>
        <w:numPr>
          <w:ilvl w:val="0"/>
          <w:numId w:val="184"/>
        </w:numPr>
        <w:rPr>
          <w:rFonts w:ascii="Arial" w:cs="Arial" w:eastAsia="Arial" w:hAnsi="Arial"/>
          <w:sz w:val="16"/>
          <w:szCs w:val="16"/>
          <w:color w:val="074A75"/>
        </w:rPr>
      </w:pPr>
      <w:r>
        <w:rPr>
          <w:rFonts w:ascii="Arial" w:cs="Arial" w:eastAsia="Arial" w:hAnsi="Arial"/>
          <w:sz w:val="18"/>
          <w:szCs w:val="18"/>
          <w:color w:val="auto"/>
        </w:rPr>
        <w:t>Continued to put our customers first by building products and services that deliver value, including enhancing the digital experience and ease of doing business in a fast and simple way</w:t>
      </w:r>
    </w:p>
    <w:p>
      <w:pPr>
        <w:spacing w:after="0" w:line="1" w:lineRule="exact"/>
        <w:rPr>
          <w:rFonts w:ascii="Arial" w:cs="Arial" w:eastAsia="Arial" w:hAnsi="Arial"/>
          <w:sz w:val="16"/>
          <w:szCs w:val="16"/>
          <w:color w:val="074A75"/>
        </w:rPr>
      </w:pPr>
    </w:p>
    <w:p>
      <w:pPr>
        <w:ind w:left="880" w:right="100" w:hanging="196"/>
        <w:spacing w:after="0" w:line="266" w:lineRule="auto"/>
        <w:tabs>
          <w:tab w:leader="none" w:pos="877" w:val="left"/>
        </w:tabs>
        <w:numPr>
          <w:ilvl w:val="0"/>
          <w:numId w:val="184"/>
        </w:numPr>
        <w:rPr>
          <w:rFonts w:ascii="Arial" w:cs="Arial" w:eastAsia="Arial" w:hAnsi="Arial"/>
          <w:sz w:val="16"/>
          <w:szCs w:val="16"/>
          <w:color w:val="104C98"/>
        </w:rPr>
      </w:pPr>
      <w:r>
        <w:rPr>
          <w:rFonts w:ascii="Arial" w:cs="Arial" w:eastAsia="Arial" w:hAnsi="Arial"/>
          <w:sz w:val="18"/>
          <w:szCs w:val="18"/>
          <w:color w:val="auto"/>
        </w:rPr>
        <w:t>Uplifted our communities to help build a sustainable and inclusive global economy, and advanced racial equity for our employees, customers, clients and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635</wp:posOffset>
            </wp:positionV>
            <wp:extent cx="6763385" cy="1714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b w:val="1"/>
          <w:bCs w:val="1"/>
          <w:color w:val="FFFFFF"/>
        </w:rPr>
        <w:t>Teamwork &amp; Leadership</w:t>
      </w:r>
    </w:p>
    <w:p>
      <w:pPr>
        <w:spacing w:after="0" w:line="63" w:lineRule="exact"/>
        <w:rPr>
          <w:sz w:val="20"/>
          <w:szCs w:val="20"/>
          <w:color w:val="auto"/>
        </w:rPr>
      </w:pPr>
    </w:p>
    <w:p>
      <w:pPr>
        <w:ind w:left="880" w:right="160" w:hanging="196"/>
        <w:spacing w:after="0" w:line="276" w:lineRule="auto"/>
        <w:tabs>
          <w:tab w:leader="none" w:pos="877" w:val="left"/>
        </w:tabs>
        <w:numPr>
          <w:ilvl w:val="0"/>
          <w:numId w:val="185"/>
        </w:numPr>
        <w:rPr>
          <w:rFonts w:ascii="Arial" w:cs="Arial" w:eastAsia="Arial" w:hAnsi="Arial"/>
          <w:sz w:val="15"/>
          <w:szCs w:val="15"/>
          <w:color w:val="104C98"/>
        </w:rPr>
      </w:pPr>
      <w:r>
        <w:rPr>
          <w:rFonts w:ascii="Arial" w:cs="Arial" w:eastAsia="Arial" w:hAnsi="Arial"/>
          <w:sz w:val="17"/>
          <w:szCs w:val="17"/>
          <w:color w:val="auto"/>
        </w:rPr>
        <w:t>Continued execution of a long-term succession planning strategy for the Firm’s senior leadership; recently announced leadership and organizational changes with the objective of maintaining a pipeline of top executives to lead for today and the future</w:t>
      </w:r>
    </w:p>
    <w:p>
      <w:pPr>
        <w:ind w:left="880" w:right="200" w:hanging="196"/>
        <w:spacing w:after="0" w:line="250" w:lineRule="auto"/>
        <w:tabs>
          <w:tab w:leader="none" w:pos="877" w:val="left"/>
        </w:tabs>
        <w:numPr>
          <w:ilvl w:val="0"/>
          <w:numId w:val="185"/>
        </w:numPr>
        <w:rPr>
          <w:rFonts w:ascii="Arial" w:cs="Arial" w:eastAsia="Arial" w:hAnsi="Arial"/>
          <w:sz w:val="16"/>
          <w:szCs w:val="16"/>
          <w:color w:val="00497F"/>
        </w:rPr>
      </w:pPr>
      <w:r>
        <w:rPr>
          <w:rFonts w:ascii="Arial" w:cs="Arial" w:eastAsia="Arial" w:hAnsi="Arial"/>
          <w:sz w:val="18"/>
          <w:szCs w:val="18"/>
          <w:color w:val="auto"/>
        </w:rPr>
        <w:t>Fostered a culture of respect and inclusion to promote innovation, creativity and productivity, enabling leaders and their teams to grow and succeed</w:t>
      </w:r>
    </w:p>
    <w:p>
      <w:pPr>
        <w:ind w:left="880" w:right="500" w:hanging="196"/>
        <w:spacing w:after="0" w:line="266" w:lineRule="auto"/>
        <w:tabs>
          <w:tab w:leader="none" w:pos="877" w:val="left"/>
        </w:tabs>
        <w:numPr>
          <w:ilvl w:val="0"/>
          <w:numId w:val="185"/>
        </w:numPr>
        <w:rPr>
          <w:rFonts w:ascii="Arial" w:cs="Arial" w:eastAsia="Arial" w:hAnsi="Arial"/>
          <w:sz w:val="16"/>
          <w:szCs w:val="16"/>
          <w:color w:val="00497F"/>
        </w:rPr>
      </w:pPr>
      <w:r>
        <w:rPr>
          <w:rFonts w:ascii="Arial" w:cs="Arial" w:eastAsia="Arial" w:hAnsi="Arial"/>
          <w:sz w:val="18"/>
          <w:szCs w:val="18"/>
          <w:color w:val="auto"/>
        </w:rPr>
        <w:t>Enhanced programs and policies that support the needs of our employees and their families, by investing in ways to improve health outcomes</w:t>
      </w:r>
    </w:p>
    <w:p>
      <w:pPr>
        <w:spacing w:after="0" w:line="200" w:lineRule="exact"/>
        <w:rPr>
          <w:sz w:val="20"/>
          <w:szCs w:val="20"/>
          <w:color w:val="auto"/>
        </w:rPr>
      </w:pPr>
    </w:p>
    <w:p>
      <w:pPr>
        <w:spacing w:after="0" w:line="302" w:lineRule="exact"/>
        <w:rPr>
          <w:sz w:val="20"/>
          <w:szCs w:val="20"/>
          <w:color w:val="auto"/>
        </w:rPr>
      </w:pPr>
    </w:p>
    <w:p>
      <w:pPr>
        <w:ind w:left="200" w:hanging="192"/>
        <w:spacing w:after="0"/>
        <w:tabs>
          <w:tab w:leader="none" w:pos="200" w:val="left"/>
        </w:tabs>
        <w:numPr>
          <w:ilvl w:val="0"/>
          <w:numId w:val="186"/>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Note 2, on page 113 for a definition of managed basis.</w:t>
      </w:r>
    </w:p>
    <w:p>
      <w:pPr>
        <w:ind w:left="200" w:hanging="192"/>
        <w:spacing w:after="0" w:line="201" w:lineRule="auto"/>
        <w:tabs>
          <w:tab w:leader="none" w:pos="200" w:val="left"/>
        </w:tabs>
        <w:numPr>
          <w:ilvl w:val="0"/>
          <w:numId w:val="187"/>
        </w:numPr>
        <w:rPr>
          <w:rFonts w:ascii="Arial" w:cs="Arial" w:eastAsia="Arial" w:hAnsi="Arial"/>
          <w:sz w:val="15"/>
          <w:szCs w:val="15"/>
          <w:color w:val="auto"/>
          <w:vertAlign w:val="superscript"/>
        </w:rPr>
      </w:pPr>
      <w:r>
        <w:rPr>
          <w:rFonts w:ascii="Arial" w:cs="Arial" w:eastAsia="Arial" w:hAnsi="Arial"/>
          <w:sz w:val="12"/>
          <w:szCs w:val="12"/>
          <w:color w:val="auto"/>
        </w:rPr>
        <w:t>Managed Revenue, Pre-Tax Income (ex. LLR), TBVPS and ROTCE are non-GAAP financial measures. Refer to Note 1 on page 113 for further discussion on these measures.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399"/>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4"/>
                <w:szCs w:val="24"/>
                <w:color w:val="auto"/>
              </w:rPr>
            </w:pPr>
          </w:p>
        </w:tc>
        <w:tc>
          <w:tcPr>
            <w:tcW w:w="2600" w:type="dxa"/>
            <w:vAlign w:val="bottom"/>
            <w:tcBorders>
              <w:top w:val="single" w:sz="8" w:color="E7E7E8"/>
              <w:right w:val="single" w:sz="8" w:color="E7E7E8"/>
            </w:tcBorders>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4"/>
                <w:szCs w:val="24"/>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4"/>
                <w:szCs w:val="24"/>
                <w:color w:val="auto"/>
              </w:rPr>
            </w:pPr>
          </w:p>
        </w:tc>
        <w:tc>
          <w:tcPr>
            <w:tcW w:w="324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2023</w:t>
            </w:r>
          </w:p>
        </w:tc>
      </w:tr>
      <w:tr>
        <w:trPr>
          <w:trHeight w:val="208"/>
        </w:trPr>
        <w:tc>
          <w:tcPr>
            <w:tcW w:w="880" w:type="dxa"/>
            <w:vAlign w:val="bottom"/>
            <w:tcBorders>
              <w:left w:val="single" w:sz="8" w:color="E7E7E8"/>
              <w:bottom w:val="single" w:sz="8" w:color="E7E7E8"/>
              <w:right w:val="single" w:sz="8" w:color="E7E7E8"/>
            </w:tcBorders>
          </w:tcPr>
          <w:p>
            <w:pPr>
              <w:spacing w:after="0"/>
              <w:rPr>
                <w:sz w:val="18"/>
                <w:szCs w:val="18"/>
                <w:color w:val="auto"/>
              </w:rPr>
            </w:pPr>
          </w:p>
        </w:tc>
        <w:tc>
          <w:tcPr>
            <w:tcW w:w="280" w:type="dxa"/>
            <w:vAlign w:val="bottom"/>
            <w:tcBorders>
              <w:right w:val="single" w:sz="8" w:color="E7E7E8"/>
            </w:tcBorders>
          </w:tcPr>
          <w:p>
            <w:pPr>
              <w:spacing w:after="0"/>
              <w:rPr>
                <w:sz w:val="18"/>
                <w:szCs w:val="18"/>
                <w:color w:val="auto"/>
              </w:rPr>
            </w:pPr>
          </w:p>
        </w:tc>
        <w:tc>
          <w:tcPr>
            <w:tcW w:w="2600" w:type="dxa"/>
            <w:vAlign w:val="bottom"/>
            <w:tcBorders>
              <w:bottom w:val="single" w:sz="8" w:color="E7E7E8"/>
              <w:right w:val="single" w:sz="8" w:color="E7E7E8"/>
            </w:tcBorders>
          </w:tcPr>
          <w:p>
            <w:pPr>
              <w:spacing w:after="0"/>
              <w:rPr>
                <w:sz w:val="18"/>
                <w:szCs w:val="18"/>
                <w:color w:val="auto"/>
              </w:rPr>
            </w:pPr>
          </w:p>
        </w:tc>
        <w:tc>
          <w:tcPr>
            <w:tcW w:w="280" w:type="dxa"/>
            <w:vAlign w:val="bottom"/>
            <w:tcBorders>
              <w:right w:val="single" w:sz="8" w:color="E7E7E8"/>
            </w:tcBorders>
          </w:tcPr>
          <w:p>
            <w:pPr>
              <w:spacing w:after="0"/>
              <w:rPr>
                <w:sz w:val="18"/>
                <w:szCs w:val="18"/>
                <w:color w:val="auto"/>
              </w:rPr>
            </w:pPr>
          </w:p>
        </w:tc>
        <w:tc>
          <w:tcPr>
            <w:tcW w:w="3700" w:type="dxa"/>
            <w:vAlign w:val="bottom"/>
            <w:tcBorders>
              <w:bottom w:val="single" w:sz="8" w:color="E7E7E8"/>
              <w:right w:val="single" w:sz="8" w:color="E7E7E8"/>
            </w:tcBorders>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tcBorders>
              <w:bottom w:val="single" w:sz="8" w:color="E7E7E8"/>
            </w:tcBorders>
            <w:shd w:val="clear" w:color="auto" w:fill="E7E7E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-213995</wp:posOffset>
            </wp:positionV>
            <wp:extent cx="77470" cy="1454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-213995</wp:posOffset>
            </wp:positionV>
            <wp:extent cx="76835" cy="1454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-213995</wp:posOffset>
            </wp:positionV>
            <wp:extent cx="77470" cy="1454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29"/>
          <w:szCs w:val="29"/>
          <w:color w:val="074A75"/>
        </w:rPr>
        <w:t>2023 NEO pay-for-performance dashboards</w:t>
      </w:r>
    </w:p>
    <w:p>
      <w:pPr>
        <w:spacing w:after="0" w:line="7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following pages are summaries of our NEOs’ achievements against the Firm’s four broad performance dimensions, and progress against the Firm's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29413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93" w:lineRule="exact"/>
        <w:rPr>
          <w:sz w:val="20"/>
          <w:szCs w:val="20"/>
          <w:color w:val="auto"/>
        </w:rPr>
      </w:pPr>
    </w:p>
    <w:p>
      <w:pPr>
        <w:ind w:left="2360"/>
        <w:spacing w:after="0"/>
        <w:rPr>
          <w:sz w:val="20"/>
          <w:szCs w:val="20"/>
          <w:color w:val="auto"/>
        </w:rPr>
      </w:pPr>
      <w:r>
        <w:rPr>
          <w:rFonts w:ascii="Arial" w:cs="Arial" w:eastAsia="Arial" w:hAnsi="Arial"/>
          <w:sz w:val="29"/>
          <w:szCs w:val="29"/>
          <w:color w:val="074A75"/>
        </w:rPr>
        <w:t>Daniel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-207645</wp:posOffset>
            </wp:positionV>
            <wp:extent cx="5734685" cy="12598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734685" cy="1259840"/>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-207645</wp:posOffset>
            </wp:positionV>
            <wp:extent cx="5734685" cy="12598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734685" cy="1259840"/>
                    </a:xfrm>
                    <a:prstGeom prst="rect">
                      <a:avLst/>
                    </a:prstGeom>
                    <a:noFill/>
                  </pic:spPr>
                </pic:pic>
              </a:graphicData>
            </a:graphic>
          </wp:anchor>
        </w:drawing>
      </w:r>
    </w:p>
    <w:p>
      <w:pPr>
        <w:spacing w:after="0" w:line="15" w:lineRule="exact"/>
        <w:rPr>
          <w:sz w:val="20"/>
          <w:szCs w:val="20"/>
          <w:color w:val="auto"/>
        </w:rPr>
      </w:pPr>
    </w:p>
    <w:p>
      <w:pPr>
        <w:ind w:left="2360"/>
        <w:spacing w:after="0"/>
        <w:rPr>
          <w:sz w:val="20"/>
          <w:szCs w:val="20"/>
          <w:color w:val="auto"/>
        </w:rPr>
      </w:pPr>
      <w:r>
        <w:rPr>
          <w:rFonts w:ascii="Arial" w:cs="Arial" w:eastAsia="Arial" w:hAnsi="Arial"/>
          <w:sz w:val="18"/>
          <w:szCs w:val="18"/>
          <w:color w:val="074A75"/>
        </w:rPr>
        <w:t>PRESIDENT &amp; COO</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8"/>
          <w:szCs w:val="18"/>
          <w:color w:val="074A75"/>
        </w:rPr>
        <w:t>FORMER CEO: CORPORATE &amp; INVESTMENT BANK</w:t>
      </w:r>
    </w:p>
    <w:p>
      <w:pPr>
        <w:spacing w:after="0" w:line="104" w:lineRule="exact"/>
        <w:rPr>
          <w:sz w:val="20"/>
          <w:szCs w:val="20"/>
          <w:color w:val="auto"/>
        </w:rPr>
      </w:pPr>
    </w:p>
    <w:p>
      <w:pPr>
        <w:ind w:left="2360" w:right="3960"/>
        <w:spacing w:after="0" w:line="265" w:lineRule="auto"/>
        <w:rPr>
          <w:sz w:val="20"/>
          <w:szCs w:val="20"/>
          <w:color w:val="auto"/>
        </w:rPr>
      </w:pPr>
      <w:r>
        <w:rPr>
          <w:rFonts w:ascii="Arial" w:cs="Arial" w:eastAsia="Arial" w:hAnsi="Arial"/>
          <w:sz w:val="16"/>
          <w:szCs w:val="16"/>
          <w:color w:val="242424"/>
        </w:rPr>
        <w:t>Mr. Pinto became sole President and Chief Operating Officer in January 2022, after serving as Co-President and Co-Chief Operating Officer of the Firm from January 2018. Mr. Pinto previously served as Co-CEO of the CIB starting in 2012 and sole CEO of the CIB since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74A75"/>
        </w:rPr>
        <w:t xml:space="preserve">PERFORMANCE DASHBOARD: </w:t>
      </w:r>
      <w:r>
        <w:rPr>
          <w:rFonts w:ascii="Arial" w:cs="Arial" w:eastAsia="Arial" w:hAnsi="Arial"/>
          <w:sz w:val="18"/>
          <w:szCs w:val="18"/>
          <w:color w:val="074A75"/>
        </w:rPr>
        <w:t>Assessment of results against long-term strategic priorities and qualitative considerations</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973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spacing w:after="0" w:line="53" w:lineRule="exact"/>
        <w:rPr>
          <w:sz w:val="20"/>
          <w:szCs w:val="20"/>
          <w:color w:val="auto"/>
        </w:rPr>
      </w:pPr>
    </w:p>
    <w:p>
      <w:pPr>
        <w:ind w:left="880" w:hanging="196"/>
        <w:spacing w:after="0"/>
        <w:tabs>
          <w:tab w:leader="none" w:pos="880" w:val="left"/>
        </w:tabs>
        <w:numPr>
          <w:ilvl w:val="0"/>
          <w:numId w:val="188"/>
        </w:numPr>
        <w:rPr>
          <w:rFonts w:ascii="Arial" w:cs="Arial" w:eastAsia="Arial" w:hAnsi="Arial"/>
          <w:sz w:val="18"/>
          <w:szCs w:val="18"/>
          <w:color w:val="074A75"/>
        </w:rPr>
      </w:pPr>
      <w:r>
        <w:rPr>
          <w:rFonts w:ascii="Arial" w:cs="Arial" w:eastAsia="Arial" w:hAnsi="Arial"/>
          <w:sz w:val="18"/>
          <w:szCs w:val="18"/>
          <w:color w:val="auto"/>
        </w:rPr>
        <w:t>CIB achieved net income of $14.1 billion on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$48.8 billion, with an ROE of 13%</w:t>
      </w:r>
    </w:p>
    <w:p>
      <w:pPr>
        <w:ind w:left="880" w:right="240" w:hanging="196"/>
        <w:spacing w:after="0" w:line="253" w:lineRule="auto"/>
        <w:tabs>
          <w:tab w:leader="none" w:pos="884" w:val="left"/>
        </w:tabs>
        <w:numPr>
          <w:ilvl w:val="0"/>
          <w:numId w:val="188"/>
        </w:numPr>
        <w:rPr>
          <w:rFonts w:ascii="Arial" w:cs="Arial" w:eastAsia="Arial" w:hAnsi="Arial"/>
          <w:sz w:val="18"/>
          <w:szCs w:val="18"/>
          <w:color w:val="074A75"/>
        </w:rPr>
      </w:pPr>
      <w:r>
        <w:rPr>
          <w:rFonts w:ascii="Arial" w:cs="Arial" w:eastAsia="Arial" w:hAnsi="Arial"/>
          <w:sz w:val="18"/>
          <w:szCs w:val="18"/>
          <w:color w:val="auto"/>
        </w:rPr>
        <w:t>IB fees of $6.6 billion, down 5%; revenues in Payments of $9.3 billion, Fixed Income of $18.8 billion, and Equities of $9.0 billion, up 22%, up 1%, and down 13%, respectively</w:t>
      </w:r>
    </w:p>
    <w:p>
      <w:pPr>
        <w:ind w:left="880" w:hanging="196"/>
        <w:spacing w:after="0" w:line="216" w:lineRule="auto"/>
        <w:tabs>
          <w:tab w:leader="none" w:pos="880" w:val="left"/>
        </w:tabs>
        <w:numPr>
          <w:ilvl w:val="0"/>
          <w:numId w:val="188"/>
        </w:numPr>
        <w:rPr>
          <w:rFonts w:ascii="Arial" w:cs="Arial" w:eastAsia="Arial" w:hAnsi="Arial"/>
          <w:sz w:val="18"/>
          <w:szCs w:val="18"/>
          <w:color w:val="074A75"/>
        </w:rPr>
      </w:pPr>
      <w:r>
        <w:rPr>
          <w:rFonts w:ascii="Arial" w:cs="Arial" w:eastAsia="Arial" w:hAnsi="Arial"/>
          <w:sz w:val="18"/>
          <w:szCs w:val="18"/>
          <w:color w:val="auto"/>
        </w:rPr>
        <w:t>Ranked #1 in global IB fees for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with wallet share of 8.8%</w:t>
      </w:r>
      <w:r>
        <w:rPr>
          <w:rFonts w:ascii="Arial" w:cs="Arial" w:eastAsia="Arial" w:hAnsi="Arial"/>
          <w:sz w:val="23"/>
          <w:szCs w:val="23"/>
          <w:color w:val="auto"/>
          <w:vertAlign w:val="superscript"/>
        </w:rPr>
        <w:t>2</w:t>
      </w:r>
    </w:p>
    <w:p>
      <w:pPr>
        <w:ind w:left="880" w:hanging="196"/>
        <w:spacing w:after="0" w:line="220" w:lineRule="auto"/>
        <w:tabs>
          <w:tab w:leader="none" w:pos="880" w:val="left"/>
        </w:tabs>
        <w:numPr>
          <w:ilvl w:val="0"/>
          <w:numId w:val="188"/>
        </w:numPr>
        <w:rPr>
          <w:rFonts w:ascii="Arial" w:cs="Arial" w:eastAsia="Arial" w:hAnsi="Arial"/>
          <w:sz w:val="18"/>
          <w:szCs w:val="18"/>
          <w:color w:val="074A75"/>
        </w:rPr>
      </w:pPr>
      <w:r>
        <w:rPr>
          <w:rFonts w:ascii="Arial" w:cs="Arial" w:eastAsia="Arial" w:hAnsi="Arial"/>
          <w:sz w:val="18"/>
          <w:szCs w:val="18"/>
          <w:color w:val="auto"/>
        </w:rPr>
        <w:t>Ranked #1 in Total Markets with 11.4%</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wallet share (#1 in Fixed Income; #2 in Equities)</w:t>
      </w:r>
    </w:p>
    <w:p>
      <w:pPr>
        <w:ind w:left="880" w:hanging="196"/>
        <w:spacing w:after="0"/>
        <w:tabs>
          <w:tab w:leader="none" w:pos="880" w:val="left"/>
        </w:tabs>
        <w:numPr>
          <w:ilvl w:val="0"/>
          <w:numId w:val="188"/>
        </w:numPr>
        <w:rPr>
          <w:rFonts w:ascii="Arial" w:cs="Arial" w:eastAsia="Arial" w:hAnsi="Arial"/>
          <w:sz w:val="18"/>
          <w:szCs w:val="18"/>
          <w:color w:val="074A75"/>
        </w:rPr>
      </w:pPr>
      <w:r>
        <w:rPr>
          <w:rFonts w:ascii="Arial" w:cs="Arial" w:eastAsia="Arial" w:hAnsi="Arial"/>
          <w:sz w:val="18"/>
          <w:szCs w:val="18"/>
          <w:color w:val="auto"/>
        </w:rPr>
        <w:t>Participated in 6 of the top 10 fee paying deals</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-3810</wp:posOffset>
            </wp:positionV>
            <wp:extent cx="6763385" cy="16319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763385" cy="16319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b w:val="1"/>
          <w:bCs w:val="1"/>
          <w:color w:val="FFFFFF"/>
        </w:rPr>
        <w:t>Progress Against our Strategic Framework</w:t>
      </w:r>
    </w:p>
    <w:p>
      <w:pPr>
        <w:spacing w:after="0" w:line="45" w:lineRule="exact"/>
        <w:rPr>
          <w:sz w:val="20"/>
          <w:szCs w:val="20"/>
          <w:color w:val="auto"/>
        </w:rPr>
      </w:pPr>
    </w:p>
    <w:p>
      <w:pPr>
        <w:jc w:val="both"/>
        <w:ind w:left="880" w:right="280" w:hanging="196"/>
        <w:spacing w:after="0" w:line="268" w:lineRule="auto"/>
        <w:tabs>
          <w:tab w:leader="none" w:pos="884" w:val="left"/>
        </w:tabs>
        <w:numPr>
          <w:ilvl w:val="0"/>
          <w:numId w:val="189"/>
        </w:numPr>
        <w:rPr>
          <w:rFonts w:ascii="Arial" w:cs="Arial" w:eastAsia="Arial" w:hAnsi="Arial"/>
          <w:sz w:val="18"/>
          <w:szCs w:val="18"/>
          <w:color w:val="074A75"/>
        </w:rPr>
      </w:pPr>
      <w:r>
        <w:rPr>
          <w:rFonts w:ascii="Arial" w:cs="Arial" w:eastAsia="Arial" w:hAnsi="Arial"/>
          <w:sz w:val="18"/>
          <w:szCs w:val="18"/>
          <w:color w:val="auto"/>
        </w:rPr>
        <w:t>As President &amp; COO, continued to lead the oversight of Firmwide support functions to drive execution and delivery of functional transformations, work with business leaders across the Firm on execution of strategic priorities, and provide oversight of critical Firmwide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3343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3334385"/>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FFFFFF"/>
        </w:rPr>
        <w:t>Risk, Controls &amp; Conduct</w:t>
      </w:r>
    </w:p>
    <w:p>
      <w:pPr>
        <w:spacing w:after="0" w:line="77" w:lineRule="exact"/>
        <w:rPr>
          <w:sz w:val="20"/>
          <w:szCs w:val="20"/>
          <w:color w:val="auto"/>
        </w:rPr>
      </w:pPr>
    </w:p>
    <w:p>
      <w:pPr>
        <w:ind w:left="880" w:right="180" w:hanging="196"/>
        <w:spacing w:after="0" w:line="260" w:lineRule="auto"/>
        <w:tabs>
          <w:tab w:leader="none" w:pos="88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Continued to maintain a satisfactory risk and controls environment as well as strong risk discipline across the organization with a focus on addressing issues and strengthening governance, automation, operating model and controls, including for cloud, emerging technologies, privacy and data protection</w:t>
      </w:r>
    </w:p>
    <w:p>
      <w:pPr>
        <w:spacing w:after="0" w:line="2" w:lineRule="exact"/>
        <w:rPr>
          <w:rFonts w:ascii="Arial" w:cs="Arial" w:eastAsia="Arial" w:hAnsi="Arial"/>
          <w:sz w:val="18"/>
          <w:szCs w:val="18"/>
          <w:color w:val="auto"/>
        </w:rPr>
      </w:pPr>
    </w:p>
    <w:p>
      <w:pPr>
        <w:ind w:left="880" w:hanging="196"/>
        <w:spacing w:after="0"/>
        <w:tabs>
          <w:tab w:leader="none" w:pos="880" w:val="left"/>
        </w:tabs>
        <w:numPr>
          <w:ilvl w:val="0"/>
          <w:numId w:val="190"/>
        </w:numPr>
        <w:rPr>
          <w:rFonts w:ascii="Arial" w:cs="Arial" w:eastAsia="Arial" w:hAnsi="Arial"/>
          <w:sz w:val="18"/>
          <w:szCs w:val="18"/>
          <w:color w:val="074A75"/>
        </w:rPr>
      </w:pPr>
      <w:r>
        <w:rPr>
          <w:rFonts w:ascii="Arial" w:cs="Arial" w:eastAsia="Arial" w:hAnsi="Arial"/>
          <w:sz w:val="18"/>
          <w:szCs w:val="18"/>
          <w:color w:val="auto"/>
        </w:rPr>
        <w:t>Continued to make significant progress in addressing regulatory matters affecting the business</w:t>
      </w:r>
    </w:p>
    <w:p>
      <w:pPr>
        <w:spacing w:after="0" w:line="31" w:lineRule="exact"/>
        <w:rPr>
          <w:rFonts w:ascii="Arial" w:cs="Arial" w:eastAsia="Arial" w:hAnsi="Arial"/>
          <w:sz w:val="18"/>
          <w:szCs w:val="18"/>
          <w:color w:val="074A75"/>
        </w:rPr>
      </w:pPr>
    </w:p>
    <w:p>
      <w:pPr>
        <w:ind w:left="880" w:right="340" w:hanging="196"/>
        <w:spacing w:after="0" w:line="258" w:lineRule="auto"/>
        <w:tabs>
          <w:tab w:leader="none" w:pos="884" w:val="left"/>
        </w:tabs>
        <w:numPr>
          <w:ilvl w:val="0"/>
          <w:numId w:val="190"/>
        </w:numPr>
        <w:rPr>
          <w:rFonts w:ascii="Arial" w:cs="Arial" w:eastAsia="Arial" w:hAnsi="Arial"/>
          <w:sz w:val="18"/>
          <w:szCs w:val="18"/>
          <w:color w:val="104C98"/>
        </w:rPr>
      </w:pPr>
      <w:r>
        <w:rPr>
          <w:rFonts w:ascii="Arial" w:cs="Arial" w:eastAsia="Arial" w:hAnsi="Arial"/>
          <w:sz w:val="18"/>
          <w:szCs w:val="18"/>
          <w:color w:val="auto"/>
        </w:rPr>
        <w:t>Conducted deep dives into top risk areas including those associated with geopolitical tensions, sustained inflation and regional bank failures</w:t>
      </w:r>
    </w:p>
    <w:p>
      <w:pPr>
        <w:ind w:left="880" w:right="560" w:hanging="196"/>
        <w:spacing w:after="0" w:line="276" w:lineRule="auto"/>
        <w:tabs>
          <w:tab w:leader="none" w:pos="884" w:val="left"/>
        </w:tabs>
        <w:numPr>
          <w:ilvl w:val="0"/>
          <w:numId w:val="190"/>
        </w:numPr>
        <w:rPr>
          <w:rFonts w:ascii="Arial" w:cs="Arial" w:eastAsia="Arial" w:hAnsi="Arial"/>
          <w:sz w:val="18"/>
          <w:szCs w:val="18"/>
          <w:color w:val="104C98"/>
        </w:rPr>
      </w:pPr>
      <w:r>
        <w:rPr>
          <w:rFonts w:ascii="Arial" w:cs="Arial" w:eastAsia="Arial" w:hAnsi="Arial"/>
          <w:sz w:val="18"/>
          <w:szCs w:val="18"/>
          <w:color w:val="auto"/>
        </w:rPr>
        <w:t>Sets the highest standards of leadership and manager expectations to drive the Firm’s culture, consistent with our Business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12065</wp:posOffset>
            </wp:positionV>
            <wp:extent cx="6763385" cy="1714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FFFFFF"/>
        </w:rPr>
        <w:t>Client/Customer/Stakeholder</w:t>
      </w:r>
    </w:p>
    <w:p>
      <w:pPr>
        <w:spacing w:after="0" w:line="77" w:lineRule="exact"/>
        <w:rPr>
          <w:sz w:val="20"/>
          <w:szCs w:val="20"/>
          <w:color w:val="auto"/>
        </w:rPr>
      </w:pPr>
    </w:p>
    <w:p>
      <w:pPr>
        <w:ind w:left="880" w:right="680" w:hanging="196"/>
        <w:spacing w:after="0" w:line="258" w:lineRule="auto"/>
        <w:tabs>
          <w:tab w:leader="none" w:pos="884" w:val="left"/>
        </w:tabs>
        <w:numPr>
          <w:ilvl w:val="0"/>
          <w:numId w:val="191"/>
        </w:numPr>
        <w:rPr>
          <w:rFonts w:ascii="Arial" w:cs="Arial" w:eastAsia="Arial" w:hAnsi="Arial"/>
          <w:sz w:val="18"/>
          <w:szCs w:val="18"/>
          <w:color w:val="074A75"/>
        </w:rPr>
      </w:pPr>
      <w:r>
        <w:rPr>
          <w:rFonts w:ascii="Arial" w:cs="Arial" w:eastAsia="Arial" w:hAnsi="Arial"/>
          <w:sz w:val="18"/>
          <w:szCs w:val="18"/>
          <w:color w:val="auto"/>
        </w:rPr>
        <w:t>Continued focus on and investment in technologies, efficiency and modernization, implementing optimized client-focused solutions to meet their needs and gain market share, for example, through the acquisition of Aumni, a leading provider of investment analytics software for venture and private investors, complementing products and services launched to provide innovative solutions for companies and investors</w:t>
      </w:r>
    </w:p>
    <w:p>
      <w:pPr>
        <w:ind w:left="880" w:hanging="196"/>
        <w:spacing w:after="0"/>
        <w:tabs>
          <w:tab w:leader="none" w:pos="880" w:val="left"/>
        </w:tabs>
        <w:numPr>
          <w:ilvl w:val="0"/>
          <w:numId w:val="191"/>
        </w:numPr>
        <w:rPr>
          <w:rFonts w:ascii="Arial" w:cs="Arial" w:eastAsia="Arial" w:hAnsi="Arial"/>
          <w:sz w:val="18"/>
          <w:szCs w:val="18"/>
          <w:color w:val="104C98"/>
        </w:rPr>
      </w:pPr>
      <w:r>
        <w:rPr>
          <w:rFonts w:ascii="Arial" w:cs="Arial" w:eastAsia="Arial" w:hAnsi="Arial"/>
          <w:sz w:val="18"/>
          <w:szCs w:val="18"/>
          <w:color w:val="auto"/>
        </w:rPr>
        <w:t>Maintained significant attention to synergizing cross line of business initiatives to improve client experiences and returns</w:t>
      </w:r>
    </w:p>
    <w:p>
      <w:pPr>
        <w:spacing w:after="0" w:line="31" w:lineRule="exact"/>
        <w:rPr>
          <w:rFonts w:ascii="Arial" w:cs="Arial" w:eastAsia="Arial" w:hAnsi="Arial"/>
          <w:sz w:val="18"/>
          <w:szCs w:val="18"/>
          <w:color w:val="104C98"/>
        </w:rPr>
      </w:pPr>
    </w:p>
    <w:p>
      <w:pPr>
        <w:ind w:left="880" w:hanging="196"/>
        <w:spacing w:after="0"/>
        <w:tabs>
          <w:tab w:leader="none" w:pos="880" w:val="left"/>
        </w:tabs>
        <w:numPr>
          <w:ilvl w:val="0"/>
          <w:numId w:val="191"/>
        </w:numPr>
        <w:rPr>
          <w:rFonts w:ascii="Arial" w:cs="Arial" w:eastAsia="Arial" w:hAnsi="Arial"/>
          <w:sz w:val="18"/>
          <w:szCs w:val="18"/>
          <w:color w:val="104C98"/>
        </w:rPr>
      </w:pPr>
      <w:r>
        <w:rPr>
          <w:rFonts w:ascii="Arial" w:cs="Arial" w:eastAsia="Arial" w:hAnsi="Arial"/>
          <w:sz w:val="18"/>
          <w:szCs w:val="18"/>
          <w:color w:val="auto"/>
        </w:rPr>
        <w:t>Continued support for the Firm's Racial Equity Commitment and related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157480</wp:posOffset>
            </wp:positionV>
            <wp:extent cx="6763385" cy="1714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spacing w:after="0" w:line="23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FFFFFF"/>
        </w:rPr>
        <w:t>Teamwork &amp; Leadership</w:t>
      </w:r>
    </w:p>
    <w:p>
      <w:pPr>
        <w:spacing w:after="0" w:line="77" w:lineRule="exact"/>
        <w:rPr>
          <w:sz w:val="20"/>
          <w:szCs w:val="20"/>
          <w:color w:val="auto"/>
        </w:rPr>
      </w:pPr>
    </w:p>
    <w:p>
      <w:pPr>
        <w:ind w:left="880" w:hanging="196"/>
        <w:spacing w:after="0"/>
        <w:tabs>
          <w:tab w:leader="none" w:pos="880" w:val="left"/>
        </w:tabs>
        <w:numPr>
          <w:ilvl w:val="0"/>
          <w:numId w:val="192"/>
        </w:numPr>
        <w:rPr>
          <w:rFonts w:ascii="Arial" w:cs="Arial" w:eastAsia="Arial" w:hAnsi="Arial"/>
          <w:sz w:val="18"/>
          <w:szCs w:val="18"/>
          <w:color w:val="074A75"/>
        </w:rPr>
      </w:pPr>
      <w:r>
        <w:rPr>
          <w:rFonts w:ascii="Arial" w:cs="Arial" w:eastAsia="Arial" w:hAnsi="Arial"/>
          <w:sz w:val="18"/>
          <w:szCs w:val="18"/>
          <w:color w:val="auto"/>
        </w:rPr>
        <w:t>Delivered key CIB DEI initiatives to drive a more inclusive work environment for employees</w:t>
      </w:r>
    </w:p>
    <w:p>
      <w:pPr>
        <w:spacing w:after="0" w:line="36" w:lineRule="exact"/>
        <w:rPr>
          <w:rFonts w:ascii="Arial" w:cs="Arial" w:eastAsia="Arial" w:hAnsi="Arial"/>
          <w:sz w:val="18"/>
          <w:szCs w:val="18"/>
          <w:color w:val="074A75"/>
        </w:rPr>
      </w:pPr>
    </w:p>
    <w:p>
      <w:pPr>
        <w:ind w:left="880" w:hanging="196"/>
        <w:spacing w:after="0"/>
        <w:tabs>
          <w:tab w:leader="none" w:pos="880" w:val="left"/>
        </w:tabs>
        <w:numPr>
          <w:ilvl w:val="0"/>
          <w:numId w:val="192"/>
        </w:numPr>
        <w:rPr>
          <w:rFonts w:ascii="Arial" w:cs="Arial" w:eastAsia="Arial" w:hAnsi="Arial"/>
          <w:sz w:val="18"/>
          <w:szCs w:val="18"/>
          <w:color w:val="104C98"/>
        </w:rPr>
      </w:pPr>
      <w:r>
        <w:rPr>
          <w:rFonts w:ascii="Arial" w:cs="Arial" w:eastAsia="Arial" w:hAnsi="Arial"/>
          <w:sz w:val="18"/>
          <w:szCs w:val="18"/>
          <w:color w:val="auto"/>
        </w:rPr>
        <w:t>Continued as OC sponsor of Adelante, our Hispanic and Latino BRG, including leading certain Hispanic Heritage month events</w:t>
      </w:r>
    </w:p>
    <w:p>
      <w:pPr>
        <w:spacing w:after="0" w:line="31" w:lineRule="exact"/>
        <w:rPr>
          <w:rFonts w:ascii="Arial" w:cs="Arial" w:eastAsia="Arial" w:hAnsi="Arial"/>
          <w:sz w:val="18"/>
          <w:szCs w:val="18"/>
          <w:color w:val="104C98"/>
        </w:rPr>
      </w:pPr>
    </w:p>
    <w:p>
      <w:pPr>
        <w:ind w:left="880" w:hanging="196"/>
        <w:spacing w:after="0"/>
        <w:tabs>
          <w:tab w:leader="none" w:pos="880" w:val="left"/>
        </w:tabs>
        <w:numPr>
          <w:ilvl w:val="0"/>
          <w:numId w:val="192"/>
        </w:numPr>
        <w:rPr>
          <w:rFonts w:ascii="Arial" w:cs="Arial" w:eastAsia="Arial" w:hAnsi="Arial"/>
          <w:sz w:val="18"/>
          <w:szCs w:val="18"/>
          <w:color w:val="104C98"/>
        </w:rPr>
      </w:pPr>
      <w:r>
        <w:rPr>
          <w:rFonts w:ascii="Arial" w:cs="Arial" w:eastAsia="Arial" w:hAnsi="Arial"/>
          <w:sz w:val="18"/>
          <w:szCs w:val="18"/>
          <w:color w:val="auto"/>
        </w:rPr>
        <w:t>Continued focus on succession, development of top talent, training and hiring in CIB and across the Firm</w:t>
      </w:r>
    </w:p>
    <w:p>
      <w:pPr>
        <w:spacing w:after="0" w:line="304" w:lineRule="exact"/>
        <w:rPr>
          <w:sz w:val="20"/>
          <w:szCs w:val="20"/>
          <w:color w:val="auto"/>
        </w:rPr>
      </w:pPr>
    </w:p>
    <w:p>
      <w:pPr>
        <w:ind w:left="200" w:hanging="192"/>
        <w:spacing w:after="0"/>
        <w:tabs>
          <w:tab w:leader="none" w:pos="200" w:val="left"/>
        </w:tabs>
        <w:numPr>
          <w:ilvl w:val="0"/>
          <w:numId w:val="193"/>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Note 2, on page 113 for a definition of managed basis.</w:t>
      </w:r>
    </w:p>
    <w:p>
      <w:pPr>
        <w:ind w:left="200" w:hanging="192"/>
        <w:spacing w:after="0" w:line="201" w:lineRule="auto"/>
        <w:tabs>
          <w:tab w:leader="none" w:pos="200" w:val="left"/>
        </w:tabs>
        <w:numPr>
          <w:ilvl w:val="0"/>
          <w:numId w:val="194"/>
        </w:numPr>
        <w:rPr>
          <w:rFonts w:ascii="Arial" w:cs="Arial" w:eastAsia="Arial" w:hAnsi="Arial"/>
          <w:sz w:val="15"/>
          <w:szCs w:val="15"/>
          <w:color w:val="auto"/>
          <w:vertAlign w:val="superscript"/>
        </w:rPr>
      </w:pPr>
      <w:r>
        <w:rPr>
          <w:rFonts w:ascii="Arial" w:cs="Arial" w:eastAsia="Arial" w:hAnsi="Arial"/>
          <w:sz w:val="12"/>
          <w:szCs w:val="12"/>
          <w:color w:val="auto"/>
        </w:rPr>
        <w:t>Dealogic as of January 2, 2024, excludes the impact of UBS/CS merger prior to the year of the acquisition (2023).</w:t>
      </w:r>
    </w:p>
    <w:p>
      <w:pPr>
        <w:ind w:left="200" w:hanging="192"/>
        <w:spacing w:after="0" w:line="193" w:lineRule="auto"/>
        <w:tabs>
          <w:tab w:leader="none" w:pos="200" w:val="left"/>
        </w:tabs>
        <w:numPr>
          <w:ilvl w:val="0"/>
          <w:numId w:val="195"/>
        </w:numPr>
        <w:rPr>
          <w:rFonts w:ascii="Arial" w:cs="Arial" w:eastAsia="Arial" w:hAnsi="Arial"/>
          <w:sz w:val="15"/>
          <w:szCs w:val="15"/>
          <w:color w:val="auto"/>
          <w:vertAlign w:val="superscript"/>
        </w:rPr>
      </w:pPr>
      <w:r>
        <w:rPr>
          <w:rFonts w:ascii="Arial" w:cs="Arial" w:eastAsia="Arial" w:hAnsi="Arial"/>
          <w:sz w:val="12"/>
          <w:szCs w:val="12"/>
          <w:color w:val="auto"/>
        </w:rPr>
        <w:t>Coalition Greenwich FY23 Competitor Analytics (preliminary). Market share is based on JPMorgan Chase's internal business structure and revenue. Ranks are based on Coalition Index Banks for Markets.</w:t>
      </w:r>
    </w:p>
    <w:p>
      <w:pPr>
        <w:ind w:left="200" w:hanging="192"/>
        <w:spacing w:after="0" w:line="202" w:lineRule="auto"/>
        <w:tabs>
          <w:tab w:leader="none" w:pos="200" w:val="left"/>
        </w:tabs>
        <w:numPr>
          <w:ilvl w:val="0"/>
          <w:numId w:val="196"/>
        </w:numPr>
        <w:rPr>
          <w:rFonts w:ascii="Arial" w:cs="Arial" w:eastAsia="Arial" w:hAnsi="Arial"/>
          <w:sz w:val="15"/>
          <w:szCs w:val="15"/>
          <w:color w:val="auto"/>
          <w:vertAlign w:val="superscript"/>
        </w:rPr>
      </w:pPr>
      <w:r>
        <w:rPr>
          <w:rFonts w:ascii="Arial" w:cs="Arial" w:eastAsia="Arial" w:hAnsi="Arial"/>
          <w:sz w:val="12"/>
          <w:szCs w:val="12"/>
          <w:color w:val="auto"/>
        </w:rPr>
        <w:t>Dealogic as of January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200025</wp:posOffset>
            </wp:positionV>
            <wp:extent cx="27432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57  </w:t>
      </w:r>
      <w:r>
        <w:rPr>
          <w:sz w:val="1"/>
          <w:szCs w:val="1"/>
          <w:color w:val="auto"/>
        </w:rPr>
        <w:drawing>
          <wp:inline distT="0" distB="0" distL="0" distR="0">
            <wp:extent cx="2203450" cy="154305"/>
            <wp:effectExtent l="0" t="0" r="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gridSpan w:val="2"/>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2"/>
                <w:szCs w:val="22"/>
                <w:color w:val="auto"/>
              </w:rPr>
            </w:pPr>
          </w:p>
        </w:tc>
        <w:tc>
          <w:tcPr>
            <w:tcW w:w="322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2023</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1040" w:type="dxa"/>
            <w:vAlign w:val="bottom"/>
            <w:tcBorders>
              <w:bottom w:val="single" w:sz="8" w:color="E7E7E8"/>
            </w:tcBorders>
          </w:tcPr>
          <w:p>
            <w:pPr>
              <w:spacing w:after="0"/>
              <w:rPr>
                <w:sz w:val="5"/>
                <w:szCs w:val="5"/>
                <w:color w:val="auto"/>
              </w:rPr>
            </w:pPr>
          </w:p>
        </w:tc>
        <w:tc>
          <w:tcPr>
            <w:tcW w:w="156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22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Borders>
              <w:bottom w:val="single" w:sz="8" w:color="EEEFEF"/>
            </w:tcBorders>
          </w:tcPr>
          <w:p>
            <w:pPr>
              <w:spacing w:after="0"/>
              <w:rPr>
                <w:sz w:val="12"/>
                <w:szCs w:val="12"/>
                <w:color w:val="auto"/>
              </w:rPr>
            </w:pPr>
          </w:p>
        </w:tc>
        <w:tc>
          <w:tcPr>
            <w:tcW w:w="280" w:type="dxa"/>
            <w:vAlign w:val="bottom"/>
            <w:tcBorders>
              <w:bottom w:val="single" w:sz="8" w:color="EEEFEF"/>
            </w:tcBorders>
          </w:tcPr>
          <w:p>
            <w:pPr>
              <w:spacing w:after="0"/>
              <w:rPr>
                <w:sz w:val="12"/>
                <w:szCs w:val="12"/>
                <w:color w:val="auto"/>
              </w:rPr>
            </w:pPr>
          </w:p>
        </w:tc>
        <w:tc>
          <w:tcPr>
            <w:tcW w:w="3700" w:type="dxa"/>
            <w:vAlign w:val="bottom"/>
            <w:tcBorders>
              <w:bottom w:val="single" w:sz="8" w:color="EEEFEF"/>
            </w:tcBorders>
          </w:tcPr>
          <w:p>
            <w:pPr>
              <w:spacing w:after="0"/>
              <w:rPr>
                <w:sz w:val="12"/>
                <w:szCs w:val="12"/>
                <w:color w:val="auto"/>
              </w:rPr>
            </w:pPr>
          </w:p>
        </w:tc>
        <w:tc>
          <w:tcPr>
            <w:tcW w:w="280" w:type="dxa"/>
            <w:vAlign w:val="bottom"/>
            <w:tcBorders>
              <w:bottom w:val="single" w:sz="8" w:color="EEEFEF"/>
            </w:tcBorders>
          </w:tcPr>
          <w:p>
            <w:pPr>
              <w:spacing w:after="0"/>
              <w:rPr>
                <w:sz w:val="12"/>
                <w:szCs w:val="12"/>
                <w:color w:val="auto"/>
              </w:rPr>
            </w:pPr>
          </w:p>
        </w:tc>
        <w:tc>
          <w:tcPr>
            <w:tcW w:w="3220" w:type="dxa"/>
            <w:vAlign w:val="bottom"/>
            <w:tcBorders>
              <w:bottom w:val="single" w:sz="8" w:color="EEEFEF"/>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29413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29"/>
          <w:szCs w:val="29"/>
          <w:color w:val="074A75"/>
          <w:shd w:val="clear" w:color="auto" w:fill="EEEFEF"/>
        </w:rPr>
        <w:t>Mary Callahan Erdoes</w:t>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8"/>
          <w:szCs w:val="18"/>
          <w:color w:val="074A75"/>
          <w:shd w:val="clear" w:color="auto" w:fill="EEEFEF"/>
        </w:rPr>
        <w:t>CEO: ASSET &amp; WEALTH MANAGEMENT</w:t>
      </w:r>
    </w:p>
    <w:p>
      <w:pPr>
        <w:spacing w:after="0" w:line="104" w:lineRule="exact"/>
        <w:rPr>
          <w:sz w:val="20"/>
          <w:szCs w:val="20"/>
          <w:color w:val="auto"/>
        </w:rPr>
      </w:pPr>
    </w:p>
    <w:p>
      <w:pPr>
        <w:ind w:left="2360"/>
        <w:spacing w:after="0"/>
        <w:rPr>
          <w:sz w:val="20"/>
          <w:szCs w:val="20"/>
          <w:color w:val="auto"/>
        </w:rPr>
      </w:pPr>
      <w:r>
        <w:rPr>
          <w:rFonts w:ascii="Arial" w:cs="Arial" w:eastAsia="Arial" w:hAnsi="Arial"/>
          <w:sz w:val="16"/>
          <w:szCs w:val="16"/>
          <w:color w:val="auto"/>
          <w:shd w:val="clear" w:color="auto" w:fill="EEEFEF"/>
        </w:rPr>
        <w:t xml:space="preserve">Ms. Erdoes </w:t>
      </w:r>
      <w:r>
        <w:rPr>
          <w:rFonts w:ascii="Arial" w:cs="Arial" w:eastAsia="Arial" w:hAnsi="Arial"/>
          <w:sz w:val="16"/>
          <w:szCs w:val="16"/>
          <w:color w:val="auto"/>
        </w:rPr>
        <w:t>has served as</w:t>
      </w:r>
      <w:r>
        <w:rPr>
          <w:rFonts w:ascii="Arial" w:cs="Arial" w:eastAsia="Arial" w:hAnsi="Arial"/>
          <w:sz w:val="16"/>
          <w:szCs w:val="16"/>
          <w:color w:val="auto"/>
          <w:shd w:val="clear" w:color="auto" w:fill="EEEFEF"/>
        </w:rPr>
        <w:t xml:space="preserve"> Chief Executive Officer of Asset &amp; Wealth</w:t>
      </w:r>
    </w:p>
    <w:p>
      <w:pPr>
        <w:spacing w:after="0" w:line="31" w:lineRule="exact"/>
        <w:rPr>
          <w:sz w:val="20"/>
          <w:szCs w:val="20"/>
          <w:color w:val="auto"/>
        </w:rPr>
      </w:pPr>
    </w:p>
    <w:p>
      <w:pPr>
        <w:ind w:left="2360"/>
        <w:spacing w:after="0"/>
        <w:rPr>
          <w:sz w:val="20"/>
          <w:szCs w:val="20"/>
          <w:color w:val="auto"/>
        </w:rPr>
      </w:pPr>
      <w:r>
        <w:rPr>
          <w:rFonts w:ascii="Arial" w:cs="Arial" w:eastAsia="Arial" w:hAnsi="Arial"/>
          <w:sz w:val="16"/>
          <w:szCs w:val="16"/>
          <w:color w:val="auto"/>
          <w:shd w:val="clear" w:color="auto" w:fill="EEEFEF"/>
        </w:rPr>
        <w:t>Management since September 2009. She previously served as CEO of</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6"/>
          <w:szCs w:val="16"/>
          <w:color w:val="auto"/>
          <w:shd w:val="clear" w:color="auto" w:fill="EEEFEF"/>
        </w:rPr>
        <w:t>Wealth Management from 2005 to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74A75"/>
        </w:rPr>
        <w:t xml:space="preserve">PERFORMANCE DASHBOARD: </w:t>
      </w:r>
      <w:r>
        <w:rPr>
          <w:rFonts w:ascii="Arial" w:cs="Arial" w:eastAsia="Arial" w:hAnsi="Arial"/>
          <w:sz w:val="18"/>
          <w:szCs w:val="18"/>
          <w:color w:val="074A75"/>
        </w:rPr>
        <w:t>Assessment of results against long-term strategic priorities and qualitative considerations</w:t>
      </w:r>
    </w:p>
    <w:p>
      <w:pPr>
        <w:spacing w:after="0" w:line="144"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773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1577340"/>
                    </a:xfrm>
                    <a:prstGeom prst="rect">
                      <a:avLst/>
                    </a:prstGeom>
                    <a:noFill/>
                  </pic:spPr>
                </pic:pic>
              </a:graphicData>
            </a:graphic>
          </wp:anchor>
        </w:drawing>
      </w:r>
    </w:p>
    <w:p>
      <w:pPr>
        <w:spacing w:after="0" w:line="57" w:lineRule="exact"/>
        <w:rPr>
          <w:sz w:val="20"/>
          <w:szCs w:val="20"/>
          <w:color w:val="auto"/>
        </w:rPr>
      </w:pPr>
    </w:p>
    <w:p>
      <w:pPr>
        <w:ind w:left="880" w:right="220" w:hanging="196"/>
        <w:spacing w:after="0" w:line="231" w:lineRule="auto"/>
        <w:tabs>
          <w:tab w:leader="none" w:pos="884" w:val="left"/>
        </w:tabs>
        <w:numPr>
          <w:ilvl w:val="0"/>
          <w:numId w:val="197"/>
        </w:numPr>
        <w:rPr>
          <w:rFonts w:ascii="Arial" w:cs="Arial" w:eastAsia="Arial" w:hAnsi="Arial"/>
          <w:sz w:val="18"/>
          <w:szCs w:val="18"/>
          <w:color w:val="074A75"/>
        </w:rPr>
      </w:pPr>
      <w:r>
        <w:rPr>
          <w:rFonts w:ascii="Arial" w:cs="Arial" w:eastAsia="Arial" w:hAnsi="Arial"/>
          <w:sz w:val="18"/>
          <w:szCs w:val="18"/>
          <w:color w:val="auto"/>
        </w:rPr>
        <w:t>AWM achieved net income of $5.2 billion on record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$19.8 billion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year); ROE of 31%; and pre-tax margin of 35%; gained market share overall</w:t>
      </w:r>
    </w:p>
    <w:p>
      <w:pPr>
        <w:spacing w:after="0" w:line="5" w:lineRule="exact"/>
        <w:rPr>
          <w:rFonts w:ascii="Arial" w:cs="Arial" w:eastAsia="Arial" w:hAnsi="Arial"/>
          <w:sz w:val="18"/>
          <w:szCs w:val="18"/>
          <w:color w:val="074A75"/>
        </w:rPr>
      </w:pPr>
    </w:p>
    <w:p>
      <w:pPr>
        <w:ind w:left="880" w:hanging="196"/>
        <w:spacing w:after="0"/>
        <w:tabs>
          <w:tab w:leader="none" w:pos="880" w:val="left"/>
        </w:tabs>
        <w:numPr>
          <w:ilvl w:val="0"/>
          <w:numId w:val="197"/>
        </w:numPr>
        <w:rPr>
          <w:rFonts w:ascii="Arial" w:cs="Arial" w:eastAsia="Arial" w:hAnsi="Arial"/>
          <w:sz w:val="18"/>
          <w:szCs w:val="18"/>
          <w:color w:val="074A75"/>
        </w:rPr>
      </w:pPr>
      <w:r>
        <w:rPr>
          <w:rFonts w:ascii="Arial" w:cs="Arial" w:eastAsia="Arial" w:hAnsi="Arial"/>
          <w:sz w:val="18"/>
          <w:szCs w:val="18"/>
          <w:color w:val="auto"/>
        </w:rPr>
        <w:t>AUM of $3.4 trillion and client assets of $5.0 trillion, each up 24% respectively</w:t>
      </w:r>
    </w:p>
    <w:p>
      <w:pPr>
        <w:spacing w:after="0" w:line="31" w:lineRule="exact"/>
        <w:rPr>
          <w:rFonts w:ascii="Arial" w:cs="Arial" w:eastAsia="Arial" w:hAnsi="Arial"/>
          <w:sz w:val="18"/>
          <w:szCs w:val="18"/>
          <w:color w:val="074A75"/>
        </w:rPr>
      </w:pPr>
    </w:p>
    <w:p>
      <w:pPr>
        <w:ind w:left="880" w:right="80" w:hanging="196"/>
        <w:spacing w:after="0" w:line="231" w:lineRule="auto"/>
        <w:tabs>
          <w:tab w:leader="none" w:pos="884" w:val="left"/>
        </w:tabs>
        <w:numPr>
          <w:ilvl w:val="0"/>
          <w:numId w:val="197"/>
        </w:numPr>
        <w:rPr>
          <w:rFonts w:ascii="Arial" w:cs="Arial" w:eastAsia="Arial" w:hAnsi="Arial"/>
          <w:sz w:val="18"/>
          <w:szCs w:val="18"/>
          <w:color w:val="074A75"/>
        </w:rPr>
      </w:pPr>
      <w:r>
        <w:rPr>
          <w:rFonts w:ascii="Arial" w:cs="Arial" w:eastAsia="Arial" w:hAnsi="Arial"/>
          <w:sz w:val="18"/>
          <w:szCs w:val="18"/>
          <w:color w:val="auto"/>
        </w:rPr>
        <w:t>Positive long-term AUM flows across all channels and regions of $140 billion and total client asset flows of $490 billion; top 2 rank in Client Asset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over a 5-year period</w:t>
      </w:r>
    </w:p>
    <w:p>
      <w:pPr>
        <w:ind w:left="880" w:hanging="196"/>
        <w:spacing w:after="0"/>
        <w:tabs>
          <w:tab w:leader="none" w:pos="880" w:val="left"/>
        </w:tabs>
        <w:numPr>
          <w:ilvl w:val="0"/>
          <w:numId w:val="197"/>
        </w:numPr>
        <w:rPr>
          <w:rFonts w:ascii="Arial" w:cs="Arial" w:eastAsia="Arial" w:hAnsi="Arial"/>
          <w:sz w:val="18"/>
          <w:szCs w:val="18"/>
          <w:color w:val="074A75"/>
        </w:rPr>
      </w:pPr>
      <w:r>
        <w:rPr>
          <w:rFonts w:ascii="Arial" w:cs="Arial" w:eastAsia="Arial" w:hAnsi="Arial"/>
          <w:sz w:val="18"/>
          <w:szCs w:val="18"/>
          <w:color w:val="auto"/>
        </w:rPr>
        <w:t>Average deposits of $216.2 billion (down 17%); record average loans of $220.5 billion (up 2%)</w:t>
      </w:r>
    </w:p>
    <w:p>
      <w:pPr>
        <w:spacing w:after="0" w:line="59"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FFFFFF"/>
        </w:rPr>
        <w:t>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-127635</wp:posOffset>
            </wp:positionV>
            <wp:extent cx="6763385" cy="16319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763385" cy="163195"/>
                    </a:xfrm>
                    <a:prstGeom prst="rect">
                      <a:avLst/>
                    </a:prstGeom>
                    <a:noFill/>
                  </pic:spPr>
                </pic:pic>
              </a:graphicData>
            </a:graphic>
          </wp:anchor>
        </w:drawing>
      </w:r>
    </w:p>
    <w:p>
      <w:pPr>
        <w:spacing w:after="0" w:line="57" w:lineRule="exact"/>
        <w:rPr>
          <w:sz w:val="20"/>
          <w:szCs w:val="20"/>
          <w:color w:val="auto"/>
        </w:rPr>
      </w:pPr>
    </w:p>
    <w:p>
      <w:pPr>
        <w:ind w:left="880" w:right="260" w:hanging="196"/>
        <w:spacing w:after="0" w:line="287" w:lineRule="auto"/>
        <w:tabs>
          <w:tab w:leader="none" w:pos="884" w:val="left"/>
        </w:tabs>
        <w:numPr>
          <w:ilvl w:val="0"/>
          <w:numId w:val="198"/>
        </w:numPr>
        <w:rPr>
          <w:rFonts w:ascii="Arial" w:cs="Arial" w:eastAsia="Arial" w:hAnsi="Arial"/>
          <w:sz w:val="18"/>
          <w:szCs w:val="18"/>
          <w:color w:val="104C98"/>
        </w:rPr>
      </w:pPr>
      <w:r>
        <w:rPr>
          <w:rFonts w:ascii="Arial" w:cs="Arial" w:eastAsia="Arial" w:hAnsi="Arial"/>
          <w:sz w:val="18"/>
          <w:szCs w:val="18"/>
          <w:color w:val="auto"/>
        </w:rPr>
        <w:t>Continued innovation and investments to provide clients with personalized products at scale, while maintaining focus on a long-term fiduciary mindset to grow the business and deliver strong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422592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320" cy="4225925"/>
                    </a:xfrm>
                    <a:prstGeom prst="rect">
                      <a:avLst/>
                    </a:prstGeom>
                    <a:noFill/>
                  </pic:spPr>
                </pic:pic>
              </a:graphicData>
            </a:graphic>
          </wp:anchor>
        </w:drawing>
      </w:r>
    </w:p>
    <w:p>
      <w:pPr>
        <w:spacing w:after="0" w:line="5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FFFFFF"/>
        </w:rPr>
        <w:t>Risk, Controls &amp; Conduct</w:t>
      </w:r>
    </w:p>
    <w:p>
      <w:pPr>
        <w:spacing w:after="0" w:line="77" w:lineRule="exact"/>
        <w:rPr>
          <w:sz w:val="20"/>
          <w:szCs w:val="20"/>
          <w:color w:val="auto"/>
        </w:rPr>
      </w:pPr>
    </w:p>
    <w:p>
      <w:pPr>
        <w:ind w:left="880" w:hanging="196"/>
        <w:spacing w:after="0"/>
        <w:tabs>
          <w:tab w:leader="none" w:pos="880" w:val="left"/>
        </w:tabs>
        <w:numPr>
          <w:ilvl w:val="0"/>
          <w:numId w:val="199"/>
        </w:numPr>
        <w:rPr>
          <w:rFonts w:ascii="Arial" w:cs="Arial" w:eastAsia="Arial" w:hAnsi="Arial"/>
          <w:sz w:val="18"/>
          <w:szCs w:val="18"/>
          <w:color w:val="00497F"/>
        </w:rPr>
      </w:pPr>
      <w:r>
        <w:rPr>
          <w:rFonts w:ascii="Arial" w:cs="Arial" w:eastAsia="Arial" w:hAnsi="Arial"/>
          <w:sz w:val="18"/>
          <w:szCs w:val="18"/>
          <w:color w:val="auto"/>
        </w:rPr>
        <w:t>Focused on integration of acquisitions, including ongoing efforts to align standards, culture and controls</w:t>
      </w:r>
    </w:p>
    <w:p>
      <w:pPr>
        <w:spacing w:after="0" w:line="36" w:lineRule="exact"/>
        <w:rPr>
          <w:rFonts w:ascii="Arial" w:cs="Arial" w:eastAsia="Arial" w:hAnsi="Arial"/>
          <w:sz w:val="18"/>
          <w:szCs w:val="18"/>
          <w:color w:val="00497F"/>
        </w:rPr>
      </w:pPr>
    </w:p>
    <w:p>
      <w:pPr>
        <w:ind w:left="880" w:right="320" w:hanging="196"/>
        <w:spacing w:after="0" w:line="263" w:lineRule="auto"/>
        <w:tabs>
          <w:tab w:leader="none" w:pos="884" w:val="left"/>
        </w:tabs>
        <w:numPr>
          <w:ilvl w:val="0"/>
          <w:numId w:val="199"/>
        </w:numPr>
        <w:rPr>
          <w:rFonts w:ascii="Arial" w:cs="Arial" w:eastAsia="Arial" w:hAnsi="Arial"/>
          <w:sz w:val="18"/>
          <w:szCs w:val="18"/>
          <w:color w:val="00497F"/>
        </w:rPr>
      </w:pPr>
      <w:r>
        <w:rPr>
          <w:rFonts w:ascii="Arial" w:cs="Arial" w:eastAsia="Arial" w:hAnsi="Arial"/>
          <w:sz w:val="18"/>
          <w:szCs w:val="18"/>
          <w:color w:val="auto"/>
        </w:rPr>
        <w:t>Continued to maintain a satisfactory risk and controls environment as well as invest in modernizing platforms and processes to strengthen operational controls, support growth at scale and manage complexity of client needs</w:t>
      </w:r>
    </w:p>
    <w:p>
      <w:pPr>
        <w:spacing w:after="0" w:line="1" w:lineRule="exact"/>
        <w:rPr>
          <w:rFonts w:ascii="Arial" w:cs="Arial" w:eastAsia="Arial" w:hAnsi="Arial"/>
          <w:sz w:val="18"/>
          <w:szCs w:val="18"/>
          <w:color w:val="00497F"/>
        </w:rPr>
      </w:pPr>
    </w:p>
    <w:p>
      <w:pPr>
        <w:ind w:left="880" w:right="740" w:hanging="196"/>
        <w:spacing w:after="0" w:line="258" w:lineRule="auto"/>
        <w:tabs>
          <w:tab w:leader="none" w:pos="884" w:val="left"/>
        </w:tabs>
        <w:numPr>
          <w:ilvl w:val="0"/>
          <w:numId w:val="199"/>
        </w:numPr>
        <w:rPr>
          <w:rFonts w:ascii="Arial" w:cs="Arial" w:eastAsia="Arial" w:hAnsi="Arial"/>
          <w:sz w:val="18"/>
          <w:szCs w:val="18"/>
          <w:color w:val="00497F"/>
        </w:rPr>
      </w:pPr>
      <w:r>
        <w:rPr>
          <w:rFonts w:ascii="Arial" w:cs="Arial" w:eastAsia="Arial" w:hAnsi="Arial"/>
          <w:sz w:val="18"/>
          <w:szCs w:val="18"/>
          <w:color w:val="auto"/>
        </w:rPr>
        <w:t>Eliminated manual processes and enabled better risk intelligence, leveraging AI capabilities and enhanced workflow tools allowing us to focus on early issue identification</w:t>
      </w:r>
    </w:p>
    <w:p>
      <w:pPr>
        <w:ind w:left="880" w:right="860" w:hanging="196"/>
        <w:spacing w:after="0" w:line="276" w:lineRule="auto"/>
        <w:tabs>
          <w:tab w:leader="none" w:pos="884" w:val="left"/>
        </w:tabs>
        <w:numPr>
          <w:ilvl w:val="0"/>
          <w:numId w:val="199"/>
        </w:numPr>
        <w:rPr>
          <w:rFonts w:ascii="Arial" w:cs="Arial" w:eastAsia="Arial" w:hAnsi="Arial"/>
          <w:sz w:val="18"/>
          <w:szCs w:val="18"/>
          <w:color w:val="00497F"/>
        </w:rPr>
      </w:pPr>
      <w:r>
        <w:rPr>
          <w:rFonts w:ascii="Arial" w:cs="Arial" w:eastAsia="Arial" w:hAnsi="Arial"/>
          <w:sz w:val="18"/>
          <w:szCs w:val="18"/>
          <w:color w:val="auto"/>
        </w:rPr>
        <w:t>Continued accountability for deepening the Firm’s fiduciary culture, and maintained focus on regulatory matters, change management and navigating market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12065</wp:posOffset>
            </wp:positionV>
            <wp:extent cx="6763385" cy="1714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FFFFFF"/>
        </w:rPr>
        <w:t>Client/Customer/Stakeholder</w:t>
      </w:r>
    </w:p>
    <w:p>
      <w:pPr>
        <w:spacing w:after="0" w:line="77" w:lineRule="exact"/>
        <w:rPr>
          <w:sz w:val="20"/>
          <w:szCs w:val="20"/>
          <w:color w:val="auto"/>
        </w:rPr>
      </w:pPr>
    </w:p>
    <w:p>
      <w:pPr>
        <w:ind w:left="880" w:right="240" w:hanging="196"/>
        <w:spacing w:after="0" w:line="266" w:lineRule="auto"/>
        <w:tabs>
          <w:tab w:leader="none" w:pos="884" w:val="left"/>
        </w:tabs>
        <w:numPr>
          <w:ilvl w:val="0"/>
          <w:numId w:val="200"/>
        </w:numPr>
        <w:rPr>
          <w:rFonts w:ascii="Arial" w:cs="Arial" w:eastAsia="Arial" w:hAnsi="Arial"/>
          <w:sz w:val="18"/>
          <w:szCs w:val="18"/>
          <w:color w:val="074A75"/>
        </w:rPr>
      </w:pPr>
      <w:r>
        <w:rPr>
          <w:rFonts w:ascii="Arial" w:cs="Arial" w:eastAsia="Arial" w:hAnsi="Arial"/>
          <w:sz w:val="18"/>
          <w:szCs w:val="18"/>
          <w:color w:val="auto"/>
        </w:rPr>
        <w:t>83% of 10-year long-term mutual fund AUM performing in top two quartiles, and 95% of our equities AUM are performing above benchmark</w:t>
      </w:r>
    </w:p>
    <w:p>
      <w:pPr>
        <w:ind w:left="880" w:right="40" w:hanging="196"/>
        <w:spacing w:after="0" w:line="259" w:lineRule="auto"/>
        <w:tabs>
          <w:tab w:leader="none" w:pos="884" w:val="left"/>
        </w:tabs>
        <w:numPr>
          <w:ilvl w:val="0"/>
          <w:numId w:val="200"/>
        </w:numPr>
        <w:rPr>
          <w:rFonts w:ascii="Arial" w:cs="Arial" w:eastAsia="Arial" w:hAnsi="Arial"/>
          <w:sz w:val="18"/>
          <w:szCs w:val="18"/>
          <w:color w:val="074A75"/>
        </w:rPr>
      </w:pPr>
      <w:r>
        <w:rPr>
          <w:rFonts w:ascii="Arial" w:cs="Arial" w:eastAsia="Arial" w:hAnsi="Arial"/>
          <w:sz w:val="18"/>
          <w:szCs w:val="18"/>
          <w:color w:val="auto"/>
        </w:rPr>
        <w:t>Continued delivery on longer-term operational strategies to optimize efficiency and enhance overall client experiences, resulting in time-to-market improvements and net promoter score increases, while managing larger volumes and helping clients navigate market turmoil</w:t>
      </w:r>
    </w:p>
    <w:p>
      <w:pPr>
        <w:ind w:left="880" w:right="180" w:hanging="196"/>
        <w:spacing w:after="0" w:line="258" w:lineRule="auto"/>
        <w:tabs>
          <w:tab w:leader="none" w:pos="884" w:val="left"/>
        </w:tabs>
        <w:numPr>
          <w:ilvl w:val="0"/>
          <w:numId w:val="200"/>
        </w:numPr>
        <w:rPr>
          <w:rFonts w:ascii="Arial" w:cs="Arial" w:eastAsia="Arial" w:hAnsi="Arial"/>
          <w:sz w:val="18"/>
          <w:szCs w:val="18"/>
          <w:color w:val="074A75"/>
        </w:rPr>
      </w:pPr>
      <w:r>
        <w:rPr>
          <w:rFonts w:ascii="Arial" w:cs="Arial" w:eastAsia="Arial" w:hAnsi="Arial"/>
          <w:sz w:val="18"/>
          <w:szCs w:val="18"/>
          <w:color w:val="auto"/>
        </w:rPr>
        <w:t>Continued investments to increase client channels and opportunities to provide existing clients with additional services, including through AI</w:t>
      </w:r>
    </w:p>
    <w:p>
      <w:pPr>
        <w:ind w:left="880" w:right="580" w:hanging="196"/>
        <w:spacing w:after="0" w:line="259" w:lineRule="auto"/>
        <w:tabs>
          <w:tab w:leader="none" w:pos="884" w:val="left"/>
        </w:tabs>
        <w:numPr>
          <w:ilvl w:val="0"/>
          <w:numId w:val="200"/>
        </w:numPr>
        <w:rPr>
          <w:rFonts w:ascii="Arial" w:cs="Arial" w:eastAsia="Arial" w:hAnsi="Arial"/>
          <w:sz w:val="18"/>
          <w:szCs w:val="18"/>
          <w:color w:val="104C98"/>
        </w:rPr>
      </w:pPr>
      <w:r>
        <w:rPr>
          <w:rFonts w:ascii="Arial" w:cs="Arial" w:eastAsia="Arial" w:hAnsi="Arial"/>
          <w:sz w:val="18"/>
          <w:szCs w:val="18"/>
          <w:color w:val="auto"/>
        </w:rPr>
        <w:t>Continued focus on key integration for synergies and solutions from recent acquisitions, including Global Shares, AM China (formerly CIFM), 55ip, Campbell Global, OpenInvest, and First Republic Bank</w:t>
      </w:r>
    </w:p>
    <w:p>
      <w:pPr>
        <w:ind w:left="880" w:hanging="196"/>
        <w:spacing w:after="0" w:line="228" w:lineRule="auto"/>
        <w:tabs>
          <w:tab w:leader="none" w:pos="880" w:val="left"/>
        </w:tabs>
        <w:numPr>
          <w:ilvl w:val="0"/>
          <w:numId w:val="200"/>
        </w:numPr>
        <w:rPr>
          <w:rFonts w:ascii="Arial" w:cs="Arial" w:eastAsia="Arial" w:hAnsi="Arial"/>
          <w:sz w:val="18"/>
          <w:szCs w:val="18"/>
          <w:color w:val="074A75"/>
        </w:rPr>
      </w:pPr>
      <w:r>
        <w:rPr>
          <w:rFonts w:ascii="Arial" w:cs="Arial" w:eastAsia="Arial" w:hAnsi="Arial"/>
          <w:sz w:val="18"/>
          <w:szCs w:val="18"/>
          <w:color w:val="auto"/>
        </w:rPr>
        <w:t>#1 in total client asset flows, revenue growth and operating income growth</w:t>
      </w:r>
      <w:r>
        <w:rPr>
          <w:rFonts w:ascii="Arial" w:cs="Arial" w:eastAsia="Arial" w:hAnsi="Arial"/>
          <w:sz w:val="23"/>
          <w:szCs w:val="23"/>
          <w:color w:val="auto"/>
          <w:vertAlign w:val="superscript"/>
        </w:rPr>
        <w:t>2</w:t>
      </w:r>
    </w:p>
    <w:p>
      <w:pPr>
        <w:ind w:left="880" w:right="80" w:hanging="196"/>
        <w:spacing w:after="0" w:line="258" w:lineRule="auto"/>
        <w:tabs>
          <w:tab w:leader="none" w:pos="884" w:val="left"/>
        </w:tabs>
        <w:numPr>
          <w:ilvl w:val="0"/>
          <w:numId w:val="200"/>
        </w:numPr>
        <w:rPr>
          <w:rFonts w:ascii="Arial" w:cs="Arial" w:eastAsia="Arial" w:hAnsi="Arial"/>
          <w:sz w:val="18"/>
          <w:szCs w:val="18"/>
          <w:color w:val="104C98"/>
        </w:rPr>
      </w:pPr>
      <w:r>
        <w:rPr>
          <w:rFonts w:ascii="Arial" w:cs="Arial" w:eastAsia="Arial" w:hAnsi="Arial"/>
          <w:sz w:val="18"/>
          <w:szCs w:val="18"/>
          <w:color w:val="auto"/>
        </w:rPr>
        <w:t>Best Private Bank in the World (Global Finance); Best Global Private Bank/Wealth Manager Overall (Euromoney); ETF Suite of the Year (Fund Intelligence); Best Active ETF Issuer (ETF Express); #1 China Power Ranking (Broadridge); Best ESG Investment Fund: European Equities (ESG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13970</wp:posOffset>
            </wp:positionV>
            <wp:extent cx="6763385" cy="1714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FFFFFF"/>
        </w:rPr>
        <w:t>Teamwork &amp; Leadership</w:t>
      </w:r>
    </w:p>
    <w:p>
      <w:pPr>
        <w:spacing w:after="0" w:line="77" w:lineRule="exact"/>
        <w:rPr>
          <w:sz w:val="20"/>
          <w:szCs w:val="20"/>
          <w:color w:val="auto"/>
        </w:rPr>
      </w:pPr>
    </w:p>
    <w:p>
      <w:pPr>
        <w:ind w:left="880" w:hanging="196"/>
        <w:spacing w:after="0"/>
        <w:tabs>
          <w:tab w:leader="none" w:pos="880" w:val="left"/>
        </w:tabs>
        <w:numPr>
          <w:ilvl w:val="0"/>
          <w:numId w:val="201"/>
        </w:numPr>
        <w:rPr>
          <w:rFonts w:ascii="Arial" w:cs="Arial" w:eastAsia="Arial" w:hAnsi="Arial"/>
          <w:sz w:val="18"/>
          <w:szCs w:val="18"/>
          <w:color w:val="074A75"/>
        </w:rPr>
      </w:pPr>
      <w:r>
        <w:rPr>
          <w:rFonts w:ascii="Arial" w:cs="Arial" w:eastAsia="Arial" w:hAnsi="Arial"/>
          <w:sz w:val="18"/>
          <w:szCs w:val="18"/>
          <w:color w:val="auto"/>
        </w:rPr>
        <w:t>Retained over 95% of top talent, maintained focus on development</w:t>
      </w:r>
    </w:p>
    <w:p>
      <w:pPr>
        <w:spacing w:after="0" w:line="36" w:lineRule="exact"/>
        <w:rPr>
          <w:rFonts w:ascii="Arial" w:cs="Arial" w:eastAsia="Arial" w:hAnsi="Arial"/>
          <w:sz w:val="18"/>
          <w:szCs w:val="18"/>
          <w:color w:val="074A75"/>
        </w:rPr>
      </w:pPr>
    </w:p>
    <w:p>
      <w:pPr>
        <w:ind w:left="880" w:right="340" w:hanging="196"/>
        <w:spacing w:after="0" w:line="263" w:lineRule="auto"/>
        <w:tabs>
          <w:tab w:leader="none" w:pos="884" w:val="left"/>
        </w:tabs>
        <w:numPr>
          <w:ilvl w:val="0"/>
          <w:numId w:val="201"/>
        </w:numPr>
        <w:rPr>
          <w:rFonts w:ascii="Arial" w:cs="Arial" w:eastAsia="Arial" w:hAnsi="Arial"/>
          <w:sz w:val="18"/>
          <w:szCs w:val="18"/>
          <w:color w:val="074A75"/>
        </w:rPr>
      </w:pPr>
      <w:r>
        <w:rPr>
          <w:rFonts w:ascii="Arial" w:cs="Arial" w:eastAsia="Arial" w:hAnsi="Arial"/>
          <w:sz w:val="18"/>
          <w:szCs w:val="18"/>
          <w:color w:val="auto"/>
        </w:rPr>
        <w:t>Continued to drive Firmwide programs like ReEntry; executive sponsor of the Sage BRG, successfully rotated and transitioned sponsorship of the NextGEN BRG to new OC sponsors</w:t>
      </w:r>
    </w:p>
    <w:p>
      <w:pPr>
        <w:spacing w:after="0" w:line="1" w:lineRule="exact"/>
        <w:rPr>
          <w:rFonts w:ascii="Arial" w:cs="Arial" w:eastAsia="Arial" w:hAnsi="Arial"/>
          <w:sz w:val="18"/>
          <w:szCs w:val="18"/>
          <w:color w:val="074A75"/>
        </w:rPr>
      </w:pPr>
    </w:p>
    <w:p>
      <w:pPr>
        <w:ind w:left="880" w:right="400" w:hanging="196"/>
        <w:spacing w:after="0" w:line="276" w:lineRule="auto"/>
        <w:tabs>
          <w:tab w:leader="none" w:pos="884" w:val="left"/>
        </w:tabs>
        <w:numPr>
          <w:ilvl w:val="0"/>
          <w:numId w:val="201"/>
        </w:numPr>
        <w:rPr>
          <w:rFonts w:ascii="Arial" w:cs="Arial" w:eastAsia="Arial" w:hAnsi="Arial"/>
          <w:sz w:val="18"/>
          <w:szCs w:val="18"/>
          <w:color w:val="00497F"/>
        </w:rPr>
      </w:pPr>
      <w:r>
        <w:rPr>
          <w:rFonts w:ascii="Arial" w:cs="Arial" w:eastAsia="Arial" w:hAnsi="Arial"/>
          <w:sz w:val="18"/>
          <w:szCs w:val="18"/>
          <w:color w:val="auto"/>
        </w:rPr>
        <w:t>Continued driving training agenda forward to help upskill workforce, including driving enhanced client skills training; continued interest in engagement and efficiency</w:t>
      </w:r>
    </w:p>
    <w:p>
      <w:pPr>
        <w:spacing w:after="0" w:line="62" w:lineRule="exact"/>
        <w:rPr>
          <w:sz w:val="20"/>
          <w:szCs w:val="20"/>
          <w:color w:val="auto"/>
        </w:rPr>
      </w:pPr>
    </w:p>
    <w:p>
      <w:pPr>
        <w:ind w:left="200" w:hanging="192"/>
        <w:spacing w:after="0"/>
        <w:tabs>
          <w:tab w:leader="none" w:pos="200" w:val="left"/>
        </w:tabs>
        <w:numPr>
          <w:ilvl w:val="0"/>
          <w:numId w:val="202"/>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Note 2, on page 113 for a definition of managed basis.</w:t>
      </w:r>
    </w:p>
    <w:p>
      <w:pPr>
        <w:ind w:left="200" w:hanging="192"/>
        <w:spacing w:after="0" w:line="201" w:lineRule="auto"/>
        <w:tabs>
          <w:tab w:leader="none" w:pos="200" w:val="left"/>
        </w:tabs>
        <w:numPr>
          <w:ilvl w:val="0"/>
          <w:numId w:val="203"/>
        </w:numPr>
        <w:rPr>
          <w:rFonts w:ascii="Arial" w:cs="Arial" w:eastAsia="Arial" w:hAnsi="Arial"/>
          <w:sz w:val="15"/>
          <w:szCs w:val="15"/>
          <w:color w:val="074A75"/>
          <w:vertAlign w:val="superscript"/>
        </w:rPr>
      </w:pPr>
      <w:r>
        <w:rPr>
          <w:rFonts w:ascii="Arial" w:cs="Arial" w:eastAsia="Arial" w:hAnsi="Arial"/>
          <w:sz w:val="12"/>
          <w:szCs w:val="12"/>
          <w:color w:val="auto"/>
        </w:rPr>
        <w:t>Rankings amongst scaled ($1 trillion+ Assets Under Supervision), publicly traded asset &amp; wealth management competitors.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149225</wp:posOffset>
            </wp:positionV>
            <wp:extent cx="76835" cy="1454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149225</wp:posOffset>
            </wp:positionV>
            <wp:extent cx="76835" cy="1454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gridSpan w:val="2"/>
          </w:tcPr>
          <w:p>
            <w:pPr>
              <w:ind w:left="160"/>
              <w:spacing w:after="0"/>
              <w:rPr>
                <w:sz w:val="20"/>
                <w:szCs w:val="20"/>
                <w:color w:val="auto"/>
              </w:rPr>
            </w:pPr>
            <w:r>
              <w:rPr>
                <w:rFonts w:ascii="Arial" w:cs="Arial" w:eastAsia="Arial" w:hAnsi="Arial"/>
                <w:sz w:val="15"/>
                <w:szCs w:val="15"/>
                <w:color w:val="58585A"/>
              </w:rPr>
              <w:t>How we think about pay decisions</w:t>
            </w:r>
          </w:p>
        </w:tc>
        <w:tc>
          <w:tcPr>
            <w:tcW w:w="300" w:type="dxa"/>
            <w:vAlign w:val="bottom"/>
            <w:tcBorders>
              <w:right w:val="single" w:sz="8" w:color="E7E7E8"/>
            </w:tcBorders>
          </w:tcPr>
          <w:p>
            <w:pPr>
              <w:spacing w:after="0"/>
              <w:rPr>
                <w:sz w:val="22"/>
                <w:szCs w:val="22"/>
                <w:color w:val="auto"/>
              </w:rPr>
            </w:pPr>
          </w:p>
        </w:tc>
        <w:tc>
          <w:tcPr>
            <w:tcW w:w="372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60" w:type="dxa"/>
            <w:vAlign w:val="bottom"/>
          </w:tcPr>
          <w:p>
            <w:pPr>
              <w:spacing w:after="0"/>
              <w:rPr>
                <w:sz w:val="22"/>
                <w:szCs w:val="22"/>
                <w:color w:val="auto"/>
              </w:rPr>
            </w:pPr>
          </w:p>
        </w:tc>
        <w:tc>
          <w:tcPr>
            <w:tcW w:w="320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2023</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1040" w:type="dxa"/>
            <w:vAlign w:val="bottom"/>
            <w:tcBorders>
              <w:bottom w:val="single" w:sz="8" w:color="E7E7E8"/>
            </w:tcBorders>
          </w:tcPr>
          <w:p>
            <w:pPr>
              <w:spacing w:after="0"/>
              <w:rPr>
                <w:sz w:val="5"/>
                <w:szCs w:val="5"/>
                <w:color w:val="auto"/>
              </w:rPr>
            </w:pPr>
          </w:p>
        </w:tc>
        <w:tc>
          <w:tcPr>
            <w:tcW w:w="1560" w:type="dxa"/>
            <w:vAlign w:val="bottom"/>
            <w:tcBorders>
              <w:bottom w:val="single" w:sz="8" w:color="E7E7E8"/>
              <w:right w:val="single" w:sz="8" w:color="E7E7E8"/>
            </w:tcBorders>
          </w:tcPr>
          <w:p>
            <w:pPr>
              <w:spacing w:after="0"/>
              <w:rPr>
                <w:sz w:val="5"/>
                <w:szCs w:val="5"/>
                <w:color w:val="auto"/>
              </w:rPr>
            </w:pPr>
          </w:p>
        </w:tc>
        <w:tc>
          <w:tcPr>
            <w:tcW w:w="300" w:type="dxa"/>
            <w:vAlign w:val="bottom"/>
            <w:tcBorders>
              <w:right w:val="single" w:sz="8" w:color="E7E7E8"/>
            </w:tcBorders>
          </w:tcPr>
          <w:p>
            <w:pPr>
              <w:spacing w:after="0"/>
              <w:rPr>
                <w:sz w:val="5"/>
                <w:szCs w:val="5"/>
                <w:color w:val="auto"/>
              </w:rPr>
            </w:pPr>
          </w:p>
        </w:tc>
        <w:tc>
          <w:tcPr>
            <w:tcW w:w="3720" w:type="dxa"/>
            <w:vAlign w:val="bottom"/>
            <w:tcBorders>
              <w:bottom w:val="single" w:sz="8" w:color="E7E7E8"/>
              <w:right w:val="single" w:sz="8" w:color="E7E7E8"/>
            </w:tcBorders>
          </w:tcPr>
          <w:p>
            <w:pPr>
              <w:spacing w:after="0"/>
              <w:rPr>
                <w:sz w:val="5"/>
                <w:szCs w:val="5"/>
                <w:color w:val="auto"/>
              </w:rPr>
            </w:pPr>
          </w:p>
        </w:tc>
        <w:tc>
          <w:tcPr>
            <w:tcW w:w="260" w:type="dxa"/>
            <w:vAlign w:val="bottom"/>
          </w:tcPr>
          <w:p>
            <w:pPr>
              <w:spacing w:after="0"/>
              <w:rPr>
                <w:sz w:val="5"/>
                <w:szCs w:val="5"/>
                <w:color w:val="auto"/>
              </w:rPr>
            </w:pPr>
          </w:p>
        </w:tc>
        <w:tc>
          <w:tcPr>
            <w:tcW w:w="320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Borders>
              <w:bottom w:val="single" w:sz="8" w:color="EEEFEF"/>
            </w:tcBorders>
          </w:tcPr>
          <w:p>
            <w:pPr>
              <w:spacing w:after="0"/>
              <w:rPr>
                <w:sz w:val="12"/>
                <w:szCs w:val="12"/>
                <w:color w:val="auto"/>
              </w:rPr>
            </w:pPr>
          </w:p>
        </w:tc>
        <w:tc>
          <w:tcPr>
            <w:tcW w:w="300" w:type="dxa"/>
            <w:vAlign w:val="bottom"/>
            <w:tcBorders>
              <w:bottom w:val="single" w:sz="8" w:color="EEEFEF"/>
            </w:tcBorders>
          </w:tcPr>
          <w:p>
            <w:pPr>
              <w:spacing w:after="0"/>
              <w:rPr>
                <w:sz w:val="12"/>
                <w:szCs w:val="12"/>
                <w:color w:val="auto"/>
              </w:rPr>
            </w:pPr>
          </w:p>
        </w:tc>
        <w:tc>
          <w:tcPr>
            <w:tcW w:w="3720" w:type="dxa"/>
            <w:vAlign w:val="bottom"/>
            <w:tcBorders>
              <w:bottom w:val="single" w:sz="8" w:color="EEEFEF"/>
            </w:tcBorders>
          </w:tcPr>
          <w:p>
            <w:pPr>
              <w:spacing w:after="0"/>
              <w:rPr>
                <w:sz w:val="12"/>
                <w:szCs w:val="12"/>
                <w:color w:val="auto"/>
              </w:rPr>
            </w:pPr>
          </w:p>
        </w:tc>
        <w:tc>
          <w:tcPr>
            <w:tcW w:w="260" w:type="dxa"/>
            <w:vAlign w:val="bottom"/>
            <w:tcBorders>
              <w:bottom w:val="single" w:sz="8" w:color="EEEFEF"/>
            </w:tcBorders>
          </w:tcPr>
          <w:p>
            <w:pPr>
              <w:spacing w:after="0"/>
              <w:rPr>
                <w:sz w:val="12"/>
                <w:szCs w:val="12"/>
                <w:color w:val="auto"/>
              </w:rPr>
            </w:pPr>
          </w:p>
        </w:tc>
        <w:tc>
          <w:tcPr>
            <w:tcW w:w="3200" w:type="dxa"/>
            <w:vAlign w:val="bottom"/>
            <w:tcBorders>
              <w:bottom w:val="single" w:sz="8" w:color="EEEFEF"/>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47447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29"/>
          <w:szCs w:val="29"/>
          <w:color w:val="074A75"/>
        </w:rPr>
        <w:t>Marianne Lake</w:t>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8"/>
          <w:szCs w:val="18"/>
          <w:color w:val="074A75"/>
        </w:rPr>
        <w:t>CEO: CONSUMER &amp; COMMUNITY BANKING</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8"/>
          <w:szCs w:val="18"/>
          <w:color w:val="074A75"/>
        </w:rPr>
        <w:t>FORMER CO-CEO: CONSUMER &amp; COMMUNITY BANKING</w:t>
      </w:r>
    </w:p>
    <w:p>
      <w:pPr>
        <w:spacing w:after="0" w:line="104" w:lineRule="exact"/>
        <w:rPr>
          <w:sz w:val="20"/>
          <w:szCs w:val="20"/>
          <w:color w:val="auto"/>
        </w:rPr>
      </w:pPr>
    </w:p>
    <w:p>
      <w:pPr>
        <w:ind w:left="2360" w:right="3800"/>
        <w:spacing w:after="0" w:line="261" w:lineRule="auto"/>
        <w:rPr>
          <w:sz w:val="20"/>
          <w:szCs w:val="20"/>
          <w:color w:val="auto"/>
        </w:rPr>
      </w:pPr>
      <w:r>
        <w:rPr>
          <w:rFonts w:ascii="Arial" w:cs="Arial" w:eastAsia="Arial" w:hAnsi="Arial"/>
          <w:sz w:val="16"/>
          <w:szCs w:val="16"/>
          <w:color w:val="auto"/>
        </w:rPr>
        <w:t>Ms. Lake was appointed as CEO of CCB in January 2024, after serving as Co-CEO of CCB since May 2021. She previously served as CEO of Consumer Lending from May 2019, after serving as the CFO for the Firm from January 2013 to April 2019. Ms. Lake served as the CFO of CCB from 2009 through 2012 and as Global Controller for the IB from 2007 to 2009.</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074A75"/>
        </w:rPr>
        <w:t xml:space="preserve">PERFORMANCE DASHBOARD: </w:t>
      </w:r>
      <w:r>
        <w:rPr>
          <w:rFonts w:ascii="Arial" w:cs="Arial" w:eastAsia="Arial" w:hAnsi="Arial"/>
          <w:sz w:val="18"/>
          <w:szCs w:val="18"/>
          <w:color w:val="074A75"/>
        </w:rPr>
        <w:t>Assessment of results against long-term strategic priorities and qualitative considerations</w:t>
      </w:r>
    </w:p>
    <w:p>
      <w:pPr>
        <w:spacing w:after="0" w:line="14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0059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p>
      <w:pPr>
        <w:spacing w:after="0" w:line="40" w:lineRule="exact"/>
        <w:rPr>
          <w:sz w:val="20"/>
          <w:szCs w:val="20"/>
          <w:color w:val="auto"/>
        </w:rPr>
      </w:pPr>
    </w:p>
    <w:p>
      <w:pPr>
        <w:ind w:left="880" w:hanging="196"/>
        <w:spacing w:after="0"/>
        <w:tabs>
          <w:tab w:leader="none" w:pos="880" w:val="left"/>
        </w:tabs>
        <w:numPr>
          <w:ilvl w:val="0"/>
          <w:numId w:val="204"/>
        </w:numPr>
        <w:rPr>
          <w:rFonts w:ascii="Arial" w:cs="Arial" w:eastAsia="Arial" w:hAnsi="Arial"/>
          <w:sz w:val="18"/>
          <w:szCs w:val="18"/>
          <w:color w:val="074A75"/>
        </w:rPr>
      </w:pPr>
      <w:r>
        <w:rPr>
          <w:rFonts w:ascii="Arial" w:cs="Arial" w:eastAsia="Arial" w:hAnsi="Arial"/>
          <w:sz w:val="18"/>
          <w:szCs w:val="18"/>
          <w:color w:val="auto"/>
        </w:rPr>
        <w:t>CCB achieved net income of $21.2 billion on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$70.1 billion, with ROE of 38%</w:t>
      </w:r>
    </w:p>
    <w:p>
      <w:pPr>
        <w:ind w:left="880" w:hanging="196"/>
        <w:spacing w:after="0"/>
        <w:tabs>
          <w:tab w:leader="none" w:pos="880" w:val="left"/>
        </w:tabs>
        <w:numPr>
          <w:ilvl w:val="0"/>
          <w:numId w:val="204"/>
        </w:numPr>
        <w:rPr>
          <w:rFonts w:ascii="Arial" w:cs="Arial" w:eastAsia="Arial" w:hAnsi="Arial"/>
          <w:sz w:val="18"/>
          <w:szCs w:val="18"/>
          <w:color w:val="074A75"/>
        </w:rPr>
      </w:pPr>
      <w:r>
        <w:rPr>
          <w:rFonts w:ascii="Arial" w:cs="Arial" w:eastAsia="Arial" w:hAnsi="Arial"/>
          <w:sz w:val="18"/>
          <w:szCs w:val="18"/>
          <w:color w:val="auto"/>
        </w:rPr>
        <w:t>Average deposits of $1.1 trillion (down 3%); average loans of $526.4 billion (up 20%)</w:t>
      </w:r>
    </w:p>
    <w:p>
      <w:pPr>
        <w:spacing w:after="0" w:line="13" w:lineRule="exact"/>
        <w:rPr>
          <w:rFonts w:ascii="Arial" w:cs="Arial" w:eastAsia="Arial" w:hAnsi="Arial"/>
          <w:sz w:val="18"/>
          <w:szCs w:val="18"/>
          <w:color w:val="074A75"/>
        </w:rPr>
      </w:pPr>
    </w:p>
    <w:p>
      <w:pPr>
        <w:ind w:left="880" w:hanging="196"/>
        <w:spacing w:after="0" w:line="228" w:lineRule="auto"/>
        <w:tabs>
          <w:tab w:leader="none" w:pos="880" w:val="left"/>
        </w:tabs>
        <w:numPr>
          <w:ilvl w:val="0"/>
          <w:numId w:val="204"/>
        </w:numPr>
        <w:rPr>
          <w:rFonts w:ascii="Arial" w:cs="Arial" w:eastAsia="Arial" w:hAnsi="Arial"/>
          <w:sz w:val="18"/>
          <w:szCs w:val="18"/>
          <w:color w:val="074A75"/>
        </w:rPr>
      </w:pPr>
      <w:r>
        <w:rPr>
          <w:rFonts w:ascii="Arial" w:cs="Arial" w:eastAsia="Arial" w:hAnsi="Arial"/>
          <w:sz w:val="18"/>
          <w:szCs w:val="18"/>
          <w:color w:val="auto"/>
        </w:rPr>
        <w:t>#1 market share in U.S. retail deposits at 11.3% and #1 in 4 of 5 of the top U.S. Markets</w:t>
      </w:r>
      <w:r>
        <w:rPr>
          <w:rFonts w:ascii="Arial" w:cs="Arial" w:eastAsia="Arial" w:hAnsi="Arial"/>
          <w:sz w:val="23"/>
          <w:szCs w:val="23"/>
          <w:color w:val="auto"/>
          <w:vertAlign w:val="superscript"/>
        </w:rPr>
        <w:t>2</w:t>
      </w:r>
    </w:p>
    <w:p>
      <w:pPr>
        <w:ind w:left="880" w:right="140" w:hanging="196"/>
        <w:spacing w:after="0" w:line="253" w:lineRule="auto"/>
        <w:tabs>
          <w:tab w:leader="none" w:pos="884" w:val="left"/>
        </w:tabs>
        <w:numPr>
          <w:ilvl w:val="0"/>
          <w:numId w:val="204"/>
        </w:numPr>
        <w:rPr>
          <w:rFonts w:ascii="Arial" w:cs="Arial" w:eastAsia="Arial" w:hAnsi="Arial"/>
          <w:sz w:val="18"/>
          <w:szCs w:val="18"/>
          <w:color w:val="104C98"/>
        </w:rPr>
      </w:pPr>
      <w:r>
        <w:rPr>
          <w:rFonts w:ascii="Arial" w:cs="Arial" w:eastAsia="Arial" w:hAnsi="Arial"/>
          <w:sz w:val="18"/>
          <w:szCs w:val="18"/>
          <w:color w:val="auto"/>
        </w:rPr>
        <w:t>#1 credit card issuer in the U.S. based on sales and outstandings at 23% and 17% market share respectively, with over $1 trillion in sales volume and gaining approximately 30bps of outstandings share since 2019</w:t>
      </w:r>
    </w:p>
    <w:p>
      <w:pPr>
        <w:ind w:left="880" w:hanging="196"/>
        <w:spacing w:after="0"/>
        <w:tabs>
          <w:tab w:leader="none" w:pos="880" w:val="left"/>
        </w:tabs>
        <w:numPr>
          <w:ilvl w:val="0"/>
          <w:numId w:val="204"/>
        </w:numPr>
        <w:rPr>
          <w:rFonts w:ascii="Arial" w:cs="Arial" w:eastAsia="Arial" w:hAnsi="Arial"/>
          <w:sz w:val="18"/>
          <w:szCs w:val="18"/>
          <w:color w:val="104C98"/>
        </w:rPr>
      </w:pPr>
      <w:r>
        <w:rPr>
          <w:rFonts w:ascii="Arial" w:cs="Arial" w:eastAsia="Arial" w:hAnsi="Arial"/>
          <w:sz w:val="18"/>
          <w:szCs w:val="18"/>
          <w:color w:val="auto"/>
        </w:rPr>
        <w:t>#1 primary bank for U.S. small businesses; #1 banking platform in the U.S.</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9525</wp:posOffset>
            </wp:positionV>
            <wp:extent cx="6763385" cy="16256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763385" cy="162560"/>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FFFFFF"/>
        </w:rPr>
        <w:t>Progress Against our Strategic Framework</w:t>
      </w:r>
    </w:p>
    <w:p>
      <w:pPr>
        <w:spacing w:after="0" w:line="59" w:lineRule="exact"/>
        <w:rPr>
          <w:sz w:val="20"/>
          <w:szCs w:val="20"/>
          <w:color w:val="auto"/>
        </w:rPr>
      </w:pPr>
    </w:p>
    <w:p>
      <w:pPr>
        <w:ind w:left="880" w:right="80" w:hanging="196"/>
        <w:spacing w:after="0" w:line="259" w:lineRule="auto"/>
        <w:tabs>
          <w:tab w:leader="none" w:pos="884" w:val="left"/>
        </w:tabs>
        <w:numPr>
          <w:ilvl w:val="0"/>
          <w:numId w:val="205"/>
        </w:numPr>
        <w:rPr>
          <w:rFonts w:ascii="Arial" w:cs="Arial" w:eastAsia="Arial" w:hAnsi="Arial"/>
          <w:sz w:val="18"/>
          <w:szCs w:val="18"/>
          <w:color w:val="074A75"/>
        </w:rPr>
      </w:pPr>
      <w:r>
        <w:rPr>
          <w:rFonts w:ascii="Arial" w:cs="Arial" w:eastAsia="Arial" w:hAnsi="Arial"/>
          <w:sz w:val="18"/>
          <w:szCs w:val="18"/>
          <w:color w:val="auto"/>
        </w:rPr>
        <w:t>Continued focus on extending share across businesses, growing and optimizing CCB's branch network, enhancing marketing and risk capabilities, and launching new products. Continued investment in product development, technology modernization and data to deliver more to our customer with greater efficiency</w:t>
      </w:r>
    </w:p>
    <w:p>
      <w:pPr>
        <w:ind w:left="880" w:right="600" w:hanging="196"/>
        <w:spacing w:after="0" w:line="276" w:lineRule="auto"/>
        <w:tabs>
          <w:tab w:leader="none" w:pos="884" w:val="left"/>
        </w:tabs>
        <w:numPr>
          <w:ilvl w:val="0"/>
          <w:numId w:val="205"/>
        </w:numPr>
        <w:rPr>
          <w:rFonts w:ascii="Arial" w:cs="Arial" w:eastAsia="Arial" w:hAnsi="Arial"/>
          <w:sz w:val="18"/>
          <w:szCs w:val="18"/>
          <w:color w:val="104C98"/>
        </w:rPr>
      </w:pPr>
      <w:r>
        <w:rPr>
          <w:rFonts w:ascii="Arial" w:cs="Arial" w:eastAsia="Arial" w:hAnsi="Arial"/>
          <w:sz w:val="18"/>
          <w:szCs w:val="18"/>
          <w:color w:val="auto"/>
        </w:rPr>
        <w:t>Executed the acquisition of First Republic Bank and continue to make progress on integration efforts; having completed the migration of the mortgage portfolio and expect to complete the remaining product migrations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33343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3334385"/>
                    </a:xfrm>
                    <a:prstGeom prst="rect">
                      <a:avLst/>
                    </a:prstGeom>
                    <a:noFill/>
                  </pic:spPr>
                </pic:pic>
              </a:graphicData>
            </a:graphic>
          </wp:anchor>
        </w:drawing>
      </w:r>
    </w:p>
    <w:p>
      <w:pPr>
        <w:spacing w:after="0" w:line="6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FFFFFF"/>
        </w:rPr>
        <w:t>Risk, Controls &amp; Conduct</w:t>
      </w:r>
    </w:p>
    <w:p>
      <w:pPr>
        <w:spacing w:after="0" w:line="77" w:lineRule="exact"/>
        <w:rPr>
          <w:sz w:val="20"/>
          <w:szCs w:val="20"/>
          <w:color w:val="auto"/>
        </w:rPr>
      </w:pPr>
    </w:p>
    <w:p>
      <w:pPr>
        <w:ind w:left="880" w:right="220" w:hanging="196"/>
        <w:spacing w:after="0" w:line="263" w:lineRule="auto"/>
        <w:tabs>
          <w:tab w:leader="none" w:pos="884" w:val="left"/>
        </w:tabs>
        <w:numPr>
          <w:ilvl w:val="0"/>
          <w:numId w:val="206"/>
        </w:numPr>
        <w:rPr>
          <w:rFonts w:ascii="Arial" w:cs="Arial" w:eastAsia="Arial" w:hAnsi="Arial"/>
          <w:sz w:val="18"/>
          <w:szCs w:val="18"/>
          <w:color w:val="104C98"/>
        </w:rPr>
      </w:pPr>
      <w:r>
        <w:rPr>
          <w:rFonts w:ascii="Arial" w:cs="Arial" w:eastAsia="Arial" w:hAnsi="Arial"/>
          <w:sz w:val="18"/>
          <w:szCs w:val="18"/>
          <w:color w:val="auto"/>
        </w:rPr>
        <w:t>CCB has maintained a satisfactory risk and controls environment and approaches business decisions with a consistent, prudent and disciplined approach to risk appetite</w:t>
      </w:r>
    </w:p>
    <w:p>
      <w:pPr>
        <w:spacing w:after="0" w:line="1" w:lineRule="exact"/>
        <w:rPr>
          <w:rFonts w:ascii="Arial" w:cs="Arial" w:eastAsia="Arial" w:hAnsi="Arial"/>
          <w:sz w:val="18"/>
          <w:szCs w:val="18"/>
          <w:color w:val="104C98"/>
        </w:rPr>
      </w:pPr>
    </w:p>
    <w:p>
      <w:pPr>
        <w:ind w:left="880" w:right="160" w:hanging="196"/>
        <w:spacing w:after="0" w:line="260" w:lineRule="auto"/>
        <w:tabs>
          <w:tab w:leader="none" w:pos="884" w:val="left"/>
        </w:tabs>
        <w:numPr>
          <w:ilvl w:val="0"/>
          <w:numId w:val="206"/>
        </w:numPr>
        <w:rPr>
          <w:rFonts w:ascii="Arial" w:cs="Arial" w:eastAsia="Arial" w:hAnsi="Arial"/>
          <w:sz w:val="18"/>
          <w:szCs w:val="18"/>
          <w:color w:val="104C98"/>
        </w:rPr>
      </w:pPr>
      <w:r>
        <w:rPr>
          <w:rFonts w:ascii="Arial" w:cs="Arial" w:eastAsia="Arial" w:hAnsi="Arial"/>
          <w:sz w:val="18"/>
          <w:szCs w:val="18"/>
          <w:color w:val="auto"/>
        </w:rPr>
        <w:t>Continued to focus on diligent, timely identification and remediation of issues, protection of customer data and cybersecurity, and fighting fraud</w:t>
      </w:r>
    </w:p>
    <w:p>
      <w:pPr>
        <w:spacing w:after="0" w:line="1" w:lineRule="exact"/>
        <w:rPr>
          <w:rFonts w:ascii="Arial" w:cs="Arial" w:eastAsia="Arial" w:hAnsi="Arial"/>
          <w:sz w:val="18"/>
          <w:szCs w:val="18"/>
          <w:color w:val="104C98"/>
        </w:rPr>
      </w:pPr>
    </w:p>
    <w:p>
      <w:pPr>
        <w:ind w:left="880" w:right="540" w:hanging="196"/>
        <w:spacing w:after="0" w:line="287" w:lineRule="auto"/>
        <w:tabs>
          <w:tab w:leader="none" w:pos="884" w:val="left"/>
        </w:tabs>
        <w:numPr>
          <w:ilvl w:val="0"/>
          <w:numId w:val="206"/>
        </w:numPr>
        <w:rPr>
          <w:rFonts w:ascii="Arial" w:cs="Arial" w:eastAsia="Arial" w:hAnsi="Arial"/>
          <w:sz w:val="18"/>
          <w:szCs w:val="18"/>
          <w:color w:val="104C98"/>
        </w:rPr>
      </w:pPr>
      <w:r>
        <w:rPr>
          <w:rFonts w:ascii="Arial" w:cs="Arial" w:eastAsia="Arial" w:hAnsi="Arial"/>
          <w:sz w:val="18"/>
          <w:szCs w:val="18"/>
          <w:color w:val="auto"/>
        </w:rPr>
        <w:t>Demonstrated focus on driving accountability and the highest standards of culture and conduct consistent with our Business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-1905</wp:posOffset>
            </wp:positionV>
            <wp:extent cx="6763385" cy="1714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b w:val="1"/>
          <w:bCs w:val="1"/>
          <w:color w:val="FFFFFF"/>
        </w:rPr>
        <w:t>Client/Customer/Stakeholder</w:t>
      </w:r>
    </w:p>
    <w:p>
      <w:pPr>
        <w:spacing w:after="0" w:line="77" w:lineRule="exact"/>
        <w:rPr>
          <w:sz w:val="20"/>
          <w:szCs w:val="20"/>
          <w:color w:val="auto"/>
        </w:rPr>
      </w:pPr>
    </w:p>
    <w:p>
      <w:pPr>
        <w:ind w:left="880" w:right="500" w:hanging="196"/>
        <w:spacing w:after="0" w:line="263" w:lineRule="auto"/>
        <w:tabs>
          <w:tab w:leader="none" w:pos="884" w:val="left"/>
        </w:tabs>
        <w:numPr>
          <w:ilvl w:val="0"/>
          <w:numId w:val="207"/>
        </w:numPr>
        <w:rPr>
          <w:rFonts w:ascii="Arial" w:cs="Arial" w:eastAsia="Arial" w:hAnsi="Arial"/>
          <w:sz w:val="18"/>
          <w:szCs w:val="18"/>
          <w:color w:val="00497F"/>
        </w:rPr>
      </w:pPr>
      <w:r>
        <w:rPr>
          <w:rFonts w:ascii="Arial" w:cs="Arial" w:eastAsia="Arial" w:hAnsi="Arial"/>
          <w:sz w:val="18"/>
          <w:szCs w:val="18"/>
          <w:color w:val="auto"/>
        </w:rPr>
        <w:t>Serve over 82 million consumers and 6.4 million small businesses, adding nearly 3 million consumers and approximately 0.7 million small business customers in 2023</w:t>
      </w:r>
    </w:p>
    <w:p>
      <w:pPr>
        <w:spacing w:after="0" w:line="1" w:lineRule="exact"/>
        <w:rPr>
          <w:rFonts w:ascii="Arial" w:cs="Arial" w:eastAsia="Arial" w:hAnsi="Arial"/>
          <w:sz w:val="18"/>
          <w:szCs w:val="18"/>
          <w:color w:val="00497F"/>
        </w:rPr>
      </w:pPr>
    </w:p>
    <w:p>
      <w:pPr>
        <w:ind w:left="880" w:hanging="196"/>
        <w:spacing w:after="0"/>
        <w:tabs>
          <w:tab w:leader="none" w:pos="880" w:val="left"/>
        </w:tabs>
        <w:numPr>
          <w:ilvl w:val="0"/>
          <w:numId w:val="207"/>
        </w:numPr>
        <w:rPr>
          <w:rFonts w:ascii="Arial" w:cs="Arial" w:eastAsia="Arial" w:hAnsi="Arial"/>
          <w:sz w:val="18"/>
          <w:szCs w:val="18"/>
          <w:color w:val="104C98"/>
        </w:rPr>
      </w:pPr>
      <w:r>
        <w:rPr>
          <w:rFonts w:ascii="Arial" w:cs="Arial" w:eastAsia="Arial" w:hAnsi="Arial"/>
          <w:sz w:val="18"/>
          <w:szCs w:val="18"/>
          <w:color w:val="auto"/>
        </w:rPr>
        <w:t>Continued to optimize the branch network, while adding nearly 800 new branches since 2017</w:t>
      </w:r>
    </w:p>
    <w:p>
      <w:pPr>
        <w:spacing w:after="0" w:line="26" w:lineRule="exact"/>
        <w:rPr>
          <w:rFonts w:ascii="Arial" w:cs="Arial" w:eastAsia="Arial" w:hAnsi="Arial"/>
          <w:sz w:val="18"/>
          <w:szCs w:val="18"/>
          <w:color w:val="104C98"/>
        </w:rPr>
      </w:pPr>
    </w:p>
    <w:p>
      <w:pPr>
        <w:ind w:left="880" w:hanging="196"/>
        <w:spacing w:after="0"/>
        <w:tabs>
          <w:tab w:leader="none" w:pos="880" w:val="left"/>
        </w:tabs>
        <w:numPr>
          <w:ilvl w:val="0"/>
          <w:numId w:val="207"/>
        </w:numPr>
        <w:rPr>
          <w:rFonts w:ascii="Arial" w:cs="Arial" w:eastAsia="Arial" w:hAnsi="Arial"/>
          <w:sz w:val="18"/>
          <w:szCs w:val="18"/>
          <w:color w:val="104C98"/>
        </w:rPr>
      </w:pPr>
      <w:r>
        <w:rPr>
          <w:rFonts w:ascii="Arial" w:cs="Arial" w:eastAsia="Arial" w:hAnsi="Arial"/>
          <w:sz w:val="18"/>
          <w:szCs w:val="18"/>
          <w:color w:val="auto"/>
        </w:rPr>
        <w:t>Continued momentum of CCB's travel strategy with approximately $10 billion of sales across platforms</w:t>
      </w:r>
    </w:p>
    <w:p>
      <w:pPr>
        <w:spacing w:after="0" w:line="31" w:lineRule="exact"/>
        <w:rPr>
          <w:rFonts w:ascii="Arial" w:cs="Arial" w:eastAsia="Arial" w:hAnsi="Arial"/>
          <w:sz w:val="18"/>
          <w:szCs w:val="18"/>
          <w:color w:val="104C98"/>
        </w:rPr>
      </w:pPr>
    </w:p>
    <w:p>
      <w:pPr>
        <w:ind w:left="880" w:hanging="196"/>
        <w:spacing w:after="0" w:line="216" w:lineRule="auto"/>
        <w:tabs>
          <w:tab w:leader="none" w:pos="880" w:val="left"/>
        </w:tabs>
        <w:numPr>
          <w:ilvl w:val="0"/>
          <w:numId w:val="207"/>
        </w:numPr>
        <w:rPr>
          <w:rFonts w:ascii="Arial" w:cs="Arial" w:eastAsia="Arial" w:hAnsi="Arial"/>
          <w:sz w:val="18"/>
          <w:szCs w:val="18"/>
          <w:color w:val="104C98"/>
        </w:rPr>
      </w:pPr>
      <w:r>
        <w:rPr>
          <w:rFonts w:ascii="Arial" w:cs="Arial" w:eastAsia="Arial" w:hAnsi="Arial"/>
          <w:sz w:val="18"/>
          <w:szCs w:val="18"/>
          <w:color w:val="auto"/>
        </w:rPr>
        <w:t>Achieved record high customer satisfaction across channels</w:t>
      </w:r>
      <w:r>
        <w:rPr>
          <w:rFonts w:ascii="Arial" w:cs="Arial" w:eastAsia="Arial" w:hAnsi="Arial"/>
          <w:sz w:val="23"/>
          <w:szCs w:val="23"/>
          <w:color w:val="auto"/>
          <w:vertAlign w:val="superscript"/>
        </w:rPr>
        <w:t>4</w:t>
      </w:r>
    </w:p>
    <w:p>
      <w:pPr>
        <w:ind w:left="880" w:right="60" w:hanging="196"/>
        <w:spacing w:after="0" w:line="266" w:lineRule="auto"/>
        <w:tabs>
          <w:tab w:leader="none" w:pos="884" w:val="left"/>
        </w:tabs>
        <w:numPr>
          <w:ilvl w:val="0"/>
          <w:numId w:val="207"/>
        </w:numPr>
        <w:rPr>
          <w:rFonts w:ascii="Arial" w:cs="Arial" w:eastAsia="Arial" w:hAnsi="Arial"/>
          <w:sz w:val="18"/>
          <w:szCs w:val="18"/>
          <w:color w:val="104C98"/>
        </w:rPr>
      </w:pPr>
      <w:r>
        <w:rPr>
          <w:rFonts w:ascii="Arial" w:cs="Arial" w:eastAsia="Arial" w:hAnsi="Arial"/>
          <w:sz w:val="18"/>
          <w:szCs w:val="18"/>
          <w:color w:val="auto"/>
        </w:rPr>
        <w:t>Expanded product offerings across segments with the launch of Wealth Plan</w:t>
      </w:r>
      <w:r>
        <w:rPr>
          <w:rFonts w:ascii="Arial" w:cs="Arial" w:eastAsia="Arial" w:hAnsi="Arial"/>
          <w:sz w:val="9"/>
          <w:szCs w:val="9"/>
          <w:color w:val="auto"/>
        </w:rPr>
        <w:t>SM</w:t>
      </w:r>
      <w:r>
        <w:rPr>
          <w:rFonts w:ascii="Arial" w:cs="Arial" w:eastAsia="Arial" w:hAnsi="Arial"/>
          <w:sz w:val="18"/>
          <w:szCs w:val="18"/>
          <w:color w:val="auto"/>
        </w:rPr>
        <w:t>, Ink Business Premier</w:t>
      </w:r>
      <w:r>
        <w:rPr>
          <w:rFonts w:ascii="Arial" w:cs="Arial" w:eastAsia="Arial" w:hAnsi="Arial"/>
          <w:sz w:val="9"/>
          <w:szCs w:val="9"/>
          <w:color w:val="auto"/>
        </w:rPr>
        <w:t>SM</w:t>
      </w:r>
      <w:r>
        <w:rPr>
          <w:rFonts w:ascii="Arial" w:cs="Arial" w:eastAsia="Arial" w:hAnsi="Arial"/>
          <w:sz w:val="18"/>
          <w:szCs w:val="18"/>
          <w:color w:val="auto"/>
        </w:rPr>
        <w:t xml:space="preserve"> and Freedom Rise</w:t>
      </w:r>
      <w:r>
        <w:rPr>
          <w:rFonts w:ascii="Arial" w:cs="Arial" w:eastAsia="Arial" w:hAnsi="Arial"/>
          <w:sz w:val="9"/>
          <w:szCs w:val="9"/>
          <w:color w:val="auto"/>
        </w:rPr>
        <w:t>SM</w:t>
      </w:r>
      <w:r>
        <w:rPr>
          <w:rFonts w:ascii="Arial" w:cs="Arial" w:eastAsia="Arial" w:hAnsi="Arial"/>
          <w:sz w:val="18"/>
          <w:szCs w:val="18"/>
          <w:color w:val="auto"/>
        </w:rPr>
        <w:t xml:space="preserve"> credit cards and the installment lending product Chase Pay in 4</w:t>
      </w:r>
      <w:r>
        <w:rPr>
          <w:rFonts w:ascii="Arial" w:cs="Arial" w:eastAsia="Arial" w:hAnsi="Arial"/>
          <w:sz w:val="9"/>
          <w:szCs w:val="9"/>
          <w:color w:val="auto"/>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17780</wp:posOffset>
            </wp:positionV>
            <wp:extent cx="6763385" cy="1714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FFFFFF"/>
        </w:rPr>
        <w:t>Teamwork &amp; Leadership</w:t>
      </w:r>
    </w:p>
    <w:p>
      <w:pPr>
        <w:spacing w:after="0" w:line="77" w:lineRule="exact"/>
        <w:rPr>
          <w:sz w:val="20"/>
          <w:szCs w:val="20"/>
          <w:color w:val="auto"/>
        </w:rPr>
      </w:pPr>
    </w:p>
    <w:p>
      <w:pPr>
        <w:ind w:left="880" w:right="40" w:hanging="196"/>
        <w:spacing w:after="0" w:line="263" w:lineRule="auto"/>
        <w:tabs>
          <w:tab w:leader="none" w:pos="884" w:val="left"/>
        </w:tabs>
        <w:numPr>
          <w:ilvl w:val="0"/>
          <w:numId w:val="208"/>
        </w:numPr>
        <w:rPr>
          <w:rFonts w:ascii="Arial" w:cs="Arial" w:eastAsia="Arial" w:hAnsi="Arial"/>
          <w:sz w:val="18"/>
          <w:szCs w:val="18"/>
          <w:color w:val="074A75"/>
        </w:rPr>
      </w:pPr>
      <w:r>
        <w:rPr>
          <w:rFonts w:ascii="Arial" w:cs="Arial" w:eastAsia="Arial" w:hAnsi="Arial"/>
          <w:sz w:val="18"/>
          <w:szCs w:val="18"/>
          <w:color w:val="auto"/>
        </w:rPr>
        <w:t>Continued focus on key priorities for CCB including development, talent pipelines, and working cross-functionally with Commercial &amp; Private Banking clients through the branch network, particularly focused on the First Republic Bank integration</w:t>
      </w:r>
    </w:p>
    <w:p>
      <w:pPr>
        <w:spacing w:after="0" w:line="1" w:lineRule="exact"/>
        <w:rPr>
          <w:rFonts w:ascii="Arial" w:cs="Arial" w:eastAsia="Arial" w:hAnsi="Arial"/>
          <w:sz w:val="18"/>
          <w:szCs w:val="18"/>
          <w:color w:val="074A75"/>
        </w:rPr>
      </w:pPr>
    </w:p>
    <w:p>
      <w:pPr>
        <w:ind w:left="880" w:right="320" w:hanging="196"/>
        <w:spacing w:after="0" w:line="263" w:lineRule="auto"/>
        <w:tabs>
          <w:tab w:leader="none" w:pos="884" w:val="left"/>
        </w:tabs>
        <w:numPr>
          <w:ilvl w:val="0"/>
          <w:numId w:val="208"/>
        </w:numPr>
        <w:rPr>
          <w:rFonts w:ascii="Arial" w:cs="Arial" w:eastAsia="Arial" w:hAnsi="Arial"/>
          <w:sz w:val="18"/>
          <w:szCs w:val="18"/>
          <w:color w:val="074A75"/>
        </w:rPr>
      </w:pPr>
      <w:r>
        <w:rPr>
          <w:rFonts w:ascii="Arial" w:cs="Arial" w:eastAsia="Arial" w:hAnsi="Arial"/>
          <w:sz w:val="18"/>
          <w:szCs w:val="18"/>
          <w:color w:val="auto"/>
        </w:rPr>
        <w:t>Rotated executive sponsorship from Women on the Move ("WOTM") to Access Ability, the Firm's disability, neurodivergent and caregiver Resource Group, and continued sponsorship for Cycle for Survival; supported and engaged in Firmwide BRG-sponsored and leadership events throughout the year</w:t>
      </w:r>
    </w:p>
    <w:p>
      <w:pPr>
        <w:spacing w:after="0" w:line="232" w:lineRule="exact"/>
        <w:rPr>
          <w:sz w:val="20"/>
          <w:szCs w:val="20"/>
          <w:color w:val="auto"/>
        </w:rPr>
      </w:pPr>
    </w:p>
    <w:p>
      <w:pPr>
        <w:ind w:left="200" w:hanging="192"/>
        <w:spacing w:after="0"/>
        <w:tabs>
          <w:tab w:leader="none" w:pos="200" w:val="left"/>
        </w:tabs>
        <w:numPr>
          <w:ilvl w:val="0"/>
          <w:numId w:val="209"/>
        </w:numPr>
        <w:rPr>
          <w:rFonts w:ascii="Arial" w:cs="Arial" w:eastAsia="Arial" w:hAnsi="Arial"/>
          <w:sz w:val="16"/>
          <w:szCs w:val="16"/>
          <w:color w:val="auto"/>
          <w:vertAlign w:val="superscript"/>
        </w:rPr>
      </w:pPr>
      <w:r>
        <w:rPr>
          <w:rFonts w:ascii="Arial" w:cs="Arial" w:eastAsia="Arial" w:hAnsi="Arial"/>
          <w:sz w:val="13"/>
          <w:szCs w:val="13"/>
          <w:color w:val="auto"/>
        </w:rPr>
        <w:t>The Firm reviews the results of the lines of business on a managed basis. Refer to Note 2, on page 113 for a definition of managed basis.</w:t>
      </w:r>
    </w:p>
    <w:p>
      <w:pPr>
        <w:ind w:left="200" w:hanging="192"/>
        <w:spacing w:after="0" w:line="215" w:lineRule="auto"/>
        <w:tabs>
          <w:tab w:leader="none" w:pos="200" w:val="left"/>
        </w:tabs>
        <w:numPr>
          <w:ilvl w:val="0"/>
          <w:numId w:val="210"/>
        </w:numPr>
        <w:rPr>
          <w:rFonts w:ascii="Arial" w:cs="Arial" w:eastAsia="Arial" w:hAnsi="Arial"/>
          <w:sz w:val="15"/>
          <w:szCs w:val="15"/>
          <w:color w:val="auto"/>
          <w:vertAlign w:val="superscript"/>
        </w:rPr>
      </w:pPr>
      <w:r>
        <w:rPr>
          <w:rFonts w:ascii="Arial" w:cs="Arial" w:eastAsia="Arial" w:hAnsi="Arial"/>
          <w:sz w:val="12"/>
          <w:szCs w:val="12"/>
          <w:color w:val="auto"/>
        </w:rPr>
        <w:t>Federal Deposit Insurance Corporation (FDIC) 2023 Summary of Deposits survey per S&amp;P Global Market Intelligence. Applies a $1 billion deposit cap to Chase and industry branches for market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share. Includes all commercial banks, savings banks, and savings institutions as defined by the FDIC.</w:t>
      </w:r>
    </w:p>
    <w:p>
      <w:pPr>
        <w:ind w:left="200" w:hanging="192"/>
        <w:spacing w:after="0" w:line="193" w:lineRule="auto"/>
        <w:tabs>
          <w:tab w:leader="none" w:pos="200" w:val="left"/>
        </w:tabs>
        <w:numPr>
          <w:ilvl w:val="0"/>
          <w:numId w:val="211"/>
        </w:numPr>
        <w:rPr>
          <w:rFonts w:ascii="Arial" w:cs="Arial" w:eastAsia="Arial" w:hAnsi="Arial"/>
          <w:sz w:val="16"/>
          <w:szCs w:val="16"/>
          <w:color w:val="auto"/>
          <w:vertAlign w:val="superscript"/>
        </w:rPr>
      </w:pPr>
      <w:r>
        <w:rPr>
          <w:rFonts w:ascii="Arial" w:cs="Arial" w:eastAsia="Arial" w:hAnsi="Arial"/>
          <w:sz w:val="13"/>
          <w:szCs w:val="13"/>
          <w:color w:val="auto"/>
        </w:rPr>
        <w:t>#1 most visited banking portal in the U.S. (Chase.com) based on Similarweb.</w:t>
      </w:r>
    </w:p>
    <w:p>
      <w:pPr>
        <w:spacing w:after="0" w:line="1" w:lineRule="exact"/>
        <w:rPr>
          <w:sz w:val="20"/>
          <w:szCs w:val="20"/>
          <w:color w:val="auto"/>
        </w:rPr>
      </w:pPr>
    </w:p>
    <w:p>
      <w:pPr>
        <w:ind w:left="200" w:right="420" w:hanging="192"/>
        <w:spacing w:after="0" w:line="234" w:lineRule="auto"/>
        <w:tabs>
          <w:tab w:leader="none" w:pos="200" w:val="left"/>
        </w:tabs>
        <w:numPr>
          <w:ilvl w:val="0"/>
          <w:numId w:val="212"/>
        </w:numPr>
        <w:rPr>
          <w:rFonts w:ascii="Arial" w:cs="Arial" w:eastAsia="Arial" w:hAnsi="Arial"/>
          <w:sz w:val="15"/>
          <w:szCs w:val="15"/>
          <w:color w:val="auto"/>
          <w:vertAlign w:val="superscript"/>
        </w:rPr>
      </w:pPr>
      <w:r>
        <w:rPr>
          <w:rFonts w:ascii="Arial" w:cs="Arial" w:eastAsia="Arial" w:hAnsi="Arial"/>
          <w:sz w:val="12"/>
          <w:szCs w:val="12"/>
          <w:color w:val="auto"/>
        </w:rPr>
        <w:t>In 2023, we achieved record high satisfaction in our branch and digital channels, which is determined by Overall satisfaction (“OSAT”). OSAT is measured on a scale of 1 to 10 and the score is calculated as share of “9” and “10” responses as a % of total responses. Digital channel includes a weighted average of monthly active users of Chase.com &amp; the Chase Mobile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59  </w:t>
      </w:r>
      <w:r>
        <w:rPr>
          <w:sz w:val="1"/>
          <w:szCs w:val="1"/>
          <w:color w:val="auto"/>
        </w:rPr>
        <w:drawing>
          <wp:inline distT="0" distB="0" distL="0" distR="0">
            <wp:extent cx="2203450" cy="154305"/>
            <wp:effectExtent l="0" t="0" r="0"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gridSpan w:val="2"/>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2"/>
                <w:szCs w:val="22"/>
                <w:color w:val="auto"/>
              </w:rPr>
            </w:pPr>
          </w:p>
        </w:tc>
        <w:tc>
          <w:tcPr>
            <w:tcW w:w="322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2023</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1040" w:type="dxa"/>
            <w:vAlign w:val="bottom"/>
            <w:tcBorders>
              <w:bottom w:val="single" w:sz="8" w:color="E7E7E8"/>
            </w:tcBorders>
          </w:tcPr>
          <w:p>
            <w:pPr>
              <w:spacing w:after="0"/>
              <w:rPr>
                <w:sz w:val="5"/>
                <w:szCs w:val="5"/>
                <w:color w:val="auto"/>
              </w:rPr>
            </w:pPr>
          </w:p>
        </w:tc>
        <w:tc>
          <w:tcPr>
            <w:tcW w:w="156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22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Borders>
              <w:bottom w:val="single" w:sz="8" w:color="EEEFEF"/>
            </w:tcBorders>
          </w:tcPr>
          <w:p>
            <w:pPr>
              <w:spacing w:after="0"/>
              <w:rPr>
                <w:sz w:val="12"/>
                <w:szCs w:val="12"/>
                <w:color w:val="auto"/>
              </w:rPr>
            </w:pPr>
          </w:p>
        </w:tc>
        <w:tc>
          <w:tcPr>
            <w:tcW w:w="280" w:type="dxa"/>
            <w:vAlign w:val="bottom"/>
            <w:tcBorders>
              <w:bottom w:val="single" w:sz="8" w:color="EEEFEF"/>
            </w:tcBorders>
          </w:tcPr>
          <w:p>
            <w:pPr>
              <w:spacing w:after="0"/>
              <w:rPr>
                <w:sz w:val="12"/>
                <w:szCs w:val="12"/>
                <w:color w:val="auto"/>
              </w:rPr>
            </w:pPr>
          </w:p>
        </w:tc>
        <w:tc>
          <w:tcPr>
            <w:tcW w:w="3700" w:type="dxa"/>
            <w:vAlign w:val="bottom"/>
            <w:tcBorders>
              <w:bottom w:val="single" w:sz="8" w:color="EEEFEF"/>
            </w:tcBorders>
          </w:tcPr>
          <w:p>
            <w:pPr>
              <w:spacing w:after="0"/>
              <w:rPr>
                <w:sz w:val="12"/>
                <w:szCs w:val="12"/>
                <w:color w:val="auto"/>
              </w:rPr>
            </w:pPr>
          </w:p>
        </w:tc>
        <w:tc>
          <w:tcPr>
            <w:tcW w:w="280" w:type="dxa"/>
            <w:vAlign w:val="bottom"/>
            <w:tcBorders>
              <w:bottom w:val="single" w:sz="8" w:color="EEEFEF"/>
            </w:tcBorders>
          </w:tcPr>
          <w:p>
            <w:pPr>
              <w:spacing w:after="0"/>
              <w:rPr>
                <w:sz w:val="12"/>
                <w:szCs w:val="12"/>
                <w:color w:val="auto"/>
              </w:rPr>
            </w:pPr>
          </w:p>
        </w:tc>
        <w:tc>
          <w:tcPr>
            <w:tcW w:w="3220" w:type="dxa"/>
            <w:vAlign w:val="bottom"/>
            <w:tcBorders>
              <w:bottom w:val="single" w:sz="8" w:color="EEEFEF"/>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0050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32320" cy="150050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29"/>
          <w:szCs w:val="29"/>
          <w:color w:val="074A75"/>
        </w:rPr>
        <w:t>Jennifer Piepszak</w:t>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8"/>
          <w:szCs w:val="18"/>
          <w:color w:val="074A75"/>
        </w:rPr>
        <w:t>CO-CEO: COMMERCIAL &amp; INVESTMENT BANK</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8"/>
          <w:szCs w:val="18"/>
          <w:color w:val="074A75"/>
        </w:rPr>
        <w:t>FORMER CO-CEO: CONSUMER &amp; COMMUNITY BANKING</w:t>
      </w:r>
    </w:p>
    <w:p>
      <w:pPr>
        <w:spacing w:after="0" w:line="63" w:lineRule="exact"/>
        <w:rPr>
          <w:sz w:val="20"/>
          <w:szCs w:val="20"/>
          <w:color w:val="auto"/>
        </w:rPr>
      </w:pPr>
    </w:p>
    <w:p>
      <w:pPr>
        <w:ind w:left="2360" w:right="3800"/>
        <w:spacing w:after="0" w:line="238" w:lineRule="auto"/>
        <w:rPr>
          <w:sz w:val="20"/>
          <w:szCs w:val="20"/>
          <w:color w:val="auto"/>
        </w:rPr>
      </w:pPr>
      <w:r>
        <w:rPr>
          <w:rFonts w:ascii="Arial" w:cs="Arial" w:eastAsia="Arial" w:hAnsi="Arial"/>
          <w:sz w:val="16"/>
          <w:szCs w:val="16"/>
          <w:color w:val="auto"/>
        </w:rPr>
        <w:t>Ms. Piepszak was appointed Co-CEO of the Commercial &amp; Investment Bank in January 2024, after serving as Co-CEO of CCB since May 2021. She previously served as CFO for the Firm from May 2019 to May 2021. Prior to that, Ms. Piepszak spent 8 years in CCB, serving as the CEO for Card Services, CEO of Business Banking and Mortgage Banking CFO. She spent the first 17 years at JPMC in finance roles in the IB.</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74A75"/>
        </w:rPr>
        <w:t xml:space="preserve">PERFORMANCE DASHBOARD: </w:t>
      </w:r>
      <w:r>
        <w:rPr>
          <w:rFonts w:ascii="Arial" w:cs="Arial" w:eastAsia="Arial" w:hAnsi="Arial"/>
          <w:sz w:val="18"/>
          <w:szCs w:val="18"/>
          <w:color w:val="074A75"/>
        </w:rPr>
        <w:t>Assessment of results against long-term strategic priorities and qualitative considerations</w:t>
      </w:r>
    </w:p>
    <w:p>
      <w:pPr>
        <w:spacing w:after="0" w:line="14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9716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32320" cy="1971675"/>
                    </a:xfrm>
                    <a:prstGeom prst="rect">
                      <a:avLst/>
                    </a:prstGeom>
                    <a:noFill/>
                  </pic:spPr>
                </pic:pic>
              </a:graphicData>
            </a:graphic>
          </wp:anchor>
        </w:drawing>
      </w:r>
    </w:p>
    <w:p>
      <w:pPr>
        <w:spacing w:after="0" w:line="40" w:lineRule="exact"/>
        <w:rPr>
          <w:sz w:val="20"/>
          <w:szCs w:val="20"/>
          <w:color w:val="auto"/>
        </w:rPr>
      </w:pPr>
    </w:p>
    <w:p>
      <w:pPr>
        <w:ind w:left="880" w:hanging="196"/>
        <w:spacing w:after="0"/>
        <w:tabs>
          <w:tab w:leader="none" w:pos="880" w:val="left"/>
        </w:tabs>
        <w:numPr>
          <w:ilvl w:val="0"/>
          <w:numId w:val="213"/>
        </w:numPr>
        <w:rPr>
          <w:rFonts w:ascii="Arial" w:cs="Arial" w:eastAsia="Arial" w:hAnsi="Arial"/>
          <w:sz w:val="18"/>
          <w:szCs w:val="18"/>
          <w:color w:val="074A75"/>
        </w:rPr>
      </w:pPr>
      <w:r>
        <w:rPr>
          <w:rFonts w:ascii="Arial" w:cs="Arial" w:eastAsia="Arial" w:hAnsi="Arial"/>
          <w:sz w:val="18"/>
          <w:szCs w:val="18"/>
          <w:color w:val="auto"/>
        </w:rPr>
        <w:t>CCB achieved net income of $21.2 billion on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$70.1 billion, with ROE of 38%</w:t>
      </w:r>
    </w:p>
    <w:p>
      <w:pPr>
        <w:ind w:left="880" w:hanging="196"/>
        <w:spacing w:after="0"/>
        <w:tabs>
          <w:tab w:leader="none" w:pos="880" w:val="left"/>
        </w:tabs>
        <w:numPr>
          <w:ilvl w:val="0"/>
          <w:numId w:val="213"/>
        </w:numPr>
        <w:rPr>
          <w:rFonts w:ascii="Arial" w:cs="Arial" w:eastAsia="Arial" w:hAnsi="Arial"/>
          <w:sz w:val="18"/>
          <w:szCs w:val="18"/>
          <w:color w:val="074A75"/>
        </w:rPr>
      </w:pPr>
      <w:r>
        <w:rPr>
          <w:rFonts w:ascii="Arial" w:cs="Arial" w:eastAsia="Arial" w:hAnsi="Arial"/>
          <w:sz w:val="18"/>
          <w:szCs w:val="18"/>
          <w:color w:val="auto"/>
        </w:rPr>
        <w:t>Average deposits of $1.1 trillion (down 3%); average loans of $526.4 billion (up 20%)</w:t>
      </w:r>
    </w:p>
    <w:p>
      <w:pPr>
        <w:spacing w:after="0" w:line="13" w:lineRule="exact"/>
        <w:rPr>
          <w:rFonts w:ascii="Arial" w:cs="Arial" w:eastAsia="Arial" w:hAnsi="Arial"/>
          <w:sz w:val="18"/>
          <w:szCs w:val="18"/>
          <w:color w:val="074A75"/>
        </w:rPr>
      </w:pPr>
    </w:p>
    <w:p>
      <w:pPr>
        <w:ind w:left="880" w:hanging="196"/>
        <w:spacing w:after="0" w:line="228" w:lineRule="auto"/>
        <w:tabs>
          <w:tab w:leader="none" w:pos="880" w:val="left"/>
        </w:tabs>
        <w:numPr>
          <w:ilvl w:val="0"/>
          <w:numId w:val="213"/>
        </w:numPr>
        <w:rPr>
          <w:rFonts w:ascii="Arial" w:cs="Arial" w:eastAsia="Arial" w:hAnsi="Arial"/>
          <w:sz w:val="18"/>
          <w:szCs w:val="18"/>
          <w:color w:val="074A75"/>
        </w:rPr>
      </w:pPr>
      <w:r>
        <w:rPr>
          <w:rFonts w:ascii="Arial" w:cs="Arial" w:eastAsia="Arial" w:hAnsi="Arial"/>
          <w:sz w:val="18"/>
          <w:szCs w:val="18"/>
          <w:color w:val="auto"/>
        </w:rPr>
        <w:t>#1 market share in U.S. retail deposits at 11.3% and #1 in 4 of 5 of the top U.S. Markets</w:t>
      </w:r>
      <w:r>
        <w:rPr>
          <w:rFonts w:ascii="Arial" w:cs="Arial" w:eastAsia="Arial" w:hAnsi="Arial"/>
          <w:sz w:val="23"/>
          <w:szCs w:val="23"/>
          <w:color w:val="auto"/>
          <w:vertAlign w:val="superscript"/>
        </w:rPr>
        <w:t>2</w:t>
      </w:r>
    </w:p>
    <w:p>
      <w:pPr>
        <w:ind w:left="880" w:right="140" w:hanging="196"/>
        <w:spacing w:after="0" w:line="253" w:lineRule="auto"/>
        <w:tabs>
          <w:tab w:leader="none" w:pos="884" w:val="left"/>
        </w:tabs>
        <w:numPr>
          <w:ilvl w:val="0"/>
          <w:numId w:val="213"/>
        </w:numPr>
        <w:rPr>
          <w:rFonts w:ascii="Arial" w:cs="Arial" w:eastAsia="Arial" w:hAnsi="Arial"/>
          <w:sz w:val="18"/>
          <w:szCs w:val="18"/>
          <w:color w:val="104C98"/>
        </w:rPr>
      </w:pPr>
      <w:r>
        <w:rPr>
          <w:rFonts w:ascii="Arial" w:cs="Arial" w:eastAsia="Arial" w:hAnsi="Arial"/>
          <w:sz w:val="18"/>
          <w:szCs w:val="18"/>
          <w:color w:val="auto"/>
        </w:rPr>
        <w:t>#1 credit card issuer in the U.S. based on sales and outstandings at 23% and 17% market share respectively, with over $1 trillion in sales volume and gaining approximately 30bps of outstandings share since 2019</w:t>
      </w:r>
    </w:p>
    <w:p>
      <w:pPr>
        <w:ind w:left="880" w:hanging="196"/>
        <w:spacing w:after="0"/>
        <w:tabs>
          <w:tab w:leader="none" w:pos="880" w:val="left"/>
        </w:tabs>
        <w:numPr>
          <w:ilvl w:val="0"/>
          <w:numId w:val="213"/>
        </w:numPr>
        <w:rPr>
          <w:rFonts w:ascii="Arial" w:cs="Arial" w:eastAsia="Arial" w:hAnsi="Arial"/>
          <w:sz w:val="18"/>
          <w:szCs w:val="18"/>
          <w:color w:val="104C98"/>
        </w:rPr>
      </w:pPr>
      <w:r>
        <w:rPr>
          <w:rFonts w:ascii="Arial" w:cs="Arial" w:eastAsia="Arial" w:hAnsi="Arial"/>
          <w:sz w:val="18"/>
          <w:szCs w:val="18"/>
          <w:color w:val="auto"/>
        </w:rPr>
        <w:t>#1 primary bank for U.S. small businesses; #1 banking platform in the U.S.</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9525</wp:posOffset>
            </wp:positionV>
            <wp:extent cx="6763385" cy="16319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763385" cy="16319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FFFFFF"/>
        </w:rPr>
        <w:t>Progress Against our Strategic Framework</w:t>
      </w:r>
    </w:p>
    <w:p>
      <w:pPr>
        <w:spacing w:after="0" w:line="45" w:lineRule="exact"/>
        <w:rPr>
          <w:sz w:val="20"/>
          <w:szCs w:val="20"/>
          <w:color w:val="auto"/>
        </w:rPr>
      </w:pPr>
    </w:p>
    <w:p>
      <w:pPr>
        <w:ind w:left="880" w:right="80" w:hanging="196"/>
        <w:spacing w:after="0" w:line="257" w:lineRule="auto"/>
        <w:tabs>
          <w:tab w:leader="none" w:pos="88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Continued focus on extending share across businesses, growing and optimizing CCB's branch network, enhancing marketing and risk capabilities, and launching new products. Continued investment in product development, technology modernization and data to deliver more to our customer with greater efficiency</w:t>
      </w:r>
    </w:p>
    <w:p>
      <w:pPr>
        <w:spacing w:after="0" w:line="1" w:lineRule="exact"/>
        <w:rPr>
          <w:rFonts w:ascii="Arial" w:cs="Arial" w:eastAsia="Arial" w:hAnsi="Arial"/>
          <w:sz w:val="18"/>
          <w:szCs w:val="18"/>
          <w:color w:val="auto"/>
        </w:rPr>
      </w:pPr>
    </w:p>
    <w:p>
      <w:pPr>
        <w:ind w:left="880" w:right="600" w:hanging="196"/>
        <w:spacing w:after="0" w:line="266" w:lineRule="auto"/>
        <w:tabs>
          <w:tab w:leader="none" w:pos="884" w:val="left"/>
        </w:tabs>
        <w:numPr>
          <w:ilvl w:val="0"/>
          <w:numId w:val="214"/>
        </w:numPr>
        <w:rPr>
          <w:rFonts w:ascii="Arial" w:cs="Arial" w:eastAsia="Arial" w:hAnsi="Arial"/>
          <w:sz w:val="18"/>
          <w:szCs w:val="18"/>
          <w:color w:val="104C98"/>
        </w:rPr>
      </w:pPr>
      <w:r>
        <w:rPr>
          <w:rFonts w:ascii="Arial" w:cs="Arial" w:eastAsia="Arial" w:hAnsi="Arial"/>
          <w:sz w:val="18"/>
          <w:szCs w:val="18"/>
          <w:color w:val="auto"/>
        </w:rPr>
        <w:t>Executed the acquisition of First Republic Bank and continue to make progress on integration efforts; having completed the migration of the mortgage portfolio and expect to complete the remaining product migrations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319722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32320" cy="3197225"/>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FFFFFF"/>
        </w:rPr>
        <w:t>Risk, Controls &amp; Conduct</w:t>
      </w:r>
    </w:p>
    <w:p>
      <w:pPr>
        <w:spacing w:after="0" w:line="77" w:lineRule="exact"/>
        <w:rPr>
          <w:sz w:val="20"/>
          <w:szCs w:val="20"/>
          <w:color w:val="auto"/>
        </w:rPr>
      </w:pPr>
    </w:p>
    <w:p>
      <w:pPr>
        <w:ind w:left="880" w:right="240" w:hanging="196"/>
        <w:spacing w:after="0" w:line="263" w:lineRule="auto"/>
        <w:tabs>
          <w:tab w:leader="none" w:pos="877" w:val="left"/>
        </w:tabs>
        <w:numPr>
          <w:ilvl w:val="0"/>
          <w:numId w:val="215"/>
        </w:numPr>
        <w:rPr>
          <w:rFonts w:ascii="Arial" w:cs="Arial" w:eastAsia="Arial" w:hAnsi="Arial"/>
          <w:sz w:val="16"/>
          <w:szCs w:val="16"/>
          <w:color w:val="104C98"/>
        </w:rPr>
      </w:pPr>
      <w:r>
        <w:rPr>
          <w:rFonts w:ascii="Arial" w:cs="Arial" w:eastAsia="Arial" w:hAnsi="Arial"/>
          <w:sz w:val="18"/>
          <w:szCs w:val="18"/>
          <w:color w:val="auto"/>
        </w:rPr>
        <w:t>CCB has maintained a satisfactory risk and controls environment and approaches business decisions with a consistent, prudent and disciplined approach to risk appetit</w:t>
      </w:r>
      <w:r>
        <w:rPr>
          <w:rFonts w:ascii="Arial" w:cs="Arial" w:eastAsia="Arial" w:hAnsi="Arial"/>
          <w:sz w:val="16"/>
          <w:szCs w:val="16"/>
          <w:color w:val="auto"/>
        </w:rPr>
        <w:t>e</w:t>
      </w:r>
    </w:p>
    <w:p>
      <w:pPr>
        <w:spacing w:after="0" w:line="1" w:lineRule="exact"/>
        <w:rPr>
          <w:rFonts w:ascii="Arial" w:cs="Arial" w:eastAsia="Arial" w:hAnsi="Arial"/>
          <w:sz w:val="16"/>
          <w:szCs w:val="16"/>
          <w:color w:val="104C98"/>
        </w:rPr>
      </w:pPr>
    </w:p>
    <w:p>
      <w:pPr>
        <w:ind w:left="880" w:right="160" w:hanging="196"/>
        <w:spacing w:after="0" w:line="260" w:lineRule="auto"/>
        <w:tabs>
          <w:tab w:leader="none" w:pos="884" w:val="left"/>
        </w:tabs>
        <w:numPr>
          <w:ilvl w:val="0"/>
          <w:numId w:val="215"/>
        </w:numPr>
        <w:rPr>
          <w:rFonts w:ascii="Arial" w:cs="Arial" w:eastAsia="Arial" w:hAnsi="Arial"/>
          <w:sz w:val="18"/>
          <w:szCs w:val="18"/>
          <w:color w:val="104C98"/>
        </w:rPr>
      </w:pPr>
      <w:r>
        <w:rPr>
          <w:rFonts w:ascii="Arial" w:cs="Arial" w:eastAsia="Arial" w:hAnsi="Arial"/>
          <w:sz w:val="18"/>
          <w:szCs w:val="18"/>
          <w:color w:val="auto"/>
        </w:rPr>
        <w:t>Continued to focus on diligent, timely identification and remediation of issues, protection of customer data and cybersecurity, and fighting fraud</w:t>
      </w:r>
    </w:p>
    <w:p>
      <w:pPr>
        <w:spacing w:after="0" w:line="1" w:lineRule="exact"/>
        <w:rPr>
          <w:rFonts w:ascii="Arial" w:cs="Arial" w:eastAsia="Arial" w:hAnsi="Arial"/>
          <w:sz w:val="18"/>
          <w:szCs w:val="18"/>
          <w:color w:val="104C98"/>
        </w:rPr>
      </w:pPr>
    </w:p>
    <w:p>
      <w:pPr>
        <w:ind w:left="880" w:right="540" w:hanging="196"/>
        <w:spacing w:after="0" w:line="287" w:lineRule="auto"/>
        <w:tabs>
          <w:tab w:leader="none" w:pos="884" w:val="left"/>
        </w:tabs>
        <w:numPr>
          <w:ilvl w:val="0"/>
          <w:numId w:val="215"/>
        </w:numPr>
        <w:rPr>
          <w:rFonts w:ascii="Arial" w:cs="Arial" w:eastAsia="Arial" w:hAnsi="Arial"/>
          <w:sz w:val="18"/>
          <w:szCs w:val="18"/>
          <w:color w:val="104C98"/>
        </w:rPr>
      </w:pPr>
      <w:r>
        <w:rPr>
          <w:rFonts w:ascii="Arial" w:cs="Arial" w:eastAsia="Arial" w:hAnsi="Arial"/>
          <w:sz w:val="18"/>
          <w:szCs w:val="18"/>
          <w:color w:val="auto"/>
        </w:rPr>
        <w:t>Demonstrated focus on driving accountability and the highest standards of culture and conduct consistent with our Business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-1905</wp:posOffset>
            </wp:positionV>
            <wp:extent cx="6763385" cy="1714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b w:val="1"/>
          <w:bCs w:val="1"/>
          <w:color w:val="FFFFFF"/>
        </w:rPr>
        <w:t>Client/Customer/Stakeholder</w:t>
      </w:r>
    </w:p>
    <w:p>
      <w:pPr>
        <w:spacing w:after="0" w:line="77" w:lineRule="exact"/>
        <w:rPr>
          <w:sz w:val="20"/>
          <w:szCs w:val="20"/>
          <w:color w:val="auto"/>
        </w:rPr>
      </w:pPr>
    </w:p>
    <w:p>
      <w:pPr>
        <w:ind w:left="880" w:right="500" w:hanging="196"/>
        <w:spacing w:after="0" w:line="263" w:lineRule="auto"/>
        <w:tabs>
          <w:tab w:leader="none" w:pos="884" w:val="left"/>
        </w:tabs>
        <w:numPr>
          <w:ilvl w:val="0"/>
          <w:numId w:val="216"/>
        </w:numPr>
        <w:rPr>
          <w:rFonts w:ascii="Arial" w:cs="Arial" w:eastAsia="Arial" w:hAnsi="Arial"/>
          <w:sz w:val="18"/>
          <w:szCs w:val="18"/>
          <w:color w:val="00497F"/>
        </w:rPr>
      </w:pPr>
      <w:r>
        <w:rPr>
          <w:rFonts w:ascii="Arial" w:cs="Arial" w:eastAsia="Arial" w:hAnsi="Arial"/>
          <w:sz w:val="18"/>
          <w:szCs w:val="18"/>
          <w:color w:val="auto"/>
        </w:rPr>
        <w:t>Serve over 82 million consumers and 6.4 million small businesses, adding nearly 3 million consumers and approximately 0.7 million small business customers in 2023</w:t>
      </w:r>
    </w:p>
    <w:p>
      <w:pPr>
        <w:spacing w:after="0" w:line="1" w:lineRule="exact"/>
        <w:rPr>
          <w:rFonts w:ascii="Arial" w:cs="Arial" w:eastAsia="Arial" w:hAnsi="Arial"/>
          <w:sz w:val="18"/>
          <w:szCs w:val="18"/>
          <w:color w:val="00497F"/>
        </w:rPr>
      </w:pPr>
    </w:p>
    <w:p>
      <w:pPr>
        <w:ind w:left="880" w:hanging="196"/>
        <w:spacing w:after="0"/>
        <w:tabs>
          <w:tab w:leader="none" w:pos="880" w:val="left"/>
        </w:tabs>
        <w:numPr>
          <w:ilvl w:val="0"/>
          <w:numId w:val="216"/>
        </w:numPr>
        <w:rPr>
          <w:rFonts w:ascii="Arial" w:cs="Arial" w:eastAsia="Arial" w:hAnsi="Arial"/>
          <w:sz w:val="18"/>
          <w:szCs w:val="18"/>
          <w:color w:val="104C98"/>
        </w:rPr>
      </w:pPr>
      <w:r>
        <w:rPr>
          <w:rFonts w:ascii="Arial" w:cs="Arial" w:eastAsia="Arial" w:hAnsi="Arial"/>
          <w:sz w:val="18"/>
          <w:szCs w:val="18"/>
          <w:color w:val="auto"/>
        </w:rPr>
        <w:t>Continued to optimize the branch network, while adding nearly 800 new branches since 2017</w:t>
      </w:r>
    </w:p>
    <w:p>
      <w:pPr>
        <w:spacing w:after="0" w:line="26" w:lineRule="exact"/>
        <w:rPr>
          <w:rFonts w:ascii="Arial" w:cs="Arial" w:eastAsia="Arial" w:hAnsi="Arial"/>
          <w:sz w:val="18"/>
          <w:szCs w:val="18"/>
          <w:color w:val="104C98"/>
        </w:rPr>
      </w:pPr>
    </w:p>
    <w:p>
      <w:pPr>
        <w:ind w:left="880" w:hanging="196"/>
        <w:spacing w:after="0"/>
        <w:tabs>
          <w:tab w:leader="none" w:pos="880" w:val="left"/>
        </w:tabs>
        <w:numPr>
          <w:ilvl w:val="0"/>
          <w:numId w:val="216"/>
        </w:numPr>
        <w:rPr>
          <w:rFonts w:ascii="Arial" w:cs="Arial" w:eastAsia="Arial" w:hAnsi="Arial"/>
          <w:sz w:val="18"/>
          <w:szCs w:val="18"/>
          <w:color w:val="104C98"/>
        </w:rPr>
      </w:pPr>
      <w:r>
        <w:rPr>
          <w:rFonts w:ascii="Arial" w:cs="Arial" w:eastAsia="Arial" w:hAnsi="Arial"/>
          <w:sz w:val="18"/>
          <w:szCs w:val="18"/>
          <w:color w:val="auto"/>
        </w:rPr>
        <w:t>Continued momentum of CCB's travel strategy with approximately $10 billion of sales across platforms</w:t>
      </w:r>
    </w:p>
    <w:p>
      <w:pPr>
        <w:spacing w:after="0" w:line="31" w:lineRule="exact"/>
        <w:rPr>
          <w:rFonts w:ascii="Arial" w:cs="Arial" w:eastAsia="Arial" w:hAnsi="Arial"/>
          <w:sz w:val="18"/>
          <w:szCs w:val="18"/>
          <w:color w:val="104C98"/>
        </w:rPr>
      </w:pPr>
    </w:p>
    <w:p>
      <w:pPr>
        <w:ind w:left="880" w:hanging="196"/>
        <w:spacing w:after="0" w:line="216" w:lineRule="auto"/>
        <w:tabs>
          <w:tab w:leader="none" w:pos="880" w:val="left"/>
        </w:tabs>
        <w:numPr>
          <w:ilvl w:val="0"/>
          <w:numId w:val="216"/>
        </w:numPr>
        <w:rPr>
          <w:rFonts w:ascii="Arial" w:cs="Arial" w:eastAsia="Arial" w:hAnsi="Arial"/>
          <w:sz w:val="18"/>
          <w:szCs w:val="18"/>
          <w:color w:val="104C98"/>
        </w:rPr>
      </w:pPr>
      <w:r>
        <w:rPr>
          <w:rFonts w:ascii="Arial" w:cs="Arial" w:eastAsia="Arial" w:hAnsi="Arial"/>
          <w:sz w:val="18"/>
          <w:szCs w:val="18"/>
          <w:color w:val="auto"/>
        </w:rPr>
        <w:t>Achieved record high customer satisfaction across channels</w:t>
      </w:r>
      <w:r>
        <w:rPr>
          <w:rFonts w:ascii="Arial" w:cs="Arial" w:eastAsia="Arial" w:hAnsi="Arial"/>
          <w:sz w:val="23"/>
          <w:szCs w:val="23"/>
          <w:color w:val="auto"/>
          <w:vertAlign w:val="superscript"/>
        </w:rPr>
        <w:t>4</w:t>
      </w:r>
    </w:p>
    <w:p>
      <w:pPr>
        <w:ind w:left="880" w:right="60" w:hanging="196"/>
        <w:spacing w:after="0" w:line="266" w:lineRule="auto"/>
        <w:tabs>
          <w:tab w:leader="none" w:pos="884" w:val="left"/>
        </w:tabs>
        <w:numPr>
          <w:ilvl w:val="0"/>
          <w:numId w:val="216"/>
        </w:numPr>
        <w:rPr>
          <w:rFonts w:ascii="Arial" w:cs="Arial" w:eastAsia="Arial" w:hAnsi="Arial"/>
          <w:sz w:val="18"/>
          <w:szCs w:val="18"/>
          <w:color w:val="104C98"/>
        </w:rPr>
      </w:pPr>
      <w:r>
        <w:rPr>
          <w:rFonts w:ascii="Arial" w:cs="Arial" w:eastAsia="Arial" w:hAnsi="Arial"/>
          <w:sz w:val="18"/>
          <w:szCs w:val="18"/>
          <w:color w:val="auto"/>
        </w:rPr>
        <w:t>Expanded product offerings across segments with the launch of Wealth Plan</w:t>
      </w:r>
      <w:r>
        <w:rPr>
          <w:rFonts w:ascii="Arial" w:cs="Arial" w:eastAsia="Arial" w:hAnsi="Arial"/>
          <w:sz w:val="9"/>
          <w:szCs w:val="9"/>
          <w:color w:val="auto"/>
        </w:rPr>
        <w:t>SM</w:t>
      </w:r>
      <w:r>
        <w:rPr>
          <w:rFonts w:ascii="Arial" w:cs="Arial" w:eastAsia="Arial" w:hAnsi="Arial"/>
          <w:sz w:val="18"/>
          <w:szCs w:val="18"/>
          <w:color w:val="auto"/>
        </w:rPr>
        <w:t>, Ink Business Premier</w:t>
      </w:r>
      <w:r>
        <w:rPr>
          <w:rFonts w:ascii="Arial" w:cs="Arial" w:eastAsia="Arial" w:hAnsi="Arial"/>
          <w:sz w:val="9"/>
          <w:szCs w:val="9"/>
          <w:color w:val="auto"/>
        </w:rPr>
        <w:t>SM</w:t>
      </w:r>
      <w:r>
        <w:rPr>
          <w:rFonts w:ascii="Arial" w:cs="Arial" w:eastAsia="Arial" w:hAnsi="Arial"/>
          <w:sz w:val="18"/>
          <w:szCs w:val="18"/>
          <w:color w:val="auto"/>
        </w:rPr>
        <w:t xml:space="preserve"> and Freedom Rise</w:t>
      </w:r>
      <w:r>
        <w:rPr>
          <w:rFonts w:ascii="Arial" w:cs="Arial" w:eastAsia="Arial" w:hAnsi="Arial"/>
          <w:sz w:val="9"/>
          <w:szCs w:val="9"/>
          <w:color w:val="auto"/>
        </w:rPr>
        <w:t>SM</w:t>
      </w:r>
      <w:r>
        <w:rPr>
          <w:rFonts w:ascii="Arial" w:cs="Arial" w:eastAsia="Arial" w:hAnsi="Arial"/>
          <w:sz w:val="18"/>
          <w:szCs w:val="18"/>
          <w:color w:val="auto"/>
        </w:rPr>
        <w:t xml:space="preserve"> credit cards and the installment lending product Chase Pay in 4</w:t>
      </w:r>
      <w:r>
        <w:rPr>
          <w:rFonts w:ascii="Arial" w:cs="Arial" w:eastAsia="Arial" w:hAnsi="Arial"/>
          <w:sz w:val="9"/>
          <w:szCs w:val="9"/>
          <w:color w:val="auto"/>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17780</wp:posOffset>
            </wp:positionV>
            <wp:extent cx="6763385" cy="1714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FFFFFF"/>
        </w:rPr>
        <w:t>Teamwork &amp; Leadership</w:t>
      </w:r>
    </w:p>
    <w:p>
      <w:pPr>
        <w:spacing w:after="0" w:line="77" w:lineRule="exact"/>
        <w:rPr>
          <w:sz w:val="20"/>
          <w:szCs w:val="20"/>
          <w:color w:val="auto"/>
        </w:rPr>
      </w:pPr>
    </w:p>
    <w:p>
      <w:pPr>
        <w:ind w:left="880" w:right="40" w:hanging="196"/>
        <w:spacing w:after="0" w:line="263" w:lineRule="auto"/>
        <w:tabs>
          <w:tab w:leader="none" w:pos="884" w:val="left"/>
        </w:tabs>
        <w:numPr>
          <w:ilvl w:val="0"/>
          <w:numId w:val="217"/>
        </w:numPr>
        <w:rPr>
          <w:rFonts w:ascii="Arial" w:cs="Arial" w:eastAsia="Arial" w:hAnsi="Arial"/>
          <w:sz w:val="18"/>
          <w:szCs w:val="18"/>
          <w:color w:val="074A75"/>
        </w:rPr>
      </w:pPr>
      <w:r>
        <w:rPr>
          <w:rFonts w:ascii="Arial" w:cs="Arial" w:eastAsia="Arial" w:hAnsi="Arial"/>
          <w:sz w:val="18"/>
          <w:szCs w:val="18"/>
          <w:color w:val="auto"/>
        </w:rPr>
        <w:t>Continued focus on key priorities for CCB including development, talent pipelines, and working cross-functionally with Commercial &amp; Private Banking clients through the branch network, particularly focused on the First Republic Bank integration</w:t>
      </w:r>
    </w:p>
    <w:p>
      <w:pPr>
        <w:spacing w:after="0" w:line="1" w:lineRule="exact"/>
        <w:rPr>
          <w:rFonts w:ascii="Arial" w:cs="Arial" w:eastAsia="Arial" w:hAnsi="Arial"/>
          <w:sz w:val="18"/>
          <w:szCs w:val="18"/>
          <w:color w:val="074A75"/>
        </w:rPr>
      </w:pPr>
    </w:p>
    <w:p>
      <w:pPr>
        <w:ind w:left="880" w:right="40" w:hanging="196"/>
        <w:spacing w:after="0" w:line="276" w:lineRule="auto"/>
        <w:tabs>
          <w:tab w:leader="none" w:pos="884" w:val="left"/>
        </w:tabs>
        <w:numPr>
          <w:ilvl w:val="0"/>
          <w:numId w:val="217"/>
        </w:numPr>
        <w:rPr>
          <w:rFonts w:ascii="Arial" w:cs="Arial" w:eastAsia="Arial" w:hAnsi="Arial"/>
          <w:sz w:val="18"/>
          <w:szCs w:val="18"/>
          <w:color w:val="074A75"/>
        </w:rPr>
      </w:pPr>
      <w:r>
        <w:rPr>
          <w:rFonts w:ascii="Arial" w:cs="Arial" w:eastAsia="Arial" w:hAnsi="Arial"/>
          <w:sz w:val="18"/>
          <w:szCs w:val="18"/>
          <w:color w:val="auto"/>
        </w:rPr>
        <w:t>Executive sponsor for Advancing Black Pathways, including the Black Executive Forum and the BOLD Business Resource Group; supported and engaged in Firmwide BRG-sponsored and leadership events throughout the year</w:t>
      </w:r>
    </w:p>
    <w:p>
      <w:pPr>
        <w:spacing w:after="0" w:line="200" w:lineRule="exact"/>
        <w:rPr>
          <w:sz w:val="20"/>
          <w:szCs w:val="20"/>
          <w:color w:val="auto"/>
        </w:rPr>
      </w:pPr>
    </w:p>
    <w:p>
      <w:pPr>
        <w:spacing w:after="0" w:line="263" w:lineRule="exact"/>
        <w:rPr>
          <w:sz w:val="20"/>
          <w:szCs w:val="20"/>
          <w:color w:val="auto"/>
        </w:rPr>
      </w:pPr>
    </w:p>
    <w:p>
      <w:pPr>
        <w:ind w:left="200" w:hanging="192"/>
        <w:spacing w:after="0"/>
        <w:tabs>
          <w:tab w:leader="none" w:pos="200" w:val="left"/>
        </w:tabs>
        <w:numPr>
          <w:ilvl w:val="0"/>
          <w:numId w:val="218"/>
        </w:numPr>
        <w:rPr>
          <w:rFonts w:ascii="Arial" w:cs="Arial" w:eastAsia="Arial" w:hAnsi="Arial"/>
          <w:sz w:val="16"/>
          <w:szCs w:val="16"/>
          <w:color w:val="auto"/>
          <w:vertAlign w:val="superscript"/>
        </w:rPr>
      </w:pPr>
      <w:r>
        <w:rPr>
          <w:rFonts w:ascii="Arial" w:cs="Arial" w:eastAsia="Arial" w:hAnsi="Arial"/>
          <w:sz w:val="13"/>
          <w:szCs w:val="13"/>
          <w:color w:val="auto"/>
        </w:rPr>
        <w:t>The Firm reviews the results of the lines of business on a managed basis. Refer to Note 2, on page 113 for a definition of managed basis.</w:t>
      </w:r>
    </w:p>
    <w:p>
      <w:pPr>
        <w:ind w:left="200" w:hanging="192"/>
        <w:spacing w:after="0" w:line="215" w:lineRule="auto"/>
        <w:tabs>
          <w:tab w:leader="none" w:pos="200" w:val="left"/>
        </w:tabs>
        <w:numPr>
          <w:ilvl w:val="0"/>
          <w:numId w:val="219"/>
        </w:numPr>
        <w:rPr>
          <w:rFonts w:ascii="Arial" w:cs="Arial" w:eastAsia="Arial" w:hAnsi="Arial"/>
          <w:sz w:val="15"/>
          <w:szCs w:val="15"/>
          <w:color w:val="auto"/>
          <w:vertAlign w:val="superscript"/>
        </w:rPr>
      </w:pPr>
      <w:r>
        <w:rPr>
          <w:rFonts w:ascii="Arial" w:cs="Arial" w:eastAsia="Arial" w:hAnsi="Arial"/>
          <w:sz w:val="12"/>
          <w:szCs w:val="12"/>
          <w:color w:val="auto"/>
        </w:rPr>
        <w:t>Federal Deposit Insurance Corporation (FDIC) 2023 Summary of Deposits survey per S&amp;P Global Market Intelligence. Applies a $1 billion deposit cap to Chase and industry branches for market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share. Includes all commercial banks, savings banks, and savings institutions as defined by the FDIC.</w:t>
      </w:r>
    </w:p>
    <w:p>
      <w:pPr>
        <w:ind w:left="200" w:hanging="192"/>
        <w:spacing w:after="0" w:line="193" w:lineRule="auto"/>
        <w:tabs>
          <w:tab w:leader="none" w:pos="200" w:val="left"/>
        </w:tabs>
        <w:numPr>
          <w:ilvl w:val="0"/>
          <w:numId w:val="220"/>
        </w:numPr>
        <w:rPr>
          <w:rFonts w:ascii="Arial" w:cs="Arial" w:eastAsia="Arial" w:hAnsi="Arial"/>
          <w:sz w:val="16"/>
          <w:szCs w:val="16"/>
          <w:color w:val="auto"/>
          <w:vertAlign w:val="superscript"/>
        </w:rPr>
      </w:pPr>
      <w:r>
        <w:rPr>
          <w:rFonts w:ascii="Arial" w:cs="Arial" w:eastAsia="Arial" w:hAnsi="Arial"/>
          <w:sz w:val="13"/>
          <w:szCs w:val="13"/>
          <w:color w:val="auto"/>
        </w:rPr>
        <w:t>#1 most visited banking portal in the U.S. (Chase.com) based on Similarweb.</w:t>
      </w:r>
    </w:p>
    <w:p>
      <w:pPr>
        <w:spacing w:after="0" w:line="1" w:lineRule="exact"/>
        <w:rPr>
          <w:sz w:val="20"/>
          <w:szCs w:val="20"/>
          <w:color w:val="auto"/>
        </w:rPr>
      </w:pPr>
    </w:p>
    <w:p>
      <w:pPr>
        <w:ind w:left="200" w:right="420" w:hanging="192"/>
        <w:spacing w:after="0" w:line="234" w:lineRule="auto"/>
        <w:tabs>
          <w:tab w:leader="none" w:pos="200" w:val="left"/>
        </w:tabs>
        <w:numPr>
          <w:ilvl w:val="0"/>
          <w:numId w:val="221"/>
        </w:numPr>
        <w:rPr>
          <w:rFonts w:ascii="Arial" w:cs="Arial" w:eastAsia="Arial" w:hAnsi="Arial"/>
          <w:sz w:val="15"/>
          <w:szCs w:val="15"/>
          <w:color w:val="auto"/>
          <w:vertAlign w:val="superscript"/>
        </w:rPr>
      </w:pPr>
      <w:r>
        <w:rPr>
          <w:rFonts w:ascii="Arial" w:cs="Arial" w:eastAsia="Arial" w:hAnsi="Arial"/>
          <w:sz w:val="12"/>
          <w:szCs w:val="12"/>
          <w:color w:val="auto"/>
        </w:rPr>
        <w:t>In 2023, we achieved record high satisfaction in our branch and digital channels, which is determined by Overall satisfaction (“OSAT”). OSAT is measured on a scale of 1 to 10 and the score is calculated as share of “9” and “10” responses as a % of total responses. Digital channel includes a weighted average of monthly active users of Chase.com &amp; the Chase Mobile App.</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149225</wp:posOffset>
            </wp:positionV>
            <wp:extent cx="77470" cy="1454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149225</wp:posOffset>
            </wp:positionV>
            <wp:extent cx="76835" cy="1454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149225</wp:posOffset>
            </wp:positionV>
            <wp:extent cx="77470" cy="14541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E7E7E8"/>
              <w:left w:val="single" w:sz="8" w:color="E7E7E8"/>
              <w:right w:val="single" w:sz="8" w:color="E7E7E8"/>
            </w:tcBorders>
          </w:tcPr>
          <w:p>
            <w:pPr>
              <w:ind w:left="120"/>
              <w:spacing w:after="0"/>
              <w:rPr>
                <w:sz w:val="20"/>
                <w:szCs w:val="20"/>
                <w:color w:val="auto"/>
              </w:rPr>
            </w:pPr>
            <w:r>
              <w:rPr>
                <w:rFonts w:ascii="Arial" w:cs="Arial" w:eastAsia="Arial" w:hAnsi="Arial"/>
                <w:sz w:val="15"/>
                <w:szCs w:val="15"/>
                <w:color w:val="58585A"/>
              </w:rPr>
              <w:t>Overview</w:t>
            </w:r>
          </w:p>
        </w:tc>
        <w:tc>
          <w:tcPr>
            <w:tcW w:w="280" w:type="dxa"/>
            <w:vAlign w:val="bottom"/>
            <w:tcBorders>
              <w:right w:val="single" w:sz="8" w:color="E7E7E8"/>
            </w:tcBorders>
          </w:tcPr>
          <w:p>
            <w:pPr>
              <w:spacing w:after="0"/>
              <w:rPr>
                <w:sz w:val="22"/>
                <w:szCs w:val="22"/>
                <w:color w:val="auto"/>
              </w:rPr>
            </w:pPr>
          </w:p>
        </w:tc>
        <w:tc>
          <w:tcPr>
            <w:tcW w:w="2600" w:type="dxa"/>
            <w:vAlign w:val="bottom"/>
            <w:tcBorders>
              <w:top w:val="single" w:sz="8" w:color="E7E7E8"/>
              <w:right w:val="single" w:sz="8" w:color="E7E7E8"/>
            </w:tcBorders>
            <w:gridSpan w:val="2"/>
          </w:tcPr>
          <w:p>
            <w:pPr>
              <w:ind w:left="160"/>
              <w:spacing w:after="0"/>
              <w:rPr>
                <w:sz w:val="20"/>
                <w:szCs w:val="20"/>
                <w:color w:val="auto"/>
              </w:rPr>
            </w:pPr>
            <w:r>
              <w:rPr>
                <w:rFonts w:ascii="Arial" w:cs="Arial" w:eastAsia="Arial" w:hAnsi="Arial"/>
                <w:sz w:val="15"/>
                <w:szCs w:val="15"/>
                <w:color w:val="58585A"/>
              </w:rPr>
              <w:t>How we think about pay decisions</w:t>
            </w:r>
          </w:p>
        </w:tc>
        <w:tc>
          <w:tcPr>
            <w:tcW w:w="280" w:type="dxa"/>
            <w:vAlign w:val="bottom"/>
            <w:tcBorders>
              <w:right w:val="single" w:sz="8" w:color="E7E7E8"/>
            </w:tcBorders>
          </w:tcPr>
          <w:p>
            <w:pPr>
              <w:spacing w:after="0"/>
              <w:rPr>
                <w:sz w:val="22"/>
                <w:szCs w:val="22"/>
                <w:color w:val="auto"/>
              </w:rPr>
            </w:pPr>
          </w:p>
        </w:tc>
        <w:tc>
          <w:tcPr>
            <w:tcW w:w="3700" w:type="dxa"/>
            <w:vAlign w:val="bottom"/>
            <w:tcBorders>
              <w:top w:val="single" w:sz="8" w:color="E7E7E8"/>
              <w:right w:val="single" w:sz="8" w:color="E7E7E8"/>
            </w:tcBorders>
          </w:tcPr>
          <w:p>
            <w:pPr>
              <w:ind w:left="220"/>
              <w:spacing w:after="0"/>
              <w:rPr>
                <w:sz w:val="20"/>
                <w:szCs w:val="20"/>
                <w:color w:val="auto"/>
              </w:rPr>
            </w:pPr>
            <w:r>
              <w:rPr>
                <w:rFonts w:ascii="Arial" w:cs="Arial" w:eastAsia="Arial" w:hAnsi="Arial"/>
                <w:sz w:val="15"/>
                <w:szCs w:val="15"/>
                <w:color w:val="58585A"/>
              </w:rPr>
              <w:t>How we performed against our business strategy</w:t>
            </w:r>
          </w:p>
        </w:tc>
        <w:tc>
          <w:tcPr>
            <w:tcW w:w="280" w:type="dxa"/>
            <w:vAlign w:val="bottom"/>
          </w:tcPr>
          <w:p>
            <w:pPr>
              <w:spacing w:after="0"/>
              <w:rPr>
                <w:sz w:val="22"/>
                <w:szCs w:val="22"/>
                <w:color w:val="auto"/>
              </w:rPr>
            </w:pPr>
          </w:p>
        </w:tc>
        <w:tc>
          <w:tcPr>
            <w:tcW w:w="322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5"/>
                <w:szCs w:val="15"/>
                <w:color w:val="074A75"/>
              </w:rPr>
              <w:t>How performance determined pay in 2023</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880" w:type="dxa"/>
            <w:vAlign w:val="bottom"/>
            <w:tcBorders>
              <w:left w:val="single" w:sz="8" w:color="E7E7E8"/>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1040" w:type="dxa"/>
            <w:vAlign w:val="bottom"/>
            <w:tcBorders>
              <w:bottom w:val="single" w:sz="8" w:color="E7E7E8"/>
            </w:tcBorders>
          </w:tcPr>
          <w:p>
            <w:pPr>
              <w:spacing w:after="0"/>
              <w:rPr>
                <w:sz w:val="5"/>
                <w:szCs w:val="5"/>
                <w:color w:val="auto"/>
              </w:rPr>
            </w:pPr>
          </w:p>
        </w:tc>
        <w:tc>
          <w:tcPr>
            <w:tcW w:w="1560" w:type="dxa"/>
            <w:vAlign w:val="bottom"/>
            <w:tcBorders>
              <w:bottom w:val="single" w:sz="8" w:color="E7E7E8"/>
              <w:right w:val="single" w:sz="8" w:color="E7E7E8"/>
            </w:tcBorders>
          </w:tcPr>
          <w:p>
            <w:pPr>
              <w:spacing w:after="0"/>
              <w:rPr>
                <w:sz w:val="5"/>
                <w:szCs w:val="5"/>
                <w:color w:val="auto"/>
              </w:rPr>
            </w:pPr>
          </w:p>
        </w:tc>
        <w:tc>
          <w:tcPr>
            <w:tcW w:w="280" w:type="dxa"/>
            <w:vAlign w:val="bottom"/>
            <w:tcBorders>
              <w:right w:val="single" w:sz="8" w:color="E7E7E8"/>
            </w:tcBorders>
          </w:tcPr>
          <w:p>
            <w:pPr>
              <w:spacing w:after="0"/>
              <w:rPr>
                <w:sz w:val="5"/>
                <w:szCs w:val="5"/>
                <w:color w:val="auto"/>
              </w:rPr>
            </w:pPr>
          </w:p>
        </w:tc>
        <w:tc>
          <w:tcPr>
            <w:tcW w:w="3700" w:type="dxa"/>
            <w:vAlign w:val="bottom"/>
            <w:tcBorders>
              <w:bottom w:val="single" w:sz="8" w:color="E7E7E8"/>
              <w:right w:val="single" w:sz="8" w:color="E7E7E8"/>
            </w:tcBorders>
          </w:tcPr>
          <w:p>
            <w:pPr>
              <w:spacing w:after="0"/>
              <w:rPr>
                <w:sz w:val="5"/>
                <w:szCs w:val="5"/>
                <w:color w:val="auto"/>
              </w:rPr>
            </w:pPr>
          </w:p>
        </w:tc>
        <w:tc>
          <w:tcPr>
            <w:tcW w:w="280" w:type="dxa"/>
            <w:vAlign w:val="bottom"/>
          </w:tcPr>
          <w:p>
            <w:pPr>
              <w:spacing w:after="0"/>
              <w:rPr>
                <w:sz w:val="5"/>
                <w:szCs w:val="5"/>
                <w:color w:val="auto"/>
              </w:rPr>
            </w:pPr>
          </w:p>
        </w:tc>
        <w:tc>
          <w:tcPr>
            <w:tcW w:w="322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Borders>
              <w:bottom w:val="single" w:sz="8" w:color="EEEFEF"/>
            </w:tcBorders>
          </w:tcPr>
          <w:p>
            <w:pPr>
              <w:spacing w:after="0"/>
              <w:rPr>
                <w:sz w:val="12"/>
                <w:szCs w:val="12"/>
                <w:color w:val="auto"/>
              </w:rPr>
            </w:pPr>
          </w:p>
        </w:tc>
        <w:tc>
          <w:tcPr>
            <w:tcW w:w="280" w:type="dxa"/>
            <w:vAlign w:val="bottom"/>
            <w:tcBorders>
              <w:bottom w:val="single" w:sz="8" w:color="EEEFEF"/>
            </w:tcBorders>
          </w:tcPr>
          <w:p>
            <w:pPr>
              <w:spacing w:after="0"/>
              <w:rPr>
                <w:sz w:val="12"/>
                <w:szCs w:val="12"/>
                <w:color w:val="auto"/>
              </w:rPr>
            </w:pPr>
          </w:p>
        </w:tc>
        <w:tc>
          <w:tcPr>
            <w:tcW w:w="3700" w:type="dxa"/>
            <w:vAlign w:val="bottom"/>
            <w:tcBorders>
              <w:bottom w:val="single" w:sz="8" w:color="EEEFEF"/>
            </w:tcBorders>
          </w:tcPr>
          <w:p>
            <w:pPr>
              <w:spacing w:after="0"/>
              <w:rPr>
                <w:sz w:val="12"/>
                <w:szCs w:val="12"/>
                <w:color w:val="auto"/>
              </w:rPr>
            </w:pPr>
          </w:p>
        </w:tc>
        <w:tc>
          <w:tcPr>
            <w:tcW w:w="280" w:type="dxa"/>
            <w:vAlign w:val="bottom"/>
            <w:tcBorders>
              <w:bottom w:val="single" w:sz="8" w:color="EEEFEF"/>
            </w:tcBorders>
          </w:tcPr>
          <w:p>
            <w:pPr>
              <w:spacing w:after="0"/>
              <w:rPr>
                <w:sz w:val="12"/>
                <w:szCs w:val="12"/>
                <w:color w:val="auto"/>
              </w:rPr>
            </w:pPr>
          </w:p>
        </w:tc>
        <w:tc>
          <w:tcPr>
            <w:tcW w:w="3220" w:type="dxa"/>
            <w:vAlign w:val="bottom"/>
            <w:tcBorders>
              <w:bottom w:val="single" w:sz="8" w:color="EEEFEF"/>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32016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29"/>
          <w:szCs w:val="29"/>
          <w:color w:val="074A75"/>
        </w:rPr>
        <w:t>Jeremy Barnum</w:t>
      </w:r>
    </w:p>
    <w:p>
      <w:pPr>
        <w:spacing w:after="0" w:line="30" w:lineRule="exact"/>
        <w:rPr>
          <w:sz w:val="20"/>
          <w:szCs w:val="20"/>
          <w:color w:val="auto"/>
        </w:rPr>
      </w:pPr>
    </w:p>
    <w:p>
      <w:pPr>
        <w:ind w:left="2360"/>
        <w:spacing w:after="0"/>
        <w:rPr>
          <w:sz w:val="20"/>
          <w:szCs w:val="20"/>
          <w:color w:val="auto"/>
        </w:rPr>
      </w:pPr>
      <w:r>
        <w:rPr>
          <w:rFonts w:ascii="Arial" w:cs="Arial" w:eastAsia="Arial" w:hAnsi="Arial"/>
          <w:sz w:val="18"/>
          <w:szCs w:val="18"/>
          <w:color w:val="074A75"/>
        </w:rPr>
        <w:t>CHIEF FINANCIAL OFFICER</w:t>
      </w:r>
    </w:p>
    <w:p>
      <w:pPr>
        <w:spacing w:after="0" w:line="104" w:lineRule="exact"/>
        <w:rPr>
          <w:sz w:val="20"/>
          <w:szCs w:val="20"/>
          <w:color w:val="auto"/>
        </w:rPr>
      </w:pPr>
    </w:p>
    <w:p>
      <w:pPr>
        <w:jc w:val="both"/>
        <w:ind w:left="2360" w:right="3860"/>
        <w:spacing w:after="0" w:line="265" w:lineRule="auto"/>
        <w:rPr>
          <w:sz w:val="20"/>
          <w:szCs w:val="20"/>
          <w:color w:val="auto"/>
        </w:rPr>
      </w:pPr>
      <w:r>
        <w:rPr>
          <w:rFonts w:ascii="Arial" w:cs="Arial" w:eastAsia="Arial" w:hAnsi="Arial"/>
          <w:sz w:val="16"/>
          <w:szCs w:val="16"/>
          <w:color w:val="auto"/>
        </w:rPr>
        <w:t>Mr. Barnum was appointed as the Chief Financial Officer of the Firm in May 2021. Previously, Mr. Barnum served as head of Global Research for CIB and, prior to that, was Chief Financial Officer and Chief of Staff for CIB from 2013 through the beginning of 2021.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074A75"/>
        </w:rPr>
        <w:t xml:space="preserve">PERFORMANCE DASHBOARD: </w:t>
      </w:r>
      <w:r>
        <w:rPr>
          <w:rFonts w:ascii="Arial" w:cs="Arial" w:eastAsia="Arial" w:hAnsi="Arial"/>
          <w:sz w:val="18"/>
          <w:szCs w:val="18"/>
          <w:color w:val="074A75"/>
        </w:rPr>
        <w:t>Assessment of results against long-term strategic priorities and qualitative considerations</w:t>
      </w:r>
    </w:p>
    <w:p>
      <w:pPr>
        <w:spacing w:after="0" w:line="14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345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32320" cy="1834515"/>
                    </a:xfrm>
                    <a:prstGeom prst="rect">
                      <a:avLst/>
                    </a:prstGeom>
                    <a:noFill/>
                  </pic:spPr>
                </pic:pic>
              </a:graphicData>
            </a:graphic>
          </wp:anchor>
        </w:drawing>
      </w:r>
    </w:p>
    <w:p>
      <w:pPr>
        <w:spacing w:after="0" w:line="57" w:lineRule="exact"/>
        <w:rPr>
          <w:sz w:val="20"/>
          <w:szCs w:val="20"/>
          <w:color w:val="auto"/>
        </w:rPr>
      </w:pPr>
    </w:p>
    <w:p>
      <w:pPr>
        <w:ind w:left="880" w:right="200" w:hanging="196"/>
        <w:spacing w:after="0" w:line="266" w:lineRule="auto"/>
        <w:tabs>
          <w:tab w:leader="none" w:pos="884" w:val="left"/>
        </w:tabs>
        <w:numPr>
          <w:ilvl w:val="0"/>
          <w:numId w:val="222"/>
        </w:numPr>
        <w:rPr>
          <w:rFonts w:ascii="Arial" w:cs="Arial" w:eastAsia="Arial" w:hAnsi="Arial"/>
          <w:sz w:val="18"/>
          <w:szCs w:val="18"/>
          <w:color w:val="074A75"/>
        </w:rPr>
      </w:pPr>
      <w:r>
        <w:rPr>
          <w:rFonts w:ascii="Arial" w:cs="Arial" w:eastAsia="Arial" w:hAnsi="Arial"/>
          <w:sz w:val="18"/>
          <w:szCs w:val="18"/>
          <w:color w:val="auto"/>
        </w:rPr>
        <w:t>Managed the Firm’s balance sheet, capital and liquidity position through a challenging environment due to higher rates, evolving regulatory rules and a complex geopolitical landscape</w:t>
      </w:r>
    </w:p>
    <w:p>
      <w:pPr>
        <w:ind w:left="880" w:right="700" w:hanging="196"/>
        <w:spacing w:after="0" w:line="263" w:lineRule="auto"/>
        <w:tabs>
          <w:tab w:leader="none" w:pos="884" w:val="left"/>
        </w:tabs>
        <w:numPr>
          <w:ilvl w:val="0"/>
          <w:numId w:val="222"/>
        </w:numPr>
        <w:rPr>
          <w:rFonts w:ascii="Arial" w:cs="Arial" w:eastAsia="Arial" w:hAnsi="Arial"/>
          <w:sz w:val="18"/>
          <w:szCs w:val="18"/>
          <w:color w:val="104C98"/>
        </w:rPr>
      </w:pPr>
      <w:r>
        <w:rPr>
          <w:rFonts w:ascii="Arial" w:cs="Arial" w:eastAsia="Arial" w:hAnsi="Arial"/>
          <w:sz w:val="18"/>
          <w:szCs w:val="18"/>
          <w:color w:val="auto"/>
        </w:rPr>
        <w:t>Led the execution of the First Republic Bank transaction and oversees the ongoing integration efforts, including regulatory reporting</w:t>
      </w:r>
    </w:p>
    <w:p>
      <w:pPr>
        <w:spacing w:after="0" w:line="1" w:lineRule="exact"/>
        <w:rPr>
          <w:rFonts w:ascii="Arial" w:cs="Arial" w:eastAsia="Arial" w:hAnsi="Arial"/>
          <w:sz w:val="18"/>
          <w:szCs w:val="18"/>
          <w:color w:val="104C98"/>
        </w:rPr>
      </w:pPr>
    </w:p>
    <w:p>
      <w:pPr>
        <w:ind w:left="880" w:hanging="196"/>
        <w:spacing w:after="0"/>
        <w:tabs>
          <w:tab w:leader="none" w:pos="880" w:val="left"/>
        </w:tabs>
        <w:numPr>
          <w:ilvl w:val="0"/>
          <w:numId w:val="222"/>
        </w:numPr>
        <w:rPr>
          <w:rFonts w:ascii="Arial" w:cs="Arial" w:eastAsia="Arial" w:hAnsi="Arial"/>
          <w:sz w:val="18"/>
          <w:szCs w:val="18"/>
          <w:color w:val="104C98"/>
        </w:rPr>
      </w:pPr>
      <w:r>
        <w:rPr>
          <w:rFonts w:ascii="Arial" w:cs="Arial" w:eastAsia="Arial" w:hAnsi="Arial"/>
          <w:sz w:val="18"/>
          <w:szCs w:val="18"/>
          <w:color w:val="auto"/>
        </w:rPr>
        <w:t>Continued to drive improvements in financial forecasting, reporting processes and expense discipline across the Firm</w:t>
      </w:r>
    </w:p>
    <w:p>
      <w:pPr>
        <w:spacing w:after="0" w:line="22" w:lineRule="exact"/>
        <w:rPr>
          <w:rFonts w:ascii="Arial" w:cs="Arial" w:eastAsia="Arial" w:hAnsi="Arial"/>
          <w:sz w:val="18"/>
          <w:szCs w:val="18"/>
          <w:color w:val="104C98"/>
        </w:rPr>
      </w:pPr>
    </w:p>
    <w:p>
      <w:pPr>
        <w:ind w:left="880" w:right="640" w:hanging="196"/>
        <w:spacing w:after="0" w:line="260" w:lineRule="auto"/>
        <w:tabs>
          <w:tab w:leader="none" w:pos="884" w:val="left"/>
        </w:tabs>
        <w:numPr>
          <w:ilvl w:val="0"/>
          <w:numId w:val="222"/>
        </w:numPr>
        <w:rPr>
          <w:rFonts w:ascii="Arial" w:cs="Arial" w:eastAsia="Arial" w:hAnsi="Arial"/>
          <w:sz w:val="18"/>
          <w:szCs w:val="18"/>
          <w:color w:val="104C98"/>
        </w:rPr>
      </w:pPr>
      <w:r>
        <w:rPr>
          <w:rFonts w:ascii="Arial" w:cs="Arial" w:eastAsia="Arial" w:hAnsi="Arial"/>
          <w:sz w:val="18"/>
          <w:szCs w:val="18"/>
          <w:color w:val="auto"/>
        </w:rPr>
        <w:t>Provided initial and ongoing analysis and advocacy efforts on the Basel 3 Endgame and Globally Systemic Important Bank ("GSIB") proposals</w:t>
      </w:r>
    </w:p>
    <w:p>
      <w:pPr>
        <w:spacing w:after="0" w:line="1" w:lineRule="exact"/>
        <w:rPr>
          <w:rFonts w:ascii="Arial" w:cs="Arial" w:eastAsia="Arial" w:hAnsi="Arial"/>
          <w:sz w:val="18"/>
          <w:szCs w:val="18"/>
          <w:color w:val="104C98"/>
        </w:rPr>
      </w:pPr>
    </w:p>
    <w:p>
      <w:pPr>
        <w:ind w:left="880" w:hanging="196"/>
        <w:spacing w:after="0"/>
        <w:tabs>
          <w:tab w:leader="none" w:pos="880" w:val="left"/>
        </w:tabs>
        <w:numPr>
          <w:ilvl w:val="0"/>
          <w:numId w:val="222"/>
        </w:numPr>
        <w:rPr>
          <w:rFonts w:ascii="Arial" w:cs="Arial" w:eastAsia="Arial" w:hAnsi="Arial"/>
          <w:sz w:val="18"/>
          <w:szCs w:val="18"/>
          <w:color w:val="074A75"/>
        </w:rPr>
      </w:pPr>
      <w:r>
        <w:rPr>
          <w:rFonts w:ascii="Arial" w:cs="Arial" w:eastAsia="Arial" w:hAnsi="Arial"/>
          <w:sz w:val="18"/>
          <w:szCs w:val="18"/>
          <w:color w:val="auto"/>
        </w:rPr>
        <w:t>Continued to advance the Firm's supplier diversity objectives and execute the real estate strategy</w:t>
      </w:r>
    </w:p>
    <w:p>
      <w:pPr>
        <w:spacing w:after="0" w:line="63"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FFFFFF"/>
        </w:rPr>
        <w:t>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-127635</wp:posOffset>
            </wp:positionV>
            <wp:extent cx="6763385" cy="16319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763385" cy="163195"/>
                    </a:xfrm>
                    <a:prstGeom prst="rect">
                      <a:avLst/>
                    </a:prstGeom>
                    <a:noFill/>
                  </pic:spPr>
                </pic:pic>
              </a:graphicData>
            </a:graphic>
          </wp:anchor>
        </w:drawing>
      </w:r>
    </w:p>
    <w:p>
      <w:pPr>
        <w:spacing w:after="0" w:line="43" w:lineRule="exact"/>
        <w:rPr>
          <w:sz w:val="20"/>
          <w:szCs w:val="20"/>
          <w:color w:val="auto"/>
        </w:rPr>
      </w:pPr>
    </w:p>
    <w:p>
      <w:pPr>
        <w:ind w:left="880" w:right="480" w:hanging="196"/>
        <w:spacing w:after="0" w:line="287" w:lineRule="auto"/>
        <w:tabs>
          <w:tab w:leader="none" w:pos="884" w:val="left"/>
        </w:tabs>
        <w:numPr>
          <w:ilvl w:val="0"/>
          <w:numId w:val="223"/>
        </w:numPr>
        <w:rPr>
          <w:rFonts w:ascii="Arial" w:cs="Arial" w:eastAsia="Arial" w:hAnsi="Arial"/>
          <w:sz w:val="18"/>
          <w:szCs w:val="18"/>
          <w:color w:val="104C98"/>
        </w:rPr>
      </w:pPr>
      <w:r>
        <w:rPr>
          <w:rFonts w:ascii="Arial" w:cs="Arial" w:eastAsia="Arial" w:hAnsi="Arial"/>
          <w:sz w:val="18"/>
          <w:szCs w:val="18"/>
          <w:color w:val="auto"/>
        </w:rPr>
        <w:t>Ongoing focus on managing the Firm's balance sheet while providing transparency and expertise to a broad range of clients, customers, shareholders and other stakeholders through a challenging and dynamic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19722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32320" cy="3197225"/>
                    </a:xfrm>
                    <a:prstGeom prst="rect">
                      <a:avLst/>
                    </a:prstGeom>
                    <a:noFill/>
                  </pic:spPr>
                </pic:pic>
              </a:graphicData>
            </a:graphic>
          </wp:anchor>
        </w:drawing>
      </w:r>
    </w:p>
    <w:p>
      <w:pPr>
        <w:spacing w:after="0" w:line="7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FFFFFF"/>
        </w:rPr>
        <w:t>Risk, Controls &amp; Conduct</w:t>
      </w:r>
    </w:p>
    <w:p>
      <w:pPr>
        <w:spacing w:after="0" w:line="77" w:lineRule="exact"/>
        <w:rPr>
          <w:sz w:val="20"/>
          <w:szCs w:val="20"/>
          <w:color w:val="auto"/>
        </w:rPr>
      </w:pPr>
    </w:p>
    <w:p>
      <w:pPr>
        <w:ind w:left="880" w:right="320" w:hanging="196"/>
        <w:spacing w:after="0" w:line="266" w:lineRule="auto"/>
        <w:tabs>
          <w:tab w:leader="none" w:pos="884" w:val="left"/>
        </w:tabs>
        <w:numPr>
          <w:ilvl w:val="0"/>
          <w:numId w:val="224"/>
        </w:numPr>
        <w:rPr>
          <w:rFonts w:ascii="Arial" w:cs="Arial" w:eastAsia="Arial" w:hAnsi="Arial"/>
          <w:sz w:val="18"/>
          <w:szCs w:val="18"/>
          <w:color w:val="074A75"/>
        </w:rPr>
      </w:pPr>
      <w:r>
        <w:rPr>
          <w:rFonts w:ascii="Arial" w:cs="Arial" w:eastAsia="Arial" w:hAnsi="Arial"/>
          <w:sz w:val="18"/>
          <w:szCs w:val="18"/>
          <w:color w:val="auto"/>
        </w:rPr>
        <w:t>Continued to maintain a satisfactory risk and controls environment as well as strong risk discipline across the organization with strong engagement on firmwide issues and firmwide forums</w:t>
      </w:r>
    </w:p>
    <w:p>
      <w:pPr>
        <w:ind w:left="880" w:right="220" w:hanging="196"/>
        <w:spacing w:after="0" w:line="279" w:lineRule="auto"/>
        <w:tabs>
          <w:tab w:leader="none" w:pos="884" w:val="left"/>
        </w:tabs>
        <w:numPr>
          <w:ilvl w:val="0"/>
          <w:numId w:val="224"/>
        </w:numPr>
        <w:rPr>
          <w:rFonts w:ascii="Arial" w:cs="Arial" w:eastAsia="Arial" w:hAnsi="Arial"/>
          <w:sz w:val="17"/>
          <w:szCs w:val="17"/>
          <w:color w:val="074A75"/>
        </w:rPr>
      </w:pPr>
      <w:r>
        <w:rPr>
          <w:rFonts w:ascii="Arial" w:cs="Arial" w:eastAsia="Arial" w:hAnsi="Arial"/>
          <w:sz w:val="17"/>
          <w:szCs w:val="17"/>
          <w:color w:val="auto"/>
        </w:rPr>
        <w:t>Remains focused on risk identification, mitigation and timely remediation across capital, liquidity, external financial reporting and the firmwide business resiliency program, among others, and contributed to consistent and transparent regulatory engagement</w:t>
      </w:r>
    </w:p>
    <w:p>
      <w:pPr>
        <w:ind w:left="880" w:right="540" w:hanging="196"/>
        <w:spacing w:after="0" w:line="276" w:lineRule="auto"/>
        <w:tabs>
          <w:tab w:leader="none" w:pos="884" w:val="left"/>
        </w:tabs>
        <w:numPr>
          <w:ilvl w:val="0"/>
          <w:numId w:val="224"/>
        </w:numPr>
        <w:rPr>
          <w:rFonts w:ascii="Arial" w:cs="Arial" w:eastAsia="Arial" w:hAnsi="Arial"/>
          <w:sz w:val="18"/>
          <w:szCs w:val="18"/>
          <w:color w:val="104C98"/>
        </w:rPr>
      </w:pPr>
      <w:r>
        <w:rPr>
          <w:rFonts w:ascii="Arial" w:cs="Arial" w:eastAsia="Arial" w:hAnsi="Arial"/>
          <w:sz w:val="18"/>
          <w:szCs w:val="18"/>
          <w:color w:val="auto"/>
        </w:rPr>
        <w:t>Demonstrated focus on driving accountability and the highest standards of culture and conduct consistent with our Business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123825</wp:posOffset>
            </wp:positionV>
            <wp:extent cx="6763385" cy="1714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spacing w:after="0" w:line="183"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FFFFFF"/>
        </w:rPr>
        <w:t>Client/Customer/Stakeholder</w:t>
      </w:r>
    </w:p>
    <w:p>
      <w:pPr>
        <w:spacing w:after="0" w:line="77" w:lineRule="exact"/>
        <w:rPr>
          <w:sz w:val="20"/>
          <w:szCs w:val="20"/>
          <w:color w:val="auto"/>
        </w:rPr>
      </w:pPr>
    </w:p>
    <w:p>
      <w:pPr>
        <w:ind w:left="880" w:right="520" w:hanging="196"/>
        <w:spacing w:after="0" w:line="266" w:lineRule="auto"/>
        <w:tabs>
          <w:tab w:leader="none" w:pos="884" w:val="left"/>
        </w:tabs>
        <w:numPr>
          <w:ilvl w:val="0"/>
          <w:numId w:val="225"/>
        </w:numPr>
        <w:rPr>
          <w:rFonts w:ascii="Arial" w:cs="Arial" w:eastAsia="Arial" w:hAnsi="Arial"/>
          <w:sz w:val="18"/>
          <w:szCs w:val="18"/>
          <w:color w:val="074A75"/>
        </w:rPr>
      </w:pPr>
      <w:r>
        <w:rPr>
          <w:rFonts w:ascii="Arial" w:cs="Arial" w:eastAsia="Arial" w:hAnsi="Arial"/>
          <w:sz w:val="18"/>
          <w:szCs w:val="18"/>
          <w:color w:val="auto"/>
        </w:rPr>
        <w:t>Participated in over 90 engagements globally, internally and externally, building and strengthening relationships with a broad range of investors, analysts, regulators, clients, and employees</w:t>
      </w:r>
    </w:p>
    <w:p>
      <w:pPr>
        <w:ind w:left="880" w:right="40" w:hanging="196"/>
        <w:spacing w:after="0" w:line="263" w:lineRule="auto"/>
        <w:tabs>
          <w:tab w:leader="none" w:pos="884" w:val="left"/>
        </w:tabs>
        <w:numPr>
          <w:ilvl w:val="0"/>
          <w:numId w:val="225"/>
        </w:numPr>
        <w:rPr>
          <w:rFonts w:ascii="Arial" w:cs="Arial" w:eastAsia="Arial" w:hAnsi="Arial"/>
          <w:sz w:val="18"/>
          <w:szCs w:val="18"/>
          <w:color w:val="074A75"/>
        </w:rPr>
      </w:pPr>
      <w:r>
        <w:rPr>
          <w:rFonts w:ascii="Arial" w:cs="Arial" w:eastAsia="Arial" w:hAnsi="Arial"/>
          <w:sz w:val="18"/>
          <w:szCs w:val="18"/>
          <w:color w:val="auto"/>
        </w:rPr>
        <w:t>Participated in constructive engagement and advocacy with key regulators on matters important to the Financial Services industry, particularly regulatory capital</w:t>
      </w:r>
    </w:p>
    <w:p>
      <w:pPr>
        <w:spacing w:after="0" w:line="1" w:lineRule="exact"/>
        <w:rPr>
          <w:rFonts w:ascii="Arial" w:cs="Arial" w:eastAsia="Arial" w:hAnsi="Arial"/>
          <w:sz w:val="18"/>
          <w:szCs w:val="18"/>
          <w:color w:val="074A75"/>
        </w:rPr>
      </w:pPr>
    </w:p>
    <w:p>
      <w:pPr>
        <w:ind w:left="880" w:right="560" w:hanging="196"/>
        <w:spacing w:after="0" w:line="276" w:lineRule="auto"/>
        <w:tabs>
          <w:tab w:leader="none" w:pos="884" w:val="left"/>
        </w:tabs>
        <w:numPr>
          <w:ilvl w:val="0"/>
          <w:numId w:val="225"/>
        </w:numPr>
        <w:rPr>
          <w:rFonts w:ascii="Arial" w:cs="Arial" w:eastAsia="Arial" w:hAnsi="Arial"/>
          <w:sz w:val="18"/>
          <w:szCs w:val="18"/>
          <w:color w:val="074A75"/>
        </w:rPr>
      </w:pPr>
      <w:r>
        <w:rPr>
          <w:rFonts w:ascii="Arial" w:cs="Arial" w:eastAsia="Arial" w:hAnsi="Arial"/>
          <w:sz w:val="18"/>
          <w:szCs w:val="18"/>
          <w:color w:val="auto"/>
        </w:rPr>
        <w:t>Provided oversight of a strong Investor Relations team and contributed to a successful Investor Day, which provides greater transparency to the broader shareholder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3810</wp:posOffset>
            </wp:positionV>
            <wp:extent cx="6763385" cy="1714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763385" cy="171450"/>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b w:val="1"/>
          <w:bCs w:val="1"/>
          <w:color w:val="FFFFFF"/>
        </w:rPr>
        <w:t>Teamwork &amp; Leadership</w:t>
      </w:r>
    </w:p>
    <w:p>
      <w:pPr>
        <w:spacing w:after="0" w:line="77" w:lineRule="exact"/>
        <w:rPr>
          <w:sz w:val="20"/>
          <w:szCs w:val="20"/>
          <w:color w:val="auto"/>
        </w:rPr>
      </w:pPr>
    </w:p>
    <w:p>
      <w:pPr>
        <w:ind w:left="880" w:hanging="196"/>
        <w:spacing w:after="0"/>
        <w:tabs>
          <w:tab w:leader="none" w:pos="880" w:val="left"/>
        </w:tabs>
        <w:numPr>
          <w:ilvl w:val="0"/>
          <w:numId w:val="226"/>
        </w:numPr>
        <w:rPr>
          <w:rFonts w:ascii="Arial" w:cs="Arial" w:eastAsia="Arial" w:hAnsi="Arial"/>
          <w:sz w:val="18"/>
          <w:szCs w:val="18"/>
          <w:color w:val="074A75"/>
        </w:rPr>
      </w:pPr>
      <w:r>
        <w:rPr>
          <w:rFonts w:ascii="Arial" w:cs="Arial" w:eastAsia="Arial" w:hAnsi="Arial"/>
          <w:sz w:val="18"/>
          <w:szCs w:val="18"/>
          <w:color w:val="auto"/>
        </w:rPr>
        <w:t>Continued to drive a culture of inclusion across the organization</w:t>
      </w:r>
    </w:p>
    <w:p>
      <w:pPr>
        <w:spacing w:after="0" w:line="36" w:lineRule="exact"/>
        <w:rPr>
          <w:rFonts w:ascii="Arial" w:cs="Arial" w:eastAsia="Arial" w:hAnsi="Arial"/>
          <w:sz w:val="18"/>
          <w:szCs w:val="18"/>
          <w:color w:val="074A75"/>
        </w:rPr>
      </w:pPr>
    </w:p>
    <w:p>
      <w:pPr>
        <w:ind w:left="880" w:right="100" w:hanging="196"/>
        <w:spacing w:after="0" w:line="263" w:lineRule="auto"/>
        <w:tabs>
          <w:tab w:leader="none" w:pos="884" w:val="left"/>
        </w:tabs>
        <w:numPr>
          <w:ilvl w:val="0"/>
          <w:numId w:val="226"/>
        </w:numPr>
        <w:rPr>
          <w:rFonts w:ascii="Arial" w:cs="Arial" w:eastAsia="Arial" w:hAnsi="Arial"/>
          <w:sz w:val="18"/>
          <w:szCs w:val="18"/>
          <w:color w:val="104C98"/>
        </w:rPr>
      </w:pPr>
      <w:r>
        <w:rPr>
          <w:rFonts w:ascii="Arial" w:cs="Arial" w:eastAsia="Arial" w:hAnsi="Arial"/>
          <w:sz w:val="18"/>
          <w:szCs w:val="18"/>
          <w:color w:val="auto"/>
        </w:rPr>
        <w:t>Continued focus on diverse representation, succession planning and cultivating development opportunities for key senior leaders, as well as building a talent pipeline</w:t>
      </w:r>
    </w:p>
    <w:p>
      <w:pPr>
        <w:spacing w:after="0" w:line="1" w:lineRule="exact"/>
        <w:rPr>
          <w:rFonts w:ascii="Arial" w:cs="Arial" w:eastAsia="Arial" w:hAnsi="Arial"/>
          <w:sz w:val="18"/>
          <w:szCs w:val="18"/>
          <w:color w:val="104C98"/>
        </w:rPr>
      </w:pPr>
    </w:p>
    <w:p>
      <w:pPr>
        <w:ind w:left="880" w:right="180" w:hanging="196"/>
        <w:spacing w:after="0" w:line="276" w:lineRule="auto"/>
        <w:tabs>
          <w:tab w:leader="none" w:pos="884" w:val="left"/>
        </w:tabs>
        <w:numPr>
          <w:ilvl w:val="0"/>
          <w:numId w:val="226"/>
        </w:numPr>
        <w:rPr>
          <w:rFonts w:ascii="Arial" w:cs="Arial" w:eastAsia="Arial" w:hAnsi="Arial"/>
          <w:sz w:val="18"/>
          <w:szCs w:val="18"/>
          <w:color w:val="00497F"/>
        </w:rPr>
      </w:pPr>
      <w:r>
        <w:rPr>
          <w:rFonts w:ascii="Arial" w:cs="Arial" w:eastAsia="Arial" w:hAnsi="Arial"/>
          <w:sz w:val="18"/>
          <w:szCs w:val="18"/>
          <w:color w:val="auto"/>
        </w:rPr>
        <w:t>Ongoing focus on employee development, skill-building including on providing managers with additional tools and guidance, and engagement with employees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260985</wp:posOffset>
            </wp:positionV>
            <wp:extent cx="27432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61  </w:t>
      </w:r>
      <w:r>
        <w:rPr>
          <w:sz w:val="1"/>
          <w:szCs w:val="1"/>
          <w:color w:val="auto"/>
        </w:rPr>
        <w:drawing>
          <wp:inline distT="0" distB="0" distL="0" distR="0">
            <wp:extent cx="2203450" cy="154305"/>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Compensation &amp; Management</w:t>
      </w:r>
    </w:p>
    <w:p>
      <w:pPr>
        <w:spacing w:after="0" w:line="46" w:lineRule="exact"/>
        <w:rPr>
          <w:sz w:val="20"/>
          <w:szCs w:val="20"/>
          <w:color w:val="auto"/>
        </w:rPr>
      </w:pPr>
    </w:p>
    <w:p>
      <w:pPr>
        <w:spacing w:after="0"/>
        <w:rPr>
          <w:sz w:val="20"/>
          <w:szCs w:val="20"/>
          <w:color w:val="auto"/>
        </w:rPr>
      </w:pPr>
      <w:r>
        <w:rPr>
          <w:rFonts w:ascii="Arial" w:cs="Arial" w:eastAsia="Arial" w:hAnsi="Arial"/>
          <w:sz w:val="29"/>
          <w:szCs w:val="29"/>
          <w:color w:val="074A75"/>
        </w:rPr>
        <w:t>Development Committee report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&amp; Management Development Committee has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reviewed the Compensation Discussion and Analysis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discussed that analysis with management.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Based on such review and discussion with management,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Compensation &amp; Management Development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recommended to the Board of Directors that the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Discussion and Analysis be included in this proxy statement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Annual Report on Form 10-K for the year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 This report is provided as of March 19, 2024, by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 who comprise the Compensation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Development Committee: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Stephen B. Burke (Chair)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Linda B. Bammann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Todd A. Combs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Virginia M. Rometty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3282950" cy="145732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282950" cy="1457325"/>
                    </a:xfrm>
                    <a:prstGeom prst="rect">
                      <a:avLst/>
                    </a:prstGeom>
                    <a:noFill/>
                  </pic:spPr>
                </pic:pic>
              </a:graphicData>
            </a:graphic>
          </wp:anchor>
        </w:drawing>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Compensation Discussion and Analysis is intended</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 describe our 2023 performance, the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decisions for our Named Executive Officers and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Firm’s philosophy and approach to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following tables and disclosures on pages 63-75</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present additional information required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accordance with SEC rules, including the Summary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Compensation Table and the Pay Versus Performance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disclosure.</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Executive compensation tables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074A75"/>
        </w:rPr>
        <w:t>I. SUMMARY COMPENSATION TABLE (SCT)</w:t>
      </w:r>
    </w:p>
    <w:p>
      <w:pPr>
        <w:spacing w:after="0" w:line="9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following table and related narratives present the compensation for our Named Executive Officers in the format specified by the SEC. The table below reflects equity awards made in 2023 for 2022 performance. The “NEO Compensation” table on page 55 shows how the CMDC viewed compensation actions for 2023 performance. Officer position titles within this Proxy Statement reflect current roles and responsibilities as of the record date. Refer to Note 1 on page 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center"/>
              <w:ind w:right="266"/>
              <w:spacing w:after="0"/>
              <w:rPr>
                <w:sz w:val="20"/>
                <w:szCs w:val="20"/>
                <w:color w:val="auto"/>
              </w:rPr>
            </w:pPr>
            <w:r>
              <w:rPr>
                <w:rFonts w:ascii="Arial" w:cs="Arial" w:eastAsia="Arial" w:hAnsi="Arial"/>
                <w:sz w:val="16"/>
                <w:szCs w:val="16"/>
                <w:color w:val="074A75"/>
              </w:rPr>
              <w:t>Change in</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ind w:right="266"/>
              <w:spacing w:after="0"/>
              <w:rPr>
                <w:sz w:val="20"/>
                <w:szCs w:val="20"/>
                <w:color w:val="auto"/>
              </w:rPr>
            </w:pPr>
            <w:r>
              <w:rPr>
                <w:rFonts w:ascii="Arial" w:cs="Arial" w:eastAsia="Arial" w:hAnsi="Arial"/>
                <w:sz w:val="16"/>
                <w:szCs w:val="16"/>
                <w:color w:val="074A75"/>
              </w:rPr>
              <w:t>pension</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color w:val="074A75"/>
              </w:rPr>
              <w:t>value and non-</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center"/>
              <w:ind w:right="266"/>
              <w:spacing w:after="0"/>
              <w:rPr>
                <w:sz w:val="20"/>
                <w:szCs w:val="20"/>
                <w:color w:val="auto"/>
              </w:rPr>
            </w:pPr>
            <w:r>
              <w:rPr>
                <w:rFonts w:ascii="Arial" w:cs="Arial" w:eastAsia="Arial" w:hAnsi="Arial"/>
                <w:sz w:val="16"/>
                <w:szCs w:val="16"/>
                <w:color w:val="074A75"/>
              </w:rPr>
              <w:t>qualified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ind w:right="266"/>
              <w:spacing w:after="0"/>
              <w:rPr>
                <w:sz w:val="20"/>
                <w:szCs w:val="20"/>
                <w:color w:val="auto"/>
              </w:rPr>
            </w:pPr>
            <w:r>
              <w:rPr>
                <w:rFonts w:ascii="Arial" w:cs="Arial" w:eastAsia="Arial" w:hAnsi="Arial"/>
                <w:sz w:val="16"/>
                <w:szCs w:val="16"/>
                <w:color w:val="074A75"/>
              </w:rPr>
              <w:t>deferred</w:t>
            </w:r>
          </w:p>
        </w:tc>
        <w:tc>
          <w:tcPr>
            <w:tcW w:w="300" w:type="dxa"/>
            <w:vAlign w:val="bottom"/>
          </w:tcPr>
          <w:p>
            <w:pPr>
              <w:spacing w:after="0"/>
              <w:rPr>
                <w:sz w:val="17"/>
                <w:szCs w:val="17"/>
                <w:color w:val="auto"/>
              </w:rPr>
            </w:pPr>
          </w:p>
        </w:tc>
        <w:tc>
          <w:tcPr>
            <w:tcW w:w="980" w:type="dxa"/>
            <w:vAlign w:val="bottom"/>
          </w:tcPr>
          <w:p>
            <w:pPr>
              <w:jc w:val="center"/>
              <w:ind w:right="187"/>
              <w:spacing w:after="0"/>
              <w:rPr>
                <w:sz w:val="20"/>
                <w:szCs w:val="20"/>
                <w:color w:val="auto"/>
              </w:rPr>
            </w:pPr>
            <w:r>
              <w:rPr>
                <w:rFonts w:ascii="Arial" w:cs="Arial" w:eastAsia="Arial" w:hAnsi="Arial"/>
                <w:sz w:val="16"/>
                <w:szCs w:val="16"/>
                <w:color w:val="074A75"/>
              </w:rPr>
              <w:t>All other</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tcPr>
          <w:p>
            <w:pPr>
              <w:ind w:left="20"/>
              <w:spacing w:after="0"/>
              <w:rPr>
                <w:sz w:val="20"/>
                <w:szCs w:val="20"/>
                <w:color w:val="auto"/>
              </w:rPr>
            </w:pPr>
            <w:r>
              <w:rPr>
                <w:rFonts w:ascii="Arial" w:cs="Arial" w:eastAsia="Arial" w:hAnsi="Arial"/>
                <w:sz w:val="16"/>
                <w:szCs w:val="16"/>
                <w:color w:val="074A75"/>
              </w:rPr>
              <w:t>Name and</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267"/>
              <w:spacing w:after="0"/>
              <w:rPr>
                <w:sz w:val="20"/>
                <w:szCs w:val="20"/>
                <w:color w:val="auto"/>
              </w:rPr>
            </w:pPr>
            <w:r>
              <w:rPr>
                <w:rFonts w:ascii="Arial" w:cs="Arial" w:eastAsia="Arial" w:hAnsi="Arial"/>
                <w:sz w:val="16"/>
                <w:szCs w:val="16"/>
                <w:color w:val="074A75"/>
              </w:rPr>
              <w:t>Bonus</w:t>
            </w:r>
          </w:p>
        </w:tc>
        <w:tc>
          <w:tcPr>
            <w:tcW w:w="180" w:type="dxa"/>
            <w:vAlign w:val="bottom"/>
          </w:tcPr>
          <w:p>
            <w:pPr>
              <w:spacing w:after="0"/>
              <w:rPr>
                <w:sz w:val="16"/>
                <w:szCs w:val="16"/>
                <w:color w:val="auto"/>
              </w:rPr>
            </w:pPr>
          </w:p>
        </w:tc>
        <w:tc>
          <w:tcPr>
            <w:tcW w:w="1040" w:type="dxa"/>
            <w:vAlign w:val="bottom"/>
          </w:tcPr>
          <w:p>
            <w:pPr>
              <w:jc w:val="right"/>
              <w:ind w:right="367"/>
              <w:spacing w:after="0"/>
              <w:rPr>
                <w:sz w:val="20"/>
                <w:szCs w:val="20"/>
                <w:color w:val="auto"/>
              </w:rPr>
            </w:pPr>
            <w:r>
              <w:rPr>
                <w:rFonts w:ascii="Arial" w:cs="Arial" w:eastAsia="Arial" w:hAnsi="Arial"/>
                <w:sz w:val="16"/>
                <w:szCs w:val="16"/>
                <w:color w:val="074A75"/>
              </w:rPr>
              <w:t>Stock</w:t>
            </w:r>
          </w:p>
        </w:tc>
        <w:tc>
          <w:tcPr>
            <w:tcW w:w="220" w:type="dxa"/>
            <w:vAlign w:val="bottom"/>
          </w:tcPr>
          <w:p>
            <w:pPr>
              <w:spacing w:after="0"/>
              <w:rPr>
                <w:sz w:val="16"/>
                <w:szCs w:val="16"/>
                <w:color w:val="auto"/>
              </w:rPr>
            </w:pPr>
          </w:p>
        </w:tc>
        <w:tc>
          <w:tcPr>
            <w:tcW w:w="1080" w:type="dxa"/>
            <w:vAlign w:val="bottom"/>
          </w:tcPr>
          <w:p>
            <w:pPr>
              <w:jc w:val="right"/>
              <w:ind w:right="347"/>
              <w:spacing w:after="0"/>
              <w:rPr>
                <w:sz w:val="20"/>
                <w:szCs w:val="20"/>
                <w:color w:val="auto"/>
              </w:rPr>
            </w:pPr>
            <w:r>
              <w:rPr>
                <w:rFonts w:ascii="Arial" w:cs="Arial" w:eastAsia="Arial" w:hAnsi="Arial"/>
                <w:sz w:val="16"/>
                <w:szCs w:val="16"/>
                <w:color w:val="074A75"/>
              </w:rPr>
              <w:t>Option</w:t>
            </w:r>
          </w:p>
        </w:tc>
        <w:tc>
          <w:tcPr>
            <w:tcW w:w="1400" w:type="dxa"/>
            <w:vAlign w:val="bottom"/>
            <w:gridSpan w:val="2"/>
          </w:tcPr>
          <w:p>
            <w:pPr>
              <w:jc w:val="center"/>
              <w:spacing w:after="0"/>
              <w:rPr>
                <w:sz w:val="20"/>
                <w:szCs w:val="20"/>
                <w:color w:val="auto"/>
              </w:rPr>
            </w:pPr>
            <w:r>
              <w:rPr>
                <w:rFonts w:ascii="Arial" w:cs="Arial" w:eastAsia="Arial" w:hAnsi="Arial"/>
                <w:sz w:val="16"/>
                <w:szCs w:val="16"/>
                <w:color w:val="074A75"/>
              </w:rPr>
              <w:t>compensation</w:t>
            </w:r>
          </w:p>
        </w:tc>
        <w:tc>
          <w:tcPr>
            <w:tcW w:w="1280" w:type="dxa"/>
            <w:vAlign w:val="bottom"/>
            <w:gridSpan w:val="2"/>
          </w:tcPr>
          <w:p>
            <w:pPr>
              <w:jc w:val="center"/>
              <w:spacing w:after="0"/>
              <w:rPr>
                <w:sz w:val="20"/>
                <w:szCs w:val="20"/>
                <w:color w:val="auto"/>
              </w:rPr>
            </w:pPr>
            <w:r>
              <w:rPr>
                <w:rFonts w:ascii="Arial" w:cs="Arial" w:eastAsia="Arial" w:hAnsi="Arial"/>
                <w:sz w:val="16"/>
                <w:szCs w:val="16"/>
                <w:color w:val="074A75"/>
              </w:rPr>
              <w:t>compensation</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principal position</w:t>
            </w:r>
          </w:p>
        </w:tc>
        <w:tc>
          <w:tcPr>
            <w:tcW w:w="580" w:type="dxa"/>
            <w:vAlign w:val="bottom"/>
            <w:tcBorders>
              <w:bottom w:val="single" w:sz="8" w:color="454545"/>
            </w:tcBorders>
          </w:tcPr>
          <w:p>
            <w:pPr>
              <w:jc w:val="right"/>
              <w:ind w:right="88"/>
              <w:spacing w:after="0"/>
              <w:rPr>
                <w:sz w:val="20"/>
                <w:szCs w:val="20"/>
                <w:color w:val="auto"/>
              </w:rPr>
            </w:pPr>
            <w:r>
              <w:rPr>
                <w:rFonts w:ascii="Arial" w:cs="Arial" w:eastAsia="Arial" w:hAnsi="Arial"/>
                <w:sz w:val="16"/>
                <w:szCs w:val="16"/>
                <w:color w:val="074A75"/>
              </w:rPr>
              <w:t>Year</w:t>
            </w:r>
          </w:p>
        </w:tc>
        <w:tc>
          <w:tcPr>
            <w:tcW w:w="1120" w:type="dxa"/>
            <w:vAlign w:val="bottom"/>
            <w:tcBorders>
              <w:bottom w:val="single" w:sz="8" w:color="454545"/>
            </w:tcBorders>
          </w:tcPr>
          <w:p>
            <w:pPr>
              <w:jc w:val="right"/>
              <w:ind w:right="108"/>
              <w:spacing w:after="0"/>
              <w:rPr>
                <w:sz w:val="20"/>
                <w:szCs w:val="20"/>
                <w:color w:val="auto"/>
              </w:rPr>
            </w:pPr>
            <w:r>
              <w:rPr>
                <w:rFonts w:ascii="Arial" w:cs="Arial" w:eastAsia="Arial" w:hAnsi="Arial"/>
                <w:sz w:val="16"/>
                <w:szCs w:val="16"/>
                <w:color w:val="074A75"/>
              </w:rPr>
              <w:t>Salary ($)</w:t>
            </w:r>
            <w:r>
              <w:rPr>
                <w:rFonts w:ascii="Arial" w:cs="Arial" w:eastAsia="Arial" w:hAnsi="Arial"/>
                <w:sz w:val="21"/>
                <w:szCs w:val="21"/>
                <w:color w:val="074A75"/>
                <w:vertAlign w:val="superscript"/>
              </w:rPr>
              <w:t>1</w:t>
            </w:r>
          </w:p>
        </w:tc>
        <w:tc>
          <w:tcPr>
            <w:tcW w:w="300" w:type="dxa"/>
            <w:vAlign w:val="bottom"/>
            <w:tcBorders>
              <w:bottom w:val="single" w:sz="8" w:color="454545"/>
            </w:tcBorders>
          </w:tcPr>
          <w:p>
            <w:pPr>
              <w:spacing w:after="0"/>
              <w:rPr>
                <w:sz w:val="21"/>
                <w:szCs w:val="21"/>
                <w:color w:val="auto"/>
              </w:rPr>
            </w:pPr>
          </w:p>
        </w:tc>
        <w:tc>
          <w:tcPr>
            <w:tcW w:w="900" w:type="dxa"/>
            <w:vAlign w:val="bottom"/>
            <w:tcBorders>
              <w:bottom w:val="single" w:sz="8" w:color="454545"/>
            </w:tcBorders>
          </w:tcPr>
          <w:p>
            <w:pPr>
              <w:jc w:val="right"/>
              <w:ind w:right="367"/>
              <w:spacing w:after="0"/>
              <w:rPr>
                <w:sz w:val="20"/>
                <w:szCs w:val="20"/>
                <w:color w:val="auto"/>
              </w:rPr>
            </w:pPr>
            <w:r>
              <w:rPr>
                <w:rFonts w:ascii="Arial" w:cs="Arial" w:eastAsia="Arial" w:hAnsi="Arial"/>
                <w:sz w:val="16"/>
                <w:szCs w:val="16"/>
                <w:color w:val="074A75"/>
              </w:rPr>
              <w:t>($)</w:t>
            </w:r>
            <w:r>
              <w:rPr>
                <w:rFonts w:ascii="Arial" w:cs="Arial" w:eastAsia="Arial" w:hAnsi="Arial"/>
                <w:sz w:val="21"/>
                <w:szCs w:val="21"/>
                <w:color w:val="074A75"/>
                <w:vertAlign w:val="superscript"/>
              </w:rPr>
              <w:t>2</w:t>
            </w:r>
          </w:p>
        </w:tc>
        <w:tc>
          <w:tcPr>
            <w:tcW w:w="180" w:type="dxa"/>
            <w:vAlign w:val="bottom"/>
            <w:tcBorders>
              <w:bottom w:val="single" w:sz="8" w:color="454545"/>
            </w:tcBorders>
          </w:tcPr>
          <w:p>
            <w:pPr>
              <w:spacing w:after="0"/>
              <w:rPr>
                <w:sz w:val="21"/>
                <w:szCs w:val="21"/>
                <w:color w:val="auto"/>
              </w:rPr>
            </w:pPr>
          </w:p>
        </w:tc>
        <w:tc>
          <w:tcPr>
            <w:tcW w:w="1040" w:type="dxa"/>
            <w:vAlign w:val="bottom"/>
            <w:tcBorders>
              <w:bottom w:val="single" w:sz="8" w:color="454545"/>
            </w:tcBorders>
          </w:tcPr>
          <w:p>
            <w:pPr>
              <w:jc w:val="right"/>
              <w:ind w:right="147"/>
              <w:spacing w:after="0"/>
              <w:rPr>
                <w:sz w:val="20"/>
                <w:szCs w:val="20"/>
                <w:color w:val="auto"/>
              </w:rPr>
            </w:pPr>
            <w:r>
              <w:rPr>
                <w:rFonts w:ascii="Arial" w:cs="Arial" w:eastAsia="Arial" w:hAnsi="Arial"/>
                <w:sz w:val="16"/>
                <w:szCs w:val="16"/>
                <w:color w:val="074A75"/>
                <w:w w:val="95"/>
              </w:rPr>
              <w:t>awards ($)</w:t>
            </w:r>
            <w:r>
              <w:rPr>
                <w:rFonts w:ascii="Arial" w:cs="Arial" w:eastAsia="Arial" w:hAnsi="Arial"/>
                <w:sz w:val="21"/>
                <w:szCs w:val="21"/>
                <w:color w:val="074A75"/>
                <w:w w:val="95"/>
                <w:vertAlign w:val="superscript"/>
              </w:rPr>
              <w:t>3</w:t>
            </w:r>
          </w:p>
        </w:tc>
        <w:tc>
          <w:tcPr>
            <w:tcW w:w="220" w:type="dxa"/>
            <w:vAlign w:val="bottom"/>
            <w:tcBorders>
              <w:bottom w:val="single" w:sz="8" w:color="454545"/>
            </w:tcBorders>
          </w:tcPr>
          <w:p>
            <w:pPr>
              <w:spacing w:after="0"/>
              <w:rPr>
                <w:sz w:val="21"/>
                <w:szCs w:val="21"/>
                <w:color w:val="auto"/>
              </w:rPr>
            </w:pPr>
          </w:p>
        </w:tc>
        <w:tc>
          <w:tcPr>
            <w:tcW w:w="1080" w:type="dxa"/>
            <w:vAlign w:val="bottom"/>
            <w:tcBorders>
              <w:bottom w:val="single" w:sz="8" w:color="454545"/>
            </w:tcBorders>
          </w:tcPr>
          <w:p>
            <w:pPr>
              <w:jc w:val="right"/>
              <w:ind w:right="167"/>
              <w:spacing w:after="0"/>
              <w:rPr>
                <w:sz w:val="20"/>
                <w:szCs w:val="20"/>
                <w:color w:val="auto"/>
              </w:rPr>
            </w:pPr>
            <w:r>
              <w:rPr>
                <w:rFonts w:ascii="Arial" w:cs="Arial" w:eastAsia="Arial" w:hAnsi="Arial"/>
                <w:sz w:val="16"/>
                <w:szCs w:val="16"/>
                <w:color w:val="074A75"/>
                <w:w w:val="98"/>
              </w:rPr>
              <w:t>awards ($)</w:t>
            </w:r>
            <w:r>
              <w:rPr>
                <w:rFonts w:ascii="Arial" w:cs="Arial" w:eastAsia="Arial" w:hAnsi="Arial"/>
                <w:sz w:val="21"/>
                <w:szCs w:val="21"/>
                <w:color w:val="074A75"/>
                <w:w w:val="98"/>
                <w:vertAlign w:val="superscript"/>
              </w:rPr>
              <w:t>4</w:t>
            </w:r>
          </w:p>
        </w:tc>
        <w:tc>
          <w:tcPr>
            <w:tcW w:w="1400" w:type="dxa"/>
            <w:vAlign w:val="bottom"/>
            <w:tcBorders>
              <w:bottom w:val="single" w:sz="8" w:color="454545"/>
            </w:tcBorders>
            <w:gridSpan w:val="2"/>
          </w:tcPr>
          <w:p>
            <w:pPr>
              <w:jc w:val="center"/>
              <w:spacing w:after="0"/>
              <w:rPr>
                <w:sz w:val="20"/>
                <w:szCs w:val="20"/>
                <w:color w:val="auto"/>
              </w:rPr>
            </w:pPr>
            <w:r>
              <w:rPr>
                <w:rFonts w:ascii="Arial" w:cs="Arial" w:eastAsia="Arial" w:hAnsi="Arial"/>
                <w:sz w:val="16"/>
                <w:szCs w:val="16"/>
                <w:color w:val="074A75"/>
              </w:rPr>
              <w:t>earnings ($)</w:t>
            </w:r>
            <w:r>
              <w:rPr>
                <w:rFonts w:ascii="Arial" w:cs="Arial" w:eastAsia="Arial" w:hAnsi="Arial"/>
                <w:sz w:val="21"/>
                <w:szCs w:val="21"/>
                <w:color w:val="074A75"/>
                <w:vertAlign w:val="superscript"/>
              </w:rPr>
              <w:t>5</w:t>
            </w:r>
          </w:p>
        </w:tc>
        <w:tc>
          <w:tcPr>
            <w:tcW w:w="300" w:type="dxa"/>
            <w:vAlign w:val="bottom"/>
            <w:tcBorders>
              <w:bottom w:val="single" w:sz="8" w:color="454545"/>
            </w:tcBorders>
          </w:tcPr>
          <w:p>
            <w:pPr>
              <w:spacing w:after="0"/>
              <w:rPr>
                <w:sz w:val="21"/>
                <w:szCs w:val="21"/>
                <w:color w:val="auto"/>
              </w:rPr>
            </w:pPr>
          </w:p>
        </w:tc>
        <w:tc>
          <w:tcPr>
            <w:tcW w:w="980" w:type="dxa"/>
            <w:vAlign w:val="bottom"/>
            <w:tcBorders>
              <w:bottom w:val="single" w:sz="8" w:color="454545"/>
            </w:tcBorders>
          </w:tcPr>
          <w:p>
            <w:pPr>
              <w:jc w:val="center"/>
              <w:ind w:right="207"/>
              <w:spacing w:after="0"/>
              <w:rPr>
                <w:sz w:val="20"/>
                <w:szCs w:val="20"/>
                <w:color w:val="auto"/>
              </w:rPr>
            </w:pPr>
            <w:r>
              <w:rPr>
                <w:rFonts w:ascii="Arial" w:cs="Arial" w:eastAsia="Arial" w:hAnsi="Arial"/>
                <w:sz w:val="16"/>
                <w:szCs w:val="16"/>
                <w:color w:val="074A75"/>
                <w:w w:val="94"/>
              </w:rPr>
              <w:t>($)</w:t>
            </w:r>
            <w:r>
              <w:rPr>
                <w:rFonts w:ascii="Arial" w:cs="Arial" w:eastAsia="Arial" w:hAnsi="Arial"/>
                <w:sz w:val="21"/>
                <w:szCs w:val="21"/>
                <w:color w:val="074A75"/>
                <w:w w:val="94"/>
                <w:vertAlign w:val="superscript"/>
              </w:rPr>
              <w:t>6</w:t>
            </w:r>
          </w:p>
        </w:tc>
        <w:tc>
          <w:tcPr>
            <w:tcW w:w="280" w:type="dxa"/>
            <w:vAlign w:val="bottom"/>
            <w:tcBorders>
              <w:bottom w:val="single" w:sz="8" w:color="454545"/>
            </w:tcBorders>
          </w:tcPr>
          <w:p>
            <w:pPr>
              <w:spacing w:after="0"/>
              <w:rPr>
                <w:sz w:val="21"/>
                <w:szCs w:val="21"/>
                <w:color w:val="auto"/>
              </w:rPr>
            </w:pPr>
          </w:p>
        </w:tc>
        <w:tc>
          <w:tcPr>
            <w:tcW w:w="1240" w:type="dxa"/>
            <w:vAlign w:val="bottom"/>
            <w:tcBorders>
              <w:bottom w:val="single" w:sz="8" w:color="454545"/>
            </w:tcBorders>
          </w:tcPr>
          <w:p>
            <w:pPr>
              <w:jc w:val="right"/>
              <w:ind w:right="208"/>
              <w:spacing w:after="0"/>
              <w:rPr>
                <w:sz w:val="20"/>
                <w:szCs w:val="20"/>
                <w:color w:val="auto"/>
              </w:rPr>
            </w:pPr>
            <w:r>
              <w:rPr>
                <w:rFonts w:ascii="Arial" w:cs="Arial" w:eastAsia="Arial" w:hAnsi="Arial"/>
                <w:sz w:val="16"/>
                <w:szCs w:val="16"/>
                <w:color w:val="074A75"/>
              </w:rPr>
              <w:t>Total ($)</w:t>
            </w:r>
          </w:p>
        </w:tc>
        <w:tc>
          <w:tcPr>
            <w:tcW w:w="0" w:type="dxa"/>
            <w:vAlign w:val="bottom"/>
          </w:tcPr>
          <w:p>
            <w:pPr>
              <w:spacing w:after="0"/>
              <w:rPr>
                <w:sz w:val="1"/>
                <w:szCs w:val="1"/>
                <w:color w:val="auto"/>
              </w:rPr>
            </w:pPr>
          </w:p>
        </w:tc>
      </w:tr>
      <w:tr>
        <w:trPr>
          <w:trHeight w:val="187"/>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James Dimon</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   1,500,000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5,000,000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28,000,000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40,185</w:t>
            </w:r>
          </w:p>
        </w:tc>
        <w:tc>
          <w:tcPr>
            <w:tcW w:w="300" w:type="dxa"/>
            <w:vAlign w:val="bottom"/>
          </w:tcPr>
          <w:p>
            <w:pPr>
              <w:jc w:val="right"/>
              <w:ind w:right="4"/>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553,595</w:t>
            </w:r>
          </w:p>
        </w:tc>
        <w:tc>
          <w:tcPr>
            <w:tcW w:w="280" w:type="dxa"/>
            <w:vAlign w:val="bottom"/>
          </w:tcPr>
          <w:p>
            <w:pPr>
              <w:ind w:left="40"/>
              <w:spacing w:after="0"/>
              <w:rPr>
                <w:sz w:val="20"/>
                <w:szCs w:val="20"/>
                <w:color w:val="auto"/>
              </w:rPr>
            </w:pPr>
            <w:r>
              <w:rPr>
                <w:rFonts w:ascii="Arial" w:cs="Arial" w:eastAsia="Arial" w:hAnsi="Arial"/>
                <w:sz w:val="9"/>
                <w:szCs w:val="9"/>
                <w:color w:val="auto"/>
              </w:rPr>
              <w:t>7</w:t>
            </w:r>
          </w:p>
        </w:tc>
        <w:tc>
          <w:tcPr>
            <w:tcW w:w="1240" w:type="dxa"/>
            <w:vAlign w:val="bottom"/>
          </w:tcPr>
          <w:p>
            <w:pPr>
              <w:jc w:val="right"/>
              <w:spacing w:after="0"/>
              <w:rPr>
                <w:sz w:val="20"/>
                <w:szCs w:val="20"/>
                <w:color w:val="auto"/>
              </w:rPr>
            </w:pPr>
            <w:r>
              <w:rPr>
                <w:rFonts w:ascii="Arial" w:cs="Arial" w:eastAsia="Arial" w:hAnsi="Arial"/>
                <w:sz w:val="14"/>
                <w:szCs w:val="14"/>
                <w:color w:val="auto"/>
              </w:rPr>
              <w:t>$   35,093,780</w:t>
            </w:r>
          </w:p>
        </w:tc>
        <w:tc>
          <w:tcPr>
            <w:tcW w:w="0" w:type="dxa"/>
            <w:vAlign w:val="bottom"/>
          </w:tcPr>
          <w:p>
            <w:pPr>
              <w:spacing w:after="0"/>
              <w:rPr>
                <w:sz w:val="1"/>
                <w:szCs w:val="1"/>
                <w:color w:val="auto"/>
              </w:rPr>
            </w:pPr>
          </w:p>
        </w:tc>
      </w:tr>
      <w:tr>
        <w:trPr>
          <w:trHeight w:val="190"/>
        </w:trPr>
        <w:tc>
          <w:tcPr>
            <w:tcW w:w="1620" w:type="dxa"/>
            <w:vAlign w:val="bottom"/>
          </w:tcPr>
          <w:p>
            <w:pPr>
              <w:ind w:left="20"/>
              <w:spacing w:after="0"/>
              <w:rPr>
                <w:sz w:val="20"/>
                <w:szCs w:val="20"/>
                <w:color w:val="auto"/>
              </w:rPr>
            </w:pPr>
            <w:r>
              <w:rPr>
                <w:rFonts w:ascii="Arial" w:cs="Arial" w:eastAsia="Arial" w:hAnsi="Arial"/>
                <w:sz w:val="14"/>
                <w:szCs w:val="14"/>
                <w:color w:val="auto"/>
              </w:rPr>
              <w:t>Chairman and CEO</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2022</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1,500,000</w:t>
            </w:r>
          </w:p>
        </w:tc>
        <w:tc>
          <w:tcPr>
            <w:tcW w:w="300" w:type="dxa"/>
            <w:vAlign w:val="bottom"/>
          </w:tcPr>
          <w:p>
            <w:pPr>
              <w:spacing w:after="0"/>
              <w:rPr>
                <w:sz w:val="16"/>
                <w:szCs w:val="16"/>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color w:val="auto"/>
              </w:rPr>
              <w:t>5,000,000</w:t>
            </w:r>
          </w:p>
        </w:tc>
        <w:tc>
          <w:tcPr>
            <w:tcW w:w="180" w:type="dxa"/>
            <w:vAlign w:val="bottom"/>
          </w:tcPr>
          <w:p>
            <w:pPr>
              <w:spacing w:after="0"/>
              <w:rPr>
                <w:sz w:val="16"/>
                <w:szCs w:val="16"/>
                <w:color w:val="auto"/>
              </w:rPr>
            </w:pPr>
          </w:p>
        </w:tc>
        <w:tc>
          <w:tcPr>
            <w:tcW w:w="1040" w:type="dxa"/>
            <w:vAlign w:val="bottom"/>
            <w:vMerge w:val="restart"/>
          </w:tcPr>
          <w:p>
            <w:pPr>
              <w:jc w:val="right"/>
              <w:ind w:right="27"/>
              <w:spacing w:after="0"/>
              <w:rPr>
                <w:sz w:val="20"/>
                <w:szCs w:val="20"/>
                <w:color w:val="auto"/>
              </w:rPr>
            </w:pPr>
            <w:r>
              <w:rPr>
                <w:rFonts w:ascii="Arial" w:cs="Arial" w:eastAsia="Arial" w:hAnsi="Arial"/>
                <w:sz w:val="14"/>
                <w:szCs w:val="14"/>
                <w:color w:val="auto"/>
              </w:rPr>
              <w:t>28,000,000</w:t>
            </w:r>
          </w:p>
        </w:tc>
        <w:tc>
          <w:tcPr>
            <w:tcW w:w="220" w:type="dxa"/>
            <w:vAlign w:val="bottom"/>
          </w:tcPr>
          <w:p>
            <w:pPr>
              <w:spacing w:after="0"/>
              <w:rPr>
                <w:sz w:val="16"/>
                <w:szCs w:val="16"/>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29,877</w:t>
            </w:r>
          </w:p>
        </w:tc>
        <w:tc>
          <w:tcPr>
            <w:tcW w:w="3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318,729</w:t>
            </w:r>
          </w:p>
        </w:tc>
        <w:tc>
          <w:tcPr>
            <w:tcW w:w="28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34,848,606</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1,500,000</w:t>
            </w:r>
          </w:p>
        </w:tc>
        <w:tc>
          <w:tcPr>
            <w:tcW w:w="300" w:type="dxa"/>
            <w:vAlign w:val="bottom"/>
          </w:tcPr>
          <w:p>
            <w:pPr>
              <w:spacing w:after="0"/>
              <w:rPr>
                <w:sz w:val="19"/>
                <w:szCs w:val="19"/>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5,000,000</w:t>
            </w:r>
          </w:p>
        </w:tc>
        <w:tc>
          <w:tcPr>
            <w:tcW w:w="180" w:type="dxa"/>
            <w:vAlign w:val="bottom"/>
          </w:tcPr>
          <w:p>
            <w:pPr>
              <w:spacing w:after="0"/>
              <w:rPr>
                <w:sz w:val="19"/>
                <w:szCs w:val="19"/>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25,000,000</w:t>
            </w:r>
          </w:p>
        </w:tc>
        <w:tc>
          <w:tcPr>
            <w:tcW w:w="220" w:type="dxa"/>
            <w:vAlign w:val="bottom"/>
          </w:tcPr>
          <w:p>
            <w:pPr>
              <w:spacing w:after="0"/>
              <w:rPr>
                <w:sz w:val="19"/>
                <w:szCs w:val="19"/>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52,620,000</w:t>
            </w:r>
          </w:p>
        </w:tc>
        <w:tc>
          <w:tcPr>
            <w:tcW w:w="280" w:type="dxa"/>
            <w:vAlign w:val="bottom"/>
          </w:tcPr>
          <w:p>
            <w:pPr>
              <w:spacing w:after="0"/>
              <w:rPr>
                <w:sz w:val="19"/>
                <w:szCs w:val="19"/>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25,486</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282,659</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84,428,145</w:t>
            </w:r>
          </w:p>
        </w:tc>
        <w:tc>
          <w:tcPr>
            <w:tcW w:w="0" w:type="dxa"/>
            <w:vAlign w:val="bottom"/>
          </w:tcPr>
          <w:p>
            <w:pPr>
              <w:spacing w:after="0"/>
              <w:rPr>
                <w:sz w:val="1"/>
                <w:szCs w:val="1"/>
                <w:color w:val="auto"/>
              </w:rPr>
            </w:pPr>
          </w:p>
        </w:tc>
      </w:tr>
      <w:tr>
        <w:trPr>
          <w:trHeight w:val="22"/>
        </w:trPr>
        <w:tc>
          <w:tcPr>
            <w:tcW w:w="162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620" w:type="dxa"/>
            <w:vAlign w:val="bottom"/>
          </w:tcPr>
          <w:p>
            <w:pPr>
              <w:ind w:left="20"/>
              <w:spacing w:after="0" w:line="187" w:lineRule="exact"/>
              <w:rPr>
                <w:sz w:val="20"/>
                <w:szCs w:val="20"/>
                <w:color w:val="auto"/>
              </w:rPr>
            </w:pPr>
            <w:r>
              <w:rPr>
                <w:rFonts w:ascii="Arial" w:cs="Arial" w:eastAsia="Arial" w:hAnsi="Arial"/>
                <w:sz w:val="14"/>
                <w:szCs w:val="14"/>
                <w:b w:val="1"/>
                <w:bCs w:val="1"/>
                <w:color w:val="auto"/>
              </w:rPr>
              <w:t>Daniel Pinto</w:t>
            </w:r>
            <w:r>
              <w:rPr>
                <w:rFonts w:ascii="Arial" w:cs="Arial" w:eastAsia="Arial" w:hAnsi="Arial"/>
                <w:sz w:val="18"/>
                <w:szCs w:val="18"/>
                <w:b w:val="1"/>
                <w:bCs w:val="1"/>
                <w:color w:val="auto"/>
                <w:vertAlign w:val="superscript"/>
              </w:rPr>
              <w:t>8</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1,500,000</w:t>
            </w:r>
          </w:p>
        </w:tc>
        <w:tc>
          <w:tcPr>
            <w:tcW w:w="30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5,000,000</w:t>
            </w:r>
          </w:p>
        </w:tc>
        <w:tc>
          <w:tcPr>
            <w:tcW w:w="180" w:type="dxa"/>
            <w:vAlign w:val="bottom"/>
          </w:tcPr>
          <w:p>
            <w:pPr>
              <w:spacing w:after="0"/>
              <w:rPr>
                <w:sz w:val="16"/>
                <w:szCs w:val="16"/>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22,000,000</w:t>
            </w:r>
          </w:p>
        </w:tc>
        <w:tc>
          <w:tcPr>
            <w:tcW w:w="220" w:type="dxa"/>
            <w:vAlign w:val="bottom"/>
          </w:tcPr>
          <w:p>
            <w:pPr>
              <w:spacing w:after="0"/>
              <w:rPr>
                <w:sz w:val="16"/>
                <w:szCs w:val="16"/>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97,037</w:t>
            </w:r>
          </w:p>
        </w:tc>
        <w:tc>
          <w:tcPr>
            <w:tcW w:w="280" w:type="dxa"/>
            <w:vAlign w:val="bottom"/>
          </w:tcPr>
          <w:p>
            <w:pPr>
              <w:ind w:left="40"/>
              <w:spacing w:after="0"/>
              <w:rPr>
                <w:sz w:val="20"/>
                <w:szCs w:val="20"/>
                <w:color w:val="auto"/>
              </w:rPr>
            </w:pPr>
            <w:r>
              <w:rPr>
                <w:rFonts w:ascii="Arial" w:cs="Arial" w:eastAsia="Arial" w:hAnsi="Arial"/>
                <w:sz w:val="9"/>
                <w:szCs w:val="9"/>
                <w:color w:val="auto"/>
              </w:rPr>
              <w:t>9</w:t>
            </w:r>
          </w:p>
        </w:tc>
        <w:tc>
          <w:tcPr>
            <w:tcW w:w="1240" w:type="dxa"/>
            <w:vAlign w:val="bottom"/>
          </w:tcPr>
          <w:p>
            <w:pPr>
              <w:jc w:val="right"/>
              <w:spacing w:after="0"/>
              <w:rPr>
                <w:sz w:val="20"/>
                <w:szCs w:val="20"/>
                <w:color w:val="auto"/>
              </w:rPr>
            </w:pPr>
            <w:r>
              <w:rPr>
                <w:rFonts w:ascii="Arial" w:cs="Arial" w:eastAsia="Arial" w:hAnsi="Arial"/>
                <w:sz w:val="14"/>
                <w:szCs w:val="14"/>
                <w:color w:val="auto"/>
              </w:rPr>
              <w:t>28,597,037</w:t>
            </w:r>
          </w:p>
        </w:tc>
        <w:tc>
          <w:tcPr>
            <w:tcW w:w="0" w:type="dxa"/>
            <w:vAlign w:val="bottom"/>
          </w:tcPr>
          <w:p>
            <w:pPr>
              <w:spacing w:after="0"/>
              <w:rPr>
                <w:sz w:val="1"/>
                <w:szCs w:val="1"/>
                <w:color w:val="auto"/>
              </w:rPr>
            </w:pPr>
          </w:p>
        </w:tc>
      </w:tr>
      <w:tr>
        <w:trPr>
          <w:trHeight w:val="176"/>
        </w:trPr>
        <w:tc>
          <w:tcPr>
            <w:tcW w:w="1620" w:type="dxa"/>
            <w:vAlign w:val="bottom"/>
          </w:tcPr>
          <w:p>
            <w:pPr>
              <w:ind w:left="20"/>
              <w:spacing w:after="0"/>
              <w:rPr>
                <w:sz w:val="20"/>
                <w:szCs w:val="20"/>
                <w:color w:val="auto"/>
              </w:rPr>
            </w:pPr>
            <w:r>
              <w:rPr>
                <w:rFonts w:ascii="Arial" w:cs="Arial" w:eastAsia="Arial" w:hAnsi="Arial"/>
                <w:sz w:val="14"/>
                <w:szCs w:val="14"/>
                <w:color w:val="auto"/>
              </w:rPr>
              <w:t>President and COO;</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2022</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1,500,000</w:t>
            </w:r>
          </w:p>
        </w:tc>
        <w:tc>
          <w:tcPr>
            <w:tcW w:w="300" w:type="dxa"/>
            <w:vAlign w:val="bottom"/>
          </w:tcPr>
          <w:p>
            <w:pPr>
              <w:spacing w:after="0"/>
              <w:rPr>
                <w:sz w:val="15"/>
                <w:szCs w:val="15"/>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color w:val="auto"/>
              </w:rPr>
              <w:t>5,000,000</w:t>
            </w:r>
          </w:p>
        </w:tc>
        <w:tc>
          <w:tcPr>
            <w:tcW w:w="180" w:type="dxa"/>
            <w:vAlign w:val="bottom"/>
          </w:tcPr>
          <w:p>
            <w:pPr>
              <w:spacing w:after="0"/>
              <w:rPr>
                <w:sz w:val="15"/>
                <w:szCs w:val="15"/>
                <w:color w:val="auto"/>
              </w:rPr>
            </w:pPr>
          </w:p>
        </w:tc>
        <w:tc>
          <w:tcPr>
            <w:tcW w:w="1040" w:type="dxa"/>
            <w:vAlign w:val="bottom"/>
            <w:vMerge w:val="restart"/>
          </w:tcPr>
          <w:p>
            <w:pPr>
              <w:jc w:val="right"/>
              <w:ind w:right="27"/>
              <w:spacing w:after="0"/>
              <w:rPr>
                <w:sz w:val="20"/>
                <w:szCs w:val="20"/>
                <w:color w:val="auto"/>
              </w:rPr>
            </w:pPr>
            <w:r>
              <w:rPr>
                <w:rFonts w:ascii="Arial" w:cs="Arial" w:eastAsia="Arial" w:hAnsi="Arial"/>
                <w:sz w:val="14"/>
                <w:szCs w:val="14"/>
                <w:color w:val="auto"/>
              </w:rPr>
              <w:t>19,444,052</w:t>
            </w:r>
          </w:p>
        </w:tc>
        <w:tc>
          <w:tcPr>
            <w:tcW w:w="220" w:type="dxa"/>
            <w:vAlign w:val="bottom"/>
          </w:tcPr>
          <w:p>
            <w:pPr>
              <w:spacing w:after="0"/>
              <w:rPr>
                <w:sz w:val="15"/>
                <w:szCs w:val="15"/>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662,401</w:t>
            </w: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26,606,453</w:t>
            </w:r>
          </w:p>
        </w:tc>
        <w:tc>
          <w:tcPr>
            <w:tcW w:w="0" w:type="dxa"/>
            <w:vAlign w:val="bottom"/>
          </w:tcPr>
          <w:p>
            <w:pPr>
              <w:spacing w:after="0"/>
              <w:rPr>
                <w:sz w:val="1"/>
                <w:szCs w:val="1"/>
                <w:color w:val="auto"/>
              </w:rPr>
            </w:pPr>
          </w:p>
        </w:tc>
      </w:tr>
      <w:tr>
        <w:trPr>
          <w:trHeight w:val="69"/>
        </w:trPr>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Former CEO, CIB</w:t>
            </w:r>
          </w:p>
        </w:tc>
        <w:tc>
          <w:tcPr>
            <w:tcW w:w="5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20" w:type="dxa"/>
            <w:vAlign w:val="bottom"/>
            <w:vMerge w:val="continue"/>
          </w:tcPr>
          <w:p>
            <w:pPr>
              <w:spacing w:after="0"/>
              <w:rPr>
                <w:sz w:val="10"/>
                <w:szCs w:val="10"/>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2021</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9,055,948</w:t>
            </w:r>
          </w:p>
        </w:tc>
        <w:tc>
          <w:tcPr>
            <w:tcW w:w="300" w:type="dxa"/>
            <w:vAlign w:val="bottom"/>
          </w:tcPr>
          <w:p>
            <w:pPr>
              <w:spacing w:after="0"/>
              <w:rPr>
                <w:sz w:val="10"/>
                <w:szCs w:val="10"/>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1040" w:type="dxa"/>
            <w:vAlign w:val="bottom"/>
            <w:vMerge w:val="restart"/>
          </w:tcPr>
          <w:p>
            <w:pPr>
              <w:jc w:val="right"/>
              <w:ind w:right="27"/>
              <w:spacing w:after="0"/>
              <w:rPr>
                <w:sz w:val="20"/>
                <w:szCs w:val="20"/>
                <w:color w:val="auto"/>
              </w:rPr>
            </w:pPr>
            <w:r>
              <w:rPr>
                <w:rFonts w:ascii="Arial" w:cs="Arial" w:eastAsia="Arial" w:hAnsi="Arial"/>
                <w:sz w:val="14"/>
                <w:szCs w:val="14"/>
                <w:color w:val="auto"/>
              </w:rPr>
              <w:t>16,259,710</w:t>
            </w:r>
          </w:p>
        </w:tc>
        <w:tc>
          <w:tcPr>
            <w:tcW w:w="220" w:type="dxa"/>
            <w:vAlign w:val="bottom"/>
          </w:tcPr>
          <w:p>
            <w:pPr>
              <w:spacing w:after="0"/>
              <w:rPr>
                <w:sz w:val="10"/>
                <w:szCs w:val="10"/>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27,862,500</w:t>
            </w:r>
          </w:p>
        </w:tc>
        <w:tc>
          <w:tcPr>
            <w:tcW w:w="280" w:type="dxa"/>
            <w:vAlign w:val="bottom"/>
          </w:tcPr>
          <w:p>
            <w:pPr>
              <w:spacing w:after="0"/>
              <w:rPr>
                <w:sz w:val="10"/>
                <w:szCs w:val="10"/>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151,089</w:t>
            </w:r>
          </w:p>
        </w:tc>
        <w:tc>
          <w:tcPr>
            <w:tcW w:w="2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53,329,247</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62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Mary Callahan Erdoes</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10,500,000</w:t>
            </w:r>
          </w:p>
        </w:tc>
        <w:tc>
          <w:tcPr>
            <w:tcW w:w="180" w:type="dxa"/>
            <w:vAlign w:val="bottom"/>
          </w:tcPr>
          <w:p>
            <w:pPr>
              <w:spacing w:after="0"/>
              <w:rPr>
                <w:sz w:val="16"/>
                <w:szCs w:val="16"/>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14,850,000</w:t>
            </w:r>
          </w:p>
        </w:tc>
        <w:tc>
          <w:tcPr>
            <w:tcW w:w="220" w:type="dxa"/>
            <w:vAlign w:val="bottom"/>
          </w:tcPr>
          <w:p>
            <w:pPr>
              <w:spacing w:after="0"/>
              <w:rPr>
                <w:sz w:val="16"/>
                <w:szCs w:val="16"/>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29,183</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ind w:left="40"/>
              <w:spacing w:after="0"/>
              <w:rPr>
                <w:sz w:val="20"/>
                <w:szCs w:val="20"/>
                <w:color w:val="auto"/>
              </w:rPr>
            </w:pPr>
            <w:r>
              <w:rPr>
                <w:rFonts w:ascii="Arial" w:cs="Arial" w:eastAsia="Arial" w:hAnsi="Arial"/>
                <w:sz w:val="9"/>
                <w:szCs w:val="9"/>
                <w:color w:val="auto"/>
              </w:rPr>
              <w:t>10</w:t>
            </w:r>
          </w:p>
        </w:tc>
        <w:tc>
          <w:tcPr>
            <w:tcW w:w="1240" w:type="dxa"/>
            <w:vAlign w:val="bottom"/>
          </w:tcPr>
          <w:p>
            <w:pPr>
              <w:jc w:val="right"/>
              <w:spacing w:after="0"/>
              <w:rPr>
                <w:sz w:val="20"/>
                <w:szCs w:val="20"/>
                <w:color w:val="auto"/>
              </w:rPr>
            </w:pPr>
            <w:r>
              <w:rPr>
                <w:rFonts w:ascii="Arial" w:cs="Arial" w:eastAsia="Arial" w:hAnsi="Arial"/>
                <w:sz w:val="14"/>
                <w:szCs w:val="14"/>
                <w:color w:val="auto"/>
              </w:rPr>
              <w:t>26,134,183</w:t>
            </w:r>
          </w:p>
        </w:tc>
        <w:tc>
          <w:tcPr>
            <w:tcW w:w="0" w:type="dxa"/>
            <w:vAlign w:val="bottom"/>
          </w:tcPr>
          <w:p>
            <w:pPr>
              <w:spacing w:after="0"/>
              <w:rPr>
                <w:sz w:val="1"/>
                <w:szCs w:val="1"/>
                <w:color w:val="auto"/>
              </w:rPr>
            </w:pPr>
          </w:p>
        </w:tc>
      </w:tr>
      <w:tr>
        <w:trPr>
          <w:trHeight w:val="190"/>
        </w:trPr>
        <w:tc>
          <w:tcPr>
            <w:tcW w:w="1620" w:type="dxa"/>
            <w:vAlign w:val="bottom"/>
          </w:tcPr>
          <w:p>
            <w:pPr>
              <w:ind w:left="20"/>
              <w:spacing w:after="0"/>
              <w:rPr>
                <w:sz w:val="20"/>
                <w:szCs w:val="20"/>
                <w:color w:val="auto"/>
              </w:rPr>
            </w:pPr>
            <w:r>
              <w:rPr>
                <w:rFonts w:ascii="Arial" w:cs="Arial" w:eastAsia="Arial" w:hAnsi="Arial"/>
                <w:sz w:val="14"/>
                <w:szCs w:val="14"/>
                <w:color w:val="auto"/>
              </w:rPr>
              <w:t>CEO, AWM</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2022</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6"/>
                <w:szCs w:val="16"/>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color w:val="auto"/>
              </w:rPr>
              <w:t>9,900,000</w:t>
            </w:r>
          </w:p>
        </w:tc>
        <w:tc>
          <w:tcPr>
            <w:tcW w:w="180" w:type="dxa"/>
            <w:vAlign w:val="bottom"/>
          </w:tcPr>
          <w:p>
            <w:pPr>
              <w:spacing w:after="0"/>
              <w:rPr>
                <w:sz w:val="16"/>
                <w:szCs w:val="16"/>
                <w:color w:val="auto"/>
              </w:rPr>
            </w:pPr>
          </w:p>
        </w:tc>
        <w:tc>
          <w:tcPr>
            <w:tcW w:w="1040" w:type="dxa"/>
            <w:vAlign w:val="bottom"/>
            <w:vMerge w:val="restart"/>
          </w:tcPr>
          <w:p>
            <w:pPr>
              <w:jc w:val="right"/>
              <w:ind w:right="27"/>
              <w:spacing w:after="0"/>
              <w:rPr>
                <w:sz w:val="20"/>
                <w:szCs w:val="20"/>
                <w:color w:val="auto"/>
              </w:rPr>
            </w:pPr>
            <w:r>
              <w:rPr>
                <w:rFonts w:ascii="Arial" w:cs="Arial" w:eastAsia="Arial" w:hAnsi="Arial"/>
                <w:sz w:val="14"/>
                <w:szCs w:val="14"/>
                <w:color w:val="auto"/>
              </w:rPr>
              <w:t>11,850,000</w:t>
            </w:r>
          </w:p>
        </w:tc>
        <w:tc>
          <w:tcPr>
            <w:tcW w:w="220" w:type="dxa"/>
            <w:vAlign w:val="bottom"/>
          </w:tcPr>
          <w:p>
            <w:pPr>
              <w:spacing w:after="0"/>
              <w:rPr>
                <w:sz w:val="16"/>
                <w:szCs w:val="16"/>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22,505,000</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9"/>
                <w:szCs w:val="19"/>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7,900,000</w:t>
            </w:r>
          </w:p>
        </w:tc>
        <w:tc>
          <w:tcPr>
            <w:tcW w:w="180" w:type="dxa"/>
            <w:vAlign w:val="bottom"/>
          </w:tcPr>
          <w:p>
            <w:pPr>
              <w:spacing w:after="0"/>
              <w:rPr>
                <w:sz w:val="19"/>
                <w:szCs w:val="19"/>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12,150,000</w:t>
            </w:r>
          </w:p>
        </w:tc>
        <w:tc>
          <w:tcPr>
            <w:tcW w:w="220" w:type="dxa"/>
            <w:vAlign w:val="bottom"/>
          </w:tcPr>
          <w:p>
            <w:pPr>
              <w:spacing w:after="0"/>
              <w:rPr>
                <w:sz w:val="19"/>
                <w:szCs w:val="19"/>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20,805,000</w:t>
            </w:r>
          </w:p>
        </w:tc>
        <w:tc>
          <w:tcPr>
            <w:tcW w:w="0" w:type="dxa"/>
            <w:vAlign w:val="bottom"/>
          </w:tcPr>
          <w:p>
            <w:pPr>
              <w:spacing w:after="0"/>
              <w:rPr>
                <w:sz w:val="1"/>
                <w:szCs w:val="1"/>
                <w:color w:val="auto"/>
              </w:rPr>
            </w:pPr>
          </w:p>
        </w:tc>
      </w:tr>
      <w:tr>
        <w:trPr>
          <w:trHeight w:val="22"/>
        </w:trPr>
        <w:tc>
          <w:tcPr>
            <w:tcW w:w="162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620" w:type="dxa"/>
            <w:vAlign w:val="bottom"/>
          </w:tcPr>
          <w:p>
            <w:pPr>
              <w:ind w:left="20"/>
              <w:spacing w:after="0" w:line="187" w:lineRule="exact"/>
              <w:rPr>
                <w:sz w:val="20"/>
                <w:szCs w:val="20"/>
                <w:color w:val="auto"/>
              </w:rPr>
            </w:pPr>
            <w:r>
              <w:rPr>
                <w:rFonts w:ascii="Arial" w:cs="Arial" w:eastAsia="Arial" w:hAnsi="Arial"/>
                <w:sz w:val="14"/>
                <w:szCs w:val="14"/>
                <w:b w:val="1"/>
                <w:bCs w:val="1"/>
                <w:color w:val="auto"/>
              </w:rPr>
              <w:t>Marianne Lake</w:t>
            </w:r>
            <w:r>
              <w:rPr>
                <w:rFonts w:ascii="Arial" w:cs="Arial" w:eastAsia="Arial" w:hAnsi="Arial"/>
                <w:sz w:val="18"/>
                <w:szCs w:val="18"/>
                <w:b w:val="1"/>
                <w:bCs w:val="1"/>
                <w:color w:val="auto"/>
                <w:vertAlign w:val="superscript"/>
              </w:rPr>
              <w:t>11</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7,100,000</w:t>
            </w:r>
          </w:p>
        </w:tc>
        <w:tc>
          <w:tcPr>
            <w:tcW w:w="180" w:type="dxa"/>
            <w:vAlign w:val="bottom"/>
          </w:tcPr>
          <w:p>
            <w:pPr>
              <w:spacing w:after="0"/>
              <w:rPr>
                <w:sz w:val="16"/>
                <w:szCs w:val="16"/>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10,050,000</w:t>
            </w:r>
          </w:p>
        </w:tc>
        <w:tc>
          <w:tcPr>
            <w:tcW w:w="220" w:type="dxa"/>
            <w:vAlign w:val="bottom"/>
          </w:tcPr>
          <w:p>
            <w:pPr>
              <w:spacing w:after="0"/>
              <w:rPr>
                <w:sz w:val="16"/>
                <w:szCs w:val="16"/>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75,015</w:t>
            </w:r>
          </w:p>
        </w:tc>
        <w:tc>
          <w:tcPr>
            <w:tcW w:w="280" w:type="dxa"/>
            <w:vAlign w:val="bottom"/>
          </w:tcPr>
          <w:p>
            <w:pPr>
              <w:ind w:left="40"/>
              <w:spacing w:after="0"/>
              <w:rPr>
                <w:sz w:val="20"/>
                <w:szCs w:val="20"/>
                <w:color w:val="auto"/>
              </w:rPr>
            </w:pPr>
            <w:r>
              <w:rPr>
                <w:rFonts w:ascii="Arial" w:cs="Arial" w:eastAsia="Arial" w:hAnsi="Arial"/>
                <w:sz w:val="9"/>
                <w:szCs w:val="9"/>
                <w:color w:val="auto"/>
              </w:rPr>
              <w:t>12</w:t>
            </w:r>
          </w:p>
        </w:tc>
        <w:tc>
          <w:tcPr>
            <w:tcW w:w="1240" w:type="dxa"/>
            <w:vAlign w:val="bottom"/>
          </w:tcPr>
          <w:p>
            <w:pPr>
              <w:jc w:val="right"/>
              <w:spacing w:after="0"/>
              <w:rPr>
                <w:sz w:val="20"/>
                <w:szCs w:val="20"/>
                <w:color w:val="auto"/>
              </w:rPr>
            </w:pPr>
            <w:r>
              <w:rPr>
                <w:rFonts w:ascii="Arial" w:cs="Arial" w:eastAsia="Arial" w:hAnsi="Arial"/>
                <w:sz w:val="14"/>
                <w:szCs w:val="14"/>
                <w:color w:val="auto"/>
              </w:rPr>
              <w:t>17,975,015</w:t>
            </w: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rPr>
                <w:sz w:val="20"/>
                <w:szCs w:val="20"/>
                <w:color w:val="auto"/>
              </w:rPr>
            </w:pPr>
            <w:r>
              <w:rPr>
                <w:rFonts w:ascii="Arial" w:cs="Arial" w:eastAsia="Arial" w:hAnsi="Arial"/>
                <w:sz w:val="14"/>
                <w:szCs w:val="14"/>
                <w:color w:val="auto"/>
              </w:rPr>
              <w:t>CEO, CCB</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2022</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5"/>
                <w:szCs w:val="15"/>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color w:val="auto"/>
              </w:rPr>
              <w:t>6,700,000</w:t>
            </w:r>
          </w:p>
        </w:tc>
        <w:tc>
          <w:tcPr>
            <w:tcW w:w="180" w:type="dxa"/>
            <w:vAlign w:val="bottom"/>
          </w:tcPr>
          <w:p>
            <w:pPr>
              <w:spacing w:after="0"/>
              <w:rPr>
                <w:sz w:val="15"/>
                <w:szCs w:val="15"/>
                <w:color w:val="auto"/>
              </w:rPr>
            </w:pPr>
          </w:p>
        </w:tc>
        <w:tc>
          <w:tcPr>
            <w:tcW w:w="1040" w:type="dxa"/>
            <w:vAlign w:val="bottom"/>
            <w:vMerge w:val="restart"/>
          </w:tcPr>
          <w:p>
            <w:pPr>
              <w:jc w:val="right"/>
              <w:ind w:right="27"/>
              <w:spacing w:after="0"/>
              <w:rPr>
                <w:sz w:val="20"/>
                <w:szCs w:val="20"/>
                <w:color w:val="auto"/>
              </w:rPr>
            </w:pPr>
            <w:r>
              <w:rPr>
                <w:rFonts w:ascii="Arial" w:cs="Arial" w:eastAsia="Arial" w:hAnsi="Arial"/>
                <w:sz w:val="14"/>
                <w:szCs w:val="14"/>
                <w:color w:val="auto"/>
              </w:rPr>
              <w:t>9,450,000</w:t>
            </w:r>
          </w:p>
        </w:tc>
        <w:tc>
          <w:tcPr>
            <w:tcW w:w="220" w:type="dxa"/>
            <w:vAlign w:val="bottom"/>
          </w:tcPr>
          <w:p>
            <w:pPr>
              <w:spacing w:after="0"/>
              <w:rPr>
                <w:sz w:val="15"/>
                <w:szCs w:val="15"/>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70,688</w:t>
            </w: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16,970,688</w:t>
            </w:r>
          </w:p>
        </w:tc>
        <w:tc>
          <w:tcPr>
            <w:tcW w:w="0" w:type="dxa"/>
            <w:vAlign w:val="bottom"/>
          </w:tcPr>
          <w:p>
            <w:pPr>
              <w:spacing w:after="0"/>
              <w:rPr>
                <w:sz w:val="1"/>
                <w:szCs w:val="1"/>
                <w:color w:val="auto"/>
              </w:rPr>
            </w:pPr>
          </w:p>
        </w:tc>
      </w:tr>
      <w:tr>
        <w:trPr>
          <w:trHeight w:val="190"/>
        </w:trPr>
        <w:tc>
          <w:tcPr>
            <w:tcW w:w="1620" w:type="dxa"/>
            <w:vAlign w:val="bottom"/>
          </w:tcPr>
          <w:p>
            <w:pPr>
              <w:ind w:left="20"/>
              <w:spacing w:after="0"/>
              <w:rPr>
                <w:sz w:val="20"/>
                <w:szCs w:val="20"/>
                <w:color w:val="auto"/>
              </w:rPr>
            </w:pPr>
            <w:r>
              <w:rPr>
                <w:rFonts w:ascii="Arial" w:cs="Arial" w:eastAsia="Arial" w:hAnsi="Arial"/>
                <w:sz w:val="14"/>
                <w:szCs w:val="14"/>
                <w:color w:val="auto"/>
              </w:rPr>
              <w:t>Former Co-CEO CCB</w:t>
            </w:r>
          </w:p>
        </w:tc>
        <w:tc>
          <w:tcPr>
            <w:tcW w:w="5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6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Jennifer Piepszak</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7,100,000</w:t>
            </w:r>
          </w:p>
        </w:tc>
        <w:tc>
          <w:tcPr>
            <w:tcW w:w="180" w:type="dxa"/>
            <w:vAlign w:val="bottom"/>
          </w:tcPr>
          <w:p>
            <w:pPr>
              <w:spacing w:after="0"/>
              <w:rPr>
                <w:sz w:val="16"/>
                <w:szCs w:val="16"/>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10,050,000</w:t>
            </w:r>
          </w:p>
        </w:tc>
        <w:tc>
          <w:tcPr>
            <w:tcW w:w="220" w:type="dxa"/>
            <w:vAlign w:val="bottom"/>
          </w:tcPr>
          <w:p>
            <w:pPr>
              <w:spacing w:after="0"/>
              <w:rPr>
                <w:sz w:val="16"/>
                <w:szCs w:val="16"/>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20,847</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ind w:left="40"/>
              <w:spacing w:after="0"/>
              <w:rPr>
                <w:sz w:val="20"/>
                <w:szCs w:val="20"/>
                <w:color w:val="auto"/>
              </w:rPr>
            </w:pPr>
            <w:r>
              <w:rPr>
                <w:rFonts w:ascii="Arial" w:cs="Arial" w:eastAsia="Arial" w:hAnsi="Arial"/>
                <w:sz w:val="9"/>
                <w:szCs w:val="9"/>
                <w:color w:val="auto"/>
              </w:rPr>
              <w:t>13</w:t>
            </w:r>
          </w:p>
        </w:tc>
        <w:tc>
          <w:tcPr>
            <w:tcW w:w="1240" w:type="dxa"/>
            <w:vAlign w:val="bottom"/>
          </w:tcPr>
          <w:p>
            <w:pPr>
              <w:jc w:val="right"/>
              <w:spacing w:after="0"/>
              <w:rPr>
                <w:sz w:val="20"/>
                <w:szCs w:val="20"/>
                <w:color w:val="auto"/>
              </w:rPr>
            </w:pPr>
            <w:r>
              <w:rPr>
                <w:rFonts w:ascii="Arial" w:cs="Arial" w:eastAsia="Arial" w:hAnsi="Arial"/>
                <w:sz w:val="14"/>
                <w:szCs w:val="14"/>
                <w:color w:val="auto"/>
              </w:rPr>
              <w:t>17,925,847</w:t>
            </w: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rPr>
                <w:sz w:val="20"/>
                <w:szCs w:val="20"/>
                <w:color w:val="auto"/>
              </w:rPr>
            </w:pPr>
            <w:r>
              <w:rPr>
                <w:rFonts w:ascii="Arial" w:cs="Arial" w:eastAsia="Arial" w:hAnsi="Arial"/>
                <w:sz w:val="14"/>
                <w:szCs w:val="14"/>
                <w:color w:val="auto"/>
              </w:rPr>
              <w:t>Co-CEO, CIB</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2022</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5"/>
                <w:szCs w:val="15"/>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color w:val="auto"/>
              </w:rPr>
              <w:t>6,700,000</w:t>
            </w:r>
          </w:p>
        </w:tc>
        <w:tc>
          <w:tcPr>
            <w:tcW w:w="180" w:type="dxa"/>
            <w:vAlign w:val="bottom"/>
          </w:tcPr>
          <w:p>
            <w:pPr>
              <w:spacing w:after="0"/>
              <w:rPr>
                <w:sz w:val="15"/>
                <w:szCs w:val="15"/>
                <w:color w:val="auto"/>
              </w:rPr>
            </w:pPr>
          </w:p>
        </w:tc>
        <w:tc>
          <w:tcPr>
            <w:tcW w:w="1040" w:type="dxa"/>
            <w:vAlign w:val="bottom"/>
            <w:vMerge w:val="restart"/>
          </w:tcPr>
          <w:p>
            <w:pPr>
              <w:jc w:val="right"/>
              <w:ind w:right="27"/>
              <w:spacing w:after="0"/>
              <w:rPr>
                <w:sz w:val="20"/>
                <w:szCs w:val="20"/>
                <w:color w:val="auto"/>
              </w:rPr>
            </w:pPr>
            <w:r>
              <w:rPr>
                <w:rFonts w:ascii="Arial" w:cs="Arial" w:eastAsia="Arial" w:hAnsi="Arial"/>
                <w:sz w:val="14"/>
                <w:szCs w:val="14"/>
                <w:color w:val="auto"/>
              </w:rPr>
              <w:t>9,450,000</w:t>
            </w:r>
          </w:p>
        </w:tc>
        <w:tc>
          <w:tcPr>
            <w:tcW w:w="220" w:type="dxa"/>
            <w:vAlign w:val="bottom"/>
          </w:tcPr>
          <w:p>
            <w:pPr>
              <w:spacing w:after="0"/>
              <w:rPr>
                <w:sz w:val="15"/>
                <w:szCs w:val="15"/>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16,905,000</w:t>
            </w:r>
          </w:p>
        </w:tc>
        <w:tc>
          <w:tcPr>
            <w:tcW w:w="0" w:type="dxa"/>
            <w:vAlign w:val="bottom"/>
          </w:tcPr>
          <w:p>
            <w:pPr>
              <w:spacing w:after="0"/>
              <w:rPr>
                <w:sz w:val="1"/>
                <w:szCs w:val="1"/>
                <w:color w:val="auto"/>
              </w:rPr>
            </w:pPr>
          </w:p>
        </w:tc>
      </w:tr>
      <w:tr>
        <w:trPr>
          <w:trHeight w:val="69"/>
        </w:trPr>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Former Co-CEO, CCB</w:t>
            </w:r>
          </w:p>
        </w:tc>
        <w:tc>
          <w:tcPr>
            <w:tcW w:w="5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620" w:type="dxa"/>
            <w:vAlign w:val="bottom"/>
            <w:vMerge w:val="continue"/>
          </w:tcPr>
          <w:p>
            <w:pPr>
              <w:spacing w:after="0"/>
              <w:rPr>
                <w:sz w:val="10"/>
                <w:szCs w:val="10"/>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2021</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0"/>
                <w:szCs w:val="10"/>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color w:val="auto"/>
              </w:rPr>
              <w:t>6,300,000</w:t>
            </w:r>
          </w:p>
        </w:tc>
        <w:tc>
          <w:tcPr>
            <w:tcW w:w="180" w:type="dxa"/>
            <w:vAlign w:val="bottom"/>
          </w:tcPr>
          <w:p>
            <w:pPr>
              <w:spacing w:after="0"/>
              <w:rPr>
                <w:sz w:val="10"/>
                <w:szCs w:val="10"/>
                <w:color w:val="auto"/>
              </w:rPr>
            </w:pPr>
          </w:p>
        </w:tc>
        <w:tc>
          <w:tcPr>
            <w:tcW w:w="1040" w:type="dxa"/>
            <w:vAlign w:val="bottom"/>
            <w:vMerge w:val="restart"/>
          </w:tcPr>
          <w:p>
            <w:pPr>
              <w:jc w:val="right"/>
              <w:ind w:right="27"/>
              <w:spacing w:after="0"/>
              <w:rPr>
                <w:sz w:val="20"/>
                <w:szCs w:val="20"/>
                <w:color w:val="auto"/>
              </w:rPr>
            </w:pPr>
            <w:r>
              <w:rPr>
                <w:rFonts w:ascii="Arial" w:cs="Arial" w:eastAsia="Arial" w:hAnsi="Arial"/>
                <w:sz w:val="14"/>
                <w:szCs w:val="14"/>
                <w:color w:val="auto"/>
              </w:rPr>
              <w:t>6,750,000</w:t>
            </w:r>
          </w:p>
        </w:tc>
        <w:tc>
          <w:tcPr>
            <w:tcW w:w="220" w:type="dxa"/>
            <w:vAlign w:val="bottom"/>
          </w:tcPr>
          <w:p>
            <w:pPr>
              <w:spacing w:after="0"/>
              <w:rPr>
                <w:sz w:val="10"/>
                <w:szCs w:val="10"/>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13,805,000</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Jeremy Barnum</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5,700,000</w:t>
            </w:r>
          </w:p>
        </w:tc>
        <w:tc>
          <w:tcPr>
            <w:tcW w:w="180" w:type="dxa"/>
            <w:vAlign w:val="bottom"/>
          </w:tcPr>
          <w:p>
            <w:pPr>
              <w:spacing w:after="0"/>
              <w:rPr>
                <w:sz w:val="16"/>
                <w:szCs w:val="16"/>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6,750,000</w:t>
            </w:r>
          </w:p>
        </w:tc>
        <w:tc>
          <w:tcPr>
            <w:tcW w:w="220" w:type="dxa"/>
            <w:vAlign w:val="bottom"/>
          </w:tcPr>
          <w:p>
            <w:pPr>
              <w:spacing w:after="0"/>
              <w:rPr>
                <w:sz w:val="16"/>
                <w:szCs w:val="16"/>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16,257</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ind w:left="40"/>
              <w:spacing w:after="0"/>
              <w:rPr>
                <w:sz w:val="20"/>
                <w:szCs w:val="20"/>
                <w:color w:val="auto"/>
              </w:rPr>
            </w:pPr>
            <w:r>
              <w:rPr>
                <w:rFonts w:ascii="Arial" w:cs="Arial" w:eastAsia="Arial" w:hAnsi="Arial"/>
                <w:sz w:val="9"/>
                <w:szCs w:val="9"/>
                <w:color w:val="auto"/>
              </w:rPr>
              <w:t>14</w:t>
            </w:r>
          </w:p>
        </w:tc>
        <w:tc>
          <w:tcPr>
            <w:tcW w:w="1240" w:type="dxa"/>
            <w:vAlign w:val="bottom"/>
          </w:tcPr>
          <w:p>
            <w:pPr>
              <w:jc w:val="right"/>
              <w:spacing w:after="0"/>
              <w:rPr>
                <w:sz w:val="20"/>
                <w:szCs w:val="20"/>
                <w:color w:val="auto"/>
              </w:rPr>
            </w:pPr>
            <w:r>
              <w:rPr>
                <w:rFonts w:ascii="Arial" w:cs="Arial" w:eastAsia="Arial" w:hAnsi="Arial"/>
                <w:sz w:val="14"/>
                <w:szCs w:val="14"/>
                <w:color w:val="auto"/>
              </w:rPr>
              <w:t>13,221,257</w:t>
            </w:r>
          </w:p>
        </w:tc>
        <w:tc>
          <w:tcPr>
            <w:tcW w:w="0" w:type="dxa"/>
            <w:vAlign w:val="bottom"/>
          </w:tcPr>
          <w:p>
            <w:pPr>
              <w:spacing w:after="0"/>
              <w:rPr>
                <w:sz w:val="1"/>
                <w:szCs w:val="1"/>
                <w:color w:val="auto"/>
              </w:rPr>
            </w:pPr>
          </w:p>
        </w:tc>
      </w:tr>
      <w:tr>
        <w:trPr>
          <w:trHeight w:val="190"/>
        </w:trPr>
        <w:tc>
          <w:tcPr>
            <w:tcW w:w="162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2022</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6"/>
                <w:szCs w:val="16"/>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color w:val="auto"/>
              </w:rPr>
              <w:t>4,500,000</w:t>
            </w:r>
          </w:p>
        </w:tc>
        <w:tc>
          <w:tcPr>
            <w:tcW w:w="180" w:type="dxa"/>
            <w:vAlign w:val="bottom"/>
          </w:tcPr>
          <w:p>
            <w:pPr>
              <w:spacing w:after="0"/>
              <w:rPr>
                <w:sz w:val="16"/>
                <w:szCs w:val="16"/>
                <w:color w:val="auto"/>
              </w:rPr>
            </w:pPr>
          </w:p>
        </w:tc>
        <w:tc>
          <w:tcPr>
            <w:tcW w:w="1040" w:type="dxa"/>
            <w:vAlign w:val="bottom"/>
            <w:vMerge w:val="restart"/>
          </w:tcPr>
          <w:p>
            <w:pPr>
              <w:jc w:val="right"/>
              <w:ind w:right="27"/>
              <w:spacing w:after="0"/>
              <w:rPr>
                <w:sz w:val="20"/>
                <w:szCs w:val="20"/>
                <w:color w:val="auto"/>
              </w:rPr>
            </w:pPr>
            <w:r>
              <w:rPr>
                <w:rFonts w:ascii="Arial" w:cs="Arial" w:eastAsia="Arial" w:hAnsi="Arial"/>
                <w:sz w:val="14"/>
                <w:szCs w:val="14"/>
                <w:color w:val="auto"/>
              </w:rPr>
              <w:t>5,583,750</w:t>
            </w:r>
          </w:p>
        </w:tc>
        <w:tc>
          <w:tcPr>
            <w:tcW w:w="220" w:type="dxa"/>
            <w:vAlign w:val="bottom"/>
          </w:tcPr>
          <w:p>
            <w:pPr>
              <w:spacing w:after="0"/>
              <w:rPr>
                <w:sz w:val="16"/>
                <w:szCs w:val="16"/>
                <w:color w:val="auto"/>
              </w:rPr>
            </w:pPr>
          </w:p>
        </w:tc>
        <w:tc>
          <w:tcPr>
            <w:tcW w:w="108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10,838,750</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693,750</w:t>
            </w:r>
          </w:p>
        </w:tc>
        <w:tc>
          <w:tcPr>
            <w:tcW w:w="300" w:type="dxa"/>
            <w:vAlign w:val="bottom"/>
          </w:tcPr>
          <w:p>
            <w:pPr>
              <w:spacing w:after="0"/>
              <w:rPr>
                <w:sz w:val="19"/>
                <w:szCs w:val="19"/>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3,722,500</w:t>
            </w:r>
          </w:p>
        </w:tc>
        <w:tc>
          <w:tcPr>
            <w:tcW w:w="180" w:type="dxa"/>
            <w:vAlign w:val="bottom"/>
          </w:tcPr>
          <w:p>
            <w:pPr>
              <w:spacing w:after="0"/>
              <w:rPr>
                <w:sz w:val="19"/>
                <w:szCs w:val="19"/>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2,450,000</w:t>
            </w:r>
          </w:p>
        </w:tc>
        <w:tc>
          <w:tcPr>
            <w:tcW w:w="220" w:type="dxa"/>
            <w:vAlign w:val="bottom"/>
          </w:tcPr>
          <w:p>
            <w:pPr>
              <w:spacing w:after="0"/>
              <w:rPr>
                <w:sz w:val="19"/>
                <w:szCs w:val="19"/>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6,871,250</w:t>
            </w:r>
          </w:p>
        </w:tc>
        <w:tc>
          <w:tcPr>
            <w:tcW w:w="0" w:type="dxa"/>
            <w:vAlign w:val="bottom"/>
          </w:tcPr>
          <w:p>
            <w:pPr>
              <w:spacing w:after="0"/>
              <w:rPr>
                <w:sz w:val="1"/>
                <w:szCs w:val="1"/>
                <w:color w:val="auto"/>
              </w:rPr>
            </w:pPr>
          </w:p>
        </w:tc>
      </w:tr>
      <w:tr>
        <w:trPr>
          <w:trHeight w:val="22"/>
        </w:trPr>
        <w:tc>
          <w:tcPr>
            <w:tcW w:w="162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00" w:hanging="192"/>
        <w:spacing w:after="0"/>
        <w:tabs>
          <w:tab w:leader="none" w:pos="200" w:val="left"/>
        </w:tabs>
        <w:numPr>
          <w:ilvl w:val="0"/>
          <w:numId w:val="227"/>
        </w:numPr>
        <w:rPr>
          <w:rFonts w:ascii="Arial" w:cs="Arial" w:eastAsia="Arial" w:hAnsi="Arial"/>
          <w:sz w:val="16"/>
          <w:szCs w:val="16"/>
          <w:color w:val="auto"/>
          <w:vertAlign w:val="superscript"/>
        </w:rPr>
      </w:pPr>
      <w:r>
        <w:rPr>
          <w:rFonts w:ascii="Arial" w:cs="Arial" w:eastAsia="Arial" w:hAnsi="Arial"/>
          <w:sz w:val="13"/>
          <w:szCs w:val="13"/>
          <w:color w:val="auto"/>
        </w:rPr>
        <w:t>Salary reflects the actual amount paid in each year.</w:t>
      </w:r>
    </w:p>
    <w:p>
      <w:pPr>
        <w:ind w:left="200" w:right="100" w:hanging="192"/>
        <w:spacing w:after="0" w:line="213" w:lineRule="auto"/>
        <w:tabs>
          <w:tab w:leader="none" w:pos="200" w:val="left"/>
        </w:tabs>
        <w:numPr>
          <w:ilvl w:val="0"/>
          <w:numId w:val="228"/>
        </w:numPr>
        <w:rPr>
          <w:rFonts w:ascii="Arial" w:cs="Arial" w:eastAsia="Arial" w:hAnsi="Arial"/>
          <w:sz w:val="16"/>
          <w:szCs w:val="16"/>
          <w:color w:val="auto"/>
          <w:vertAlign w:val="superscript"/>
        </w:rPr>
      </w:pPr>
      <w:r>
        <w:rPr>
          <w:rFonts w:ascii="Arial" w:cs="Arial" w:eastAsia="Arial" w:hAnsi="Arial"/>
          <w:sz w:val="13"/>
          <w:szCs w:val="13"/>
          <w:color w:val="auto"/>
        </w:rPr>
        <w:t>Includes amounts awarded, whether paid or deferred. Cash incentive compensation reflects compensation earned in connection with the performance year shown, which was awarded in January of the following year.</w:t>
      </w:r>
    </w:p>
    <w:p>
      <w:pPr>
        <w:spacing w:after="0" w:line="1" w:lineRule="exact"/>
        <w:rPr>
          <w:sz w:val="20"/>
          <w:szCs w:val="20"/>
          <w:color w:val="auto"/>
        </w:rPr>
      </w:pPr>
    </w:p>
    <w:p>
      <w:pPr>
        <w:ind w:left="200" w:right="140" w:hanging="192"/>
        <w:spacing w:after="0"/>
        <w:tabs>
          <w:tab w:leader="none" w:pos="200" w:val="left"/>
        </w:tabs>
        <w:numPr>
          <w:ilvl w:val="0"/>
          <w:numId w:val="229"/>
        </w:numPr>
        <w:rPr>
          <w:rFonts w:ascii="Arial" w:cs="Arial" w:eastAsia="Arial" w:hAnsi="Arial"/>
          <w:sz w:val="15"/>
          <w:szCs w:val="15"/>
          <w:color w:val="auto"/>
          <w:vertAlign w:val="superscript"/>
        </w:rPr>
      </w:pPr>
      <w:r>
        <w:rPr>
          <w:rFonts w:ascii="Arial" w:cs="Arial" w:eastAsia="Arial" w:hAnsi="Arial"/>
          <w:sz w:val="12"/>
          <w:szCs w:val="12"/>
          <w:color w:val="auto"/>
        </w:rPr>
        <w:t>Includes amounts awarded during the year shown. Amounts are the fair value on the grant date in accordance with applicable accounting guidance (i.e., at target for PSUs awarded in 2023). At the maximum level of performance, the value of PSUs awarded in 2023 would be: $42,000,000 for Mr. Dimon; $33,000,000 for Mr. Pinto; $11,137,500 for Ms. Erdoes; $7,537,500 for Ms. Lake;</w:t>
      </w:r>
    </w:p>
    <w:p>
      <w:pPr>
        <w:spacing w:after="0" w:line="1" w:lineRule="exact"/>
        <w:rPr>
          <w:sz w:val="20"/>
          <w:szCs w:val="20"/>
          <w:color w:val="auto"/>
        </w:rPr>
      </w:pPr>
    </w:p>
    <w:p>
      <w:pPr>
        <w:ind w:left="200" w:right="160"/>
        <w:spacing w:after="0" w:line="237" w:lineRule="auto"/>
        <w:rPr>
          <w:sz w:val="20"/>
          <w:szCs w:val="20"/>
          <w:color w:val="auto"/>
        </w:rPr>
      </w:pPr>
      <w:r>
        <w:rPr>
          <w:rFonts w:ascii="Arial" w:cs="Arial" w:eastAsia="Arial" w:hAnsi="Arial"/>
          <w:sz w:val="13"/>
          <w:szCs w:val="13"/>
          <w:color w:val="auto"/>
        </w:rPr>
        <w:t>$7,537,500 for Ms. Piepszak; and $5,062,500 for Mr. Barnum. The Firm’s accounting for employee stock-based incentives is described in Note 9 to the Firm’s Consolidated Financial Statements in the 2023 Annual Report on pages 225 - 226, which may be accessed on our website at jpmorganchase.com, under Investor Relations.</w:t>
      </w:r>
    </w:p>
    <w:p>
      <w:pPr>
        <w:spacing w:after="0" w:line="1" w:lineRule="exact"/>
        <w:rPr>
          <w:sz w:val="20"/>
          <w:szCs w:val="20"/>
          <w:color w:val="auto"/>
        </w:rPr>
      </w:pPr>
    </w:p>
    <w:p>
      <w:pPr>
        <w:ind w:left="200" w:right="120" w:hanging="192"/>
        <w:spacing w:after="0" w:line="231" w:lineRule="auto"/>
        <w:tabs>
          <w:tab w:leader="none" w:pos="200" w:val="left"/>
        </w:tabs>
        <w:numPr>
          <w:ilvl w:val="0"/>
          <w:numId w:val="230"/>
        </w:numPr>
        <w:rPr>
          <w:rFonts w:ascii="Arial" w:cs="Arial" w:eastAsia="Arial" w:hAnsi="Arial"/>
          <w:sz w:val="16"/>
          <w:szCs w:val="16"/>
          <w:color w:val="auto"/>
          <w:vertAlign w:val="superscript"/>
        </w:rPr>
      </w:pPr>
      <w:r>
        <w:rPr>
          <w:rFonts w:ascii="Arial" w:cs="Arial" w:eastAsia="Arial" w:hAnsi="Arial"/>
          <w:sz w:val="13"/>
          <w:szCs w:val="13"/>
          <w:color w:val="auto"/>
        </w:rPr>
        <w:t>In 2021, Messrs. Dimon and Pinto were granted special option awards in the form of SARs that were not part of their regular annual compensation and will not be awarded on a recurring basis. The special options were awarded at the fair value on the respective grant dates of each award. The grant date fair value was determined using the Black-Scholes valuation model. The assumptions at the time of grant, and the equivalent values as of December 31, 2021, 2022 and 2023, are reflected in the chart below:</w:t>
      </w:r>
    </w:p>
    <w:p>
      <w:pPr>
        <w:spacing w:after="0" w:line="4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720" w:type="dxa"/>
            <w:vAlign w:val="bottom"/>
            <w:gridSpan w:val="2"/>
          </w:tcPr>
          <w:p>
            <w:pPr>
              <w:ind w:left="1100"/>
              <w:spacing w:after="0"/>
              <w:rPr>
                <w:sz w:val="20"/>
                <w:szCs w:val="20"/>
                <w:color w:val="auto"/>
              </w:rPr>
            </w:pPr>
            <w:r>
              <w:rPr>
                <w:rFonts w:ascii="Arial" w:cs="Arial" w:eastAsia="Arial" w:hAnsi="Arial"/>
                <w:sz w:val="11"/>
                <w:szCs w:val="11"/>
                <w:color w:val="auto"/>
              </w:rPr>
              <w:t>Assumptions</w:t>
            </w:r>
          </w:p>
        </w:tc>
        <w:tc>
          <w:tcPr>
            <w:tcW w:w="1380" w:type="dxa"/>
            <w:vAlign w:val="bottom"/>
          </w:tcPr>
          <w:p>
            <w:pPr>
              <w:spacing w:after="0"/>
              <w:rPr>
                <w:sz w:val="12"/>
                <w:szCs w:val="12"/>
                <w:color w:val="auto"/>
              </w:rPr>
            </w:pPr>
          </w:p>
        </w:tc>
      </w:tr>
      <w:tr>
        <w:trPr>
          <w:trHeight w:val="33"/>
        </w:trPr>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Borders>
              <w:bottom w:val="single" w:sz="8" w:color="454545"/>
            </w:tcBorders>
          </w:tcPr>
          <w:p>
            <w:pPr>
              <w:spacing w:after="0"/>
              <w:rPr>
                <w:sz w:val="2"/>
                <w:szCs w:val="2"/>
                <w:color w:val="auto"/>
              </w:rPr>
            </w:pPr>
          </w:p>
        </w:tc>
        <w:tc>
          <w:tcPr>
            <w:tcW w:w="142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380" w:type="dxa"/>
            <w:vAlign w:val="bottom"/>
            <w:tcBorders>
              <w:bottom w:val="single" w:sz="8" w:color="454545"/>
            </w:tcBorders>
          </w:tcPr>
          <w:p>
            <w:pPr>
              <w:spacing w:after="0"/>
              <w:rPr>
                <w:sz w:val="2"/>
                <w:szCs w:val="2"/>
                <w:color w:val="auto"/>
              </w:rPr>
            </w:pPr>
          </w:p>
        </w:tc>
      </w:tr>
      <w:tr>
        <w:trPr>
          <w:trHeight w:val="129"/>
        </w:trPr>
        <w:tc>
          <w:tcPr>
            <w:tcW w:w="1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Arial" w:cs="Arial" w:eastAsia="Arial" w:hAnsi="Arial"/>
                <w:sz w:val="11"/>
                <w:szCs w:val="11"/>
                <w:color w:val="074A75"/>
                <w:w w:val="98"/>
              </w:rPr>
              <w:t>Expected annual dividend</w:t>
            </w:r>
          </w:p>
        </w:tc>
        <w:tc>
          <w:tcPr>
            <w:tcW w:w="1300" w:type="dxa"/>
            <w:vAlign w:val="bottom"/>
          </w:tcPr>
          <w:p>
            <w:pPr>
              <w:jc w:val="center"/>
              <w:spacing w:after="0"/>
              <w:rPr>
                <w:sz w:val="20"/>
                <w:szCs w:val="20"/>
                <w:color w:val="auto"/>
              </w:rPr>
            </w:pPr>
            <w:r>
              <w:rPr>
                <w:rFonts w:ascii="Arial" w:cs="Arial" w:eastAsia="Arial" w:hAnsi="Arial"/>
                <w:sz w:val="11"/>
                <w:szCs w:val="11"/>
                <w:color w:val="074A75"/>
                <w:w w:val="98"/>
              </w:rPr>
              <w:t>Expected common stock</w:t>
            </w:r>
          </w:p>
        </w:tc>
        <w:tc>
          <w:tcPr>
            <w:tcW w:w="1380" w:type="dxa"/>
            <w:vAlign w:val="bottom"/>
          </w:tcPr>
          <w:p>
            <w:pPr>
              <w:jc w:val="center"/>
              <w:spacing w:after="0"/>
              <w:rPr>
                <w:sz w:val="20"/>
                <w:szCs w:val="20"/>
                <w:color w:val="auto"/>
              </w:rPr>
            </w:pPr>
            <w:r>
              <w:rPr>
                <w:rFonts w:ascii="Arial" w:cs="Arial" w:eastAsia="Arial" w:hAnsi="Arial"/>
                <w:sz w:val="11"/>
                <w:szCs w:val="11"/>
                <w:color w:val="074A75"/>
                <w:w w:val="97"/>
              </w:rPr>
              <w:t>Remaining expected life in</w:t>
            </w:r>
          </w:p>
        </w:tc>
      </w:tr>
      <w:tr>
        <w:trPr>
          <w:trHeight w:val="142"/>
        </w:trPr>
        <w:tc>
          <w:tcPr>
            <w:tcW w:w="1240" w:type="dxa"/>
            <w:vAlign w:val="bottom"/>
          </w:tcPr>
          <w:p>
            <w:pPr>
              <w:ind w:left="20"/>
              <w:spacing w:after="0"/>
              <w:rPr>
                <w:sz w:val="20"/>
                <w:szCs w:val="20"/>
                <w:color w:val="auto"/>
              </w:rPr>
            </w:pPr>
            <w:r>
              <w:rPr>
                <w:rFonts w:ascii="Arial" w:cs="Arial" w:eastAsia="Arial" w:hAnsi="Arial"/>
                <w:sz w:val="11"/>
                <w:szCs w:val="11"/>
                <w:color w:val="074A75"/>
              </w:rPr>
              <w:t>Name</w:t>
            </w:r>
          </w:p>
        </w:tc>
        <w:tc>
          <w:tcPr>
            <w:tcW w:w="1380" w:type="dxa"/>
            <w:vAlign w:val="bottom"/>
          </w:tcPr>
          <w:p>
            <w:pPr>
              <w:ind w:left="560"/>
              <w:spacing w:after="0"/>
              <w:rPr>
                <w:sz w:val="20"/>
                <w:szCs w:val="20"/>
                <w:color w:val="auto"/>
              </w:rPr>
            </w:pPr>
            <w:r>
              <w:rPr>
                <w:rFonts w:ascii="Arial" w:cs="Arial" w:eastAsia="Arial" w:hAnsi="Arial"/>
                <w:sz w:val="11"/>
                <w:szCs w:val="11"/>
                <w:color w:val="074A75"/>
              </w:rPr>
              <w:t>As of date</w:t>
            </w:r>
          </w:p>
        </w:tc>
        <w:tc>
          <w:tcPr>
            <w:tcW w:w="1440" w:type="dxa"/>
            <w:vAlign w:val="bottom"/>
          </w:tcPr>
          <w:p>
            <w:pPr>
              <w:jc w:val="center"/>
              <w:ind w:left="6"/>
              <w:spacing w:after="0"/>
              <w:rPr>
                <w:sz w:val="20"/>
                <w:szCs w:val="20"/>
                <w:color w:val="auto"/>
              </w:rPr>
            </w:pPr>
            <w:r>
              <w:rPr>
                <w:rFonts w:ascii="Arial" w:cs="Arial" w:eastAsia="Arial" w:hAnsi="Arial"/>
                <w:sz w:val="11"/>
                <w:szCs w:val="11"/>
                <w:color w:val="074A75"/>
                <w:w w:val="98"/>
              </w:rPr>
              <w:t>Award strike price</w:t>
            </w:r>
          </w:p>
        </w:tc>
        <w:tc>
          <w:tcPr>
            <w:tcW w:w="1300" w:type="dxa"/>
            <w:vAlign w:val="bottom"/>
          </w:tcPr>
          <w:p>
            <w:pPr>
              <w:jc w:val="center"/>
              <w:spacing w:after="0"/>
              <w:rPr>
                <w:sz w:val="20"/>
                <w:szCs w:val="20"/>
                <w:color w:val="auto"/>
              </w:rPr>
            </w:pPr>
            <w:r>
              <w:rPr>
                <w:rFonts w:ascii="Arial" w:cs="Arial" w:eastAsia="Arial" w:hAnsi="Arial"/>
                <w:sz w:val="11"/>
                <w:szCs w:val="11"/>
                <w:color w:val="074A75"/>
                <w:w w:val="97"/>
              </w:rPr>
              <w:t>JPM stock price</w:t>
            </w:r>
          </w:p>
        </w:tc>
        <w:tc>
          <w:tcPr>
            <w:tcW w:w="1320" w:type="dxa"/>
            <w:vAlign w:val="bottom"/>
          </w:tcPr>
          <w:p>
            <w:pPr>
              <w:jc w:val="center"/>
              <w:ind w:left="6"/>
              <w:spacing w:after="0"/>
              <w:rPr>
                <w:sz w:val="20"/>
                <w:szCs w:val="20"/>
                <w:color w:val="auto"/>
              </w:rPr>
            </w:pPr>
            <w:r>
              <w:rPr>
                <w:rFonts w:ascii="Arial" w:cs="Arial" w:eastAsia="Arial" w:hAnsi="Arial"/>
                <w:sz w:val="11"/>
                <w:szCs w:val="11"/>
                <w:color w:val="074A75"/>
                <w:w w:val="97"/>
              </w:rPr>
              <w:t>Risk free interest rate</w:t>
            </w:r>
          </w:p>
        </w:tc>
        <w:tc>
          <w:tcPr>
            <w:tcW w:w="1420" w:type="dxa"/>
            <w:vAlign w:val="bottom"/>
          </w:tcPr>
          <w:p>
            <w:pPr>
              <w:jc w:val="center"/>
              <w:spacing w:after="0"/>
              <w:rPr>
                <w:sz w:val="20"/>
                <w:szCs w:val="20"/>
                <w:color w:val="auto"/>
              </w:rPr>
            </w:pPr>
            <w:r>
              <w:rPr>
                <w:rFonts w:ascii="Arial" w:cs="Arial" w:eastAsia="Arial" w:hAnsi="Arial"/>
                <w:sz w:val="11"/>
                <w:szCs w:val="11"/>
                <w:color w:val="074A75"/>
              </w:rPr>
              <w:t>yield</w:t>
            </w:r>
          </w:p>
        </w:tc>
        <w:tc>
          <w:tcPr>
            <w:tcW w:w="1300" w:type="dxa"/>
            <w:vAlign w:val="bottom"/>
          </w:tcPr>
          <w:p>
            <w:pPr>
              <w:jc w:val="center"/>
              <w:spacing w:after="0"/>
              <w:rPr>
                <w:sz w:val="20"/>
                <w:szCs w:val="20"/>
                <w:color w:val="auto"/>
              </w:rPr>
            </w:pPr>
            <w:r>
              <w:rPr>
                <w:rFonts w:ascii="Arial" w:cs="Arial" w:eastAsia="Arial" w:hAnsi="Arial"/>
                <w:sz w:val="11"/>
                <w:szCs w:val="11"/>
                <w:color w:val="074A75"/>
                <w:w w:val="99"/>
              </w:rPr>
              <w:t>price volatility</w:t>
            </w:r>
          </w:p>
        </w:tc>
        <w:tc>
          <w:tcPr>
            <w:tcW w:w="1380" w:type="dxa"/>
            <w:vAlign w:val="bottom"/>
          </w:tcPr>
          <w:p>
            <w:pPr>
              <w:jc w:val="center"/>
              <w:spacing w:after="0"/>
              <w:rPr>
                <w:sz w:val="20"/>
                <w:szCs w:val="20"/>
                <w:color w:val="auto"/>
              </w:rPr>
            </w:pPr>
            <w:r>
              <w:rPr>
                <w:rFonts w:ascii="Arial" w:cs="Arial" w:eastAsia="Arial" w:hAnsi="Arial"/>
                <w:sz w:val="11"/>
                <w:szCs w:val="11"/>
                <w:color w:val="074A75"/>
                <w:w w:val="96"/>
              </w:rPr>
              <w:t>years</w:t>
            </w:r>
          </w:p>
        </w:tc>
      </w:tr>
      <w:tr>
        <w:trPr>
          <w:trHeight w:val="33"/>
        </w:trPr>
        <w:tc>
          <w:tcPr>
            <w:tcW w:w="1240" w:type="dxa"/>
            <w:vAlign w:val="bottom"/>
            <w:tcBorders>
              <w:bottom w:val="single" w:sz="8" w:color="454545"/>
            </w:tcBorders>
          </w:tcPr>
          <w:p>
            <w:pPr>
              <w:spacing w:after="0"/>
              <w:rPr>
                <w:sz w:val="2"/>
                <w:szCs w:val="2"/>
                <w:color w:val="auto"/>
              </w:rPr>
            </w:pPr>
          </w:p>
        </w:tc>
        <w:tc>
          <w:tcPr>
            <w:tcW w:w="1380" w:type="dxa"/>
            <w:vAlign w:val="bottom"/>
            <w:tcBorders>
              <w:bottom w:val="single" w:sz="8" w:color="454545"/>
            </w:tcBorders>
          </w:tcPr>
          <w:p>
            <w:pPr>
              <w:spacing w:after="0"/>
              <w:rPr>
                <w:sz w:val="2"/>
                <w:szCs w:val="2"/>
                <w:color w:val="auto"/>
              </w:rPr>
            </w:pPr>
          </w:p>
        </w:tc>
        <w:tc>
          <w:tcPr>
            <w:tcW w:w="144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320" w:type="dxa"/>
            <w:vAlign w:val="bottom"/>
            <w:tcBorders>
              <w:bottom w:val="single" w:sz="8" w:color="454545"/>
            </w:tcBorders>
          </w:tcPr>
          <w:p>
            <w:pPr>
              <w:spacing w:after="0"/>
              <w:rPr>
                <w:sz w:val="2"/>
                <w:szCs w:val="2"/>
                <w:color w:val="auto"/>
              </w:rPr>
            </w:pPr>
          </w:p>
        </w:tc>
        <w:tc>
          <w:tcPr>
            <w:tcW w:w="142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380" w:type="dxa"/>
            <w:vAlign w:val="bottom"/>
            <w:tcBorders>
              <w:bottom w:val="single" w:sz="8" w:color="454545"/>
            </w:tcBorders>
          </w:tcPr>
          <w:p>
            <w:pPr>
              <w:spacing w:after="0"/>
              <w:rPr>
                <w:sz w:val="2"/>
                <w:szCs w:val="2"/>
                <w:color w:val="auto"/>
              </w:rPr>
            </w:pPr>
          </w:p>
        </w:tc>
      </w:tr>
      <w:tr>
        <w:trPr>
          <w:trHeight w:val="155"/>
        </w:trPr>
        <w:tc>
          <w:tcPr>
            <w:tcW w:w="1240" w:type="dxa"/>
            <w:vAlign w:val="bottom"/>
          </w:tcPr>
          <w:p>
            <w:pPr>
              <w:ind w:left="20"/>
              <w:spacing w:after="0"/>
              <w:rPr>
                <w:sz w:val="20"/>
                <w:szCs w:val="20"/>
                <w:color w:val="auto"/>
              </w:rPr>
            </w:pPr>
            <w:r>
              <w:rPr>
                <w:rFonts w:ascii="Arial" w:cs="Arial" w:eastAsia="Arial" w:hAnsi="Arial"/>
                <w:sz w:val="11"/>
                <w:szCs w:val="11"/>
                <w:b w:val="1"/>
                <w:bCs w:val="1"/>
                <w:color w:val="auto"/>
              </w:rPr>
              <w:t>James Dimon</w:t>
            </w:r>
          </w:p>
        </w:tc>
        <w:tc>
          <w:tcPr>
            <w:tcW w:w="1380" w:type="dxa"/>
            <w:vAlign w:val="bottom"/>
          </w:tcPr>
          <w:p>
            <w:pPr>
              <w:jc w:val="center"/>
              <w:ind w:left="166"/>
              <w:spacing w:after="0"/>
              <w:rPr>
                <w:sz w:val="20"/>
                <w:szCs w:val="20"/>
                <w:color w:val="auto"/>
              </w:rPr>
            </w:pPr>
            <w:r>
              <w:rPr>
                <w:rFonts w:ascii="Arial" w:cs="Arial" w:eastAsia="Arial" w:hAnsi="Arial"/>
                <w:sz w:val="11"/>
                <w:szCs w:val="11"/>
                <w:color w:val="auto"/>
                <w:w w:val="97"/>
              </w:rPr>
              <w:t>7/20/2021</w:t>
            </w:r>
          </w:p>
        </w:tc>
        <w:tc>
          <w:tcPr>
            <w:tcW w:w="1440" w:type="dxa"/>
            <w:vAlign w:val="bottom"/>
          </w:tcPr>
          <w:p>
            <w:pPr>
              <w:jc w:val="center"/>
              <w:ind w:left="6"/>
              <w:spacing w:after="0"/>
              <w:rPr>
                <w:sz w:val="20"/>
                <w:szCs w:val="20"/>
                <w:color w:val="auto"/>
              </w:rPr>
            </w:pPr>
            <w:r>
              <w:rPr>
                <w:rFonts w:ascii="Arial" w:cs="Arial" w:eastAsia="Arial" w:hAnsi="Arial"/>
                <w:sz w:val="11"/>
                <w:szCs w:val="11"/>
                <w:color w:val="auto"/>
                <w:w w:val="95"/>
              </w:rPr>
              <w:t>$148.73</w:t>
            </w:r>
          </w:p>
        </w:tc>
        <w:tc>
          <w:tcPr>
            <w:tcW w:w="1300" w:type="dxa"/>
            <w:vAlign w:val="bottom"/>
          </w:tcPr>
          <w:p>
            <w:pPr>
              <w:jc w:val="center"/>
              <w:spacing w:after="0"/>
              <w:rPr>
                <w:sz w:val="20"/>
                <w:szCs w:val="20"/>
                <w:color w:val="auto"/>
              </w:rPr>
            </w:pPr>
            <w:r>
              <w:rPr>
                <w:rFonts w:ascii="Arial" w:cs="Arial" w:eastAsia="Arial" w:hAnsi="Arial"/>
                <w:sz w:val="11"/>
                <w:szCs w:val="11"/>
                <w:color w:val="auto"/>
                <w:w w:val="95"/>
              </w:rPr>
              <w:t>$148.73</w:t>
            </w:r>
          </w:p>
        </w:tc>
        <w:tc>
          <w:tcPr>
            <w:tcW w:w="1320" w:type="dxa"/>
            <w:vAlign w:val="bottom"/>
          </w:tcPr>
          <w:p>
            <w:pPr>
              <w:jc w:val="center"/>
              <w:ind w:left="6"/>
              <w:spacing w:after="0"/>
              <w:rPr>
                <w:sz w:val="20"/>
                <w:szCs w:val="20"/>
                <w:color w:val="auto"/>
              </w:rPr>
            </w:pPr>
            <w:r>
              <w:rPr>
                <w:rFonts w:ascii="Arial" w:cs="Arial" w:eastAsia="Arial" w:hAnsi="Arial"/>
                <w:sz w:val="11"/>
                <w:szCs w:val="11"/>
                <w:color w:val="auto"/>
                <w:w w:val="96"/>
              </w:rPr>
              <w:t>1.23%</w:t>
            </w:r>
          </w:p>
        </w:tc>
        <w:tc>
          <w:tcPr>
            <w:tcW w:w="1420" w:type="dxa"/>
            <w:vAlign w:val="bottom"/>
          </w:tcPr>
          <w:p>
            <w:pPr>
              <w:jc w:val="center"/>
              <w:spacing w:after="0"/>
              <w:rPr>
                <w:sz w:val="20"/>
                <w:szCs w:val="20"/>
                <w:color w:val="auto"/>
              </w:rPr>
            </w:pPr>
            <w:r>
              <w:rPr>
                <w:rFonts w:ascii="Arial" w:cs="Arial" w:eastAsia="Arial" w:hAnsi="Arial"/>
                <w:sz w:val="11"/>
                <w:szCs w:val="11"/>
                <w:color w:val="auto"/>
              </w:rPr>
              <w:t>2.69%</w:t>
            </w:r>
          </w:p>
        </w:tc>
        <w:tc>
          <w:tcPr>
            <w:tcW w:w="1300" w:type="dxa"/>
            <w:vAlign w:val="bottom"/>
          </w:tcPr>
          <w:p>
            <w:pPr>
              <w:jc w:val="center"/>
              <w:spacing w:after="0"/>
              <w:rPr>
                <w:sz w:val="20"/>
                <w:szCs w:val="20"/>
                <w:color w:val="auto"/>
              </w:rPr>
            </w:pPr>
            <w:r>
              <w:rPr>
                <w:rFonts w:ascii="Arial" w:cs="Arial" w:eastAsia="Arial" w:hAnsi="Arial"/>
                <w:sz w:val="11"/>
                <w:szCs w:val="11"/>
                <w:color w:val="auto"/>
              </w:rPr>
              <w:t>27.49%</w:t>
            </w:r>
          </w:p>
        </w:tc>
        <w:tc>
          <w:tcPr>
            <w:tcW w:w="1380" w:type="dxa"/>
            <w:vAlign w:val="bottom"/>
          </w:tcPr>
          <w:p>
            <w:pPr>
              <w:jc w:val="center"/>
              <w:spacing w:after="0"/>
              <w:rPr>
                <w:sz w:val="20"/>
                <w:szCs w:val="20"/>
                <w:color w:val="auto"/>
              </w:rPr>
            </w:pPr>
            <w:r>
              <w:rPr>
                <w:rFonts w:ascii="Arial" w:cs="Arial" w:eastAsia="Arial" w:hAnsi="Arial"/>
                <w:sz w:val="11"/>
                <w:szCs w:val="11"/>
                <w:color w:val="auto"/>
                <w:w w:val="97"/>
              </w:rPr>
              <w:t>10</w:t>
            </w:r>
          </w:p>
        </w:tc>
      </w:tr>
      <w:tr>
        <w:trPr>
          <w:trHeight w:val="183"/>
        </w:trPr>
        <w:tc>
          <w:tcPr>
            <w:tcW w:w="1240" w:type="dxa"/>
            <w:vAlign w:val="bottom"/>
          </w:tcPr>
          <w:p>
            <w:pPr>
              <w:spacing w:after="0"/>
              <w:rPr>
                <w:sz w:val="15"/>
                <w:szCs w:val="15"/>
                <w:color w:val="auto"/>
              </w:rPr>
            </w:pPr>
          </w:p>
        </w:tc>
        <w:tc>
          <w:tcPr>
            <w:tcW w:w="1380" w:type="dxa"/>
            <w:vAlign w:val="bottom"/>
          </w:tcPr>
          <w:p>
            <w:pPr>
              <w:jc w:val="center"/>
              <w:ind w:left="146"/>
              <w:spacing w:after="0"/>
              <w:rPr>
                <w:sz w:val="20"/>
                <w:szCs w:val="20"/>
                <w:color w:val="auto"/>
              </w:rPr>
            </w:pPr>
            <w:r>
              <w:rPr>
                <w:rFonts w:ascii="Arial" w:cs="Arial" w:eastAsia="Arial" w:hAnsi="Arial"/>
                <w:sz w:val="11"/>
                <w:szCs w:val="11"/>
                <w:color w:val="auto"/>
                <w:w w:val="98"/>
              </w:rPr>
              <w:t>12/31/2021</w:t>
            </w:r>
          </w:p>
        </w:tc>
        <w:tc>
          <w:tcPr>
            <w:tcW w:w="1440" w:type="dxa"/>
            <w:vAlign w:val="bottom"/>
          </w:tcPr>
          <w:p>
            <w:pPr>
              <w:jc w:val="center"/>
              <w:ind w:left="6"/>
              <w:spacing w:after="0"/>
              <w:rPr>
                <w:sz w:val="20"/>
                <w:szCs w:val="20"/>
                <w:color w:val="auto"/>
              </w:rPr>
            </w:pPr>
            <w:r>
              <w:rPr>
                <w:rFonts w:ascii="Arial" w:cs="Arial" w:eastAsia="Arial" w:hAnsi="Arial"/>
                <w:sz w:val="11"/>
                <w:szCs w:val="11"/>
                <w:color w:val="auto"/>
                <w:w w:val="95"/>
              </w:rPr>
              <w:t>$148.73</w:t>
            </w:r>
          </w:p>
        </w:tc>
        <w:tc>
          <w:tcPr>
            <w:tcW w:w="1300" w:type="dxa"/>
            <w:vAlign w:val="bottom"/>
          </w:tcPr>
          <w:p>
            <w:pPr>
              <w:jc w:val="center"/>
              <w:spacing w:after="0"/>
              <w:rPr>
                <w:sz w:val="20"/>
                <w:szCs w:val="20"/>
                <w:color w:val="auto"/>
              </w:rPr>
            </w:pPr>
            <w:r>
              <w:rPr>
                <w:rFonts w:ascii="Arial" w:cs="Arial" w:eastAsia="Arial" w:hAnsi="Arial"/>
                <w:sz w:val="11"/>
                <w:szCs w:val="11"/>
                <w:color w:val="auto"/>
                <w:w w:val="95"/>
              </w:rPr>
              <w:t>$158.63</w:t>
            </w:r>
          </w:p>
        </w:tc>
        <w:tc>
          <w:tcPr>
            <w:tcW w:w="1320" w:type="dxa"/>
            <w:vAlign w:val="bottom"/>
          </w:tcPr>
          <w:p>
            <w:pPr>
              <w:jc w:val="center"/>
              <w:ind w:left="6"/>
              <w:spacing w:after="0"/>
              <w:rPr>
                <w:sz w:val="20"/>
                <w:szCs w:val="20"/>
                <w:color w:val="auto"/>
              </w:rPr>
            </w:pPr>
            <w:r>
              <w:rPr>
                <w:rFonts w:ascii="Arial" w:cs="Arial" w:eastAsia="Arial" w:hAnsi="Arial"/>
                <w:sz w:val="11"/>
                <w:szCs w:val="11"/>
                <w:color w:val="auto"/>
                <w:w w:val="96"/>
              </w:rPr>
              <w:t>1.52%</w:t>
            </w:r>
          </w:p>
        </w:tc>
        <w:tc>
          <w:tcPr>
            <w:tcW w:w="1420" w:type="dxa"/>
            <w:vAlign w:val="bottom"/>
          </w:tcPr>
          <w:p>
            <w:pPr>
              <w:jc w:val="center"/>
              <w:spacing w:after="0"/>
              <w:rPr>
                <w:sz w:val="20"/>
                <w:szCs w:val="20"/>
                <w:color w:val="auto"/>
              </w:rPr>
            </w:pPr>
            <w:r>
              <w:rPr>
                <w:rFonts w:ascii="Arial" w:cs="Arial" w:eastAsia="Arial" w:hAnsi="Arial"/>
                <w:sz w:val="11"/>
                <w:szCs w:val="11"/>
                <w:color w:val="auto"/>
              </w:rPr>
              <w:t>2.58%</w:t>
            </w:r>
          </w:p>
        </w:tc>
        <w:tc>
          <w:tcPr>
            <w:tcW w:w="1300" w:type="dxa"/>
            <w:vAlign w:val="bottom"/>
          </w:tcPr>
          <w:p>
            <w:pPr>
              <w:jc w:val="center"/>
              <w:spacing w:after="0"/>
              <w:rPr>
                <w:sz w:val="20"/>
                <w:szCs w:val="20"/>
                <w:color w:val="auto"/>
              </w:rPr>
            </w:pPr>
            <w:r>
              <w:rPr>
                <w:rFonts w:ascii="Arial" w:cs="Arial" w:eastAsia="Arial" w:hAnsi="Arial"/>
                <w:sz w:val="11"/>
                <w:szCs w:val="11"/>
                <w:color w:val="auto"/>
              </w:rPr>
              <w:t>26.23%</w:t>
            </w:r>
          </w:p>
        </w:tc>
        <w:tc>
          <w:tcPr>
            <w:tcW w:w="1380" w:type="dxa"/>
            <w:vAlign w:val="bottom"/>
          </w:tcPr>
          <w:p>
            <w:pPr>
              <w:jc w:val="center"/>
              <w:spacing w:after="0"/>
              <w:rPr>
                <w:sz w:val="20"/>
                <w:szCs w:val="20"/>
                <w:color w:val="auto"/>
              </w:rPr>
            </w:pPr>
            <w:r>
              <w:rPr>
                <w:rFonts w:ascii="Arial" w:cs="Arial" w:eastAsia="Arial" w:hAnsi="Arial"/>
                <w:sz w:val="11"/>
                <w:szCs w:val="11"/>
                <w:color w:val="auto"/>
                <w:w w:val="97"/>
              </w:rPr>
              <w:t>10</w:t>
            </w:r>
          </w:p>
        </w:tc>
      </w:tr>
      <w:tr>
        <w:trPr>
          <w:trHeight w:val="189"/>
        </w:trPr>
        <w:tc>
          <w:tcPr>
            <w:tcW w:w="1240" w:type="dxa"/>
            <w:vAlign w:val="bottom"/>
          </w:tcPr>
          <w:p>
            <w:pPr>
              <w:spacing w:after="0"/>
              <w:rPr>
                <w:sz w:val="16"/>
                <w:szCs w:val="16"/>
                <w:color w:val="auto"/>
              </w:rPr>
            </w:pPr>
          </w:p>
        </w:tc>
        <w:tc>
          <w:tcPr>
            <w:tcW w:w="1380" w:type="dxa"/>
            <w:vAlign w:val="bottom"/>
          </w:tcPr>
          <w:p>
            <w:pPr>
              <w:jc w:val="center"/>
              <w:ind w:left="146"/>
              <w:spacing w:after="0"/>
              <w:rPr>
                <w:sz w:val="20"/>
                <w:szCs w:val="20"/>
                <w:color w:val="auto"/>
              </w:rPr>
            </w:pPr>
            <w:r>
              <w:rPr>
                <w:rFonts w:ascii="Arial" w:cs="Arial" w:eastAsia="Arial" w:hAnsi="Arial"/>
                <w:sz w:val="11"/>
                <w:szCs w:val="11"/>
                <w:color w:val="auto"/>
                <w:w w:val="98"/>
              </w:rPr>
              <w:t>12/31/2022</w:t>
            </w:r>
          </w:p>
        </w:tc>
        <w:tc>
          <w:tcPr>
            <w:tcW w:w="1440" w:type="dxa"/>
            <w:vAlign w:val="bottom"/>
          </w:tcPr>
          <w:p>
            <w:pPr>
              <w:jc w:val="center"/>
              <w:ind w:left="6"/>
              <w:spacing w:after="0"/>
              <w:rPr>
                <w:sz w:val="20"/>
                <w:szCs w:val="20"/>
                <w:color w:val="auto"/>
              </w:rPr>
            </w:pPr>
            <w:r>
              <w:rPr>
                <w:rFonts w:ascii="Arial" w:cs="Arial" w:eastAsia="Arial" w:hAnsi="Arial"/>
                <w:sz w:val="11"/>
                <w:szCs w:val="11"/>
                <w:color w:val="auto"/>
                <w:w w:val="95"/>
              </w:rPr>
              <w:t>$148.73</w:t>
            </w:r>
          </w:p>
        </w:tc>
        <w:tc>
          <w:tcPr>
            <w:tcW w:w="1300" w:type="dxa"/>
            <w:vAlign w:val="bottom"/>
          </w:tcPr>
          <w:p>
            <w:pPr>
              <w:jc w:val="center"/>
              <w:spacing w:after="0"/>
              <w:rPr>
                <w:sz w:val="20"/>
                <w:szCs w:val="20"/>
                <w:color w:val="auto"/>
              </w:rPr>
            </w:pPr>
            <w:r>
              <w:rPr>
                <w:rFonts w:ascii="Arial" w:cs="Arial" w:eastAsia="Arial" w:hAnsi="Arial"/>
                <w:sz w:val="11"/>
                <w:szCs w:val="11"/>
                <w:color w:val="auto"/>
                <w:w w:val="95"/>
              </w:rPr>
              <w:t>$133.39</w:t>
            </w:r>
          </w:p>
        </w:tc>
        <w:tc>
          <w:tcPr>
            <w:tcW w:w="1320" w:type="dxa"/>
            <w:vAlign w:val="bottom"/>
          </w:tcPr>
          <w:p>
            <w:pPr>
              <w:jc w:val="center"/>
              <w:ind w:left="6"/>
              <w:spacing w:after="0"/>
              <w:rPr>
                <w:sz w:val="20"/>
                <w:szCs w:val="20"/>
                <w:color w:val="auto"/>
              </w:rPr>
            </w:pPr>
            <w:r>
              <w:rPr>
                <w:rFonts w:ascii="Arial" w:cs="Arial" w:eastAsia="Arial" w:hAnsi="Arial"/>
                <w:sz w:val="11"/>
                <w:szCs w:val="11"/>
                <w:color w:val="auto"/>
                <w:w w:val="96"/>
              </w:rPr>
              <w:t>3.88%</w:t>
            </w:r>
          </w:p>
        </w:tc>
        <w:tc>
          <w:tcPr>
            <w:tcW w:w="1420" w:type="dxa"/>
            <w:vAlign w:val="bottom"/>
          </w:tcPr>
          <w:p>
            <w:pPr>
              <w:jc w:val="center"/>
              <w:spacing w:after="0"/>
              <w:rPr>
                <w:sz w:val="20"/>
                <w:szCs w:val="20"/>
                <w:color w:val="auto"/>
              </w:rPr>
            </w:pPr>
            <w:r>
              <w:rPr>
                <w:rFonts w:ascii="Arial" w:cs="Arial" w:eastAsia="Arial" w:hAnsi="Arial"/>
                <w:sz w:val="11"/>
                <w:szCs w:val="11"/>
                <w:color w:val="auto"/>
              </w:rPr>
              <w:t>3.07%</w:t>
            </w:r>
          </w:p>
        </w:tc>
        <w:tc>
          <w:tcPr>
            <w:tcW w:w="1300" w:type="dxa"/>
            <w:vAlign w:val="bottom"/>
          </w:tcPr>
          <w:p>
            <w:pPr>
              <w:jc w:val="center"/>
              <w:spacing w:after="0"/>
              <w:rPr>
                <w:sz w:val="20"/>
                <w:szCs w:val="20"/>
                <w:color w:val="auto"/>
              </w:rPr>
            </w:pPr>
            <w:r>
              <w:rPr>
                <w:rFonts w:ascii="Arial" w:cs="Arial" w:eastAsia="Arial" w:hAnsi="Arial"/>
                <w:sz w:val="11"/>
                <w:szCs w:val="11"/>
                <w:color w:val="auto"/>
              </w:rPr>
              <w:t>29.02%</w:t>
            </w:r>
          </w:p>
        </w:tc>
        <w:tc>
          <w:tcPr>
            <w:tcW w:w="1380" w:type="dxa"/>
            <w:vAlign w:val="bottom"/>
          </w:tcPr>
          <w:p>
            <w:pPr>
              <w:jc w:val="center"/>
              <w:spacing w:after="0"/>
              <w:rPr>
                <w:sz w:val="20"/>
                <w:szCs w:val="20"/>
                <w:color w:val="auto"/>
              </w:rPr>
            </w:pPr>
            <w:r>
              <w:rPr>
                <w:rFonts w:ascii="Arial" w:cs="Arial" w:eastAsia="Arial" w:hAnsi="Arial"/>
                <w:sz w:val="11"/>
                <w:szCs w:val="11"/>
                <w:color w:val="auto"/>
                <w:w w:val="97"/>
              </w:rPr>
              <w:t>9</w:t>
            </w:r>
          </w:p>
        </w:tc>
      </w:tr>
      <w:tr>
        <w:trPr>
          <w:trHeight w:val="189"/>
        </w:trPr>
        <w:tc>
          <w:tcPr>
            <w:tcW w:w="1240" w:type="dxa"/>
            <w:vAlign w:val="bottom"/>
          </w:tcPr>
          <w:p>
            <w:pPr>
              <w:spacing w:after="0"/>
              <w:rPr>
                <w:sz w:val="16"/>
                <w:szCs w:val="16"/>
                <w:color w:val="auto"/>
              </w:rPr>
            </w:pPr>
          </w:p>
        </w:tc>
        <w:tc>
          <w:tcPr>
            <w:tcW w:w="1380" w:type="dxa"/>
            <w:vAlign w:val="bottom"/>
          </w:tcPr>
          <w:p>
            <w:pPr>
              <w:jc w:val="center"/>
              <w:ind w:left="146"/>
              <w:spacing w:after="0"/>
              <w:rPr>
                <w:sz w:val="20"/>
                <w:szCs w:val="20"/>
                <w:color w:val="auto"/>
              </w:rPr>
            </w:pPr>
            <w:r>
              <w:rPr>
                <w:rFonts w:ascii="Arial" w:cs="Arial" w:eastAsia="Arial" w:hAnsi="Arial"/>
                <w:sz w:val="11"/>
                <w:szCs w:val="11"/>
                <w:color w:val="auto"/>
                <w:w w:val="98"/>
              </w:rPr>
              <w:t>12/31/2023</w:t>
            </w:r>
          </w:p>
        </w:tc>
        <w:tc>
          <w:tcPr>
            <w:tcW w:w="1440" w:type="dxa"/>
            <w:vAlign w:val="bottom"/>
          </w:tcPr>
          <w:p>
            <w:pPr>
              <w:jc w:val="center"/>
              <w:ind w:left="6"/>
              <w:spacing w:after="0"/>
              <w:rPr>
                <w:sz w:val="20"/>
                <w:szCs w:val="20"/>
                <w:color w:val="auto"/>
              </w:rPr>
            </w:pPr>
            <w:r>
              <w:rPr>
                <w:rFonts w:ascii="Arial" w:cs="Arial" w:eastAsia="Arial" w:hAnsi="Arial"/>
                <w:sz w:val="11"/>
                <w:szCs w:val="11"/>
                <w:color w:val="auto"/>
                <w:w w:val="95"/>
              </w:rPr>
              <w:t>$148.73</w:t>
            </w:r>
          </w:p>
        </w:tc>
        <w:tc>
          <w:tcPr>
            <w:tcW w:w="1300" w:type="dxa"/>
            <w:vAlign w:val="bottom"/>
          </w:tcPr>
          <w:p>
            <w:pPr>
              <w:jc w:val="center"/>
              <w:spacing w:after="0"/>
              <w:rPr>
                <w:sz w:val="20"/>
                <w:szCs w:val="20"/>
                <w:color w:val="auto"/>
              </w:rPr>
            </w:pPr>
            <w:r>
              <w:rPr>
                <w:rFonts w:ascii="Arial" w:cs="Arial" w:eastAsia="Arial" w:hAnsi="Arial"/>
                <w:sz w:val="11"/>
                <w:szCs w:val="11"/>
                <w:color w:val="auto"/>
                <w:w w:val="95"/>
              </w:rPr>
              <w:t>$170.16</w:t>
            </w:r>
          </w:p>
        </w:tc>
        <w:tc>
          <w:tcPr>
            <w:tcW w:w="1320" w:type="dxa"/>
            <w:vAlign w:val="bottom"/>
          </w:tcPr>
          <w:p>
            <w:pPr>
              <w:jc w:val="center"/>
              <w:ind w:left="6"/>
              <w:spacing w:after="0"/>
              <w:rPr>
                <w:sz w:val="20"/>
                <w:szCs w:val="20"/>
                <w:color w:val="auto"/>
              </w:rPr>
            </w:pPr>
            <w:r>
              <w:rPr>
                <w:rFonts w:ascii="Arial" w:cs="Arial" w:eastAsia="Arial" w:hAnsi="Arial"/>
                <w:sz w:val="11"/>
                <w:szCs w:val="11"/>
                <w:color w:val="auto"/>
                <w:w w:val="96"/>
              </w:rPr>
              <w:t>3.88%</w:t>
            </w:r>
          </w:p>
        </w:tc>
        <w:tc>
          <w:tcPr>
            <w:tcW w:w="1420" w:type="dxa"/>
            <w:vAlign w:val="bottom"/>
          </w:tcPr>
          <w:p>
            <w:pPr>
              <w:jc w:val="center"/>
              <w:spacing w:after="0"/>
              <w:rPr>
                <w:sz w:val="20"/>
                <w:szCs w:val="20"/>
                <w:color w:val="auto"/>
              </w:rPr>
            </w:pPr>
            <w:r>
              <w:rPr>
                <w:rFonts w:ascii="Arial" w:cs="Arial" w:eastAsia="Arial" w:hAnsi="Arial"/>
                <w:sz w:val="11"/>
                <w:szCs w:val="11"/>
                <w:color w:val="auto"/>
              </w:rPr>
              <w:t>2.53%</w:t>
            </w:r>
          </w:p>
        </w:tc>
        <w:tc>
          <w:tcPr>
            <w:tcW w:w="1300" w:type="dxa"/>
            <w:vAlign w:val="bottom"/>
          </w:tcPr>
          <w:p>
            <w:pPr>
              <w:jc w:val="center"/>
              <w:spacing w:after="0"/>
              <w:rPr>
                <w:sz w:val="20"/>
                <w:szCs w:val="20"/>
                <w:color w:val="auto"/>
              </w:rPr>
            </w:pPr>
            <w:r>
              <w:rPr>
                <w:rFonts w:ascii="Arial" w:cs="Arial" w:eastAsia="Arial" w:hAnsi="Arial"/>
                <w:sz w:val="11"/>
                <w:szCs w:val="11"/>
                <w:color w:val="auto"/>
              </w:rPr>
              <w:t>24.51%</w:t>
            </w:r>
          </w:p>
        </w:tc>
        <w:tc>
          <w:tcPr>
            <w:tcW w:w="1380" w:type="dxa"/>
            <w:vAlign w:val="bottom"/>
          </w:tcPr>
          <w:p>
            <w:pPr>
              <w:jc w:val="center"/>
              <w:spacing w:after="0"/>
              <w:rPr>
                <w:sz w:val="20"/>
                <w:szCs w:val="20"/>
                <w:color w:val="auto"/>
              </w:rPr>
            </w:pPr>
            <w:r>
              <w:rPr>
                <w:rFonts w:ascii="Arial" w:cs="Arial" w:eastAsia="Arial" w:hAnsi="Arial"/>
                <w:sz w:val="11"/>
                <w:szCs w:val="11"/>
                <w:color w:val="auto"/>
                <w:w w:val="97"/>
              </w:rPr>
              <w:t>8</w:t>
            </w:r>
          </w:p>
        </w:tc>
      </w:tr>
      <w:tr>
        <w:trPr>
          <w:trHeight w:val="33"/>
        </w:trPr>
        <w:tc>
          <w:tcPr>
            <w:tcW w:w="1240" w:type="dxa"/>
            <w:vAlign w:val="bottom"/>
            <w:tcBorders>
              <w:bottom w:val="single" w:sz="8" w:color="454545"/>
            </w:tcBorders>
          </w:tcPr>
          <w:p>
            <w:pPr>
              <w:spacing w:after="0"/>
              <w:rPr>
                <w:sz w:val="2"/>
                <w:szCs w:val="2"/>
                <w:color w:val="auto"/>
              </w:rPr>
            </w:pPr>
          </w:p>
        </w:tc>
        <w:tc>
          <w:tcPr>
            <w:tcW w:w="1380" w:type="dxa"/>
            <w:vAlign w:val="bottom"/>
            <w:tcBorders>
              <w:bottom w:val="single" w:sz="8" w:color="454545"/>
            </w:tcBorders>
          </w:tcPr>
          <w:p>
            <w:pPr>
              <w:spacing w:after="0"/>
              <w:rPr>
                <w:sz w:val="2"/>
                <w:szCs w:val="2"/>
                <w:color w:val="auto"/>
              </w:rPr>
            </w:pPr>
          </w:p>
        </w:tc>
        <w:tc>
          <w:tcPr>
            <w:tcW w:w="144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320" w:type="dxa"/>
            <w:vAlign w:val="bottom"/>
            <w:tcBorders>
              <w:bottom w:val="single" w:sz="8" w:color="454545"/>
            </w:tcBorders>
          </w:tcPr>
          <w:p>
            <w:pPr>
              <w:spacing w:after="0"/>
              <w:rPr>
                <w:sz w:val="2"/>
                <w:szCs w:val="2"/>
                <w:color w:val="auto"/>
              </w:rPr>
            </w:pPr>
          </w:p>
        </w:tc>
        <w:tc>
          <w:tcPr>
            <w:tcW w:w="142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380" w:type="dxa"/>
            <w:vAlign w:val="bottom"/>
            <w:tcBorders>
              <w:bottom w:val="single" w:sz="8" w:color="454545"/>
            </w:tcBorders>
          </w:tcPr>
          <w:p>
            <w:pPr>
              <w:spacing w:after="0"/>
              <w:rPr>
                <w:sz w:val="2"/>
                <w:szCs w:val="2"/>
                <w:color w:val="auto"/>
              </w:rPr>
            </w:pPr>
          </w:p>
        </w:tc>
      </w:tr>
      <w:tr>
        <w:trPr>
          <w:trHeight w:val="155"/>
        </w:trPr>
        <w:tc>
          <w:tcPr>
            <w:tcW w:w="1240" w:type="dxa"/>
            <w:vAlign w:val="bottom"/>
          </w:tcPr>
          <w:p>
            <w:pPr>
              <w:ind w:left="20"/>
              <w:spacing w:after="0"/>
              <w:rPr>
                <w:sz w:val="20"/>
                <w:szCs w:val="20"/>
                <w:color w:val="auto"/>
              </w:rPr>
            </w:pPr>
            <w:r>
              <w:rPr>
                <w:rFonts w:ascii="Arial" w:cs="Arial" w:eastAsia="Arial" w:hAnsi="Arial"/>
                <w:sz w:val="11"/>
                <w:szCs w:val="11"/>
                <w:b w:val="1"/>
                <w:bCs w:val="1"/>
                <w:color w:val="auto"/>
              </w:rPr>
              <w:t>Daniel Pinto</w:t>
            </w:r>
          </w:p>
        </w:tc>
        <w:tc>
          <w:tcPr>
            <w:tcW w:w="1380" w:type="dxa"/>
            <w:vAlign w:val="bottom"/>
          </w:tcPr>
          <w:p>
            <w:pPr>
              <w:jc w:val="center"/>
              <w:ind w:left="146"/>
              <w:spacing w:after="0"/>
              <w:rPr>
                <w:sz w:val="20"/>
                <w:szCs w:val="20"/>
                <w:color w:val="auto"/>
              </w:rPr>
            </w:pPr>
            <w:r>
              <w:rPr>
                <w:rFonts w:ascii="Arial" w:cs="Arial" w:eastAsia="Arial" w:hAnsi="Arial"/>
                <w:sz w:val="11"/>
                <w:szCs w:val="11"/>
                <w:color w:val="auto"/>
                <w:w w:val="98"/>
              </w:rPr>
              <w:t>12/14/2021</w:t>
            </w:r>
          </w:p>
        </w:tc>
        <w:tc>
          <w:tcPr>
            <w:tcW w:w="1440" w:type="dxa"/>
            <w:vAlign w:val="bottom"/>
          </w:tcPr>
          <w:p>
            <w:pPr>
              <w:jc w:val="center"/>
              <w:ind w:left="6"/>
              <w:spacing w:after="0"/>
              <w:rPr>
                <w:sz w:val="20"/>
                <w:szCs w:val="20"/>
                <w:color w:val="auto"/>
              </w:rPr>
            </w:pPr>
            <w:r>
              <w:rPr>
                <w:rFonts w:ascii="Arial" w:cs="Arial" w:eastAsia="Arial" w:hAnsi="Arial"/>
                <w:sz w:val="11"/>
                <w:szCs w:val="11"/>
                <w:color w:val="auto"/>
                <w:w w:val="95"/>
              </w:rPr>
              <w:t>$159.10</w:t>
            </w:r>
          </w:p>
        </w:tc>
        <w:tc>
          <w:tcPr>
            <w:tcW w:w="1300" w:type="dxa"/>
            <w:vAlign w:val="bottom"/>
          </w:tcPr>
          <w:p>
            <w:pPr>
              <w:jc w:val="center"/>
              <w:spacing w:after="0"/>
              <w:rPr>
                <w:sz w:val="20"/>
                <w:szCs w:val="20"/>
                <w:color w:val="auto"/>
              </w:rPr>
            </w:pPr>
            <w:r>
              <w:rPr>
                <w:rFonts w:ascii="Arial" w:cs="Arial" w:eastAsia="Arial" w:hAnsi="Arial"/>
                <w:sz w:val="11"/>
                <w:szCs w:val="11"/>
                <w:color w:val="auto"/>
                <w:w w:val="95"/>
              </w:rPr>
              <w:t>$159.10</w:t>
            </w:r>
          </w:p>
        </w:tc>
        <w:tc>
          <w:tcPr>
            <w:tcW w:w="1320" w:type="dxa"/>
            <w:vAlign w:val="bottom"/>
          </w:tcPr>
          <w:p>
            <w:pPr>
              <w:jc w:val="center"/>
              <w:ind w:left="6"/>
              <w:spacing w:after="0"/>
              <w:rPr>
                <w:sz w:val="20"/>
                <w:szCs w:val="20"/>
                <w:color w:val="auto"/>
              </w:rPr>
            </w:pPr>
            <w:r>
              <w:rPr>
                <w:rFonts w:ascii="Arial" w:cs="Arial" w:eastAsia="Arial" w:hAnsi="Arial"/>
                <w:sz w:val="11"/>
                <w:szCs w:val="11"/>
                <w:color w:val="auto"/>
                <w:w w:val="96"/>
              </w:rPr>
              <w:t>1.44%</w:t>
            </w:r>
          </w:p>
        </w:tc>
        <w:tc>
          <w:tcPr>
            <w:tcW w:w="1420" w:type="dxa"/>
            <w:vAlign w:val="bottom"/>
          </w:tcPr>
          <w:p>
            <w:pPr>
              <w:jc w:val="center"/>
              <w:spacing w:after="0"/>
              <w:rPr>
                <w:sz w:val="20"/>
                <w:szCs w:val="20"/>
                <w:color w:val="auto"/>
              </w:rPr>
            </w:pPr>
            <w:r>
              <w:rPr>
                <w:rFonts w:ascii="Arial" w:cs="Arial" w:eastAsia="Arial" w:hAnsi="Arial"/>
                <w:sz w:val="11"/>
                <w:szCs w:val="11"/>
                <w:color w:val="auto"/>
              </w:rPr>
              <w:t>2.51%</w:t>
            </w:r>
          </w:p>
        </w:tc>
        <w:tc>
          <w:tcPr>
            <w:tcW w:w="1300" w:type="dxa"/>
            <w:vAlign w:val="bottom"/>
          </w:tcPr>
          <w:p>
            <w:pPr>
              <w:jc w:val="center"/>
              <w:spacing w:after="0"/>
              <w:rPr>
                <w:sz w:val="20"/>
                <w:szCs w:val="20"/>
                <w:color w:val="auto"/>
              </w:rPr>
            </w:pPr>
            <w:r>
              <w:rPr>
                <w:rFonts w:ascii="Arial" w:cs="Arial" w:eastAsia="Arial" w:hAnsi="Arial"/>
                <w:sz w:val="11"/>
                <w:szCs w:val="11"/>
                <w:color w:val="auto"/>
              </w:rPr>
              <w:t>25.76%</w:t>
            </w:r>
          </w:p>
        </w:tc>
        <w:tc>
          <w:tcPr>
            <w:tcW w:w="1380" w:type="dxa"/>
            <w:vAlign w:val="bottom"/>
          </w:tcPr>
          <w:p>
            <w:pPr>
              <w:jc w:val="center"/>
              <w:spacing w:after="0"/>
              <w:rPr>
                <w:sz w:val="20"/>
                <w:szCs w:val="20"/>
                <w:color w:val="auto"/>
              </w:rPr>
            </w:pPr>
            <w:r>
              <w:rPr>
                <w:rFonts w:ascii="Arial" w:cs="Arial" w:eastAsia="Arial" w:hAnsi="Arial"/>
                <w:sz w:val="11"/>
                <w:szCs w:val="11"/>
                <w:color w:val="auto"/>
                <w:w w:val="97"/>
              </w:rPr>
              <w:t>10</w:t>
            </w:r>
          </w:p>
        </w:tc>
      </w:tr>
      <w:tr>
        <w:trPr>
          <w:trHeight w:val="183"/>
        </w:trPr>
        <w:tc>
          <w:tcPr>
            <w:tcW w:w="1240" w:type="dxa"/>
            <w:vAlign w:val="bottom"/>
          </w:tcPr>
          <w:p>
            <w:pPr>
              <w:spacing w:after="0"/>
              <w:rPr>
                <w:sz w:val="15"/>
                <w:szCs w:val="15"/>
                <w:color w:val="auto"/>
              </w:rPr>
            </w:pPr>
          </w:p>
        </w:tc>
        <w:tc>
          <w:tcPr>
            <w:tcW w:w="1380" w:type="dxa"/>
            <w:vAlign w:val="bottom"/>
          </w:tcPr>
          <w:p>
            <w:pPr>
              <w:jc w:val="center"/>
              <w:ind w:left="146"/>
              <w:spacing w:after="0"/>
              <w:rPr>
                <w:sz w:val="20"/>
                <w:szCs w:val="20"/>
                <w:color w:val="auto"/>
              </w:rPr>
            </w:pPr>
            <w:r>
              <w:rPr>
                <w:rFonts w:ascii="Arial" w:cs="Arial" w:eastAsia="Arial" w:hAnsi="Arial"/>
                <w:sz w:val="11"/>
                <w:szCs w:val="11"/>
                <w:color w:val="auto"/>
                <w:w w:val="98"/>
              </w:rPr>
              <w:t>12/31/2021</w:t>
            </w:r>
          </w:p>
        </w:tc>
        <w:tc>
          <w:tcPr>
            <w:tcW w:w="1440" w:type="dxa"/>
            <w:vAlign w:val="bottom"/>
          </w:tcPr>
          <w:p>
            <w:pPr>
              <w:jc w:val="center"/>
              <w:ind w:left="6"/>
              <w:spacing w:after="0"/>
              <w:rPr>
                <w:sz w:val="20"/>
                <w:szCs w:val="20"/>
                <w:color w:val="auto"/>
              </w:rPr>
            </w:pPr>
            <w:r>
              <w:rPr>
                <w:rFonts w:ascii="Arial" w:cs="Arial" w:eastAsia="Arial" w:hAnsi="Arial"/>
                <w:sz w:val="11"/>
                <w:szCs w:val="11"/>
                <w:color w:val="auto"/>
                <w:w w:val="95"/>
              </w:rPr>
              <w:t>$159.10</w:t>
            </w:r>
          </w:p>
        </w:tc>
        <w:tc>
          <w:tcPr>
            <w:tcW w:w="1300" w:type="dxa"/>
            <w:vAlign w:val="bottom"/>
          </w:tcPr>
          <w:p>
            <w:pPr>
              <w:jc w:val="center"/>
              <w:spacing w:after="0"/>
              <w:rPr>
                <w:sz w:val="20"/>
                <w:szCs w:val="20"/>
                <w:color w:val="auto"/>
              </w:rPr>
            </w:pPr>
            <w:r>
              <w:rPr>
                <w:rFonts w:ascii="Arial" w:cs="Arial" w:eastAsia="Arial" w:hAnsi="Arial"/>
                <w:sz w:val="11"/>
                <w:szCs w:val="11"/>
                <w:color w:val="auto"/>
                <w:w w:val="95"/>
              </w:rPr>
              <w:t>$158.63</w:t>
            </w:r>
          </w:p>
        </w:tc>
        <w:tc>
          <w:tcPr>
            <w:tcW w:w="1320" w:type="dxa"/>
            <w:vAlign w:val="bottom"/>
          </w:tcPr>
          <w:p>
            <w:pPr>
              <w:jc w:val="center"/>
              <w:ind w:left="6"/>
              <w:spacing w:after="0"/>
              <w:rPr>
                <w:sz w:val="20"/>
                <w:szCs w:val="20"/>
                <w:color w:val="auto"/>
              </w:rPr>
            </w:pPr>
            <w:r>
              <w:rPr>
                <w:rFonts w:ascii="Arial" w:cs="Arial" w:eastAsia="Arial" w:hAnsi="Arial"/>
                <w:sz w:val="11"/>
                <w:szCs w:val="11"/>
                <w:color w:val="auto"/>
                <w:w w:val="96"/>
              </w:rPr>
              <w:t>1.52%</w:t>
            </w:r>
          </w:p>
        </w:tc>
        <w:tc>
          <w:tcPr>
            <w:tcW w:w="1420" w:type="dxa"/>
            <w:vAlign w:val="bottom"/>
          </w:tcPr>
          <w:p>
            <w:pPr>
              <w:jc w:val="center"/>
              <w:spacing w:after="0"/>
              <w:rPr>
                <w:sz w:val="20"/>
                <w:szCs w:val="20"/>
                <w:color w:val="auto"/>
              </w:rPr>
            </w:pPr>
            <w:r>
              <w:rPr>
                <w:rFonts w:ascii="Arial" w:cs="Arial" w:eastAsia="Arial" w:hAnsi="Arial"/>
                <w:sz w:val="11"/>
                <w:szCs w:val="11"/>
                <w:color w:val="auto"/>
              </w:rPr>
              <w:t>2.54%</w:t>
            </w:r>
          </w:p>
        </w:tc>
        <w:tc>
          <w:tcPr>
            <w:tcW w:w="1300" w:type="dxa"/>
            <w:vAlign w:val="bottom"/>
          </w:tcPr>
          <w:p>
            <w:pPr>
              <w:jc w:val="center"/>
              <w:spacing w:after="0"/>
              <w:rPr>
                <w:sz w:val="20"/>
                <w:szCs w:val="20"/>
                <w:color w:val="auto"/>
              </w:rPr>
            </w:pPr>
            <w:r>
              <w:rPr>
                <w:rFonts w:ascii="Arial" w:cs="Arial" w:eastAsia="Arial" w:hAnsi="Arial"/>
                <w:sz w:val="11"/>
                <w:szCs w:val="11"/>
                <w:color w:val="auto"/>
              </w:rPr>
              <w:t>25.88%</w:t>
            </w:r>
          </w:p>
        </w:tc>
        <w:tc>
          <w:tcPr>
            <w:tcW w:w="1380" w:type="dxa"/>
            <w:vAlign w:val="bottom"/>
          </w:tcPr>
          <w:p>
            <w:pPr>
              <w:jc w:val="center"/>
              <w:spacing w:after="0"/>
              <w:rPr>
                <w:sz w:val="20"/>
                <w:szCs w:val="20"/>
                <w:color w:val="auto"/>
              </w:rPr>
            </w:pPr>
            <w:r>
              <w:rPr>
                <w:rFonts w:ascii="Arial" w:cs="Arial" w:eastAsia="Arial" w:hAnsi="Arial"/>
                <w:sz w:val="11"/>
                <w:szCs w:val="11"/>
                <w:color w:val="auto"/>
                <w:w w:val="97"/>
              </w:rPr>
              <w:t>10</w:t>
            </w:r>
          </w:p>
        </w:tc>
      </w:tr>
      <w:tr>
        <w:trPr>
          <w:trHeight w:val="189"/>
        </w:trPr>
        <w:tc>
          <w:tcPr>
            <w:tcW w:w="1240" w:type="dxa"/>
            <w:vAlign w:val="bottom"/>
          </w:tcPr>
          <w:p>
            <w:pPr>
              <w:spacing w:after="0"/>
              <w:rPr>
                <w:sz w:val="16"/>
                <w:szCs w:val="16"/>
                <w:color w:val="auto"/>
              </w:rPr>
            </w:pPr>
          </w:p>
        </w:tc>
        <w:tc>
          <w:tcPr>
            <w:tcW w:w="1380" w:type="dxa"/>
            <w:vAlign w:val="bottom"/>
          </w:tcPr>
          <w:p>
            <w:pPr>
              <w:jc w:val="center"/>
              <w:ind w:left="146"/>
              <w:spacing w:after="0"/>
              <w:rPr>
                <w:sz w:val="20"/>
                <w:szCs w:val="20"/>
                <w:color w:val="auto"/>
              </w:rPr>
            </w:pPr>
            <w:r>
              <w:rPr>
                <w:rFonts w:ascii="Arial" w:cs="Arial" w:eastAsia="Arial" w:hAnsi="Arial"/>
                <w:sz w:val="11"/>
                <w:szCs w:val="11"/>
                <w:color w:val="auto"/>
                <w:w w:val="98"/>
              </w:rPr>
              <w:t>12/31/2022</w:t>
            </w:r>
          </w:p>
        </w:tc>
        <w:tc>
          <w:tcPr>
            <w:tcW w:w="1440" w:type="dxa"/>
            <w:vAlign w:val="bottom"/>
          </w:tcPr>
          <w:p>
            <w:pPr>
              <w:jc w:val="center"/>
              <w:ind w:left="6"/>
              <w:spacing w:after="0"/>
              <w:rPr>
                <w:sz w:val="20"/>
                <w:szCs w:val="20"/>
                <w:color w:val="auto"/>
              </w:rPr>
            </w:pPr>
            <w:r>
              <w:rPr>
                <w:rFonts w:ascii="Arial" w:cs="Arial" w:eastAsia="Arial" w:hAnsi="Arial"/>
                <w:sz w:val="11"/>
                <w:szCs w:val="11"/>
                <w:color w:val="auto"/>
                <w:w w:val="95"/>
              </w:rPr>
              <w:t>$159.10</w:t>
            </w:r>
          </w:p>
        </w:tc>
        <w:tc>
          <w:tcPr>
            <w:tcW w:w="1300" w:type="dxa"/>
            <w:vAlign w:val="bottom"/>
          </w:tcPr>
          <w:p>
            <w:pPr>
              <w:jc w:val="center"/>
              <w:spacing w:after="0"/>
              <w:rPr>
                <w:sz w:val="20"/>
                <w:szCs w:val="20"/>
                <w:color w:val="auto"/>
              </w:rPr>
            </w:pPr>
            <w:r>
              <w:rPr>
                <w:rFonts w:ascii="Arial" w:cs="Arial" w:eastAsia="Arial" w:hAnsi="Arial"/>
                <w:sz w:val="11"/>
                <w:szCs w:val="11"/>
                <w:color w:val="auto"/>
                <w:w w:val="95"/>
              </w:rPr>
              <w:t>$133.39</w:t>
            </w:r>
          </w:p>
        </w:tc>
        <w:tc>
          <w:tcPr>
            <w:tcW w:w="1320" w:type="dxa"/>
            <w:vAlign w:val="bottom"/>
          </w:tcPr>
          <w:p>
            <w:pPr>
              <w:jc w:val="center"/>
              <w:ind w:left="6"/>
              <w:spacing w:after="0"/>
              <w:rPr>
                <w:sz w:val="20"/>
                <w:szCs w:val="20"/>
                <w:color w:val="auto"/>
              </w:rPr>
            </w:pPr>
            <w:r>
              <w:rPr>
                <w:rFonts w:ascii="Arial" w:cs="Arial" w:eastAsia="Arial" w:hAnsi="Arial"/>
                <w:sz w:val="11"/>
                <w:szCs w:val="11"/>
                <w:color w:val="auto"/>
                <w:w w:val="96"/>
              </w:rPr>
              <w:t>3.88%</w:t>
            </w:r>
          </w:p>
        </w:tc>
        <w:tc>
          <w:tcPr>
            <w:tcW w:w="1420" w:type="dxa"/>
            <w:vAlign w:val="bottom"/>
          </w:tcPr>
          <w:p>
            <w:pPr>
              <w:jc w:val="center"/>
              <w:spacing w:after="0"/>
              <w:rPr>
                <w:sz w:val="20"/>
                <w:szCs w:val="20"/>
                <w:color w:val="auto"/>
              </w:rPr>
            </w:pPr>
            <w:r>
              <w:rPr>
                <w:rFonts w:ascii="Arial" w:cs="Arial" w:eastAsia="Arial" w:hAnsi="Arial"/>
                <w:sz w:val="11"/>
                <w:szCs w:val="11"/>
                <w:color w:val="auto"/>
              </w:rPr>
              <w:t>3.01%</w:t>
            </w:r>
          </w:p>
        </w:tc>
        <w:tc>
          <w:tcPr>
            <w:tcW w:w="1300" w:type="dxa"/>
            <w:vAlign w:val="bottom"/>
          </w:tcPr>
          <w:p>
            <w:pPr>
              <w:jc w:val="center"/>
              <w:spacing w:after="0"/>
              <w:rPr>
                <w:sz w:val="20"/>
                <w:szCs w:val="20"/>
                <w:color w:val="auto"/>
              </w:rPr>
            </w:pPr>
            <w:r>
              <w:rPr>
                <w:rFonts w:ascii="Arial" w:cs="Arial" w:eastAsia="Arial" w:hAnsi="Arial"/>
                <w:sz w:val="11"/>
                <w:szCs w:val="11"/>
                <w:color w:val="auto"/>
              </w:rPr>
              <w:t>28.53%</w:t>
            </w:r>
          </w:p>
        </w:tc>
        <w:tc>
          <w:tcPr>
            <w:tcW w:w="1380" w:type="dxa"/>
            <w:vAlign w:val="bottom"/>
          </w:tcPr>
          <w:p>
            <w:pPr>
              <w:jc w:val="center"/>
              <w:spacing w:after="0"/>
              <w:rPr>
                <w:sz w:val="20"/>
                <w:szCs w:val="20"/>
                <w:color w:val="auto"/>
              </w:rPr>
            </w:pPr>
            <w:r>
              <w:rPr>
                <w:rFonts w:ascii="Arial" w:cs="Arial" w:eastAsia="Arial" w:hAnsi="Arial"/>
                <w:sz w:val="11"/>
                <w:szCs w:val="11"/>
                <w:color w:val="auto"/>
                <w:w w:val="97"/>
              </w:rPr>
              <w:t>9</w:t>
            </w:r>
          </w:p>
        </w:tc>
      </w:tr>
      <w:tr>
        <w:trPr>
          <w:trHeight w:val="189"/>
        </w:trPr>
        <w:tc>
          <w:tcPr>
            <w:tcW w:w="1240" w:type="dxa"/>
            <w:vAlign w:val="bottom"/>
          </w:tcPr>
          <w:p>
            <w:pPr>
              <w:spacing w:after="0"/>
              <w:rPr>
                <w:sz w:val="16"/>
                <w:szCs w:val="16"/>
                <w:color w:val="auto"/>
              </w:rPr>
            </w:pPr>
          </w:p>
        </w:tc>
        <w:tc>
          <w:tcPr>
            <w:tcW w:w="1380" w:type="dxa"/>
            <w:vAlign w:val="bottom"/>
          </w:tcPr>
          <w:p>
            <w:pPr>
              <w:jc w:val="center"/>
              <w:ind w:left="146"/>
              <w:spacing w:after="0"/>
              <w:rPr>
                <w:sz w:val="20"/>
                <w:szCs w:val="20"/>
                <w:color w:val="auto"/>
              </w:rPr>
            </w:pPr>
            <w:r>
              <w:rPr>
                <w:rFonts w:ascii="Arial" w:cs="Arial" w:eastAsia="Arial" w:hAnsi="Arial"/>
                <w:sz w:val="11"/>
                <w:szCs w:val="11"/>
                <w:color w:val="auto"/>
                <w:w w:val="98"/>
              </w:rPr>
              <w:t>12/31/2023</w:t>
            </w:r>
          </w:p>
        </w:tc>
        <w:tc>
          <w:tcPr>
            <w:tcW w:w="1440" w:type="dxa"/>
            <w:vAlign w:val="bottom"/>
          </w:tcPr>
          <w:p>
            <w:pPr>
              <w:jc w:val="center"/>
              <w:ind w:left="6"/>
              <w:spacing w:after="0"/>
              <w:rPr>
                <w:sz w:val="20"/>
                <w:szCs w:val="20"/>
                <w:color w:val="auto"/>
              </w:rPr>
            </w:pPr>
            <w:r>
              <w:rPr>
                <w:rFonts w:ascii="Arial" w:cs="Arial" w:eastAsia="Arial" w:hAnsi="Arial"/>
                <w:sz w:val="11"/>
                <w:szCs w:val="11"/>
                <w:color w:val="auto"/>
                <w:w w:val="95"/>
              </w:rPr>
              <w:t>$159.10</w:t>
            </w:r>
          </w:p>
        </w:tc>
        <w:tc>
          <w:tcPr>
            <w:tcW w:w="1300" w:type="dxa"/>
            <w:vAlign w:val="bottom"/>
          </w:tcPr>
          <w:p>
            <w:pPr>
              <w:jc w:val="center"/>
              <w:spacing w:after="0"/>
              <w:rPr>
                <w:sz w:val="20"/>
                <w:szCs w:val="20"/>
                <w:color w:val="auto"/>
              </w:rPr>
            </w:pPr>
            <w:r>
              <w:rPr>
                <w:rFonts w:ascii="Arial" w:cs="Arial" w:eastAsia="Arial" w:hAnsi="Arial"/>
                <w:sz w:val="11"/>
                <w:szCs w:val="11"/>
                <w:color w:val="auto"/>
                <w:w w:val="95"/>
              </w:rPr>
              <w:t>$170.16</w:t>
            </w:r>
          </w:p>
        </w:tc>
        <w:tc>
          <w:tcPr>
            <w:tcW w:w="1320" w:type="dxa"/>
            <w:vAlign w:val="bottom"/>
          </w:tcPr>
          <w:p>
            <w:pPr>
              <w:jc w:val="center"/>
              <w:ind w:left="6"/>
              <w:spacing w:after="0"/>
              <w:rPr>
                <w:sz w:val="20"/>
                <w:szCs w:val="20"/>
                <w:color w:val="auto"/>
              </w:rPr>
            </w:pPr>
            <w:r>
              <w:rPr>
                <w:rFonts w:ascii="Arial" w:cs="Arial" w:eastAsia="Arial" w:hAnsi="Arial"/>
                <w:sz w:val="11"/>
                <w:szCs w:val="11"/>
                <w:color w:val="auto"/>
                <w:w w:val="96"/>
              </w:rPr>
              <w:t>3.88%</w:t>
            </w:r>
          </w:p>
        </w:tc>
        <w:tc>
          <w:tcPr>
            <w:tcW w:w="1420" w:type="dxa"/>
            <w:vAlign w:val="bottom"/>
          </w:tcPr>
          <w:p>
            <w:pPr>
              <w:jc w:val="center"/>
              <w:spacing w:after="0"/>
              <w:rPr>
                <w:sz w:val="20"/>
                <w:szCs w:val="20"/>
                <w:color w:val="auto"/>
              </w:rPr>
            </w:pPr>
            <w:r>
              <w:rPr>
                <w:rFonts w:ascii="Arial" w:cs="Arial" w:eastAsia="Arial" w:hAnsi="Arial"/>
                <w:sz w:val="11"/>
                <w:szCs w:val="11"/>
                <w:color w:val="auto"/>
              </w:rPr>
              <w:t>2.48%</w:t>
            </w:r>
          </w:p>
        </w:tc>
        <w:tc>
          <w:tcPr>
            <w:tcW w:w="1300" w:type="dxa"/>
            <w:vAlign w:val="bottom"/>
          </w:tcPr>
          <w:p>
            <w:pPr>
              <w:jc w:val="center"/>
              <w:spacing w:after="0"/>
              <w:rPr>
                <w:sz w:val="20"/>
                <w:szCs w:val="20"/>
                <w:color w:val="auto"/>
              </w:rPr>
            </w:pPr>
            <w:r>
              <w:rPr>
                <w:rFonts w:ascii="Arial" w:cs="Arial" w:eastAsia="Arial" w:hAnsi="Arial"/>
                <w:sz w:val="11"/>
                <w:szCs w:val="11"/>
                <w:color w:val="auto"/>
              </w:rPr>
              <w:t>24.09%</w:t>
            </w:r>
          </w:p>
        </w:tc>
        <w:tc>
          <w:tcPr>
            <w:tcW w:w="1380" w:type="dxa"/>
            <w:vAlign w:val="bottom"/>
          </w:tcPr>
          <w:p>
            <w:pPr>
              <w:jc w:val="center"/>
              <w:spacing w:after="0"/>
              <w:rPr>
                <w:sz w:val="20"/>
                <w:szCs w:val="20"/>
                <w:color w:val="auto"/>
              </w:rPr>
            </w:pPr>
            <w:r>
              <w:rPr>
                <w:rFonts w:ascii="Arial" w:cs="Arial" w:eastAsia="Arial" w:hAnsi="Arial"/>
                <w:sz w:val="11"/>
                <w:szCs w:val="11"/>
                <w:color w:val="auto"/>
                <w:w w:val="97"/>
              </w:rPr>
              <w:t>8</w:t>
            </w:r>
          </w:p>
        </w:tc>
      </w:tr>
      <w:tr>
        <w:trPr>
          <w:trHeight w:val="34"/>
        </w:trPr>
        <w:tc>
          <w:tcPr>
            <w:tcW w:w="1240" w:type="dxa"/>
            <w:vAlign w:val="bottom"/>
            <w:tcBorders>
              <w:bottom w:val="single" w:sz="8" w:color="454545"/>
            </w:tcBorders>
          </w:tcPr>
          <w:p>
            <w:pPr>
              <w:spacing w:after="0"/>
              <w:rPr>
                <w:sz w:val="2"/>
                <w:szCs w:val="2"/>
                <w:color w:val="auto"/>
              </w:rPr>
            </w:pPr>
          </w:p>
        </w:tc>
        <w:tc>
          <w:tcPr>
            <w:tcW w:w="1380" w:type="dxa"/>
            <w:vAlign w:val="bottom"/>
            <w:tcBorders>
              <w:bottom w:val="single" w:sz="8" w:color="454545"/>
            </w:tcBorders>
          </w:tcPr>
          <w:p>
            <w:pPr>
              <w:spacing w:after="0"/>
              <w:rPr>
                <w:sz w:val="2"/>
                <w:szCs w:val="2"/>
                <w:color w:val="auto"/>
              </w:rPr>
            </w:pPr>
          </w:p>
        </w:tc>
        <w:tc>
          <w:tcPr>
            <w:tcW w:w="144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320" w:type="dxa"/>
            <w:vAlign w:val="bottom"/>
            <w:tcBorders>
              <w:bottom w:val="single" w:sz="8" w:color="454545"/>
            </w:tcBorders>
          </w:tcPr>
          <w:p>
            <w:pPr>
              <w:spacing w:after="0"/>
              <w:rPr>
                <w:sz w:val="2"/>
                <w:szCs w:val="2"/>
                <w:color w:val="auto"/>
              </w:rPr>
            </w:pPr>
          </w:p>
        </w:tc>
        <w:tc>
          <w:tcPr>
            <w:tcW w:w="1420" w:type="dxa"/>
            <w:vAlign w:val="bottom"/>
            <w:tcBorders>
              <w:bottom w:val="single" w:sz="8" w:color="454545"/>
            </w:tcBorders>
          </w:tcPr>
          <w:p>
            <w:pPr>
              <w:spacing w:after="0"/>
              <w:rPr>
                <w:sz w:val="2"/>
                <w:szCs w:val="2"/>
                <w:color w:val="auto"/>
              </w:rPr>
            </w:pPr>
          </w:p>
        </w:tc>
        <w:tc>
          <w:tcPr>
            <w:tcW w:w="1300" w:type="dxa"/>
            <w:vAlign w:val="bottom"/>
            <w:tcBorders>
              <w:bottom w:val="single" w:sz="8" w:color="454545"/>
            </w:tcBorders>
          </w:tcPr>
          <w:p>
            <w:pPr>
              <w:spacing w:after="0"/>
              <w:rPr>
                <w:sz w:val="2"/>
                <w:szCs w:val="2"/>
                <w:color w:val="auto"/>
              </w:rPr>
            </w:pPr>
          </w:p>
        </w:tc>
        <w:tc>
          <w:tcPr>
            <w:tcW w:w="1380" w:type="dxa"/>
            <w:vAlign w:val="bottom"/>
            <w:tcBorders>
              <w:bottom w:val="single" w:sz="8" w:color="454545"/>
            </w:tcBorders>
          </w:tcPr>
          <w:p>
            <w:pPr>
              <w:spacing w:after="0"/>
              <w:rPr>
                <w:sz w:val="2"/>
                <w:szCs w:val="2"/>
                <w:color w:val="auto"/>
              </w:rPr>
            </w:pPr>
          </w:p>
        </w:tc>
      </w:tr>
    </w:tbl>
    <w:p>
      <w:pPr>
        <w:spacing w:after="0" w:line="171" w:lineRule="exact"/>
        <w:rPr>
          <w:sz w:val="20"/>
          <w:szCs w:val="20"/>
          <w:color w:val="auto"/>
        </w:rPr>
      </w:pPr>
    </w:p>
    <w:p>
      <w:pPr>
        <w:ind w:left="200" w:right="360"/>
        <w:spacing w:after="0" w:line="258" w:lineRule="auto"/>
        <w:rPr>
          <w:sz w:val="20"/>
          <w:szCs w:val="20"/>
          <w:color w:val="auto"/>
        </w:rPr>
      </w:pPr>
      <w:r>
        <w:rPr>
          <w:rFonts w:ascii="Arial" w:cs="Arial" w:eastAsia="Arial" w:hAnsi="Arial"/>
          <w:sz w:val="13"/>
          <w:szCs w:val="13"/>
          <w:color w:val="auto"/>
        </w:rPr>
        <w:t>The Firm’s accounting for employee stock-based incentives (including assumptions used to value employee stock options and SARs) is described in Note 9 to the Firm’s Consolidated Financial Statements in the 2023 Annual Report on pages 225 - 226.</w:t>
      </w:r>
    </w:p>
    <w:p>
      <w:pPr>
        <w:spacing w:after="0" w:line="1" w:lineRule="exact"/>
        <w:rPr>
          <w:sz w:val="20"/>
          <w:szCs w:val="20"/>
          <w:color w:val="auto"/>
        </w:rPr>
      </w:pPr>
    </w:p>
    <w:p>
      <w:pPr>
        <w:jc w:val="both"/>
        <w:ind w:left="200" w:right="100" w:hanging="192"/>
        <w:spacing w:after="0" w:line="238" w:lineRule="auto"/>
        <w:tabs>
          <w:tab w:leader="none" w:pos="200" w:val="left"/>
        </w:tabs>
        <w:numPr>
          <w:ilvl w:val="0"/>
          <w:numId w:val="231"/>
        </w:numPr>
        <w:rPr>
          <w:rFonts w:ascii="Arial" w:cs="Arial" w:eastAsia="Arial" w:hAnsi="Arial"/>
          <w:sz w:val="15"/>
          <w:szCs w:val="15"/>
          <w:color w:val="auto"/>
          <w:vertAlign w:val="superscript"/>
        </w:rPr>
      </w:pPr>
      <w:r>
        <w:rPr>
          <w:rFonts w:ascii="Arial" w:cs="Arial" w:eastAsia="Arial" w:hAnsi="Arial"/>
          <w:sz w:val="12"/>
          <w:szCs w:val="12"/>
          <w:color w:val="auto"/>
        </w:rPr>
        <w:t>Amounts for years 2023, 2022, and 2021 are the aggregate change in the actuarial present value of the accumulated benefits under all defined benefit pension plans (including supplemental plans). No NEOs had earnings in excess of 120% of the applicable federal rate on deferred compensation balances where the rate of return is not calculated in the same or in a similar manner as earnings on hypothetical investments under the Firm's qualified plans. The amount of earnings in excess of 120% of the applicable federal rate included in this column is $0 for each of 2023, 2022 and 2021.</w:t>
      </w:r>
    </w:p>
    <w:p>
      <w:pPr>
        <w:ind w:left="200" w:hanging="192"/>
        <w:spacing w:after="0" w:line="216" w:lineRule="auto"/>
        <w:tabs>
          <w:tab w:leader="none" w:pos="200" w:val="left"/>
        </w:tabs>
        <w:numPr>
          <w:ilvl w:val="0"/>
          <w:numId w:val="232"/>
        </w:numPr>
        <w:rPr>
          <w:rFonts w:ascii="Arial" w:cs="Arial" w:eastAsia="Arial" w:hAnsi="Arial"/>
          <w:sz w:val="15"/>
          <w:szCs w:val="15"/>
          <w:color w:val="auto"/>
          <w:vertAlign w:val="superscript"/>
        </w:rPr>
      </w:pPr>
      <w:r>
        <w:rPr>
          <w:rFonts w:ascii="Arial" w:cs="Arial" w:eastAsia="Arial" w:hAnsi="Arial"/>
          <w:sz w:val="12"/>
          <w:szCs w:val="12"/>
          <w:color w:val="auto"/>
        </w:rPr>
        <w:t>“All other compensation” includes the cost, if any, for a NEO’s spouse to attend business-related events where spousal attendance is expected or customary; and the cost, if any, for assistance with</w:t>
      </w:r>
    </w:p>
    <w:p>
      <w:pPr>
        <w:ind w:left="200"/>
        <w:spacing w:after="0" w:line="228" w:lineRule="auto"/>
        <w:rPr>
          <w:sz w:val="20"/>
          <w:szCs w:val="20"/>
          <w:color w:val="auto"/>
        </w:rPr>
      </w:pPr>
      <w:r>
        <w:rPr>
          <w:rFonts w:ascii="Arial" w:cs="Arial" w:eastAsia="Arial" w:hAnsi="Arial"/>
          <w:sz w:val="13"/>
          <w:szCs w:val="13"/>
          <w:color w:val="auto"/>
        </w:rPr>
        <w:t>certain travel arrangements. This did not exceed the greater of $25,000 or 10% of the NEO’s total perquisites and personal benefits except as specifically noted in the footnotes that follow.</w:t>
      </w:r>
    </w:p>
    <w:p>
      <w:pPr>
        <w:spacing w:after="0" w:line="3" w:lineRule="exact"/>
        <w:rPr>
          <w:sz w:val="20"/>
          <w:szCs w:val="20"/>
          <w:color w:val="auto"/>
        </w:rPr>
      </w:pPr>
    </w:p>
    <w:p>
      <w:pPr>
        <w:ind w:left="200" w:right="260" w:hanging="192"/>
        <w:spacing w:after="0" w:line="226" w:lineRule="auto"/>
        <w:tabs>
          <w:tab w:leader="none" w:pos="200" w:val="left"/>
        </w:tabs>
        <w:numPr>
          <w:ilvl w:val="0"/>
          <w:numId w:val="233"/>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amount for Mr. Dimon includes: $5,000 in employer non-matching contributions to the U.S. defined contribution plan; $362,226 for personal use of corporate aircraft; $30,400 for personal use of corporate cars; and $150,645 for the cost of residential, personal travel, and related security paid by the Firm, including one-time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197485</wp:posOffset>
            </wp:positionV>
            <wp:extent cx="27432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63  </w:t>
      </w:r>
      <w:r>
        <w:rPr>
          <w:sz w:val="1"/>
          <w:szCs w:val="1"/>
          <w:color w:val="auto"/>
        </w:rPr>
        <w:drawing>
          <wp:inline distT="0" distB="0" distL="0" distR="0">
            <wp:extent cx="2203450" cy="154305"/>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0" w:lineRule="exact"/>
        <w:rPr>
          <w:sz w:val="20"/>
          <w:szCs w:val="20"/>
          <w:color w:val="auto"/>
        </w:rPr>
      </w:pPr>
    </w:p>
    <w:p>
      <w:pPr>
        <w:ind w:left="200" w:right="20"/>
        <w:spacing w:after="0" w:line="248" w:lineRule="auto"/>
        <w:rPr>
          <w:sz w:val="20"/>
          <w:szCs w:val="20"/>
          <w:color w:val="auto"/>
        </w:rPr>
      </w:pPr>
      <w:r>
        <w:rPr>
          <w:rFonts w:ascii="Arial" w:cs="Arial" w:eastAsia="Arial" w:hAnsi="Arial"/>
          <w:sz w:val="13"/>
          <w:szCs w:val="13"/>
          <w:color w:val="auto"/>
        </w:rPr>
        <w:t>expenditures related to system installations and upgrades. Mr. Dimon’s personal use of corporate aircraft and cars, and certain related security, is required pursuant to security measures approved by the Board. We consider such security measures necessary, and not a personal benefit. Incremental costs are determined as follows:</w:t>
      </w:r>
    </w:p>
    <w:p>
      <w:pPr>
        <w:ind w:left="400" w:right="480" w:hanging="198"/>
        <w:spacing w:after="0" w:line="249" w:lineRule="auto"/>
        <w:tabs>
          <w:tab w:leader="none" w:pos="399" w:val="left"/>
        </w:tabs>
        <w:numPr>
          <w:ilvl w:val="0"/>
          <w:numId w:val="234"/>
        </w:numPr>
        <w:rPr>
          <w:rFonts w:ascii="Arial" w:cs="Arial" w:eastAsia="Arial" w:hAnsi="Arial"/>
          <w:sz w:val="13"/>
          <w:szCs w:val="13"/>
          <w:color w:val="074A75"/>
        </w:rPr>
      </w:pPr>
      <w:r>
        <w:rPr>
          <w:rFonts w:ascii="Arial" w:cs="Arial" w:eastAsia="Arial" w:hAnsi="Arial"/>
          <w:sz w:val="13"/>
          <w:szCs w:val="13"/>
          <w:color w:val="auto"/>
        </w:rPr>
        <w:t>Aircraft: operating cost per flight hour for the aircraft type used, developed by an independent reference source, including fuel, fuel additives and lubricants; landing and parking fees; crew expenses; small supplies and catering; maintenance, labor and parts; engine restoration costs; and a maintenance service plan.</w:t>
      </w:r>
    </w:p>
    <w:p>
      <w:pPr>
        <w:ind w:left="400" w:right="400" w:hanging="198"/>
        <w:spacing w:after="0" w:line="237" w:lineRule="auto"/>
        <w:tabs>
          <w:tab w:leader="none" w:pos="399" w:val="left"/>
        </w:tabs>
        <w:numPr>
          <w:ilvl w:val="0"/>
          <w:numId w:val="234"/>
        </w:numPr>
        <w:rPr>
          <w:rFonts w:ascii="Arial" w:cs="Arial" w:eastAsia="Arial" w:hAnsi="Arial"/>
          <w:sz w:val="13"/>
          <w:szCs w:val="13"/>
          <w:color w:val="074A75"/>
        </w:rPr>
      </w:pPr>
      <w:r>
        <w:rPr>
          <w:rFonts w:ascii="Arial" w:cs="Arial" w:eastAsia="Arial" w:hAnsi="Arial"/>
          <w:sz w:val="13"/>
          <w:szCs w:val="13"/>
          <w:color w:val="auto"/>
        </w:rPr>
        <w:t>Cars: annual lease valuation of the cars; annual insurance premiums; fuel expense; annual maintenance; other miscellaneous expense; and annual drivers’ compensation, including salary, overtime, benefits and bonus. The resulting total is allocated between personal and business use based on mileage.</w:t>
      </w:r>
    </w:p>
    <w:p>
      <w:pPr>
        <w:spacing w:after="0" w:line="1" w:lineRule="exact"/>
        <w:rPr>
          <w:sz w:val="20"/>
          <w:szCs w:val="20"/>
          <w:color w:val="auto"/>
        </w:rPr>
      </w:pPr>
    </w:p>
    <w:p>
      <w:pPr>
        <w:jc w:val="both"/>
        <w:ind w:left="200" w:right="120" w:hanging="192"/>
        <w:spacing w:after="0" w:line="234" w:lineRule="auto"/>
        <w:tabs>
          <w:tab w:leader="none" w:pos="200" w:val="left"/>
        </w:tabs>
        <w:numPr>
          <w:ilvl w:val="0"/>
          <w:numId w:val="235"/>
        </w:numPr>
        <w:rPr>
          <w:rFonts w:ascii="Arial" w:cs="Arial" w:eastAsia="Arial" w:hAnsi="Arial"/>
          <w:sz w:val="15"/>
          <w:szCs w:val="15"/>
          <w:color w:val="auto"/>
          <w:vertAlign w:val="superscript"/>
        </w:rPr>
      </w:pPr>
      <w:r>
        <w:rPr>
          <w:rFonts w:ascii="Arial" w:cs="Arial" w:eastAsia="Arial" w:hAnsi="Arial"/>
          <w:sz w:val="12"/>
          <w:szCs w:val="12"/>
          <w:color w:val="auto"/>
        </w:rPr>
        <w:t>Mr. Pinto's 2023 and 2022 salary of $1,500,000 includes a fee of £96,164 for 2023 and £100,000 for 2022 for his service on the J.P. Morgan Securities plc Board. Since Mr. Pinto was located in the U.K. prior to 2022, the terms and composition of his compensation awarded prior to 2022 reflected the requirements of local regulations, including changes that came into effect in 2014 and 2021 to</w:t>
      </w:r>
    </w:p>
    <w:p>
      <w:pPr>
        <w:ind w:left="200"/>
        <w:spacing w:after="0" w:line="229" w:lineRule="auto"/>
        <w:rPr>
          <w:sz w:val="20"/>
          <w:szCs w:val="20"/>
          <w:color w:val="auto"/>
        </w:rPr>
      </w:pPr>
      <w:r>
        <w:rPr>
          <w:rFonts w:ascii="Arial" w:cs="Arial" w:eastAsia="Arial" w:hAnsi="Arial"/>
          <w:sz w:val="13"/>
          <w:szCs w:val="13"/>
          <w:color w:val="auto"/>
        </w:rPr>
        <w:t>comply with the Capital Requirements Directive IV and V respectively.</w:t>
      </w:r>
    </w:p>
    <w:p>
      <w:pPr>
        <w:ind w:left="200" w:hanging="192"/>
        <w:spacing w:after="0" w:line="226" w:lineRule="auto"/>
        <w:tabs>
          <w:tab w:leader="none" w:pos="200" w:val="left"/>
        </w:tabs>
        <w:numPr>
          <w:ilvl w:val="0"/>
          <w:numId w:val="236"/>
        </w:numPr>
        <w:rPr>
          <w:rFonts w:ascii="Arial" w:cs="Arial" w:eastAsia="Arial" w:hAnsi="Arial"/>
          <w:sz w:val="15"/>
          <w:szCs w:val="15"/>
          <w:color w:val="auto"/>
          <w:vertAlign w:val="superscript"/>
        </w:rPr>
      </w:pPr>
      <w:r>
        <w:rPr>
          <w:rFonts w:ascii="Arial" w:cs="Arial" w:eastAsia="Arial" w:hAnsi="Arial"/>
          <w:sz w:val="12"/>
          <w:szCs w:val="12"/>
          <w:color w:val="auto"/>
        </w:rPr>
        <w:t>The “All other compensation” amount for Mr. Pinto includes $3,000 in employer non-matching contributions to the U.S. defined contribution plan; $67,586 in tax compliance assistance for business</w:t>
      </w:r>
    </w:p>
    <w:p>
      <w:pPr>
        <w:ind w:left="200"/>
        <w:spacing w:after="0" w:line="237" w:lineRule="auto"/>
        <w:rPr>
          <w:sz w:val="20"/>
          <w:szCs w:val="20"/>
          <w:color w:val="auto"/>
        </w:rPr>
      </w:pPr>
      <w:r>
        <w:rPr>
          <w:rFonts w:ascii="Arial" w:cs="Arial" w:eastAsia="Arial" w:hAnsi="Arial"/>
          <w:sz w:val="13"/>
          <w:szCs w:val="13"/>
          <w:color w:val="auto"/>
        </w:rPr>
        <w:t>travel and relocation at the Firm's request; and $26,451 for spousal travel related to business events.</w:t>
      </w:r>
    </w:p>
    <w:p>
      <w:pPr>
        <w:ind w:left="200" w:hanging="192"/>
        <w:spacing w:after="0" w:line="195" w:lineRule="auto"/>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amount for Ms. Erdoes includes $5,000 in employer non-matching contributions to the U.S. defined contribution plan.</w:t>
      </w:r>
    </w:p>
    <w:p>
      <w:pPr>
        <w:ind w:left="180" w:hanging="172"/>
        <w:spacing w:after="0" w:line="193" w:lineRule="auto"/>
        <w:tabs>
          <w:tab w:leader="none" w:pos="18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Ms. Lake was not a NEO in 2021.</w:t>
      </w:r>
    </w:p>
    <w:p>
      <w:pPr>
        <w:ind w:left="200" w:right="20" w:hanging="192"/>
        <w:spacing w:after="0" w:line="230" w:lineRule="auto"/>
        <w:tabs>
          <w:tab w:leader="none" w:pos="191"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amount for Ms. Lake includes $21,006 in employer contributions to a non-U.S. defined contribution plan and $53,409 for tax settlement payments made on behalf of Ms. Lake in connection with her international assignment at the Firm's request and consistent with the Firm's policy for employees working on international assignments. The Firm's expatriate assignment policy provides that the Firm will be responsible for any incremental U.S. and state income taxes due on home-country employer-provided benefits that would not otherwise be taxable to the employee in their home country.</w:t>
      </w:r>
    </w:p>
    <w:p>
      <w:pPr>
        <w:spacing w:after="0" w:line="1" w:lineRule="exact"/>
        <w:rPr>
          <w:rFonts w:ascii="Arial" w:cs="Arial" w:eastAsia="Arial" w:hAnsi="Arial"/>
          <w:sz w:val="16"/>
          <w:szCs w:val="16"/>
          <w:color w:val="auto"/>
          <w:vertAlign w:val="superscript"/>
        </w:rPr>
      </w:pPr>
    </w:p>
    <w:p>
      <w:pPr>
        <w:ind w:left="200" w:hanging="192"/>
        <w:spacing w:after="0" w:line="193" w:lineRule="auto"/>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amount for Ms. Piepszak includes $5,000 in employer non-matching contributions to the U.S. defined contribution plan.</w:t>
      </w:r>
    </w:p>
    <w:p>
      <w:pPr>
        <w:ind w:left="200" w:hanging="192"/>
        <w:spacing w:after="0" w:line="200" w:lineRule="auto"/>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amount for Mr. Barnum includes $5,000 in employer non-matching contributions to the U.S. defined contribution plan.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074A75"/>
        </w:rPr>
        <w:t>II. 2023 GRANTS OF PLAN-BASED AWARDS</w:t>
      </w:r>
      <w:r>
        <w:rPr>
          <w:rFonts w:ascii="Arial" w:cs="Arial" w:eastAsia="Arial" w:hAnsi="Arial"/>
          <w:sz w:val="25"/>
          <w:szCs w:val="25"/>
          <w:color w:val="074A75"/>
          <w:vertAlign w:val="superscript"/>
        </w:rPr>
        <w:t>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grants of plan-based awards made in 2023. No awards of options or SARs were granted to NEOs in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80" w:type="dxa"/>
            <w:vAlign w:val="bottom"/>
            <w:gridSpan w:val="4"/>
          </w:tcPr>
          <w:p>
            <w:pPr>
              <w:jc w:val="center"/>
              <w:ind w:right="100"/>
              <w:spacing w:after="0"/>
              <w:rPr>
                <w:sz w:val="20"/>
                <w:szCs w:val="20"/>
                <w:color w:val="auto"/>
              </w:rPr>
            </w:pPr>
            <w:r>
              <w:rPr>
                <w:rFonts w:ascii="Arial" w:cs="Arial" w:eastAsia="Arial" w:hAnsi="Arial"/>
                <w:sz w:val="14"/>
                <w:szCs w:val="14"/>
                <w:color w:val="auto"/>
              </w:rPr>
              <w:t>Estimated Future Payout Under Equity</w:t>
            </w: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80" w:type="dxa"/>
            <w:vAlign w:val="bottom"/>
            <w:gridSpan w:val="3"/>
          </w:tcPr>
          <w:p>
            <w:pPr>
              <w:jc w:val="center"/>
              <w:ind w:right="600"/>
              <w:spacing w:after="0"/>
              <w:rPr>
                <w:sz w:val="20"/>
                <w:szCs w:val="20"/>
                <w:color w:val="auto"/>
              </w:rPr>
            </w:pPr>
            <w:r>
              <w:rPr>
                <w:rFonts w:ascii="Arial" w:cs="Arial" w:eastAsia="Arial" w:hAnsi="Arial"/>
                <w:sz w:val="14"/>
                <w:szCs w:val="14"/>
                <w:color w:val="auto"/>
              </w:rPr>
              <w:t>Incentive Plan Awards (PSUs)</w:t>
            </w:r>
            <w:r>
              <w:rPr>
                <w:rFonts w:ascii="Arial" w:cs="Arial" w:eastAsia="Arial" w:hAnsi="Arial"/>
                <w:sz w:val="18"/>
                <w:szCs w:val="18"/>
                <w:color w:val="auto"/>
                <w:vertAlign w:val="superscript"/>
              </w:rPr>
              <w:t>2</w:t>
            </w:r>
          </w:p>
        </w:tc>
        <w:tc>
          <w:tcPr>
            <w:tcW w:w="1480" w:type="dxa"/>
            <w:vAlign w:val="bottom"/>
          </w:tcPr>
          <w:p>
            <w:pPr>
              <w:jc w:val="center"/>
              <w:spacing w:after="0"/>
              <w:rPr>
                <w:sz w:val="20"/>
                <w:szCs w:val="20"/>
                <w:color w:val="auto"/>
              </w:rPr>
            </w:pPr>
            <w:r>
              <w:rPr>
                <w:rFonts w:ascii="Arial" w:cs="Arial" w:eastAsia="Arial" w:hAnsi="Arial"/>
                <w:sz w:val="14"/>
                <w:szCs w:val="14"/>
                <w:color w:val="auto"/>
              </w:rPr>
              <w:t>Stock awards (RSUs)</w:t>
            </w:r>
            <w:r>
              <w:rPr>
                <w:rFonts w:ascii="Arial" w:cs="Arial" w:eastAsia="Arial" w:hAnsi="Arial"/>
                <w:sz w:val="18"/>
                <w:szCs w:val="18"/>
                <w:color w:val="auto"/>
                <w:vertAlign w:val="superscript"/>
              </w:rPr>
              <w:t>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Borders>
              <w:top w:val="single" w:sz="8" w:color="454545"/>
            </w:tcBorders>
            <w:gridSpan w:val="2"/>
            <w:vMerge w:val="restart"/>
          </w:tcPr>
          <w:p>
            <w:pPr>
              <w:jc w:val="right"/>
              <w:ind w:right="1028"/>
              <w:spacing w:after="0"/>
              <w:rPr>
                <w:sz w:val="20"/>
                <w:szCs w:val="20"/>
                <w:color w:val="auto"/>
              </w:rPr>
            </w:pPr>
            <w:r>
              <w:rPr>
                <w:rFonts w:ascii="Arial" w:cs="Arial" w:eastAsia="Arial" w:hAnsi="Arial"/>
                <w:sz w:val="14"/>
                <w:szCs w:val="14"/>
                <w:color w:val="074A75"/>
              </w:rPr>
              <w:t>Threshold</w:t>
            </w:r>
          </w:p>
        </w:tc>
        <w:tc>
          <w:tcPr>
            <w:tcW w:w="1160" w:type="dxa"/>
            <w:vAlign w:val="bottom"/>
            <w:tcBorders>
              <w:top w:val="single" w:sz="8" w:color="454545"/>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454545"/>
            </w:tcBorders>
          </w:tcPr>
          <w:p>
            <w:pPr>
              <w:jc w:val="center"/>
              <w:spacing w:after="0"/>
              <w:rPr>
                <w:sz w:val="20"/>
                <w:szCs w:val="20"/>
                <w:color w:val="auto"/>
              </w:rPr>
            </w:pPr>
            <w:r>
              <w:rPr>
                <w:rFonts w:ascii="Arial" w:cs="Arial" w:eastAsia="Arial" w:hAnsi="Arial"/>
                <w:sz w:val="14"/>
                <w:szCs w:val="14"/>
                <w:color w:val="074A75"/>
              </w:rPr>
              <w:t>Number of shares of</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074A75"/>
              </w:rPr>
              <w:t>Grant date</w:t>
            </w:r>
          </w:p>
        </w:tc>
        <w:tc>
          <w:tcPr>
            <w:tcW w:w="0" w:type="dxa"/>
            <w:vAlign w:val="bottom"/>
          </w:tcPr>
          <w:p>
            <w:pPr>
              <w:spacing w:after="0"/>
              <w:rPr>
                <w:sz w:val="1"/>
                <w:szCs w:val="1"/>
                <w:color w:val="auto"/>
              </w:rPr>
            </w:pPr>
          </w:p>
        </w:tc>
      </w:tr>
      <w:tr>
        <w:trPr>
          <w:trHeight w:val="160"/>
        </w:trPr>
        <w:tc>
          <w:tcPr>
            <w:tcW w:w="4140" w:type="dxa"/>
            <w:vAlign w:val="bottom"/>
            <w:gridSpan w:val="2"/>
            <w:vMerge w:val="restart"/>
          </w:tcPr>
          <w:p>
            <w:pPr>
              <w:ind w:left="20"/>
              <w:spacing w:after="0"/>
              <w:rPr>
                <w:sz w:val="20"/>
                <w:szCs w:val="20"/>
                <w:color w:val="auto"/>
              </w:rPr>
            </w:pPr>
            <w:r>
              <w:rPr>
                <w:rFonts w:ascii="Arial" w:cs="Arial" w:eastAsia="Arial" w:hAnsi="Arial"/>
                <w:sz w:val="16"/>
                <w:szCs w:val="16"/>
                <w:color w:val="074A75"/>
              </w:rPr>
              <w:t>Name</w:t>
            </w:r>
          </w:p>
        </w:tc>
        <w:tc>
          <w:tcPr>
            <w:tcW w:w="1180" w:type="dxa"/>
            <w:vAlign w:val="bottom"/>
            <w:vMerge w:val="restart"/>
          </w:tcPr>
          <w:p>
            <w:pPr>
              <w:jc w:val="center"/>
              <w:ind w:right="27"/>
              <w:spacing w:after="0"/>
              <w:rPr>
                <w:sz w:val="20"/>
                <w:szCs w:val="20"/>
                <w:color w:val="auto"/>
              </w:rPr>
            </w:pPr>
            <w:r>
              <w:rPr>
                <w:rFonts w:ascii="Arial" w:cs="Arial" w:eastAsia="Arial" w:hAnsi="Arial"/>
                <w:sz w:val="16"/>
                <w:szCs w:val="16"/>
                <w:color w:val="074A75"/>
              </w:rPr>
              <w:t>Grant date</w:t>
            </w:r>
          </w:p>
        </w:tc>
        <w:tc>
          <w:tcPr>
            <w:tcW w:w="182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074A75"/>
              </w:rPr>
              <w:t>restricted</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140" w:type="dxa"/>
            <w:vAlign w:val="bottom"/>
            <w:tcBorders>
              <w:bottom w:val="single" w:sz="8" w:color="454545"/>
            </w:tcBorders>
            <w:gridSpan w:val="2"/>
            <w:vMerge w:val="continue"/>
          </w:tcPr>
          <w:p>
            <w:pPr>
              <w:spacing w:after="0"/>
              <w:rPr>
                <w:sz w:val="18"/>
                <w:szCs w:val="18"/>
                <w:color w:val="auto"/>
              </w:rPr>
            </w:pPr>
          </w:p>
        </w:tc>
        <w:tc>
          <w:tcPr>
            <w:tcW w:w="1180" w:type="dxa"/>
            <w:vAlign w:val="bottom"/>
            <w:tcBorders>
              <w:bottom w:val="single" w:sz="8" w:color="454545"/>
            </w:tcBorders>
            <w:vMerge w:val="continue"/>
          </w:tcPr>
          <w:p>
            <w:pPr>
              <w:spacing w:after="0"/>
              <w:rPr>
                <w:sz w:val="18"/>
                <w:szCs w:val="18"/>
                <w:color w:val="auto"/>
              </w:rPr>
            </w:pPr>
          </w:p>
        </w:tc>
        <w:tc>
          <w:tcPr>
            <w:tcW w:w="500" w:type="dxa"/>
            <w:vAlign w:val="bottom"/>
            <w:tcBorders>
              <w:bottom w:val="single" w:sz="8" w:color="454545"/>
            </w:tcBorders>
          </w:tcPr>
          <w:p>
            <w:pPr>
              <w:jc w:val="center"/>
              <w:ind w:left="248"/>
              <w:spacing w:after="0"/>
              <w:rPr>
                <w:sz w:val="20"/>
                <w:szCs w:val="20"/>
                <w:color w:val="auto"/>
              </w:rPr>
            </w:pPr>
            <w:r>
              <w:rPr>
                <w:rFonts w:ascii="Arial" w:cs="Arial" w:eastAsia="Arial" w:hAnsi="Arial"/>
                <w:sz w:val="14"/>
                <w:szCs w:val="14"/>
                <w:color w:val="074A75"/>
              </w:rPr>
              <w:t>(#)</w:t>
            </w:r>
          </w:p>
        </w:tc>
        <w:tc>
          <w:tcPr>
            <w:tcW w:w="1320" w:type="dxa"/>
            <w:vAlign w:val="bottom"/>
            <w:tcBorders>
              <w:bottom w:val="single" w:sz="8" w:color="454545"/>
            </w:tcBorders>
          </w:tcPr>
          <w:p>
            <w:pPr>
              <w:jc w:val="right"/>
              <w:ind w:right="88"/>
              <w:spacing w:after="0"/>
              <w:rPr>
                <w:sz w:val="20"/>
                <w:szCs w:val="20"/>
                <w:color w:val="auto"/>
              </w:rPr>
            </w:pPr>
            <w:r>
              <w:rPr>
                <w:rFonts w:ascii="Arial" w:cs="Arial" w:eastAsia="Arial" w:hAnsi="Arial"/>
                <w:sz w:val="14"/>
                <w:szCs w:val="14"/>
                <w:color w:val="074A75"/>
              </w:rPr>
              <w:t>Target (#)</w:t>
            </w:r>
          </w:p>
        </w:tc>
        <w:tc>
          <w:tcPr>
            <w:tcW w:w="1260" w:type="dxa"/>
            <w:vAlign w:val="bottom"/>
            <w:tcBorders>
              <w:bottom w:val="single" w:sz="8" w:color="454545"/>
            </w:tcBorders>
            <w:gridSpan w:val="2"/>
          </w:tcPr>
          <w:p>
            <w:pPr>
              <w:ind w:left="180"/>
              <w:spacing w:after="0"/>
              <w:rPr>
                <w:sz w:val="20"/>
                <w:szCs w:val="20"/>
                <w:color w:val="auto"/>
              </w:rPr>
            </w:pPr>
            <w:r>
              <w:rPr>
                <w:rFonts w:ascii="Arial" w:cs="Arial" w:eastAsia="Arial" w:hAnsi="Arial"/>
                <w:sz w:val="14"/>
                <w:szCs w:val="14"/>
                <w:color w:val="074A75"/>
              </w:rPr>
              <w:t>Maximum (#)</w:t>
            </w:r>
          </w:p>
        </w:tc>
        <w:tc>
          <w:tcPr>
            <w:tcW w:w="1480" w:type="dxa"/>
            <w:vAlign w:val="bottom"/>
            <w:tcBorders>
              <w:bottom w:val="single" w:sz="8" w:color="454545"/>
            </w:tcBorders>
          </w:tcPr>
          <w:p>
            <w:pPr>
              <w:jc w:val="center"/>
              <w:spacing w:after="0"/>
              <w:rPr>
                <w:sz w:val="20"/>
                <w:szCs w:val="20"/>
                <w:color w:val="auto"/>
              </w:rPr>
            </w:pPr>
            <w:r>
              <w:rPr>
                <w:rFonts w:ascii="Arial" w:cs="Arial" w:eastAsia="Arial" w:hAnsi="Arial"/>
                <w:sz w:val="14"/>
                <w:szCs w:val="14"/>
                <w:color w:val="074A75"/>
              </w:rPr>
              <w:t>stock or units (#)</w:t>
            </w:r>
          </w:p>
        </w:tc>
        <w:tc>
          <w:tcPr>
            <w:tcW w:w="1360" w:type="dxa"/>
            <w:vAlign w:val="bottom"/>
            <w:tcBorders>
              <w:bottom w:val="single" w:sz="8" w:color="454545"/>
            </w:tcBorders>
          </w:tcPr>
          <w:p>
            <w:pPr>
              <w:jc w:val="right"/>
              <w:ind w:right="128"/>
              <w:spacing w:after="0"/>
              <w:rPr>
                <w:sz w:val="20"/>
                <w:szCs w:val="20"/>
                <w:color w:val="auto"/>
              </w:rPr>
            </w:pPr>
            <w:r>
              <w:rPr>
                <w:rFonts w:ascii="Arial" w:cs="Arial" w:eastAsia="Arial" w:hAnsi="Arial"/>
                <w:sz w:val="14"/>
                <w:szCs w:val="14"/>
                <w:color w:val="074A75"/>
              </w:rPr>
              <w:t>fair value ($)</w:t>
            </w:r>
            <w:r>
              <w:rPr>
                <w:rFonts w:ascii="Arial" w:cs="Arial" w:eastAsia="Arial" w:hAnsi="Arial"/>
                <w:sz w:val="18"/>
                <w:szCs w:val="18"/>
                <w:color w:val="074A75"/>
                <w:vertAlign w:val="superscript"/>
              </w:rPr>
              <w:t>4</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454545"/>
            </w:tcBorders>
          </w:tcPr>
          <w:p>
            <w:pPr>
              <w:ind w:left="20"/>
              <w:spacing w:after="0"/>
              <w:rPr>
                <w:sz w:val="20"/>
                <w:szCs w:val="20"/>
                <w:color w:val="auto"/>
              </w:rPr>
            </w:pPr>
            <w:r>
              <w:rPr>
                <w:rFonts w:ascii="Arial" w:cs="Arial" w:eastAsia="Arial" w:hAnsi="Arial"/>
                <w:sz w:val="14"/>
                <w:szCs w:val="14"/>
                <w:b w:val="1"/>
                <w:bCs w:val="1"/>
                <w:color w:val="auto"/>
              </w:rPr>
              <w:t>James Dimon</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color w:val="auto"/>
              </w:rPr>
              <w:t>1/17/2023</w:t>
            </w:r>
          </w:p>
        </w:tc>
        <w:tc>
          <w:tcPr>
            <w:tcW w:w="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199,456</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299,184</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28,000,000</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454545"/>
            </w:tcBorders>
            <w:gridSpan w:val="2"/>
          </w:tcPr>
          <w:p>
            <w:pPr>
              <w:ind w:left="20"/>
              <w:spacing w:after="0"/>
              <w:rPr>
                <w:sz w:val="20"/>
                <w:szCs w:val="20"/>
                <w:color w:val="auto"/>
              </w:rPr>
            </w:pPr>
            <w:r>
              <w:rPr>
                <w:rFonts w:ascii="Arial" w:cs="Arial" w:eastAsia="Arial" w:hAnsi="Arial"/>
                <w:sz w:val="14"/>
                <w:szCs w:val="14"/>
                <w:b w:val="1"/>
                <w:bCs w:val="1"/>
                <w:color w:val="auto"/>
              </w:rPr>
              <w:t>Daniel Pinto</w:t>
            </w:r>
          </w:p>
        </w:tc>
        <w:tc>
          <w:tcPr>
            <w:tcW w:w="11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color w:val="auto"/>
              </w:rPr>
              <w:t>1/17/2023</w:t>
            </w:r>
          </w:p>
        </w:tc>
        <w:tc>
          <w:tcPr>
            <w:tcW w:w="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156,715</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235,072</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22,000,000</w:t>
            </w:r>
          </w:p>
        </w:tc>
        <w:tc>
          <w:tcPr>
            <w:tcW w:w="0" w:type="dxa"/>
            <w:vAlign w:val="bottom"/>
          </w:tcPr>
          <w:p>
            <w:pPr>
              <w:spacing w:after="0"/>
              <w:rPr>
                <w:sz w:val="1"/>
                <w:szCs w:val="1"/>
                <w:color w:val="auto"/>
              </w:rPr>
            </w:pPr>
          </w:p>
        </w:tc>
      </w:tr>
      <w:tr>
        <w:trPr>
          <w:trHeight w:val="223"/>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Mary Callahan Erdoes</w:t>
            </w:r>
          </w:p>
        </w:tc>
        <w:tc>
          <w:tcPr>
            <w:tcW w:w="118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1/17/2023</w:t>
            </w:r>
          </w:p>
        </w:tc>
        <w:tc>
          <w:tcPr>
            <w:tcW w:w="500" w:type="dxa"/>
            <w:vAlign w:val="bottom"/>
            <w:tcBorders>
              <w:bottom w:val="single" w:sz="8" w:color="B6B6B6"/>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52,892</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7,425,000</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27"/>
              <w:spacing w:after="0"/>
              <w:rPr>
                <w:sz w:val="20"/>
                <w:szCs w:val="20"/>
                <w:color w:val="auto"/>
              </w:rPr>
            </w:pPr>
            <w:r>
              <w:rPr>
                <w:rFonts w:ascii="Arial" w:cs="Arial" w:eastAsia="Arial" w:hAnsi="Arial"/>
                <w:sz w:val="14"/>
                <w:szCs w:val="14"/>
                <w:color w:val="auto"/>
              </w:rPr>
              <w:t>1/17/2023</w:t>
            </w:r>
          </w:p>
        </w:tc>
        <w:tc>
          <w:tcPr>
            <w:tcW w:w="5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52,892</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79,338</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7,425,000</w:t>
            </w:r>
          </w:p>
        </w:tc>
        <w:tc>
          <w:tcPr>
            <w:tcW w:w="0" w:type="dxa"/>
            <w:vAlign w:val="bottom"/>
          </w:tcPr>
          <w:p>
            <w:pPr>
              <w:spacing w:after="0"/>
              <w:rPr>
                <w:sz w:val="1"/>
                <w:szCs w:val="1"/>
                <w:color w:val="auto"/>
              </w:rPr>
            </w:pPr>
          </w:p>
        </w:tc>
      </w:tr>
      <w:tr>
        <w:trPr>
          <w:trHeight w:val="22"/>
        </w:trPr>
        <w:tc>
          <w:tcPr>
            <w:tcW w:w="404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Marianne Lake</w:t>
            </w:r>
          </w:p>
        </w:tc>
        <w:tc>
          <w:tcPr>
            <w:tcW w:w="118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1/17/2023</w:t>
            </w:r>
          </w:p>
        </w:tc>
        <w:tc>
          <w:tcPr>
            <w:tcW w:w="500" w:type="dxa"/>
            <w:vAlign w:val="bottom"/>
            <w:tcBorders>
              <w:bottom w:val="single" w:sz="8" w:color="B6B6B6"/>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35,796</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5,025,000</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27"/>
              <w:spacing w:after="0"/>
              <w:rPr>
                <w:sz w:val="20"/>
                <w:szCs w:val="20"/>
                <w:color w:val="auto"/>
              </w:rPr>
            </w:pPr>
            <w:r>
              <w:rPr>
                <w:rFonts w:ascii="Arial" w:cs="Arial" w:eastAsia="Arial" w:hAnsi="Arial"/>
                <w:sz w:val="14"/>
                <w:szCs w:val="14"/>
                <w:color w:val="auto"/>
              </w:rPr>
              <w:t>1/17/2023</w:t>
            </w:r>
          </w:p>
        </w:tc>
        <w:tc>
          <w:tcPr>
            <w:tcW w:w="5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35,796</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53,694</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5,025,000</w:t>
            </w:r>
          </w:p>
        </w:tc>
        <w:tc>
          <w:tcPr>
            <w:tcW w:w="0" w:type="dxa"/>
            <w:vAlign w:val="bottom"/>
          </w:tcPr>
          <w:p>
            <w:pPr>
              <w:spacing w:after="0"/>
              <w:rPr>
                <w:sz w:val="1"/>
                <w:szCs w:val="1"/>
                <w:color w:val="auto"/>
              </w:rPr>
            </w:pPr>
          </w:p>
        </w:tc>
      </w:tr>
      <w:tr>
        <w:trPr>
          <w:trHeight w:val="22"/>
        </w:trPr>
        <w:tc>
          <w:tcPr>
            <w:tcW w:w="404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Jennifer Piepszak</w:t>
            </w:r>
          </w:p>
        </w:tc>
        <w:tc>
          <w:tcPr>
            <w:tcW w:w="118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1/17/2023</w:t>
            </w:r>
          </w:p>
        </w:tc>
        <w:tc>
          <w:tcPr>
            <w:tcW w:w="500" w:type="dxa"/>
            <w:vAlign w:val="bottom"/>
            <w:tcBorders>
              <w:bottom w:val="single" w:sz="8" w:color="B6B6B6"/>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35,796</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5,025,000</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27"/>
              <w:spacing w:after="0"/>
              <w:rPr>
                <w:sz w:val="20"/>
                <w:szCs w:val="20"/>
                <w:color w:val="auto"/>
              </w:rPr>
            </w:pPr>
            <w:r>
              <w:rPr>
                <w:rFonts w:ascii="Arial" w:cs="Arial" w:eastAsia="Arial" w:hAnsi="Arial"/>
                <w:sz w:val="14"/>
                <w:szCs w:val="14"/>
                <w:color w:val="auto"/>
              </w:rPr>
              <w:t>1/17/2023</w:t>
            </w:r>
          </w:p>
        </w:tc>
        <w:tc>
          <w:tcPr>
            <w:tcW w:w="5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35,796</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53,694</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5,025,000</w:t>
            </w:r>
          </w:p>
        </w:tc>
        <w:tc>
          <w:tcPr>
            <w:tcW w:w="0" w:type="dxa"/>
            <w:vAlign w:val="bottom"/>
          </w:tcPr>
          <w:p>
            <w:pPr>
              <w:spacing w:after="0"/>
              <w:rPr>
                <w:sz w:val="1"/>
                <w:szCs w:val="1"/>
                <w:color w:val="auto"/>
              </w:rPr>
            </w:pPr>
          </w:p>
        </w:tc>
      </w:tr>
      <w:tr>
        <w:trPr>
          <w:trHeight w:val="22"/>
        </w:trPr>
        <w:tc>
          <w:tcPr>
            <w:tcW w:w="404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Jeremy Barnum</w:t>
            </w:r>
          </w:p>
        </w:tc>
        <w:tc>
          <w:tcPr>
            <w:tcW w:w="118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1/17/2023</w:t>
            </w:r>
          </w:p>
        </w:tc>
        <w:tc>
          <w:tcPr>
            <w:tcW w:w="500" w:type="dxa"/>
            <w:vAlign w:val="bottom"/>
            <w:tcBorders>
              <w:bottom w:val="single" w:sz="8" w:color="B6B6B6"/>
            </w:tcBorders>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24,042</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3,375,000</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27"/>
              <w:spacing w:after="0"/>
              <w:rPr>
                <w:sz w:val="20"/>
                <w:szCs w:val="20"/>
                <w:color w:val="auto"/>
              </w:rPr>
            </w:pPr>
            <w:r>
              <w:rPr>
                <w:rFonts w:ascii="Arial" w:cs="Arial" w:eastAsia="Arial" w:hAnsi="Arial"/>
                <w:sz w:val="14"/>
                <w:szCs w:val="14"/>
                <w:color w:val="auto"/>
              </w:rPr>
              <w:t>1/17/2023</w:t>
            </w:r>
          </w:p>
        </w:tc>
        <w:tc>
          <w:tcPr>
            <w:tcW w:w="5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24,042</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36,063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3,375,000</w:t>
            </w:r>
          </w:p>
        </w:tc>
        <w:tc>
          <w:tcPr>
            <w:tcW w:w="0" w:type="dxa"/>
            <w:vAlign w:val="bottom"/>
          </w:tcPr>
          <w:p>
            <w:pPr>
              <w:spacing w:after="0"/>
              <w:rPr>
                <w:sz w:val="1"/>
                <w:szCs w:val="1"/>
                <w:color w:val="auto"/>
              </w:rPr>
            </w:pPr>
          </w:p>
        </w:tc>
      </w:tr>
      <w:tr>
        <w:trPr>
          <w:trHeight w:val="22"/>
        </w:trPr>
        <w:tc>
          <w:tcPr>
            <w:tcW w:w="404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00" w:right="240" w:hanging="192"/>
        <w:spacing w:after="0" w:line="252" w:lineRule="auto"/>
        <w:tabs>
          <w:tab w:leader="none" w:pos="200" w:val="left"/>
        </w:tabs>
        <w:numPr>
          <w:ilvl w:val="0"/>
          <w:numId w:val="238"/>
        </w:numPr>
        <w:rPr>
          <w:rFonts w:ascii="Arial" w:cs="Arial" w:eastAsia="Arial" w:hAnsi="Arial"/>
          <w:sz w:val="15"/>
          <w:szCs w:val="15"/>
          <w:color w:val="auto"/>
          <w:vertAlign w:val="superscript"/>
        </w:rPr>
      </w:pPr>
      <w:r>
        <w:rPr>
          <w:rFonts w:ascii="Arial" w:cs="Arial" w:eastAsia="Arial" w:hAnsi="Arial"/>
          <w:sz w:val="12"/>
          <w:szCs w:val="12"/>
          <w:color w:val="auto"/>
        </w:rPr>
        <w:t>Equity grants are awarded as part of the annual compensation process and as part of employment offers for new hires. Grants made as part of the annual incentive compensation process are generally awarded in January after fourth quarter earnings are released. RSUs and PSUs carry no voting rights. On January 16, 2024, the Firm awarded RSU and PSU awards as part of 2023 annual incentive compensation. Because these awards were granted in 2024, they do not appear in this table, which is required to include only equity awards actually granted during 2023. These</w:t>
      </w:r>
    </w:p>
    <w:p>
      <w:pPr>
        <w:ind w:left="200"/>
        <w:spacing w:after="0" w:line="237" w:lineRule="auto"/>
        <w:rPr>
          <w:sz w:val="20"/>
          <w:szCs w:val="20"/>
          <w:color w:val="auto"/>
        </w:rPr>
      </w:pPr>
      <w:r>
        <w:rPr>
          <w:rFonts w:ascii="Arial" w:cs="Arial" w:eastAsia="Arial" w:hAnsi="Arial"/>
          <w:sz w:val="13"/>
          <w:szCs w:val="13"/>
          <w:color w:val="auto"/>
        </w:rPr>
        <w:t>2024 awards are however reflected in the “NEO annual compensation table" on page 55.</w:t>
      </w:r>
    </w:p>
    <w:p>
      <w:pPr>
        <w:jc w:val="both"/>
        <w:ind w:left="200" w:right="320" w:hanging="192"/>
        <w:spacing w:after="0" w:line="234" w:lineRule="auto"/>
        <w:tabs>
          <w:tab w:leader="none" w:pos="200" w:val="left"/>
        </w:tabs>
        <w:numPr>
          <w:ilvl w:val="0"/>
          <w:numId w:val="239"/>
        </w:numPr>
        <w:rPr>
          <w:rFonts w:ascii="Arial" w:cs="Arial" w:eastAsia="Arial" w:hAnsi="Arial"/>
          <w:sz w:val="15"/>
          <w:szCs w:val="15"/>
          <w:color w:val="auto"/>
          <w:vertAlign w:val="superscript"/>
        </w:rPr>
      </w:pPr>
      <w:r>
        <w:rPr>
          <w:rFonts w:ascii="Arial" w:cs="Arial" w:eastAsia="Arial" w:hAnsi="Arial"/>
          <w:sz w:val="12"/>
          <w:szCs w:val="12"/>
          <w:color w:val="auto"/>
        </w:rPr>
        <w:t>PSUs vest on March 25, 2026, and are subject to a two-year holding period post-vesting. Each PSU represents the right to receive one share of common stock on the vesting date. The ultimate number of PSUs that will vest will be determined by the Firm’s performance over the three-year performance period and will include any accumulated reinvested dividend equivalent shares. The</w:t>
      </w:r>
    </w:p>
    <w:p>
      <w:pPr>
        <w:ind w:left="200" w:right="80"/>
        <w:spacing w:after="0" w:line="244" w:lineRule="auto"/>
        <w:rPr>
          <w:sz w:val="20"/>
          <w:szCs w:val="20"/>
          <w:color w:val="auto"/>
        </w:rPr>
      </w:pPr>
      <w:r>
        <w:rPr>
          <w:rFonts w:ascii="Arial" w:cs="Arial" w:eastAsia="Arial" w:hAnsi="Arial"/>
          <w:sz w:val="13"/>
          <w:szCs w:val="13"/>
          <w:color w:val="auto"/>
        </w:rPr>
        <w:t>dividend equivalent shares, if any, will be based on: (1) the number of PSUs earned at vesting; and (2) on dividends that would have been paid on the Firm’s common stock during the vesting period as of each dividend payment date, if any.</w:t>
      </w:r>
    </w:p>
    <w:p>
      <w:pPr>
        <w:ind w:left="200" w:right="580" w:hanging="192"/>
        <w:spacing w:after="0" w:line="213" w:lineRule="auto"/>
        <w:tabs>
          <w:tab w:leader="none" w:pos="200" w:val="left"/>
        </w:tabs>
        <w:numPr>
          <w:ilvl w:val="0"/>
          <w:numId w:val="240"/>
        </w:numPr>
        <w:rPr>
          <w:rFonts w:ascii="Arial" w:cs="Arial" w:eastAsia="Arial" w:hAnsi="Arial"/>
          <w:sz w:val="16"/>
          <w:szCs w:val="16"/>
          <w:color w:val="auto"/>
          <w:vertAlign w:val="superscript"/>
        </w:rPr>
      </w:pPr>
      <w:r>
        <w:rPr>
          <w:rFonts w:ascii="Arial" w:cs="Arial" w:eastAsia="Arial" w:hAnsi="Arial"/>
          <w:sz w:val="13"/>
          <w:szCs w:val="13"/>
          <w:color w:val="auto"/>
        </w:rPr>
        <w:t>RSUs vest in two equal installments on January 13, 2025 and 2026. Each RSU represents the right to receive one share of common stock on the vesting date and non-preferential dividend equivalents, payable in cash, equal to any dividends paid on the Firm’s common stock during the vesting period.</w:t>
      </w:r>
    </w:p>
    <w:p>
      <w:pPr>
        <w:spacing w:after="0" w:line="1" w:lineRule="exact"/>
        <w:rPr>
          <w:sz w:val="20"/>
          <w:szCs w:val="20"/>
          <w:color w:val="auto"/>
        </w:rPr>
      </w:pPr>
    </w:p>
    <w:p>
      <w:pPr>
        <w:ind w:left="200" w:right="180" w:hanging="192"/>
        <w:spacing w:after="0" w:line="227" w:lineRule="auto"/>
        <w:tabs>
          <w:tab w:leader="none" w:pos="200" w:val="left"/>
        </w:tabs>
        <w:numPr>
          <w:ilvl w:val="0"/>
          <w:numId w:val="241"/>
        </w:numPr>
        <w:rPr>
          <w:rFonts w:ascii="Arial" w:cs="Arial" w:eastAsia="Arial" w:hAnsi="Arial"/>
          <w:sz w:val="16"/>
          <w:szCs w:val="16"/>
          <w:color w:val="auto"/>
          <w:vertAlign w:val="superscript"/>
        </w:rPr>
      </w:pPr>
      <w:r>
        <w:rPr>
          <w:rFonts w:ascii="Arial" w:cs="Arial" w:eastAsia="Arial" w:hAnsi="Arial"/>
          <w:sz w:val="13"/>
          <w:szCs w:val="13"/>
          <w:color w:val="auto"/>
        </w:rPr>
        <w:t>The grant date fair value for RSUs and PSUs is based on the average of the high and the low prices of JPMorgan Chase common stock on the grant date multiplied by the number of units granted (for RSUs) or target number of PSUs.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III. OUTSTANDING EQUITY AWARDS AT FISCAL YEAR-END 2023</w:t>
      </w:r>
    </w:p>
    <w:p>
      <w:pPr>
        <w:spacing w:after="0" w:line="12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shows the number of shares of the Firm’s common stock underlying (i) SARs and (ii) RSUs and PSUs that had not yet vested held by the Firm’s Named Executive Officers on December 31,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Borders>
              <w:bottom w:val="single" w:sz="8" w:color="454545"/>
            </w:tcBorders>
          </w:tcPr>
          <w:p>
            <w:pPr>
              <w:spacing w:after="0"/>
              <w:rPr>
                <w:sz w:val="19"/>
                <w:szCs w:val="19"/>
                <w:color w:val="auto"/>
              </w:rPr>
            </w:pPr>
          </w:p>
        </w:tc>
        <w:tc>
          <w:tcPr>
            <w:tcW w:w="120" w:type="dxa"/>
            <w:vAlign w:val="bottom"/>
            <w:tcBorders>
              <w:bottom w:val="single" w:sz="8" w:color="454545"/>
            </w:tcBorders>
          </w:tcPr>
          <w:p>
            <w:pPr>
              <w:spacing w:after="0"/>
              <w:rPr>
                <w:sz w:val="19"/>
                <w:szCs w:val="19"/>
                <w:color w:val="auto"/>
              </w:rPr>
            </w:pPr>
          </w:p>
        </w:tc>
        <w:tc>
          <w:tcPr>
            <w:tcW w:w="1040" w:type="dxa"/>
            <w:vAlign w:val="bottom"/>
            <w:tcBorders>
              <w:bottom w:val="single" w:sz="8" w:color="454545"/>
            </w:tcBorders>
          </w:tcPr>
          <w:p>
            <w:pPr>
              <w:spacing w:after="0"/>
              <w:rPr>
                <w:sz w:val="19"/>
                <w:szCs w:val="19"/>
                <w:color w:val="auto"/>
              </w:rPr>
            </w:pPr>
          </w:p>
        </w:tc>
        <w:tc>
          <w:tcPr>
            <w:tcW w:w="140" w:type="dxa"/>
            <w:vAlign w:val="bottom"/>
            <w:tcBorders>
              <w:bottom w:val="single" w:sz="8" w:color="454545"/>
            </w:tcBorders>
          </w:tcPr>
          <w:p>
            <w:pPr>
              <w:spacing w:after="0"/>
              <w:rPr>
                <w:sz w:val="19"/>
                <w:szCs w:val="19"/>
                <w:color w:val="auto"/>
              </w:rPr>
            </w:pPr>
          </w:p>
        </w:tc>
        <w:tc>
          <w:tcPr>
            <w:tcW w:w="140" w:type="dxa"/>
            <w:vAlign w:val="bottom"/>
            <w:tcBorders>
              <w:bottom w:val="single" w:sz="8" w:color="454545"/>
            </w:tcBorders>
          </w:tcPr>
          <w:p>
            <w:pPr>
              <w:spacing w:after="0"/>
              <w:rPr>
                <w:sz w:val="19"/>
                <w:szCs w:val="19"/>
                <w:color w:val="auto"/>
              </w:rPr>
            </w:pPr>
          </w:p>
        </w:tc>
        <w:tc>
          <w:tcPr>
            <w:tcW w:w="80" w:type="dxa"/>
            <w:vAlign w:val="bottom"/>
            <w:tcBorders>
              <w:bottom w:val="single" w:sz="8" w:color="454545"/>
            </w:tcBorders>
          </w:tcPr>
          <w:p>
            <w:pPr>
              <w:spacing w:after="0"/>
              <w:rPr>
                <w:sz w:val="19"/>
                <w:szCs w:val="19"/>
                <w:color w:val="auto"/>
              </w:rPr>
            </w:pPr>
          </w:p>
        </w:tc>
        <w:tc>
          <w:tcPr>
            <w:tcW w:w="146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Option awards</w:t>
            </w:r>
          </w:p>
        </w:tc>
        <w:tc>
          <w:tcPr>
            <w:tcW w:w="940" w:type="dxa"/>
            <w:vAlign w:val="bottom"/>
            <w:tcBorders>
              <w:bottom w:val="single" w:sz="8" w:color="454545"/>
            </w:tcBorders>
          </w:tcPr>
          <w:p>
            <w:pPr>
              <w:spacing w:after="0"/>
              <w:rPr>
                <w:sz w:val="19"/>
                <w:szCs w:val="19"/>
                <w:color w:val="auto"/>
              </w:rPr>
            </w:pPr>
          </w:p>
        </w:tc>
        <w:tc>
          <w:tcPr>
            <w:tcW w:w="1040" w:type="dxa"/>
            <w:vAlign w:val="bottom"/>
            <w:tcBorders>
              <w:bottom w:val="single" w:sz="8" w:color="454545"/>
            </w:tcBorders>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Borders>
              <w:bottom w:val="single" w:sz="8" w:color="454545"/>
            </w:tcBorders>
            <w:gridSpan w:val="4"/>
          </w:tcPr>
          <w:p>
            <w:pPr>
              <w:jc w:val="right"/>
              <w:ind w:right="879"/>
              <w:spacing w:after="0"/>
              <w:rPr>
                <w:sz w:val="20"/>
                <w:szCs w:val="20"/>
                <w:color w:val="auto"/>
              </w:rPr>
            </w:pPr>
            <w:r>
              <w:rPr>
                <w:rFonts w:ascii="Arial" w:cs="Arial" w:eastAsia="Arial" w:hAnsi="Arial"/>
                <w:sz w:val="16"/>
                <w:szCs w:val="16"/>
                <w:color w:val="auto"/>
              </w:rPr>
              <w:t>Stock awards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color w:val="074A75"/>
              </w:rPr>
              <w:t>Number of</w:t>
            </w:r>
          </w:p>
        </w:tc>
        <w:tc>
          <w:tcPr>
            <w:tcW w:w="140" w:type="dxa"/>
            <w:vAlign w:val="bottom"/>
          </w:tcPr>
          <w:p>
            <w:pPr>
              <w:spacing w:after="0"/>
              <w:rPr>
                <w:sz w:val="17"/>
                <w:szCs w:val="17"/>
                <w:color w:val="auto"/>
              </w:rPr>
            </w:pPr>
          </w:p>
        </w:tc>
        <w:tc>
          <w:tcPr>
            <w:tcW w:w="1160" w:type="dxa"/>
            <w:vAlign w:val="bottom"/>
            <w:gridSpan w:val="2"/>
          </w:tcPr>
          <w:p>
            <w:pPr>
              <w:jc w:val="center"/>
              <w:ind w:right="199"/>
              <w:spacing w:after="0"/>
              <w:rPr>
                <w:sz w:val="20"/>
                <w:szCs w:val="20"/>
                <w:color w:val="auto"/>
              </w:rPr>
            </w:pPr>
            <w:r>
              <w:rPr>
                <w:rFonts w:ascii="Arial" w:cs="Arial" w:eastAsia="Arial" w:hAnsi="Arial"/>
                <w:sz w:val="16"/>
                <w:szCs w:val="16"/>
                <w:color w:val="074A75"/>
              </w:rPr>
              <w:t>Number of</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color w:val="074A75"/>
              </w:rPr>
              <w:t>Number of</w:t>
            </w: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color w:val="074A75"/>
              </w:rPr>
              <w:t>securities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right="279"/>
              <w:spacing w:after="0"/>
              <w:rPr>
                <w:sz w:val="20"/>
                <w:szCs w:val="20"/>
                <w:color w:val="auto"/>
              </w:rPr>
            </w:pPr>
            <w:r>
              <w:rPr>
                <w:rFonts w:ascii="Arial" w:cs="Arial" w:eastAsia="Arial" w:hAnsi="Arial"/>
                <w:sz w:val="16"/>
                <w:szCs w:val="16"/>
                <w:color w:val="074A75"/>
              </w:rPr>
              <w:t>securities</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74A75"/>
              </w:rPr>
              <w:t>Number of</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color w:val="074A75"/>
              </w:rPr>
              <w:t>unearned</w:t>
            </w: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color w:val="074A75"/>
              </w:rPr>
              <w:t>underlying</w:t>
            </w:r>
          </w:p>
        </w:tc>
        <w:tc>
          <w:tcPr>
            <w:tcW w:w="140" w:type="dxa"/>
            <w:vAlign w:val="bottom"/>
          </w:tcPr>
          <w:p>
            <w:pPr>
              <w:spacing w:after="0"/>
              <w:rPr>
                <w:sz w:val="16"/>
                <w:szCs w:val="16"/>
                <w:color w:val="auto"/>
              </w:rPr>
            </w:pPr>
          </w:p>
        </w:tc>
        <w:tc>
          <w:tcPr>
            <w:tcW w:w="1160" w:type="dxa"/>
            <w:vAlign w:val="bottom"/>
            <w:gridSpan w:val="2"/>
          </w:tcPr>
          <w:p>
            <w:pPr>
              <w:jc w:val="center"/>
              <w:ind w:right="199"/>
              <w:spacing w:after="0"/>
              <w:rPr>
                <w:sz w:val="20"/>
                <w:szCs w:val="20"/>
                <w:color w:val="auto"/>
              </w:rPr>
            </w:pPr>
            <w:r>
              <w:rPr>
                <w:rFonts w:ascii="Arial" w:cs="Arial" w:eastAsia="Arial" w:hAnsi="Arial"/>
                <w:sz w:val="16"/>
                <w:szCs w:val="16"/>
                <w:color w:val="074A75"/>
              </w:rPr>
              <w:t>underlying</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74A75"/>
              </w:rPr>
              <w:t>shares or units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color w:val="074A75"/>
              </w:rPr>
              <w:t>performance</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074A75"/>
              </w:rPr>
              <w:t>Option/</w:t>
            </w:r>
          </w:p>
        </w:tc>
        <w:tc>
          <w:tcPr>
            <w:tcW w:w="1300" w:type="dxa"/>
            <w:vAlign w:val="bottom"/>
            <w:gridSpan w:val="3"/>
          </w:tcPr>
          <w:p>
            <w:pPr>
              <w:jc w:val="center"/>
              <w:ind w:right="280"/>
              <w:spacing w:after="0"/>
              <w:rPr>
                <w:sz w:val="20"/>
                <w:szCs w:val="20"/>
                <w:color w:val="auto"/>
              </w:rPr>
            </w:pPr>
            <w:r>
              <w:rPr>
                <w:rFonts w:ascii="Arial" w:cs="Arial" w:eastAsia="Arial" w:hAnsi="Arial"/>
                <w:sz w:val="16"/>
                <w:szCs w:val="16"/>
                <w:color w:val="074A75"/>
                <w:w w:val="99"/>
              </w:rPr>
              <w:t>unexercised</w:t>
            </w:r>
          </w:p>
        </w:tc>
        <w:tc>
          <w:tcPr>
            <w:tcW w:w="140" w:type="dxa"/>
            <w:vAlign w:val="bottom"/>
          </w:tcPr>
          <w:p>
            <w:pPr>
              <w:spacing w:after="0"/>
              <w:rPr>
                <w:sz w:val="17"/>
                <w:szCs w:val="17"/>
                <w:color w:val="auto"/>
              </w:rPr>
            </w:pPr>
          </w:p>
        </w:tc>
        <w:tc>
          <w:tcPr>
            <w:tcW w:w="1160" w:type="dxa"/>
            <w:vAlign w:val="bottom"/>
            <w:gridSpan w:val="2"/>
          </w:tcPr>
          <w:p>
            <w:pPr>
              <w:jc w:val="center"/>
              <w:ind w:right="199"/>
              <w:spacing w:after="0"/>
              <w:rPr>
                <w:sz w:val="20"/>
                <w:szCs w:val="20"/>
                <w:color w:val="auto"/>
              </w:rPr>
            </w:pPr>
            <w:r>
              <w:rPr>
                <w:rFonts w:ascii="Arial" w:cs="Arial" w:eastAsia="Arial" w:hAnsi="Arial"/>
                <w:sz w:val="16"/>
                <w:szCs w:val="16"/>
                <w:color w:val="074A75"/>
              </w:rPr>
              <w:t>unexercised</w:t>
            </w:r>
          </w:p>
        </w:tc>
        <w:tc>
          <w:tcPr>
            <w:tcW w:w="380" w:type="dxa"/>
            <w:vAlign w:val="bottom"/>
          </w:tcPr>
          <w:p>
            <w:pPr>
              <w:spacing w:after="0"/>
              <w:rPr>
                <w:sz w:val="17"/>
                <w:szCs w:val="17"/>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color w:val="074A75"/>
              </w:rPr>
              <w:t>Option</w:t>
            </w: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074A75"/>
              </w:rPr>
              <w:t>Option</w:t>
            </w:r>
          </w:p>
        </w:tc>
        <w:tc>
          <w:tcPr>
            <w:tcW w:w="1240" w:type="dxa"/>
            <w:vAlign w:val="bottom"/>
          </w:tcPr>
          <w:p>
            <w:pPr>
              <w:jc w:val="center"/>
              <w:spacing w:after="0"/>
              <w:rPr>
                <w:sz w:val="20"/>
                <w:szCs w:val="20"/>
                <w:color w:val="auto"/>
              </w:rPr>
            </w:pPr>
            <w:r>
              <w:rPr>
                <w:rFonts w:ascii="Arial" w:cs="Arial" w:eastAsia="Arial" w:hAnsi="Arial"/>
                <w:sz w:val="16"/>
                <w:szCs w:val="16"/>
                <w:color w:val="074A75"/>
              </w:rPr>
              <w:t>of stock that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color w:val="074A75"/>
              </w:rPr>
              <w:t>shares or units</w:t>
            </w: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6"/>
                <w:szCs w:val="16"/>
                <w:color w:val="074A75"/>
              </w:rPr>
              <w:t>stock award</w:t>
            </w:r>
          </w:p>
        </w:tc>
        <w:tc>
          <w:tcPr>
            <w:tcW w:w="12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color w:val="074A75"/>
              </w:rPr>
              <w:t>options: #</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right="259"/>
              <w:spacing w:after="0"/>
              <w:rPr>
                <w:sz w:val="20"/>
                <w:szCs w:val="20"/>
                <w:color w:val="auto"/>
              </w:rPr>
            </w:pPr>
            <w:r>
              <w:rPr>
                <w:rFonts w:ascii="Arial" w:cs="Arial" w:eastAsia="Arial" w:hAnsi="Arial"/>
                <w:sz w:val="16"/>
                <w:szCs w:val="16"/>
                <w:color w:val="074A75"/>
              </w:rPr>
              <w:t>options: #</w:t>
            </w:r>
          </w:p>
        </w:tc>
        <w:tc>
          <w:tcPr>
            <w:tcW w:w="380" w:type="dxa"/>
            <w:vAlign w:val="bottom"/>
          </w:tcPr>
          <w:p>
            <w:pPr>
              <w:spacing w:after="0"/>
              <w:rPr>
                <w:sz w:val="16"/>
                <w:szCs w:val="16"/>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074A75"/>
              </w:rPr>
              <w:t>exercise</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color w:val="074A75"/>
              </w:rPr>
              <w:t>expiration</w:t>
            </w:r>
          </w:p>
        </w:tc>
        <w:tc>
          <w:tcPr>
            <w:tcW w:w="1240" w:type="dxa"/>
            <w:vAlign w:val="bottom"/>
          </w:tcPr>
          <w:p>
            <w:pPr>
              <w:jc w:val="center"/>
              <w:spacing w:after="0"/>
              <w:rPr>
                <w:sz w:val="20"/>
                <w:szCs w:val="20"/>
                <w:color w:val="auto"/>
              </w:rPr>
            </w:pPr>
            <w:r>
              <w:rPr>
                <w:rFonts w:ascii="Arial" w:cs="Arial" w:eastAsia="Arial" w:hAnsi="Arial"/>
                <w:sz w:val="16"/>
                <w:szCs w:val="16"/>
                <w:color w:val="074A75"/>
              </w:rPr>
              <w:t>have not</w:t>
            </w:r>
          </w:p>
        </w:tc>
        <w:tc>
          <w:tcPr>
            <w:tcW w:w="180" w:type="dxa"/>
            <w:vAlign w:val="bottom"/>
          </w:tcPr>
          <w:p>
            <w:pPr>
              <w:spacing w:after="0"/>
              <w:rPr>
                <w:sz w:val="16"/>
                <w:szCs w:val="16"/>
                <w:color w:val="auto"/>
              </w:rPr>
            </w:pPr>
          </w:p>
        </w:tc>
        <w:tc>
          <w:tcPr>
            <w:tcW w:w="1660" w:type="dxa"/>
            <w:vAlign w:val="bottom"/>
            <w:gridSpan w:val="3"/>
          </w:tcPr>
          <w:p>
            <w:pPr>
              <w:jc w:val="center"/>
              <w:ind w:right="180"/>
              <w:spacing w:after="0"/>
              <w:rPr>
                <w:sz w:val="20"/>
                <w:szCs w:val="20"/>
                <w:color w:val="auto"/>
              </w:rPr>
            </w:pPr>
            <w:r>
              <w:rPr>
                <w:rFonts w:ascii="Arial" w:cs="Arial" w:eastAsia="Arial" w:hAnsi="Arial"/>
                <w:sz w:val="16"/>
                <w:szCs w:val="16"/>
                <w:color w:val="074A75"/>
              </w:rPr>
              <w:t>of stock that have</w:t>
            </w:r>
          </w:p>
        </w:tc>
        <w:tc>
          <w:tcPr>
            <w:tcW w:w="0" w:type="dxa"/>
            <w:vAlign w:val="bottom"/>
          </w:tcPr>
          <w:p>
            <w:pPr>
              <w:spacing w:after="0"/>
              <w:rPr>
                <w:sz w:val="1"/>
                <w:szCs w:val="1"/>
                <w:color w:val="auto"/>
              </w:rPr>
            </w:pPr>
          </w:p>
        </w:tc>
      </w:tr>
      <w:tr>
        <w:trPr>
          <w:trHeight w:val="244"/>
        </w:trPr>
        <w:tc>
          <w:tcPr>
            <w:tcW w:w="15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1580" w:type="dxa"/>
            <w:vAlign w:val="bottom"/>
            <w:tcBorders>
              <w:bottom w:val="single" w:sz="8" w:color="454545"/>
            </w:tcBorders>
            <w:gridSpan w:val="2"/>
          </w:tcPr>
          <w:p>
            <w:pPr>
              <w:jc w:val="center"/>
              <w:ind w:right="160"/>
              <w:spacing w:after="0"/>
              <w:rPr>
                <w:sz w:val="20"/>
                <w:szCs w:val="20"/>
                <w:color w:val="auto"/>
              </w:rPr>
            </w:pPr>
            <w:r>
              <w:rPr>
                <w:rFonts w:ascii="Arial" w:cs="Arial" w:eastAsia="Arial" w:hAnsi="Arial"/>
                <w:sz w:val="16"/>
                <w:szCs w:val="16"/>
                <w:color w:val="074A75"/>
                <w:w w:val="97"/>
              </w:rPr>
              <w:t>grant date</w:t>
            </w:r>
            <w:r>
              <w:rPr>
                <w:rFonts w:ascii="Arial" w:cs="Arial" w:eastAsia="Arial" w:hAnsi="Arial"/>
                <w:sz w:val="21"/>
                <w:szCs w:val="21"/>
                <w:color w:val="074A75"/>
                <w:w w:val="97"/>
                <w:vertAlign w:val="superscript"/>
              </w:rPr>
              <w:t>1</w:t>
            </w:r>
          </w:p>
        </w:tc>
        <w:tc>
          <w:tcPr>
            <w:tcW w:w="1300" w:type="dxa"/>
            <w:vAlign w:val="bottom"/>
            <w:tcBorders>
              <w:bottom w:val="single" w:sz="8" w:color="454545"/>
            </w:tcBorders>
            <w:gridSpan w:val="3"/>
          </w:tcPr>
          <w:p>
            <w:pPr>
              <w:jc w:val="center"/>
              <w:ind w:right="280"/>
              <w:spacing w:after="0"/>
              <w:rPr>
                <w:sz w:val="20"/>
                <w:szCs w:val="20"/>
                <w:color w:val="auto"/>
              </w:rPr>
            </w:pPr>
            <w:r>
              <w:rPr>
                <w:rFonts w:ascii="Arial" w:cs="Arial" w:eastAsia="Arial" w:hAnsi="Arial"/>
                <w:sz w:val="16"/>
                <w:szCs w:val="16"/>
                <w:color w:val="074A75"/>
                <w:w w:val="97"/>
              </w:rPr>
              <w:t>exercisable</w:t>
            </w:r>
            <w:r>
              <w:rPr>
                <w:rFonts w:ascii="Arial" w:cs="Arial" w:eastAsia="Arial" w:hAnsi="Arial"/>
                <w:sz w:val="21"/>
                <w:szCs w:val="21"/>
                <w:color w:val="074A75"/>
                <w:w w:val="97"/>
                <w:vertAlign w:val="superscript"/>
              </w:rPr>
              <w:t>1,2</w:t>
            </w:r>
          </w:p>
        </w:tc>
        <w:tc>
          <w:tcPr>
            <w:tcW w:w="1300" w:type="dxa"/>
            <w:vAlign w:val="bottom"/>
            <w:tcBorders>
              <w:bottom w:val="single" w:sz="8" w:color="454545"/>
            </w:tcBorders>
            <w:gridSpan w:val="3"/>
          </w:tcPr>
          <w:p>
            <w:pPr>
              <w:jc w:val="center"/>
              <w:ind w:right="59"/>
              <w:spacing w:after="0"/>
              <w:rPr>
                <w:sz w:val="20"/>
                <w:szCs w:val="20"/>
                <w:color w:val="auto"/>
              </w:rPr>
            </w:pPr>
            <w:r>
              <w:rPr>
                <w:rFonts w:ascii="Arial" w:cs="Arial" w:eastAsia="Arial" w:hAnsi="Arial"/>
                <w:sz w:val="16"/>
                <w:szCs w:val="16"/>
                <w:color w:val="074A75"/>
                <w:w w:val="98"/>
              </w:rPr>
              <w:t>unexercisable</w:t>
            </w:r>
            <w:r>
              <w:rPr>
                <w:rFonts w:ascii="Arial" w:cs="Arial" w:eastAsia="Arial" w:hAnsi="Arial"/>
                <w:sz w:val="21"/>
                <w:szCs w:val="21"/>
                <w:color w:val="074A75"/>
                <w:w w:val="98"/>
                <w:vertAlign w:val="superscript"/>
              </w:rPr>
              <w:t>1,2</w:t>
            </w:r>
          </w:p>
        </w:tc>
        <w:tc>
          <w:tcPr>
            <w:tcW w:w="380" w:type="dxa"/>
            <w:vAlign w:val="bottom"/>
            <w:tcBorders>
              <w:bottom w:val="single" w:sz="8" w:color="454545"/>
            </w:tcBorders>
          </w:tcPr>
          <w:p>
            <w:pPr>
              <w:spacing w:after="0"/>
              <w:rPr>
                <w:sz w:val="21"/>
                <w:szCs w:val="21"/>
                <w:color w:val="auto"/>
              </w:rPr>
            </w:pPr>
          </w:p>
        </w:tc>
        <w:tc>
          <w:tcPr>
            <w:tcW w:w="94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color w:val="074A75"/>
              </w:rPr>
              <w:t>price ($)</w:t>
            </w:r>
          </w:p>
        </w:tc>
        <w:tc>
          <w:tcPr>
            <w:tcW w:w="1140" w:type="dxa"/>
            <w:vAlign w:val="bottom"/>
            <w:tcBorders>
              <w:bottom w:val="single" w:sz="8" w:color="454545"/>
            </w:tcBorders>
            <w:gridSpan w:val="2"/>
          </w:tcPr>
          <w:p>
            <w:pPr>
              <w:jc w:val="center"/>
              <w:ind w:right="180"/>
              <w:spacing w:after="0"/>
              <w:rPr>
                <w:sz w:val="20"/>
                <w:szCs w:val="20"/>
                <w:color w:val="auto"/>
              </w:rPr>
            </w:pPr>
            <w:r>
              <w:rPr>
                <w:rFonts w:ascii="Arial" w:cs="Arial" w:eastAsia="Arial" w:hAnsi="Arial"/>
                <w:sz w:val="16"/>
                <w:szCs w:val="16"/>
                <w:color w:val="074A75"/>
              </w:rPr>
              <w:t>date</w:t>
            </w:r>
          </w:p>
        </w:tc>
        <w:tc>
          <w:tcPr>
            <w:tcW w:w="124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w w:val="91"/>
              </w:rPr>
              <w:t>vested</w:t>
            </w:r>
            <w:r>
              <w:rPr>
                <w:rFonts w:ascii="Arial" w:cs="Arial" w:eastAsia="Arial" w:hAnsi="Arial"/>
                <w:sz w:val="21"/>
                <w:szCs w:val="21"/>
                <w:color w:val="074A75"/>
                <w:w w:val="91"/>
                <w:vertAlign w:val="superscript"/>
              </w:rPr>
              <w:t>1,2,3</w:t>
            </w:r>
          </w:p>
        </w:tc>
        <w:tc>
          <w:tcPr>
            <w:tcW w:w="180" w:type="dxa"/>
            <w:vAlign w:val="bottom"/>
            <w:tcBorders>
              <w:bottom w:val="single" w:sz="8" w:color="454545"/>
            </w:tcBorders>
          </w:tcPr>
          <w:p>
            <w:pPr>
              <w:spacing w:after="0"/>
              <w:rPr>
                <w:sz w:val="21"/>
                <w:szCs w:val="21"/>
                <w:color w:val="auto"/>
              </w:rPr>
            </w:pPr>
          </w:p>
        </w:tc>
        <w:tc>
          <w:tcPr>
            <w:tcW w:w="140" w:type="dxa"/>
            <w:vAlign w:val="bottom"/>
            <w:tcBorders>
              <w:bottom w:val="single" w:sz="8" w:color="454545"/>
            </w:tcBorders>
          </w:tcPr>
          <w:p>
            <w:pPr>
              <w:spacing w:after="0"/>
              <w:rPr>
                <w:sz w:val="21"/>
                <w:szCs w:val="21"/>
                <w:color w:val="auto"/>
              </w:rPr>
            </w:pPr>
          </w:p>
        </w:tc>
        <w:tc>
          <w:tcPr>
            <w:tcW w:w="1520" w:type="dxa"/>
            <w:vAlign w:val="bottom"/>
            <w:tcBorders>
              <w:bottom w:val="single" w:sz="8" w:color="454545"/>
            </w:tcBorders>
            <w:gridSpan w:val="2"/>
          </w:tcPr>
          <w:p>
            <w:pPr>
              <w:jc w:val="center"/>
              <w:ind w:right="300"/>
              <w:spacing w:after="0"/>
              <w:rPr>
                <w:sz w:val="20"/>
                <w:szCs w:val="20"/>
                <w:color w:val="auto"/>
              </w:rPr>
            </w:pPr>
            <w:r>
              <w:rPr>
                <w:rFonts w:ascii="Arial" w:cs="Arial" w:eastAsia="Arial" w:hAnsi="Arial"/>
                <w:sz w:val="16"/>
                <w:szCs w:val="16"/>
                <w:color w:val="074A75"/>
                <w:w w:val="93"/>
              </w:rPr>
              <w:t>not vested</w:t>
            </w:r>
            <w:r>
              <w:rPr>
                <w:rFonts w:ascii="Arial" w:cs="Arial" w:eastAsia="Arial" w:hAnsi="Arial"/>
                <w:sz w:val="21"/>
                <w:szCs w:val="21"/>
                <w:color w:val="074A75"/>
                <w:w w:val="93"/>
                <w:vertAlign w:val="superscript"/>
              </w:rPr>
              <w:t>1,2,3</w:t>
            </w: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1440" w:type="dxa"/>
            <w:vAlign w:val="bottom"/>
            <w:vMerge w:val="restart"/>
          </w:tcPr>
          <w:p>
            <w:pPr>
              <w:ind w:left="540"/>
              <w:spacing w:after="0"/>
              <w:rPr>
                <w:sz w:val="20"/>
                <w:szCs w:val="20"/>
                <w:color w:val="auto"/>
              </w:rPr>
            </w:pPr>
            <w:r>
              <w:rPr>
                <w:rFonts w:ascii="Arial" w:cs="Arial" w:eastAsia="Arial" w:hAnsi="Arial"/>
                <w:sz w:val="16"/>
                <w:szCs w:val="16"/>
                <w:color w:val="auto"/>
              </w:rPr>
              <w:t xml:space="preserve">1/19/2021 </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520" w:type="dxa"/>
            <w:vAlign w:val="bottom"/>
          </w:tcPr>
          <w:p>
            <w:pPr>
              <w:spacing w:after="0"/>
              <w:rPr>
                <w:sz w:val="22"/>
                <w:szCs w:val="22"/>
                <w:color w:val="auto"/>
              </w:rPr>
            </w:pPr>
          </w:p>
        </w:tc>
        <w:tc>
          <w:tcPr>
            <w:tcW w:w="14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290,935</w:t>
            </w:r>
          </w:p>
        </w:tc>
        <w:tc>
          <w:tcPr>
            <w:tcW w:w="1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520" w:type="dxa"/>
            <w:vAlign w:val="bottom"/>
          </w:tcPr>
          <w:p>
            <w:pPr>
              <w:spacing w:after="0"/>
              <w:rPr>
                <w:sz w:val="19"/>
                <w:szCs w:val="19"/>
                <w:color w:val="auto"/>
              </w:rPr>
            </w:pPr>
          </w:p>
        </w:tc>
        <w:tc>
          <w:tcPr>
            <w:tcW w:w="1440" w:type="dxa"/>
            <w:vAlign w:val="bottom"/>
          </w:tcPr>
          <w:p>
            <w:pPr>
              <w:ind w:left="540"/>
              <w:spacing w:after="0"/>
              <w:rPr>
                <w:sz w:val="20"/>
                <w:szCs w:val="20"/>
                <w:color w:val="auto"/>
              </w:rPr>
            </w:pPr>
            <w:r>
              <w:rPr>
                <w:rFonts w:ascii="Arial" w:cs="Arial" w:eastAsia="Arial" w:hAnsi="Arial"/>
                <w:sz w:val="16"/>
                <w:szCs w:val="16"/>
                <w:color w:val="auto"/>
              </w:rPr>
              <w:t>7/20/2021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1,500,000</w:t>
            </w:r>
          </w:p>
        </w:tc>
        <w:tc>
          <w:tcPr>
            <w:tcW w:w="380" w:type="dxa"/>
            <w:vAlign w:val="bottom"/>
          </w:tcPr>
          <w:p>
            <w:pPr>
              <w:jc w:val="right"/>
              <w:ind w:right="233"/>
              <w:spacing w:after="0"/>
              <w:rPr>
                <w:sz w:val="20"/>
                <w:szCs w:val="20"/>
                <w:color w:val="auto"/>
              </w:rPr>
            </w:pPr>
            <w:r>
              <w:rPr>
                <w:rFonts w:ascii="Arial" w:cs="Arial" w:eastAsia="Arial" w:hAnsi="Arial"/>
                <w:sz w:val="11"/>
                <w:szCs w:val="11"/>
                <w:color w:val="auto"/>
                <w:w w:val="97"/>
              </w:rPr>
              <w:t>b</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148.73</w:t>
            </w:r>
          </w:p>
        </w:tc>
        <w:tc>
          <w:tcPr>
            <w:tcW w:w="1040" w:type="dxa"/>
            <w:vAlign w:val="bottom"/>
          </w:tcPr>
          <w:p>
            <w:pPr>
              <w:jc w:val="right"/>
              <w:spacing w:after="0"/>
              <w:rPr>
                <w:sz w:val="20"/>
                <w:szCs w:val="20"/>
                <w:color w:val="auto"/>
              </w:rPr>
            </w:pPr>
            <w:r>
              <w:rPr>
                <w:rFonts w:ascii="Arial" w:cs="Arial" w:eastAsia="Arial" w:hAnsi="Arial"/>
                <w:sz w:val="16"/>
                <w:szCs w:val="16"/>
                <w:color w:val="auto"/>
              </w:rPr>
              <w:t>7/20/2031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1440" w:type="dxa"/>
            <w:vAlign w:val="bottom"/>
          </w:tcPr>
          <w:p>
            <w:pPr>
              <w:ind w:left="540"/>
              <w:spacing w:after="0"/>
              <w:rPr>
                <w:sz w:val="20"/>
                <w:szCs w:val="20"/>
                <w:color w:val="auto"/>
              </w:rPr>
            </w:pPr>
            <w:r>
              <w:rPr>
                <w:rFonts w:ascii="Arial" w:cs="Arial" w:eastAsia="Arial" w:hAnsi="Arial"/>
                <w:sz w:val="16"/>
                <w:szCs w:val="16"/>
                <w:color w:val="auto"/>
              </w:rPr>
              <w:t>1/18/2022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ind w:left="680"/>
              <w:spacing w:after="0" w:line="243" w:lineRule="exact"/>
              <w:rPr>
                <w:sz w:val="20"/>
                <w:szCs w:val="20"/>
                <w:color w:val="auto"/>
              </w:rPr>
            </w:pPr>
            <w:r>
              <w:rPr>
                <w:rFonts w:ascii="Arial" w:cs="Arial" w:eastAsia="Arial" w:hAnsi="Arial"/>
                <w:sz w:val="16"/>
                <w:szCs w:val="16"/>
                <w:color w:val="auto"/>
              </w:rPr>
              <w:t xml:space="preserve">289,147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2"/>
                <w:szCs w:val="22"/>
                <w:color w:val="auto"/>
              </w:rPr>
            </w:pPr>
          </w:p>
        </w:tc>
        <w:tc>
          <w:tcPr>
            <w:tcW w:w="1440" w:type="dxa"/>
            <w:vAlign w:val="bottom"/>
          </w:tcPr>
          <w:p>
            <w:pPr>
              <w:ind w:left="540"/>
              <w:spacing w:after="0"/>
              <w:rPr>
                <w:sz w:val="20"/>
                <w:szCs w:val="20"/>
                <w:color w:val="auto"/>
              </w:rPr>
            </w:pPr>
            <w:r>
              <w:rPr>
                <w:rFonts w:ascii="Arial" w:cs="Arial" w:eastAsia="Arial" w:hAnsi="Arial"/>
                <w:sz w:val="16"/>
                <w:szCs w:val="16"/>
                <w:color w:val="auto"/>
              </w:rPr>
              <w:t>1/17/2023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ind w:left="680"/>
              <w:spacing w:after="0"/>
              <w:rPr>
                <w:sz w:val="20"/>
                <w:szCs w:val="20"/>
                <w:color w:val="auto"/>
              </w:rPr>
            </w:pPr>
            <w:r>
              <w:rPr>
                <w:rFonts w:ascii="Arial" w:cs="Arial" w:eastAsia="Arial" w:hAnsi="Arial"/>
                <w:sz w:val="16"/>
                <w:szCs w:val="16"/>
                <w:color w:val="auto"/>
              </w:rPr>
              <w:t xml:space="preserve">305,574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30"/>
        </w:trPr>
        <w:tc>
          <w:tcPr>
            <w:tcW w:w="15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494949"/>
              <w:bottom w:val="single" w:sz="8" w:color="494949"/>
            </w:tcBorders>
          </w:tcPr>
          <w:p>
            <w:pPr>
              <w:spacing w:after="0"/>
              <w:rPr>
                <w:sz w:val="20"/>
                <w:szCs w:val="20"/>
                <w:color w:val="auto"/>
              </w:rPr>
            </w:pPr>
          </w:p>
        </w:tc>
        <w:tc>
          <w:tcPr>
            <w:tcW w:w="1040" w:type="dxa"/>
            <w:vAlign w:val="bottom"/>
            <w:tcBorders>
              <w:top w:val="single" w:sz="8" w:color="494949"/>
              <w:bottom w:val="single" w:sz="8" w:color="494949"/>
            </w:tcBorders>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Borders>
              <w:top w:val="single" w:sz="8" w:color="494949"/>
              <w:bottom w:val="single" w:sz="8" w:color="494949"/>
            </w:tcBorders>
          </w:tcPr>
          <w:p>
            <w:pPr>
              <w:spacing w:after="0"/>
              <w:rPr>
                <w:sz w:val="20"/>
                <w:szCs w:val="20"/>
                <w:color w:val="auto"/>
              </w:rPr>
            </w:pPr>
          </w:p>
        </w:tc>
        <w:tc>
          <w:tcPr>
            <w:tcW w:w="80" w:type="dxa"/>
            <w:vAlign w:val="bottom"/>
            <w:tcBorders>
              <w:top w:val="single" w:sz="8" w:color="494949"/>
              <w:bottom w:val="single" w:sz="8" w:color="494949"/>
            </w:tcBorders>
          </w:tcPr>
          <w:p>
            <w:pPr>
              <w:spacing w:after="0"/>
              <w:rPr>
                <w:sz w:val="20"/>
                <w:szCs w:val="20"/>
                <w:color w:val="auto"/>
              </w:rPr>
            </w:pPr>
          </w:p>
        </w:tc>
        <w:tc>
          <w:tcPr>
            <w:tcW w:w="1080" w:type="dxa"/>
            <w:vAlign w:val="bottom"/>
            <w:tcBorders>
              <w:top w:val="single" w:sz="8" w:color="494949"/>
              <w:bottom w:val="single" w:sz="8" w:color="454545"/>
            </w:tcBorders>
          </w:tcPr>
          <w:p>
            <w:pPr>
              <w:jc w:val="right"/>
              <w:spacing w:after="0"/>
              <w:rPr>
                <w:sz w:val="20"/>
                <w:szCs w:val="20"/>
                <w:color w:val="auto"/>
              </w:rPr>
            </w:pPr>
            <w:r>
              <w:rPr>
                <w:rFonts w:ascii="Arial" w:cs="Arial" w:eastAsia="Arial" w:hAnsi="Arial"/>
                <w:sz w:val="16"/>
                <w:szCs w:val="16"/>
                <w:color w:val="auto"/>
              </w:rPr>
              <w:t>1,500,000</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494949"/>
              <w:bottom w:val="single" w:sz="8" w:color="494949"/>
            </w:tcBorders>
          </w:tcPr>
          <w:p>
            <w:pPr>
              <w:jc w:val="right"/>
              <w:spacing w:after="0"/>
              <w:rPr>
                <w:sz w:val="20"/>
                <w:szCs w:val="20"/>
                <w:color w:val="auto"/>
              </w:rPr>
            </w:pPr>
            <w:r>
              <w:rPr>
                <w:rFonts w:ascii="Arial" w:cs="Arial" w:eastAsia="Arial" w:hAnsi="Arial"/>
                <w:sz w:val="16"/>
                <w:szCs w:val="16"/>
                <w:color w:val="auto"/>
              </w:rPr>
              <w:t>290,935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top w:val="single" w:sz="8" w:color="494949"/>
              <w:bottom w:val="single" w:sz="8" w:color="494949"/>
            </w:tcBorders>
          </w:tcPr>
          <w:p>
            <w:pPr>
              <w:jc w:val="right"/>
              <w:spacing w:after="0"/>
              <w:rPr>
                <w:sz w:val="20"/>
                <w:szCs w:val="20"/>
                <w:color w:val="auto"/>
              </w:rPr>
            </w:pPr>
            <w:r>
              <w:rPr>
                <w:rFonts w:ascii="Arial" w:cs="Arial" w:eastAsia="Arial" w:hAnsi="Arial"/>
                <w:sz w:val="16"/>
                <w:szCs w:val="16"/>
                <w:color w:val="auto"/>
              </w:rPr>
              <w:t>594,721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1520" w:type="dxa"/>
            <w:vAlign w:val="bottom"/>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32,055,000</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   49,488,044</w:t>
            </w:r>
          </w:p>
        </w:tc>
        <w:tc>
          <w:tcPr>
            <w:tcW w:w="18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   101,162,042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Daniel Pinto</w:t>
      </w:r>
    </w:p>
    <w:p>
      <w:pPr>
        <w:sectPr>
          <w:pgSz w:w="11900" w:h="16838" w:orient="portrait"/>
          <w:cols w:equalWidth="0" w:num="1">
            <w:col w:w="11240"/>
          </w:cols>
          <w:pgMar w:left="320" w:top="157" w:right="339" w:bottom="1440" w:gutter="0" w:footer="0" w:header="0"/>
        </w:sectPr>
      </w:pP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80" w:type="dxa"/>
            <w:vAlign w:val="bottom"/>
          </w:tcPr>
          <w:p>
            <w:pPr>
              <w:jc w:val="right"/>
              <w:ind w:right="239"/>
              <w:spacing w:after="0"/>
              <w:rPr>
                <w:sz w:val="20"/>
                <w:szCs w:val="20"/>
                <w:color w:val="auto"/>
              </w:rPr>
            </w:pPr>
            <w:r>
              <w:rPr>
                <w:rFonts w:ascii="Arial" w:cs="Arial" w:eastAsia="Arial" w:hAnsi="Arial"/>
                <w:sz w:val="16"/>
                <w:szCs w:val="16"/>
                <w:color w:val="auto"/>
              </w:rPr>
              <w:t>1/17/2017</w:t>
            </w:r>
          </w:p>
        </w:tc>
        <w:tc>
          <w:tcPr>
            <w:tcW w:w="520" w:type="dxa"/>
            <w:vAlign w:val="bottom"/>
          </w:tcPr>
          <w:p>
            <w:pPr>
              <w:spacing w:after="0"/>
              <w:rPr>
                <w:sz w:val="18"/>
                <w:szCs w:val="18"/>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80" w:type="dxa"/>
            <w:vAlign w:val="bottom"/>
          </w:tcPr>
          <w:p>
            <w:pPr>
              <w:jc w:val="right"/>
              <w:ind w:right="239"/>
              <w:spacing w:after="0"/>
              <w:rPr>
                <w:sz w:val="20"/>
                <w:szCs w:val="20"/>
                <w:color w:val="auto"/>
              </w:rPr>
            </w:pPr>
            <w:r>
              <w:rPr>
                <w:rFonts w:ascii="Arial" w:cs="Arial" w:eastAsia="Arial" w:hAnsi="Arial"/>
                <w:sz w:val="16"/>
                <w:szCs w:val="16"/>
                <w:color w:val="auto"/>
              </w:rPr>
              <w:t>1/17/2017</w:t>
            </w:r>
          </w:p>
        </w:tc>
        <w:tc>
          <w:tcPr>
            <w:tcW w:w="520" w:type="dxa"/>
            <w:vAlign w:val="bottom"/>
          </w:tcPr>
          <w:p>
            <w:pPr>
              <w:spacing w:after="0"/>
              <w:rPr>
                <w:sz w:val="21"/>
                <w:szCs w:val="21"/>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080" w:type="dxa"/>
            <w:vAlign w:val="bottom"/>
          </w:tcPr>
          <w:p>
            <w:pPr>
              <w:jc w:val="right"/>
              <w:ind w:right="239"/>
              <w:spacing w:after="0"/>
              <w:rPr>
                <w:sz w:val="20"/>
                <w:szCs w:val="20"/>
                <w:color w:val="auto"/>
              </w:rPr>
            </w:pPr>
            <w:r>
              <w:rPr>
                <w:rFonts w:ascii="Arial" w:cs="Arial" w:eastAsia="Arial" w:hAnsi="Arial"/>
                <w:sz w:val="16"/>
                <w:szCs w:val="16"/>
                <w:color w:val="auto"/>
              </w:rPr>
              <w:t>1/16/2018</w:t>
            </w:r>
          </w:p>
        </w:tc>
        <w:tc>
          <w:tcPr>
            <w:tcW w:w="520" w:type="dxa"/>
            <w:vAlign w:val="bottom"/>
          </w:tcPr>
          <w:p>
            <w:pPr>
              <w:spacing w:after="0"/>
              <w:rPr>
                <w:sz w:val="24"/>
                <w:szCs w:val="24"/>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80" w:type="dxa"/>
            <w:vAlign w:val="bottom"/>
          </w:tcPr>
          <w:p>
            <w:pPr>
              <w:jc w:val="right"/>
              <w:ind w:right="239"/>
              <w:spacing w:after="0"/>
              <w:rPr>
                <w:sz w:val="20"/>
                <w:szCs w:val="20"/>
                <w:color w:val="auto"/>
              </w:rPr>
            </w:pPr>
            <w:r>
              <w:rPr>
                <w:rFonts w:ascii="Arial" w:cs="Arial" w:eastAsia="Arial" w:hAnsi="Arial"/>
                <w:sz w:val="16"/>
                <w:szCs w:val="16"/>
                <w:color w:val="auto"/>
              </w:rPr>
              <w:t>1/16/2018</w:t>
            </w:r>
          </w:p>
        </w:tc>
        <w:tc>
          <w:tcPr>
            <w:tcW w:w="520" w:type="dxa"/>
            <w:vAlign w:val="bottom"/>
          </w:tcPr>
          <w:p>
            <w:pPr>
              <w:spacing w:after="0"/>
              <w:rPr>
                <w:sz w:val="21"/>
                <w:szCs w:val="21"/>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jc w:val="right"/>
              <w:ind w:right="239"/>
              <w:spacing w:after="0"/>
              <w:rPr>
                <w:sz w:val="20"/>
                <w:szCs w:val="20"/>
                <w:color w:val="auto"/>
              </w:rPr>
            </w:pPr>
            <w:r>
              <w:rPr>
                <w:rFonts w:ascii="Arial" w:cs="Arial" w:eastAsia="Arial" w:hAnsi="Arial"/>
                <w:sz w:val="16"/>
                <w:szCs w:val="16"/>
                <w:color w:val="auto"/>
              </w:rPr>
              <w:t>1/15/2019</w:t>
            </w:r>
          </w:p>
        </w:tc>
        <w:tc>
          <w:tcPr>
            <w:tcW w:w="520" w:type="dxa"/>
            <w:vAlign w:val="bottom"/>
          </w:tcPr>
          <w:p>
            <w:pPr>
              <w:spacing w:after="0"/>
              <w:rPr>
                <w:sz w:val="21"/>
                <w:szCs w:val="21"/>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jc w:val="right"/>
              <w:ind w:right="239"/>
              <w:spacing w:after="0"/>
              <w:rPr>
                <w:sz w:val="20"/>
                <w:szCs w:val="20"/>
                <w:color w:val="auto"/>
              </w:rPr>
            </w:pPr>
            <w:r>
              <w:rPr>
                <w:rFonts w:ascii="Arial" w:cs="Arial" w:eastAsia="Arial" w:hAnsi="Arial"/>
                <w:sz w:val="16"/>
                <w:szCs w:val="16"/>
                <w:color w:val="auto"/>
              </w:rPr>
              <w:t>1/15/2019</w:t>
            </w:r>
          </w:p>
        </w:tc>
        <w:tc>
          <w:tcPr>
            <w:tcW w:w="520" w:type="dxa"/>
            <w:vAlign w:val="bottom"/>
          </w:tcPr>
          <w:p>
            <w:pPr>
              <w:spacing w:after="0"/>
              <w:rPr>
                <w:sz w:val="21"/>
                <w:szCs w:val="21"/>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jc w:val="right"/>
              <w:ind w:right="239"/>
              <w:spacing w:after="0"/>
              <w:rPr>
                <w:sz w:val="20"/>
                <w:szCs w:val="20"/>
                <w:color w:val="auto"/>
              </w:rPr>
            </w:pPr>
            <w:r>
              <w:rPr>
                <w:rFonts w:ascii="Arial" w:cs="Arial" w:eastAsia="Arial" w:hAnsi="Arial"/>
                <w:sz w:val="16"/>
                <w:szCs w:val="16"/>
                <w:color w:val="auto"/>
              </w:rPr>
              <w:t>1/21/2020</w:t>
            </w:r>
          </w:p>
        </w:tc>
        <w:tc>
          <w:tcPr>
            <w:tcW w:w="520" w:type="dxa"/>
            <w:vAlign w:val="bottom"/>
          </w:tcPr>
          <w:p>
            <w:pPr>
              <w:spacing w:after="0"/>
              <w:rPr>
                <w:sz w:val="21"/>
                <w:szCs w:val="21"/>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080" w:type="dxa"/>
            <w:vAlign w:val="bottom"/>
          </w:tcPr>
          <w:p>
            <w:pPr>
              <w:jc w:val="right"/>
              <w:ind w:right="239"/>
              <w:spacing w:after="0"/>
              <w:rPr>
                <w:sz w:val="20"/>
                <w:szCs w:val="20"/>
                <w:color w:val="auto"/>
              </w:rPr>
            </w:pPr>
            <w:r>
              <w:rPr>
                <w:rFonts w:ascii="Arial" w:cs="Arial" w:eastAsia="Arial" w:hAnsi="Arial"/>
                <w:sz w:val="16"/>
                <w:szCs w:val="16"/>
                <w:color w:val="auto"/>
              </w:rPr>
              <w:t>1/21/2020</w:t>
            </w:r>
          </w:p>
        </w:tc>
        <w:tc>
          <w:tcPr>
            <w:tcW w:w="520" w:type="dxa"/>
            <w:vAlign w:val="bottom"/>
          </w:tcPr>
          <w:p>
            <w:pPr>
              <w:spacing w:after="0"/>
              <w:rPr>
                <w:sz w:val="19"/>
                <w:szCs w:val="19"/>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080" w:type="dxa"/>
            <w:vAlign w:val="bottom"/>
          </w:tcPr>
          <w:p>
            <w:pPr>
              <w:jc w:val="right"/>
              <w:ind w:right="119"/>
              <w:spacing w:after="0"/>
              <w:rPr>
                <w:sz w:val="20"/>
                <w:szCs w:val="20"/>
                <w:color w:val="auto"/>
              </w:rPr>
            </w:pPr>
            <w:r>
              <w:rPr>
                <w:rFonts w:ascii="Arial" w:cs="Arial" w:eastAsia="Arial" w:hAnsi="Arial"/>
                <w:sz w:val="16"/>
                <w:szCs w:val="16"/>
                <w:color w:val="auto"/>
              </w:rPr>
              <w:t xml:space="preserve">1/19/2021 </w:t>
            </w:r>
            <w:r>
              <w:rPr>
                <w:rFonts w:ascii="Arial" w:cs="Arial" w:eastAsia="Arial" w:hAnsi="Arial"/>
                <w:sz w:val="23"/>
                <w:szCs w:val="23"/>
                <w:color w:val="auto"/>
                <w:vertAlign w:val="superscript"/>
              </w:rPr>
              <w:t>4</w:t>
            </w:r>
          </w:p>
        </w:tc>
        <w:tc>
          <w:tcPr>
            <w:tcW w:w="520" w:type="dxa"/>
            <w:vAlign w:val="bottom"/>
          </w:tcPr>
          <w:p>
            <w:pPr>
              <w:spacing w:after="0"/>
              <w:rPr>
                <w:sz w:val="24"/>
                <w:szCs w:val="24"/>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80" w:type="dxa"/>
            <w:vAlign w:val="bottom"/>
          </w:tcPr>
          <w:p>
            <w:pPr>
              <w:jc w:val="right"/>
              <w:ind w:right="239"/>
              <w:spacing w:after="0"/>
              <w:rPr>
                <w:sz w:val="20"/>
                <w:szCs w:val="20"/>
                <w:color w:val="auto"/>
              </w:rPr>
            </w:pPr>
            <w:r>
              <w:rPr>
                <w:rFonts w:ascii="Arial" w:cs="Arial" w:eastAsia="Arial" w:hAnsi="Arial"/>
                <w:sz w:val="16"/>
                <w:szCs w:val="16"/>
                <w:color w:val="auto"/>
              </w:rPr>
              <w:t>1/19/2021</w:t>
            </w:r>
          </w:p>
        </w:tc>
        <w:tc>
          <w:tcPr>
            <w:tcW w:w="520" w:type="dxa"/>
            <w:vAlign w:val="bottom"/>
          </w:tcPr>
          <w:p>
            <w:pPr>
              <w:spacing w:after="0"/>
              <w:rPr>
                <w:sz w:val="18"/>
                <w:szCs w:val="18"/>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120"/>
              <w:spacing w:after="0"/>
              <w:rPr>
                <w:sz w:val="20"/>
                <w:szCs w:val="20"/>
                <w:color w:val="auto"/>
              </w:rPr>
            </w:pPr>
            <w:r>
              <w:rPr>
                <w:rFonts w:ascii="Arial" w:cs="Arial" w:eastAsia="Arial" w:hAnsi="Arial"/>
                <w:sz w:val="9"/>
                <w:szCs w:val="9"/>
                <w:color w:val="auto"/>
                <w:w w:val="78"/>
              </w:rPr>
              <w:t>b</w:t>
            </w:r>
          </w:p>
        </w:tc>
        <w:tc>
          <w:tcPr>
            <w:tcW w:w="0" w:type="dxa"/>
            <w:vAlign w:val="bottom"/>
          </w:tcPr>
          <w:p>
            <w:pPr>
              <w:spacing w:after="0"/>
              <w:rPr>
                <w:sz w:val="1"/>
                <w:szCs w:val="1"/>
                <w:color w:val="auto"/>
              </w:rPr>
            </w:pPr>
          </w:p>
        </w:tc>
      </w:tr>
      <w:tr>
        <w:trPr>
          <w:trHeight w:val="146"/>
        </w:trPr>
        <w:tc>
          <w:tcPr>
            <w:tcW w:w="3080" w:type="dxa"/>
            <w:vAlign w:val="bottom"/>
            <w:vMerge w:val="restart"/>
          </w:tcPr>
          <w:p>
            <w:pPr>
              <w:jc w:val="right"/>
              <w:ind w:right="239"/>
              <w:spacing w:after="0"/>
              <w:rPr>
                <w:sz w:val="20"/>
                <w:szCs w:val="20"/>
                <w:color w:val="auto"/>
              </w:rPr>
            </w:pPr>
            <w:r>
              <w:rPr>
                <w:rFonts w:ascii="Arial" w:cs="Arial" w:eastAsia="Arial" w:hAnsi="Arial"/>
                <w:sz w:val="16"/>
                <w:szCs w:val="16"/>
                <w:color w:val="auto"/>
              </w:rPr>
              <w:t>12/14/2021</w:t>
            </w:r>
          </w:p>
        </w:tc>
        <w:tc>
          <w:tcPr>
            <w:tcW w:w="520" w:type="dxa"/>
            <w:vAlign w:val="bottom"/>
          </w:tcPr>
          <w:p>
            <w:pPr>
              <w:spacing w:after="0"/>
              <w:rPr>
                <w:sz w:val="12"/>
                <w:szCs w:val="12"/>
                <w:color w:val="auto"/>
              </w:rPr>
            </w:pPr>
          </w:p>
        </w:tc>
        <w:tc>
          <w:tcPr>
            <w:tcW w:w="1100" w:type="dxa"/>
            <w:vAlign w:val="bottom"/>
            <w:gridSpan w:val="3"/>
            <w:vMerge w:val="restart"/>
          </w:tcPr>
          <w:p>
            <w:pPr>
              <w:ind w:left="40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750,000</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0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080" w:type="dxa"/>
            <w:vAlign w:val="bottom"/>
          </w:tcPr>
          <w:p>
            <w:pPr>
              <w:jc w:val="right"/>
              <w:ind w:right="239"/>
              <w:spacing w:after="0"/>
              <w:rPr>
                <w:sz w:val="20"/>
                <w:szCs w:val="20"/>
                <w:color w:val="auto"/>
              </w:rPr>
            </w:pPr>
            <w:r>
              <w:rPr>
                <w:rFonts w:ascii="Arial" w:cs="Arial" w:eastAsia="Arial" w:hAnsi="Arial"/>
                <w:sz w:val="16"/>
                <w:szCs w:val="16"/>
                <w:color w:val="auto"/>
              </w:rPr>
              <w:t>1/18/2022</w:t>
            </w:r>
          </w:p>
        </w:tc>
        <w:tc>
          <w:tcPr>
            <w:tcW w:w="520" w:type="dxa"/>
            <w:vAlign w:val="bottom"/>
          </w:tcPr>
          <w:p>
            <w:pPr>
              <w:spacing w:after="0"/>
              <w:rPr>
                <w:sz w:val="21"/>
                <w:szCs w:val="21"/>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80" w:type="dxa"/>
            <w:vAlign w:val="bottom"/>
          </w:tcPr>
          <w:p>
            <w:pPr>
              <w:jc w:val="right"/>
              <w:ind w:right="239"/>
              <w:spacing w:after="0"/>
              <w:rPr>
                <w:sz w:val="20"/>
                <w:szCs w:val="20"/>
                <w:color w:val="auto"/>
              </w:rPr>
            </w:pPr>
            <w:r>
              <w:rPr>
                <w:rFonts w:ascii="Arial" w:cs="Arial" w:eastAsia="Arial" w:hAnsi="Arial"/>
                <w:sz w:val="16"/>
                <w:szCs w:val="16"/>
                <w:color w:val="auto"/>
              </w:rPr>
              <w:t>1/17/2023</w:t>
            </w:r>
          </w:p>
        </w:tc>
        <w:tc>
          <w:tcPr>
            <w:tcW w:w="520" w:type="dxa"/>
            <w:vAlign w:val="bottom"/>
          </w:tcPr>
          <w:p>
            <w:pPr>
              <w:spacing w:after="0"/>
              <w:rPr>
                <w:sz w:val="22"/>
                <w:szCs w:val="22"/>
                <w:color w:val="auto"/>
              </w:rPr>
            </w:pP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3080" w:type="dxa"/>
            <w:vAlign w:val="bottom"/>
            <w:vMerge w:val="restart"/>
          </w:tcPr>
          <w:p>
            <w:pPr>
              <w:spacing w:after="0"/>
              <w:rPr>
                <w:sz w:val="20"/>
                <w:szCs w:val="20"/>
                <w:color w:val="auto"/>
              </w:rPr>
            </w:pPr>
            <w:r>
              <w:rPr>
                <w:rFonts w:ascii="Arial" w:cs="Arial" w:eastAsia="Arial" w:hAnsi="Arial"/>
                <w:sz w:val="16"/>
                <w:szCs w:val="16"/>
                <w:color w:val="auto"/>
              </w:rPr>
              <w:t>Total awards (#)</w:t>
            </w:r>
          </w:p>
        </w:tc>
        <w:tc>
          <w:tcPr>
            <w:tcW w:w="520" w:type="dxa"/>
            <w:vAlign w:val="bottom"/>
            <w:tcBorders>
              <w:bottom w:val="single" w:sz="8" w:color="454545"/>
            </w:tcBorders>
          </w:tcPr>
          <w:p>
            <w:pPr>
              <w:spacing w:after="0"/>
              <w:rPr>
                <w:sz w:val="3"/>
                <w:szCs w:val="3"/>
                <w:color w:val="auto"/>
              </w:rPr>
            </w:pPr>
          </w:p>
        </w:tc>
        <w:tc>
          <w:tcPr>
            <w:tcW w:w="640" w:type="dxa"/>
            <w:vAlign w:val="bottom"/>
            <w:tcBorders>
              <w:bottom w:val="single" w:sz="8" w:color="454545"/>
            </w:tcBorders>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Borders>
              <w:bottom w:val="single" w:sz="8" w:color="454545"/>
            </w:tcBorders>
          </w:tcPr>
          <w:p>
            <w:pPr>
              <w:spacing w:after="0"/>
              <w:rPr>
                <w:sz w:val="3"/>
                <w:szCs w:val="3"/>
                <w:color w:val="auto"/>
              </w:rPr>
            </w:pPr>
          </w:p>
        </w:tc>
        <w:tc>
          <w:tcPr>
            <w:tcW w:w="980" w:type="dxa"/>
            <w:vAlign w:val="bottom"/>
            <w:tcBorders>
              <w:bottom w:val="single" w:sz="8" w:color="454545"/>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080" w:type="dxa"/>
            <w:vAlign w:val="bottom"/>
            <w:vMerge w:val="continue"/>
          </w:tcPr>
          <w:p>
            <w:pPr>
              <w:spacing w:after="0"/>
              <w:rPr>
                <w:sz w:val="20"/>
                <w:szCs w:val="20"/>
                <w:color w:val="auto"/>
              </w:rPr>
            </w:pPr>
          </w:p>
        </w:tc>
        <w:tc>
          <w:tcPr>
            <w:tcW w:w="520" w:type="dxa"/>
            <w:vAlign w:val="bottom"/>
            <w:tcBorders>
              <w:bottom w:val="single" w:sz="8" w:color="454545"/>
            </w:tcBorders>
          </w:tcPr>
          <w:p>
            <w:pPr>
              <w:spacing w:after="0"/>
              <w:rPr>
                <w:sz w:val="20"/>
                <w:szCs w:val="20"/>
                <w:color w:val="auto"/>
              </w:rPr>
            </w:pPr>
          </w:p>
        </w:tc>
        <w:tc>
          <w:tcPr>
            <w:tcW w:w="640" w:type="dxa"/>
            <w:vAlign w:val="bottom"/>
            <w:tcBorders>
              <w:bottom w:val="single" w:sz="8" w:color="454545"/>
            </w:tcBorders>
          </w:tcPr>
          <w:p>
            <w:pPr>
              <w:ind w:lef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320" w:type="dxa"/>
            <w:vAlign w:val="bottom"/>
            <w:tcBorders>
              <w:bottom w:val="single" w:sz="8" w:color="454545"/>
            </w:tcBorders>
          </w:tcPr>
          <w:p>
            <w:pPr>
              <w:spacing w:after="0"/>
              <w:rPr>
                <w:sz w:val="20"/>
                <w:szCs w:val="20"/>
                <w:color w:val="auto"/>
              </w:rPr>
            </w:pPr>
          </w:p>
        </w:tc>
        <w:tc>
          <w:tcPr>
            <w:tcW w:w="9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750,000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3080" w:type="dxa"/>
            <w:vAlign w:val="bottom"/>
          </w:tcPr>
          <w:p>
            <w:pPr>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gridSpan w:val="3"/>
          </w:tcPr>
          <w:p>
            <w:pPr>
              <w:ind w:left="40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8,253,750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20,511</w:t>
            </w:r>
          </w:p>
        </w:tc>
        <w:tc>
          <w:tcPr>
            <w:tcW w:w="320" w:type="dxa"/>
            <w:vAlign w:val="bottom"/>
          </w:tcPr>
          <w:p>
            <w:pPr>
              <w:ind w:left="20"/>
              <w:spacing w:after="0"/>
              <w:rPr>
                <w:sz w:val="20"/>
                <w:szCs w:val="20"/>
                <w:color w:val="auto"/>
              </w:rPr>
            </w:pPr>
            <w:r>
              <w:rPr>
                <w:rFonts w:ascii="Arial" w:cs="Arial" w:eastAsia="Arial" w:hAnsi="Arial"/>
                <w:sz w:val="12"/>
                <w:szCs w:val="12"/>
                <w:color w:val="auto"/>
              </w:rPr>
              <w:t>c</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12,697</w:t>
            </w:r>
          </w:p>
        </w:tc>
        <w:tc>
          <w:tcPr>
            <w:tcW w:w="320" w:type="dxa"/>
            <w:vAlign w:val="bottom"/>
          </w:tcPr>
          <w:p>
            <w:pPr>
              <w:ind w:left="20"/>
              <w:spacing w:after="0"/>
              <w:rPr>
                <w:sz w:val="20"/>
                <w:szCs w:val="20"/>
                <w:color w:val="auto"/>
              </w:rPr>
            </w:pPr>
            <w:r>
              <w:rPr>
                <w:rFonts w:ascii="Arial" w:cs="Arial" w:eastAsia="Arial" w:hAnsi="Arial"/>
                <w:sz w:val="12"/>
                <w:szCs w:val="12"/>
                <w:color w:val="auto"/>
              </w:rPr>
              <w:t>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39,047</w:t>
            </w:r>
          </w:p>
        </w:tc>
        <w:tc>
          <w:tcPr>
            <w:tcW w:w="320" w:type="dxa"/>
            <w:vAlign w:val="bottom"/>
          </w:tcPr>
          <w:p>
            <w:pPr>
              <w:ind w:left="20"/>
              <w:spacing w:after="0"/>
              <w:rPr>
                <w:sz w:val="20"/>
                <w:szCs w:val="20"/>
                <w:color w:val="auto"/>
              </w:rPr>
            </w:pPr>
            <w:r>
              <w:rPr>
                <w:rFonts w:ascii="Arial" w:cs="Arial" w:eastAsia="Arial" w:hAnsi="Arial"/>
                <w:sz w:val="12"/>
                <w:szCs w:val="12"/>
                <w:color w:val="auto"/>
              </w:rPr>
              <w:t>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25,472</w:t>
            </w:r>
          </w:p>
        </w:tc>
        <w:tc>
          <w:tcPr>
            <w:tcW w:w="320" w:type="dxa"/>
            <w:vAlign w:val="bottom"/>
          </w:tcPr>
          <w:p>
            <w:pPr>
              <w:ind w:left="20"/>
              <w:spacing w:after="0"/>
              <w:rPr>
                <w:sz w:val="20"/>
                <w:szCs w:val="20"/>
                <w:color w:val="auto"/>
              </w:rPr>
            </w:pPr>
            <w:r>
              <w:rPr>
                <w:rFonts w:ascii="Arial" w:cs="Arial" w:eastAsia="Arial" w:hAnsi="Arial"/>
                <w:sz w:val="12"/>
                <w:szCs w:val="12"/>
                <w:color w:val="auto"/>
              </w:rPr>
              <w:t>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70,326</w:t>
            </w:r>
          </w:p>
        </w:tc>
        <w:tc>
          <w:tcPr>
            <w:tcW w:w="320" w:type="dxa"/>
            <w:vAlign w:val="bottom"/>
          </w:tcPr>
          <w:p>
            <w:pPr>
              <w:ind w:left="20"/>
              <w:spacing w:after="0"/>
              <w:rPr>
                <w:sz w:val="20"/>
                <w:szCs w:val="20"/>
                <w:color w:val="auto"/>
              </w:rPr>
            </w:pPr>
            <w:r>
              <w:rPr>
                <w:rFonts w:ascii="Arial" w:cs="Arial" w:eastAsia="Arial" w:hAnsi="Arial"/>
                <w:sz w:val="12"/>
                <w:szCs w:val="12"/>
                <w:color w:val="auto"/>
              </w:rPr>
              <w:t>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50,152</w:t>
            </w:r>
          </w:p>
        </w:tc>
        <w:tc>
          <w:tcPr>
            <w:tcW w:w="320" w:type="dxa"/>
            <w:vAlign w:val="bottom"/>
          </w:tcPr>
          <w:p>
            <w:pPr>
              <w:ind w:left="20"/>
              <w:spacing w:after="0"/>
              <w:rPr>
                <w:sz w:val="20"/>
                <w:szCs w:val="20"/>
                <w:color w:val="auto"/>
              </w:rPr>
            </w:pPr>
            <w:r>
              <w:rPr>
                <w:rFonts w:ascii="Arial" w:cs="Arial" w:eastAsia="Arial" w:hAnsi="Arial"/>
                <w:sz w:val="12"/>
                <w:szCs w:val="12"/>
                <w:color w:val="auto"/>
              </w:rPr>
              <w:t>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71,304</w:t>
            </w:r>
          </w:p>
        </w:tc>
        <w:tc>
          <w:tcPr>
            <w:tcW w:w="320" w:type="dxa"/>
            <w:vAlign w:val="bottom"/>
          </w:tcPr>
          <w:p>
            <w:pPr>
              <w:ind w:left="20"/>
              <w:spacing w:after="0"/>
              <w:rPr>
                <w:sz w:val="20"/>
                <w:szCs w:val="20"/>
                <w:color w:val="auto"/>
              </w:rPr>
            </w:pPr>
            <w:r>
              <w:rPr>
                <w:rFonts w:ascii="Arial" w:cs="Arial" w:eastAsia="Arial" w:hAnsi="Arial"/>
                <w:sz w:val="12"/>
                <w:szCs w:val="12"/>
                <w:color w:val="auto"/>
              </w:rPr>
              <w:t>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49,291</w:t>
            </w:r>
          </w:p>
        </w:tc>
        <w:tc>
          <w:tcPr>
            <w:tcW w:w="320" w:type="dxa"/>
            <w:vAlign w:val="bottom"/>
          </w:tcPr>
          <w:p>
            <w:pPr>
              <w:ind w:left="20"/>
              <w:spacing w:after="0"/>
              <w:rPr>
                <w:sz w:val="20"/>
                <w:szCs w:val="20"/>
                <w:color w:val="auto"/>
              </w:rPr>
            </w:pPr>
            <w:r>
              <w:rPr>
                <w:rFonts w:ascii="Arial" w:cs="Arial" w:eastAsia="Arial" w:hAnsi="Arial"/>
                <w:sz w:val="12"/>
                <w:szCs w:val="12"/>
                <w:color w:val="auto"/>
              </w:rPr>
              <w:t>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104,525</w:t>
            </w:r>
          </w:p>
        </w:tc>
        <w:tc>
          <w:tcPr>
            <w:tcW w:w="320" w:type="dxa"/>
            <w:vAlign w:val="bottom"/>
          </w:tcPr>
          <w:p>
            <w:pPr>
              <w:ind w:left="20"/>
              <w:spacing w:after="0"/>
              <w:rPr>
                <w:sz w:val="20"/>
                <w:szCs w:val="20"/>
                <w:color w:val="auto"/>
              </w:rPr>
            </w:pPr>
            <w:r>
              <w:rPr>
                <w:rFonts w:ascii="Arial" w:cs="Arial" w:eastAsia="Arial" w:hAnsi="Arial"/>
                <w:sz w:val="12"/>
                <w:szCs w:val="12"/>
                <w:color w:val="auto"/>
              </w:rPr>
              <w:t>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69,291</w:t>
            </w:r>
          </w:p>
        </w:tc>
        <w:tc>
          <w:tcPr>
            <w:tcW w:w="320" w:type="dxa"/>
            <w:vAlign w:val="bottom"/>
          </w:tcPr>
          <w:p>
            <w:pPr>
              <w:ind w:left="20"/>
              <w:spacing w:after="0"/>
              <w:rPr>
                <w:sz w:val="20"/>
                <w:szCs w:val="20"/>
                <w:color w:val="auto"/>
              </w:rPr>
            </w:pPr>
            <w:r>
              <w:rPr>
                <w:rFonts w:ascii="Arial" w:cs="Arial" w:eastAsia="Arial" w:hAnsi="Arial"/>
                <w:sz w:val="12"/>
                <w:szCs w:val="12"/>
                <w:color w:val="auto"/>
              </w:rPr>
              <w:t>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0"/>
                <w:szCs w:val="20"/>
                <w:color w:val="auto"/>
              </w:rPr>
            </w:pPr>
            <w:r>
              <w:rPr>
                <w:rFonts w:ascii="Arial" w:cs="Arial" w:eastAsia="Arial" w:hAnsi="Arial"/>
                <w:sz w:val="16"/>
                <w:szCs w:val="16"/>
                <w:color w:val="auto"/>
              </w:rPr>
              <w:t>159.095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12/14/2031</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ind w:left="20"/>
              <w:spacing w:after="0"/>
              <w:rPr>
                <w:sz w:val="20"/>
                <w:szCs w:val="20"/>
                <w:color w:val="auto"/>
              </w:rPr>
            </w:pPr>
            <w:r>
              <w:rPr>
                <w:rFonts w:ascii="Arial" w:cs="Arial" w:eastAsia="Arial" w:hAnsi="Arial"/>
                <w:sz w:val="12"/>
                <w:szCs w:val="12"/>
                <w:color w:val="auto"/>
              </w:rPr>
              <w:t>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ind w:left="20"/>
              <w:spacing w:after="0"/>
              <w:rPr>
                <w:sz w:val="20"/>
                <w:szCs w:val="20"/>
                <w:color w:val="auto"/>
              </w:rPr>
            </w:pPr>
            <w:r>
              <w:rPr>
                <w:rFonts w:ascii="Arial" w:cs="Arial" w:eastAsia="Arial" w:hAnsi="Arial"/>
                <w:sz w:val="9"/>
                <w:szCs w:val="9"/>
                <w:color w:val="auto"/>
                <w:w w:val="78"/>
              </w:rPr>
              <w:t>d</w:t>
            </w:r>
          </w:p>
        </w:tc>
        <w:tc>
          <w:tcPr>
            <w:tcW w:w="0" w:type="dxa"/>
            <w:vAlign w:val="bottom"/>
          </w:tcPr>
          <w:p>
            <w:pPr>
              <w:spacing w:after="0"/>
              <w:rPr>
                <w:sz w:val="1"/>
                <w:szCs w:val="1"/>
                <w:color w:val="auto"/>
              </w:rPr>
            </w:pPr>
          </w:p>
        </w:tc>
      </w:tr>
      <w:tr>
        <w:trPr>
          <w:trHeight w:val="243"/>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74,774</w:t>
            </w:r>
          </w:p>
        </w:tc>
        <w:tc>
          <w:tcPr>
            <w:tcW w:w="320" w:type="dxa"/>
            <w:vAlign w:val="bottom"/>
            <w:vMerge w:val="continue"/>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113,444</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240,093</w:t>
            </w:r>
          </w:p>
        </w:tc>
        <w:tc>
          <w:tcPr>
            <w:tcW w:w="80" w:type="dxa"/>
            <w:vAlign w:val="bottom"/>
          </w:tcPr>
          <w:p>
            <w:pPr>
              <w:ind w:left="20"/>
              <w:spacing w:after="0"/>
              <w:rPr>
                <w:sz w:val="20"/>
                <w:szCs w:val="20"/>
                <w:color w:val="auto"/>
              </w:rPr>
            </w:pPr>
            <w:r>
              <w:rPr>
                <w:rFonts w:ascii="Arial" w:cs="Arial" w:eastAsia="Arial" w:hAnsi="Arial"/>
                <w:sz w:val="9"/>
                <w:szCs w:val="9"/>
                <w:color w:val="auto"/>
                <w:w w:val="78"/>
              </w:rPr>
              <w:t>a</w:t>
            </w:r>
          </w:p>
        </w:tc>
        <w:tc>
          <w:tcPr>
            <w:tcW w:w="0" w:type="dxa"/>
            <w:vAlign w:val="bottom"/>
          </w:tcPr>
          <w:p>
            <w:pPr>
              <w:spacing w:after="0"/>
              <w:rPr>
                <w:sz w:val="1"/>
                <w:szCs w:val="1"/>
                <w:color w:val="auto"/>
              </w:rPr>
            </w:pPr>
          </w:p>
        </w:tc>
      </w:tr>
      <w:tr>
        <w:trPr>
          <w:trHeight w:val="236"/>
        </w:trPr>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454545"/>
              <w:bottom w:val="single" w:sz="8" w:color="454545"/>
            </w:tcBorders>
          </w:tcPr>
          <w:p>
            <w:pPr>
              <w:spacing w:after="0"/>
              <w:rPr>
                <w:sz w:val="20"/>
                <w:szCs w:val="20"/>
                <w:color w:val="auto"/>
              </w:rPr>
            </w:pPr>
          </w:p>
        </w:tc>
        <w:tc>
          <w:tcPr>
            <w:tcW w:w="1040" w:type="dxa"/>
            <w:vAlign w:val="bottom"/>
            <w:tcBorders>
              <w:top w:val="single" w:sz="8" w:color="454545"/>
              <w:bottom w:val="single" w:sz="8" w:color="494949"/>
            </w:tcBorders>
          </w:tcPr>
          <w:p>
            <w:pPr>
              <w:jc w:val="right"/>
              <w:spacing w:after="0"/>
              <w:rPr>
                <w:sz w:val="20"/>
                <w:szCs w:val="20"/>
                <w:color w:val="auto"/>
              </w:rPr>
            </w:pPr>
            <w:r>
              <w:rPr>
                <w:rFonts w:ascii="Arial" w:cs="Arial" w:eastAsia="Arial" w:hAnsi="Arial"/>
                <w:sz w:val="16"/>
                <w:szCs w:val="16"/>
                <w:color w:val="auto"/>
              </w:rPr>
              <w:t>587,390</w:t>
            </w:r>
          </w:p>
        </w:tc>
        <w:tc>
          <w:tcPr>
            <w:tcW w:w="320" w:type="dxa"/>
            <w:vAlign w:val="bottom"/>
          </w:tcPr>
          <w:p>
            <w:pPr>
              <w:spacing w:after="0"/>
              <w:rPr>
                <w:sz w:val="20"/>
                <w:szCs w:val="20"/>
                <w:color w:val="auto"/>
              </w:rPr>
            </w:pPr>
          </w:p>
        </w:tc>
        <w:tc>
          <w:tcPr>
            <w:tcW w:w="1340" w:type="dxa"/>
            <w:vAlign w:val="bottom"/>
            <w:tcBorders>
              <w:top w:val="single" w:sz="8" w:color="454545"/>
              <w:bottom w:val="single" w:sz="8" w:color="494949"/>
            </w:tcBorders>
          </w:tcPr>
          <w:p>
            <w:pPr>
              <w:jc w:val="right"/>
              <w:spacing w:after="0"/>
              <w:rPr>
                <w:sz w:val="20"/>
                <w:szCs w:val="20"/>
                <w:color w:val="auto"/>
              </w:rPr>
            </w:pPr>
            <w:r>
              <w:rPr>
                <w:rFonts w:ascii="Arial" w:cs="Arial" w:eastAsia="Arial" w:hAnsi="Arial"/>
                <w:sz w:val="16"/>
                <w:szCs w:val="16"/>
                <w:color w:val="auto"/>
              </w:rPr>
              <w:t>353,537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99,915,039</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$60,136,644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2">
            <w:col w:w="5880" w:space="460"/>
            <w:col w:w="4900"/>
          </w:cols>
          <w:pgMar w:left="320" w:top="157"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Mary Callahan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Erdoes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100" w:type="dxa"/>
            <w:vAlign w:val="bottom"/>
            <w:gridSpan w:val="2"/>
          </w:tcPr>
          <w:p>
            <w:pPr>
              <w:ind w:left="2060"/>
              <w:spacing w:after="0"/>
              <w:rPr>
                <w:sz w:val="20"/>
                <w:szCs w:val="20"/>
                <w:color w:val="auto"/>
              </w:rPr>
            </w:pPr>
            <w:r>
              <w:rPr>
                <w:rFonts w:ascii="Arial" w:cs="Arial" w:eastAsia="Arial" w:hAnsi="Arial"/>
                <w:sz w:val="16"/>
                <w:szCs w:val="16"/>
                <w:color w:val="auto"/>
              </w:rPr>
              <w:t xml:space="preserve">1/19/2021 </w:t>
            </w:r>
            <w:r>
              <w:rPr>
                <w:rFonts w:ascii="Arial" w:cs="Arial" w:eastAsia="Arial" w:hAnsi="Arial"/>
                <w:sz w:val="23"/>
                <w:szCs w:val="23"/>
                <w:color w:val="auto"/>
                <w:vertAlign w:val="superscript"/>
              </w:rPr>
              <w:t>4</w:t>
            </w:r>
          </w:p>
        </w:tc>
        <w:tc>
          <w:tcPr>
            <w:tcW w:w="520" w:type="dxa"/>
            <w:vAlign w:val="bottom"/>
          </w:tcPr>
          <w:p>
            <w:pPr>
              <w:spacing w:after="0"/>
              <w:rPr>
                <w:sz w:val="23"/>
                <w:szCs w:val="23"/>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3"/>
                <w:szCs w:val="23"/>
                <w:color w:val="auto"/>
              </w:rPr>
            </w:pP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40" w:type="dxa"/>
            <w:vAlign w:val="bottom"/>
          </w:tcPr>
          <w:p>
            <w:pPr>
              <w:ind w:left="8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70,698</w:t>
            </w: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a</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100" w:type="dxa"/>
            <w:vAlign w:val="bottom"/>
            <w:gridSpan w:val="2"/>
          </w:tcPr>
          <w:p>
            <w:pPr>
              <w:ind w:left="2060"/>
              <w:spacing w:after="0"/>
              <w:rPr>
                <w:sz w:val="20"/>
                <w:szCs w:val="20"/>
                <w:color w:val="auto"/>
              </w:rPr>
            </w:pPr>
            <w:r>
              <w:rPr>
                <w:rFonts w:ascii="Arial" w:cs="Arial" w:eastAsia="Arial" w:hAnsi="Arial"/>
                <w:sz w:val="16"/>
                <w:szCs w:val="16"/>
                <w:color w:val="auto"/>
              </w:rPr>
              <w:t>1/19/2021</w:t>
            </w:r>
          </w:p>
        </w:tc>
        <w:tc>
          <w:tcPr>
            <w:tcW w:w="520" w:type="dxa"/>
            <w:vAlign w:val="bottom"/>
          </w:tcPr>
          <w:p>
            <w:pPr>
              <w:spacing w:after="0"/>
              <w:rPr>
                <w:sz w:val="19"/>
                <w:szCs w:val="19"/>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40" w:type="dxa"/>
            <w:vAlign w:val="bottom"/>
          </w:tcPr>
          <w:p>
            <w:pPr>
              <w:ind w:left="8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21,812</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e</w:t>
            </w:r>
          </w:p>
        </w:tc>
        <w:tc>
          <w:tcPr>
            <w:tcW w:w="1060" w:type="dxa"/>
            <w:vAlign w:val="bottom"/>
          </w:tcPr>
          <w:p>
            <w:pPr>
              <w:spacing w:after="0"/>
              <w:rPr>
                <w:sz w:val="19"/>
                <w:szCs w:val="19"/>
                <w:color w:val="auto"/>
              </w:rPr>
            </w:pPr>
          </w:p>
        </w:tc>
        <w:tc>
          <w:tcPr>
            <w:tcW w:w="18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7"/>
        </w:trPr>
        <w:tc>
          <w:tcPr>
            <w:tcW w:w="3100" w:type="dxa"/>
            <w:vAlign w:val="bottom"/>
            <w:gridSpan w:val="2"/>
          </w:tcPr>
          <w:p>
            <w:pPr>
              <w:ind w:left="2060"/>
              <w:spacing w:after="0"/>
              <w:rPr>
                <w:sz w:val="20"/>
                <w:szCs w:val="20"/>
                <w:color w:val="auto"/>
              </w:rPr>
            </w:pPr>
            <w:r>
              <w:rPr>
                <w:rFonts w:ascii="Arial" w:cs="Arial" w:eastAsia="Arial" w:hAnsi="Arial"/>
                <w:sz w:val="16"/>
                <w:szCs w:val="16"/>
                <w:color w:val="auto"/>
              </w:rPr>
              <w:t>1/18/2022</w:t>
            </w:r>
          </w:p>
        </w:tc>
        <w:tc>
          <w:tcPr>
            <w:tcW w:w="52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ind w:left="8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38,686</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e</w:t>
            </w:r>
          </w:p>
        </w:tc>
        <w:tc>
          <w:tcPr>
            <w:tcW w:w="1060" w:type="dxa"/>
            <w:vAlign w:val="bottom"/>
          </w:tcPr>
          <w:p>
            <w:pPr>
              <w:jc w:val="right"/>
              <w:spacing w:after="0"/>
              <w:rPr>
                <w:sz w:val="20"/>
                <w:szCs w:val="20"/>
                <w:color w:val="auto"/>
              </w:rPr>
            </w:pPr>
            <w:r>
              <w:rPr>
                <w:rFonts w:ascii="Arial" w:cs="Arial" w:eastAsia="Arial" w:hAnsi="Arial"/>
                <w:sz w:val="16"/>
                <w:szCs w:val="16"/>
                <w:color w:val="auto"/>
              </w:rPr>
              <w:t>61,187</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100" w:type="dxa"/>
            <w:vAlign w:val="bottom"/>
            <w:gridSpan w:val="2"/>
          </w:tcPr>
          <w:p>
            <w:pPr>
              <w:ind w:left="2060"/>
              <w:spacing w:after="0"/>
              <w:rPr>
                <w:sz w:val="20"/>
                <w:szCs w:val="20"/>
                <w:color w:val="auto"/>
              </w:rPr>
            </w:pPr>
            <w:r>
              <w:rPr>
                <w:rFonts w:ascii="Arial" w:cs="Arial" w:eastAsia="Arial" w:hAnsi="Arial"/>
                <w:sz w:val="16"/>
                <w:szCs w:val="16"/>
                <w:color w:val="auto"/>
              </w:rPr>
              <w:t>1/17/2023</w:t>
            </w:r>
          </w:p>
        </w:tc>
        <w:tc>
          <w:tcPr>
            <w:tcW w:w="520" w:type="dxa"/>
            <w:vAlign w:val="bottom"/>
            <w:tcBorders>
              <w:bottom w:val="single" w:sz="8" w:color="454545"/>
            </w:tcBorders>
          </w:tcPr>
          <w:p>
            <w:pPr>
              <w:spacing w:after="0"/>
              <w:rPr>
                <w:sz w:val="22"/>
                <w:szCs w:val="22"/>
                <w:color w:val="auto"/>
              </w:rPr>
            </w:pPr>
          </w:p>
        </w:tc>
        <w:tc>
          <w:tcPr>
            <w:tcW w:w="640" w:type="dxa"/>
            <w:vAlign w:val="bottom"/>
            <w:tcBorders>
              <w:bottom w:val="single" w:sz="8" w:color="454545"/>
            </w:tcBorders>
          </w:tcPr>
          <w:p>
            <w:pPr>
              <w:ind w:lef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20" w:type="dxa"/>
            <w:vAlign w:val="bottom"/>
            <w:tcBorders>
              <w:bottom w:val="single" w:sz="8" w:color="454545"/>
            </w:tcBorders>
          </w:tcPr>
          <w:p>
            <w:pPr>
              <w:spacing w:after="0"/>
              <w:rPr>
                <w:sz w:val="22"/>
                <w:szCs w:val="22"/>
                <w:color w:val="auto"/>
              </w:rPr>
            </w:pPr>
          </w:p>
        </w:tc>
        <w:tc>
          <w:tcPr>
            <w:tcW w:w="280" w:type="dxa"/>
            <w:vAlign w:val="bottom"/>
            <w:tcBorders>
              <w:bottom w:val="single" w:sz="8" w:color="454545"/>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40" w:type="dxa"/>
            <w:vAlign w:val="bottom"/>
          </w:tcPr>
          <w:p>
            <w:pPr>
              <w:ind w:left="88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54545"/>
            </w:tcBorders>
          </w:tcPr>
          <w:p>
            <w:pPr>
              <w:spacing w:after="0"/>
              <w:rPr>
                <w:sz w:val="22"/>
                <w:szCs w:val="22"/>
                <w:color w:val="auto"/>
              </w:rPr>
            </w:pPr>
          </w:p>
        </w:tc>
        <w:tc>
          <w:tcPr>
            <w:tcW w:w="1040" w:type="dxa"/>
            <w:vAlign w:val="bottom"/>
            <w:tcBorders>
              <w:bottom w:val="single" w:sz="8" w:color="454545"/>
            </w:tcBorders>
            <w:gridSpan w:val="2"/>
          </w:tcPr>
          <w:p>
            <w:pPr>
              <w:jc w:val="right"/>
              <w:ind w:right="60"/>
              <w:spacing w:after="0"/>
              <w:rPr>
                <w:sz w:val="20"/>
                <w:szCs w:val="20"/>
                <w:color w:val="auto"/>
              </w:rPr>
            </w:pPr>
            <w:r>
              <w:rPr>
                <w:rFonts w:ascii="Arial" w:cs="Arial" w:eastAsia="Arial" w:hAnsi="Arial"/>
                <w:sz w:val="16"/>
                <w:szCs w:val="16"/>
                <w:color w:val="auto"/>
              </w:rPr>
              <w:t>52,892</w:t>
            </w:r>
          </w:p>
        </w:tc>
        <w:tc>
          <w:tcPr>
            <w:tcW w:w="320" w:type="dxa"/>
            <w:vAlign w:val="bottom"/>
          </w:tcPr>
          <w:p>
            <w:pPr>
              <w:ind w:left="20"/>
              <w:spacing w:after="0"/>
              <w:rPr>
                <w:sz w:val="20"/>
                <w:szCs w:val="20"/>
                <w:color w:val="auto"/>
              </w:rPr>
            </w:pPr>
            <w:r>
              <w:rPr>
                <w:rFonts w:ascii="Arial" w:cs="Arial" w:eastAsia="Arial" w:hAnsi="Arial"/>
                <w:sz w:val="11"/>
                <w:szCs w:val="11"/>
                <w:color w:val="auto"/>
              </w:rPr>
              <w:t>e</w:t>
            </w:r>
          </w:p>
        </w:tc>
        <w:tc>
          <w:tcPr>
            <w:tcW w:w="280" w:type="dxa"/>
            <w:vAlign w:val="bottom"/>
            <w:tcBorders>
              <w:bottom w:val="single" w:sz="8" w:color="454545"/>
            </w:tcBorders>
          </w:tcPr>
          <w:p>
            <w:pPr>
              <w:spacing w:after="0"/>
              <w:rPr>
                <w:sz w:val="22"/>
                <w:szCs w:val="22"/>
                <w:color w:val="auto"/>
              </w:rPr>
            </w:pP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81,032</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6"/>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Total awards (#)</w:t>
            </w:r>
          </w:p>
        </w:tc>
        <w:tc>
          <w:tcPr>
            <w:tcW w:w="520" w:type="dxa"/>
            <w:vAlign w:val="bottom"/>
            <w:tcBorders>
              <w:bottom w:val="single" w:sz="8" w:color="454545"/>
            </w:tcBorders>
          </w:tcPr>
          <w:p>
            <w:pPr>
              <w:spacing w:after="0"/>
              <w:rPr>
                <w:sz w:val="20"/>
                <w:szCs w:val="20"/>
                <w:color w:val="auto"/>
              </w:rPr>
            </w:pPr>
          </w:p>
        </w:tc>
        <w:tc>
          <w:tcPr>
            <w:tcW w:w="640" w:type="dxa"/>
            <w:vAlign w:val="bottom"/>
            <w:tcBorders>
              <w:bottom w:val="single" w:sz="8" w:color="454545"/>
            </w:tcBorders>
          </w:tcPr>
          <w:p>
            <w:pPr>
              <w:ind w:lef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Borders>
              <w:bottom w:val="single" w:sz="8" w:color="454545"/>
            </w:tcBorders>
          </w:tcPr>
          <w:p>
            <w:pPr>
              <w:spacing w:after="0"/>
              <w:rPr>
                <w:sz w:val="20"/>
                <w:szCs w:val="20"/>
                <w:color w:val="auto"/>
              </w:rPr>
            </w:pPr>
          </w:p>
        </w:tc>
        <w:tc>
          <w:tcPr>
            <w:tcW w:w="280" w:type="dxa"/>
            <w:vAlign w:val="bottom"/>
            <w:tcBorders>
              <w:bottom w:val="single" w:sz="8" w:color="454545"/>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Borders>
              <w:bottom w:val="single" w:sz="8" w:color="454545"/>
            </w:tcBorders>
          </w:tcPr>
          <w:p>
            <w:pPr>
              <w:spacing w:after="0"/>
              <w:rPr>
                <w:sz w:val="20"/>
                <w:szCs w:val="20"/>
                <w:color w:val="auto"/>
              </w:rPr>
            </w:pPr>
          </w:p>
        </w:tc>
        <w:tc>
          <w:tcPr>
            <w:tcW w:w="1040" w:type="dxa"/>
            <w:vAlign w:val="bottom"/>
            <w:tcBorders>
              <w:bottom w:val="single" w:sz="8" w:color="494949"/>
            </w:tcBorders>
            <w:gridSpan w:val="2"/>
          </w:tcPr>
          <w:p>
            <w:pPr>
              <w:jc w:val="right"/>
              <w:ind w:right="60"/>
              <w:spacing w:after="0"/>
              <w:rPr>
                <w:sz w:val="20"/>
                <w:szCs w:val="20"/>
                <w:color w:val="auto"/>
              </w:rPr>
            </w:pPr>
            <w:r>
              <w:rPr>
                <w:rFonts w:ascii="Arial" w:cs="Arial" w:eastAsia="Arial" w:hAnsi="Arial"/>
                <w:sz w:val="16"/>
                <w:szCs w:val="16"/>
                <w:color w:val="auto"/>
              </w:rPr>
              <w:t>184,088</w:t>
            </w:r>
          </w:p>
        </w:tc>
        <w:tc>
          <w:tcPr>
            <w:tcW w:w="320" w:type="dxa"/>
            <w:vAlign w:val="bottom"/>
          </w:tcPr>
          <w:p>
            <w:pPr>
              <w:spacing w:after="0"/>
              <w:rPr>
                <w:sz w:val="20"/>
                <w:szCs w:val="20"/>
                <w:color w:val="auto"/>
              </w:rPr>
            </w:pPr>
          </w:p>
        </w:tc>
        <w:tc>
          <w:tcPr>
            <w:tcW w:w="280" w:type="dxa"/>
            <w:vAlign w:val="bottom"/>
            <w:tcBorders>
              <w:bottom w:val="single" w:sz="8" w:color="494949"/>
            </w:tcBorders>
          </w:tcPr>
          <w:p>
            <w:pPr>
              <w:spacing w:after="0"/>
              <w:rPr>
                <w:sz w:val="20"/>
                <w:szCs w:val="20"/>
                <w:color w:val="auto"/>
              </w:rPr>
            </w:pPr>
          </w:p>
        </w:tc>
        <w:tc>
          <w:tcPr>
            <w:tcW w:w="106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142,219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tcBorders>
              <w:bottom w:val="single" w:sz="8" w:color="454545"/>
            </w:tcBorders>
            <w:gridSpan w:val="2"/>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520" w:type="dxa"/>
            <w:vAlign w:val="bottom"/>
            <w:tcBorders>
              <w:bottom w:val="single" w:sz="8" w:color="454545"/>
            </w:tcBorders>
          </w:tcPr>
          <w:p>
            <w:pPr>
              <w:jc w:val="right"/>
              <w:ind w:right="3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454545"/>
            </w:tcBorders>
            <w:gridSpan w:val="2"/>
          </w:tcPr>
          <w:p>
            <w:pPr>
              <w:ind w:left="4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54545"/>
            </w:tcBorders>
          </w:tcPr>
          <w:p>
            <w:pPr>
              <w:jc w:val="right"/>
              <w:ind w:right="7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454545"/>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54545"/>
            </w:tcBorders>
          </w:tcPr>
          <w:p>
            <w:pPr>
              <w:spacing w:after="0"/>
              <w:rPr>
                <w:sz w:val="23"/>
                <w:szCs w:val="23"/>
                <w:color w:val="auto"/>
              </w:rPr>
            </w:pPr>
          </w:p>
        </w:tc>
        <w:tc>
          <w:tcPr>
            <w:tcW w:w="1540" w:type="dxa"/>
            <w:vAlign w:val="bottom"/>
            <w:tcBorders>
              <w:bottom w:val="single" w:sz="8" w:color="454545"/>
            </w:tcBorders>
          </w:tcPr>
          <w:p>
            <w:pPr>
              <w:spacing w:after="0"/>
              <w:rPr>
                <w:sz w:val="23"/>
                <w:szCs w:val="23"/>
                <w:color w:val="auto"/>
              </w:rPr>
            </w:pPr>
          </w:p>
        </w:tc>
        <w:tc>
          <w:tcPr>
            <w:tcW w:w="980" w:type="dxa"/>
            <w:vAlign w:val="bottom"/>
            <w:tcBorders>
              <w:bottom w:val="single" w:sz="8" w:color="454545"/>
            </w:tcBorders>
            <w:gridSpan w:val="2"/>
          </w:tcPr>
          <w:p>
            <w:pPr>
              <w:ind w:left="8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454545"/>
            </w:tcBorders>
            <w:gridSpan w:val="2"/>
          </w:tcPr>
          <w:p>
            <w:pPr>
              <w:jc w:val="right"/>
              <w:ind w:right="60"/>
              <w:spacing w:after="0"/>
              <w:rPr>
                <w:sz w:val="20"/>
                <w:szCs w:val="20"/>
                <w:color w:val="auto"/>
              </w:rPr>
            </w:pPr>
            <w:r>
              <w:rPr>
                <w:rFonts w:ascii="Arial" w:cs="Arial" w:eastAsia="Arial" w:hAnsi="Arial"/>
                <w:sz w:val="16"/>
                <w:szCs w:val="16"/>
                <w:color w:val="auto"/>
              </w:rPr>
              <w:t>31,313,369</w:t>
            </w:r>
          </w:p>
        </w:tc>
        <w:tc>
          <w:tcPr>
            <w:tcW w:w="600" w:type="dxa"/>
            <w:vAlign w:val="bottom"/>
            <w:tcBorders>
              <w:bottom w:val="single" w:sz="8" w:color="454545"/>
            </w:tcBorders>
            <w:gridSpan w:val="2"/>
          </w:tcPr>
          <w:p>
            <w:pPr>
              <w:ind w:left="3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24,191,452</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1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Marianne Lake</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100" w:type="dxa"/>
            <w:vAlign w:val="bottom"/>
            <w:gridSpan w:val="2"/>
          </w:tcPr>
          <w:p>
            <w:pPr>
              <w:ind w:left="2060"/>
              <w:spacing w:after="0"/>
              <w:rPr>
                <w:sz w:val="20"/>
                <w:szCs w:val="20"/>
                <w:color w:val="auto"/>
              </w:rPr>
            </w:pPr>
            <w:r>
              <w:rPr>
                <w:rFonts w:ascii="Arial" w:cs="Arial" w:eastAsia="Arial" w:hAnsi="Arial"/>
                <w:sz w:val="16"/>
                <w:szCs w:val="16"/>
                <w:color w:val="auto"/>
              </w:rPr>
              <w:t xml:space="preserve">1/19/2021 </w:t>
            </w:r>
            <w:r>
              <w:rPr>
                <w:rFonts w:ascii="Arial" w:cs="Arial" w:eastAsia="Arial" w:hAnsi="Arial"/>
                <w:sz w:val="23"/>
                <w:szCs w:val="23"/>
                <w:color w:val="auto"/>
                <w:vertAlign w:val="superscript"/>
              </w:rPr>
              <w:t>4</w:t>
            </w:r>
          </w:p>
        </w:tc>
        <w:tc>
          <w:tcPr>
            <w:tcW w:w="520" w:type="dxa"/>
            <w:vAlign w:val="bottom"/>
          </w:tcPr>
          <w:p>
            <w:pPr>
              <w:spacing w:after="0"/>
              <w:rPr>
                <w:sz w:val="23"/>
                <w:szCs w:val="23"/>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3"/>
                <w:szCs w:val="23"/>
                <w:color w:val="auto"/>
              </w:rPr>
            </w:pP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40" w:type="dxa"/>
            <w:vAlign w:val="bottom"/>
          </w:tcPr>
          <w:p>
            <w:pPr>
              <w:ind w:left="8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52,194</w:t>
            </w: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a</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100" w:type="dxa"/>
            <w:vAlign w:val="bottom"/>
            <w:gridSpan w:val="2"/>
          </w:tcPr>
          <w:p>
            <w:pPr>
              <w:ind w:left="2060"/>
              <w:spacing w:after="0"/>
              <w:rPr>
                <w:sz w:val="20"/>
                <w:szCs w:val="20"/>
                <w:color w:val="auto"/>
              </w:rPr>
            </w:pPr>
            <w:r>
              <w:rPr>
                <w:rFonts w:ascii="Arial" w:cs="Arial" w:eastAsia="Arial" w:hAnsi="Arial"/>
                <w:sz w:val="16"/>
                <w:szCs w:val="16"/>
                <w:color w:val="auto"/>
              </w:rPr>
              <w:t>1/19/2021</w:t>
            </w:r>
          </w:p>
        </w:tc>
        <w:tc>
          <w:tcPr>
            <w:tcW w:w="520" w:type="dxa"/>
            <w:vAlign w:val="bottom"/>
          </w:tcPr>
          <w:p>
            <w:pPr>
              <w:spacing w:after="0"/>
              <w:rPr>
                <w:sz w:val="19"/>
                <w:szCs w:val="19"/>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40" w:type="dxa"/>
            <w:vAlign w:val="bottom"/>
          </w:tcPr>
          <w:p>
            <w:pPr>
              <w:ind w:left="8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16,103</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e</w:t>
            </w:r>
          </w:p>
        </w:tc>
        <w:tc>
          <w:tcPr>
            <w:tcW w:w="1060" w:type="dxa"/>
            <w:vAlign w:val="bottom"/>
          </w:tcPr>
          <w:p>
            <w:pPr>
              <w:spacing w:after="0"/>
              <w:rPr>
                <w:sz w:val="19"/>
                <w:szCs w:val="19"/>
                <w:color w:val="auto"/>
              </w:rPr>
            </w:pPr>
          </w:p>
        </w:tc>
        <w:tc>
          <w:tcPr>
            <w:tcW w:w="18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24"/>
        </w:trPr>
        <w:tc>
          <w:tcPr>
            <w:tcW w:w="3100" w:type="dxa"/>
            <w:vAlign w:val="bottom"/>
            <w:gridSpan w:val="2"/>
          </w:tcPr>
          <w:p>
            <w:pPr>
              <w:ind w:left="2060"/>
              <w:spacing w:after="0"/>
              <w:rPr>
                <w:sz w:val="20"/>
                <w:szCs w:val="20"/>
                <w:color w:val="auto"/>
              </w:rPr>
            </w:pPr>
            <w:r>
              <w:rPr>
                <w:rFonts w:ascii="Arial" w:cs="Arial" w:eastAsia="Arial" w:hAnsi="Arial"/>
                <w:sz w:val="16"/>
                <w:szCs w:val="16"/>
                <w:color w:val="auto"/>
              </w:rPr>
              <w:t>1/18/2022</w:t>
            </w:r>
          </w:p>
        </w:tc>
        <w:tc>
          <w:tcPr>
            <w:tcW w:w="520" w:type="dxa"/>
            <w:vAlign w:val="bottom"/>
          </w:tcPr>
          <w:p>
            <w:pPr>
              <w:spacing w:after="0"/>
              <w:rPr>
                <w:sz w:val="19"/>
                <w:szCs w:val="19"/>
                <w:color w:val="auto"/>
              </w:rPr>
            </w:pPr>
          </w:p>
        </w:tc>
        <w:tc>
          <w:tcPr>
            <w:tcW w:w="7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40" w:type="dxa"/>
            <w:vAlign w:val="bottom"/>
          </w:tcPr>
          <w:p>
            <w:pPr>
              <w:ind w:left="8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30,851</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e</w:t>
            </w:r>
          </w:p>
        </w:tc>
        <w:tc>
          <w:tcPr>
            <w:tcW w:w="1060" w:type="dxa"/>
            <w:vAlign w:val="bottom"/>
          </w:tcPr>
          <w:p>
            <w:pPr>
              <w:jc w:val="right"/>
              <w:spacing w:after="0"/>
              <w:rPr>
                <w:sz w:val="20"/>
                <w:szCs w:val="20"/>
                <w:color w:val="auto"/>
              </w:rPr>
            </w:pPr>
            <w:r>
              <w:rPr>
                <w:rFonts w:ascii="Arial" w:cs="Arial" w:eastAsia="Arial" w:hAnsi="Arial"/>
                <w:sz w:val="16"/>
                <w:szCs w:val="16"/>
                <w:color w:val="auto"/>
              </w:rPr>
              <w:t>48,795</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2060"/>
              <w:spacing w:after="0"/>
              <w:rPr>
                <w:sz w:val="20"/>
                <w:szCs w:val="20"/>
                <w:color w:val="auto"/>
              </w:rPr>
            </w:pPr>
            <w:r>
              <w:rPr>
                <w:rFonts w:ascii="Arial" w:cs="Arial" w:eastAsia="Arial" w:hAnsi="Arial"/>
                <w:sz w:val="16"/>
                <w:szCs w:val="16"/>
                <w:color w:val="auto"/>
              </w:rPr>
              <w:t>1/17/2023</w:t>
            </w:r>
          </w:p>
        </w:tc>
        <w:tc>
          <w:tcPr>
            <w:tcW w:w="520" w:type="dxa"/>
            <w:vAlign w:val="bottom"/>
            <w:tcBorders>
              <w:bottom w:val="single" w:sz="8" w:color="454545"/>
            </w:tcBorders>
          </w:tcPr>
          <w:p>
            <w:pPr>
              <w:spacing w:after="0"/>
              <w:rPr>
                <w:sz w:val="23"/>
                <w:szCs w:val="23"/>
                <w:color w:val="auto"/>
              </w:rPr>
            </w:pPr>
          </w:p>
        </w:tc>
        <w:tc>
          <w:tcPr>
            <w:tcW w:w="640" w:type="dxa"/>
            <w:vAlign w:val="bottom"/>
            <w:tcBorders>
              <w:bottom w:val="single" w:sz="8" w:color="454545"/>
            </w:tcBorders>
          </w:tcPr>
          <w:p>
            <w:pPr>
              <w:ind w:lef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20" w:type="dxa"/>
            <w:vAlign w:val="bottom"/>
            <w:tcBorders>
              <w:bottom w:val="single" w:sz="8" w:color="454545"/>
            </w:tcBorders>
          </w:tcPr>
          <w:p>
            <w:pPr>
              <w:spacing w:after="0"/>
              <w:rPr>
                <w:sz w:val="23"/>
                <w:szCs w:val="23"/>
                <w:color w:val="auto"/>
              </w:rPr>
            </w:pPr>
          </w:p>
        </w:tc>
        <w:tc>
          <w:tcPr>
            <w:tcW w:w="280" w:type="dxa"/>
            <w:vAlign w:val="bottom"/>
            <w:tcBorders>
              <w:bottom w:val="single" w:sz="8" w:color="454545"/>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40" w:type="dxa"/>
            <w:vAlign w:val="bottom"/>
          </w:tcPr>
          <w:p>
            <w:pPr>
              <w:ind w:left="88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54545"/>
            </w:tcBorders>
          </w:tcPr>
          <w:p>
            <w:pPr>
              <w:spacing w:after="0"/>
              <w:rPr>
                <w:sz w:val="23"/>
                <w:szCs w:val="23"/>
                <w:color w:val="auto"/>
              </w:rPr>
            </w:pPr>
          </w:p>
        </w:tc>
        <w:tc>
          <w:tcPr>
            <w:tcW w:w="1040" w:type="dxa"/>
            <w:vAlign w:val="bottom"/>
            <w:tcBorders>
              <w:bottom w:val="single" w:sz="8" w:color="454545"/>
            </w:tcBorders>
            <w:gridSpan w:val="2"/>
          </w:tcPr>
          <w:p>
            <w:pPr>
              <w:jc w:val="right"/>
              <w:ind w:right="60"/>
              <w:spacing w:after="0"/>
              <w:rPr>
                <w:sz w:val="20"/>
                <w:szCs w:val="20"/>
                <w:color w:val="auto"/>
              </w:rPr>
            </w:pPr>
            <w:r>
              <w:rPr>
                <w:rFonts w:ascii="Arial" w:cs="Arial" w:eastAsia="Arial" w:hAnsi="Arial"/>
                <w:sz w:val="16"/>
                <w:szCs w:val="16"/>
                <w:color w:val="auto"/>
              </w:rPr>
              <w:t>35,796</w:t>
            </w:r>
          </w:p>
        </w:tc>
        <w:tc>
          <w:tcPr>
            <w:tcW w:w="320" w:type="dxa"/>
            <w:vAlign w:val="bottom"/>
          </w:tcPr>
          <w:p>
            <w:pPr>
              <w:ind w:left="20"/>
              <w:spacing w:after="0"/>
              <w:rPr>
                <w:sz w:val="20"/>
                <w:szCs w:val="20"/>
                <w:color w:val="auto"/>
              </w:rPr>
            </w:pPr>
            <w:r>
              <w:rPr>
                <w:rFonts w:ascii="Arial" w:cs="Arial" w:eastAsia="Arial" w:hAnsi="Arial"/>
                <w:sz w:val="11"/>
                <w:szCs w:val="11"/>
                <w:color w:val="auto"/>
              </w:rPr>
              <w:t>e</w:t>
            </w:r>
          </w:p>
        </w:tc>
        <w:tc>
          <w:tcPr>
            <w:tcW w:w="280" w:type="dxa"/>
            <w:vAlign w:val="bottom"/>
            <w:tcBorders>
              <w:bottom w:val="single" w:sz="8" w:color="454545"/>
            </w:tcBorders>
          </w:tcPr>
          <w:p>
            <w:pPr>
              <w:spacing w:after="0"/>
              <w:rPr>
                <w:sz w:val="23"/>
                <w:szCs w:val="23"/>
                <w:color w:val="auto"/>
              </w:rPr>
            </w:pP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54,841</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6"/>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Total awards (#)</w:t>
            </w:r>
          </w:p>
        </w:tc>
        <w:tc>
          <w:tcPr>
            <w:tcW w:w="520" w:type="dxa"/>
            <w:vAlign w:val="bottom"/>
            <w:tcBorders>
              <w:bottom w:val="single" w:sz="8" w:color="454545"/>
            </w:tcBorders>
          </w:tcPr>
          <w:p>
            <w:pPr>
              <w:spacing w:after="0"/>
              <w:rPr>
                <w:sz w:val="20"/>
                <w:szCs w:val="20"/>
                <w:color w:val="auto"/>
              </w:rPr>
            </w:pPr>
          </w:p>
        </w:tc>
        <w:tc>
          <w:tcPr>
            <w:tcW w:w="640" w:type="dxa"/>
            <w:vAlign w:val="bottom"/>
            <w:tcBorders>
              <w:bottom w:val="single" w:sz="8" w:color="454545"/>
            </w:tcBorders>
          </w:tcPr>
          <w:p>
            <w:pPr>
              <w:ind w:lef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Borders>
              <w:bottom w:val="single" w:sz="8" w:color="454545"/>
            </w:tcBorders>
          </w:tcPr>
          <w:p>
            <w:pPr>
              <w:spacing w:after="0"/>
              <w:rPr>
                <w:sz w:val="20"/>
                <w:szCs w:val="20"/>
                <w:color w:val="auto"/>
              </w:rPr>
            </w:pPr>
          </w:p>
        </w:tc>
        <w:tc>
          <w:tcPr>
            <w:tcW w:w="280" w:type="dxa"/>
            <w:vAlign w:val="bottom"/>
            <w:tcBorders>
              <w:bottom w:val="single" w:sz="8" w:color="454545"/>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Borders>
              <w:bottom w:val="single" w:sz="8" w:color="454545"/>
            </w:tcBorders>
          </w:tcPr>
          <w:p>
            <w:pPr>
              <w:spacing w:after="0"/>
              <w:rPr>
                <w:sz w:val="20"/>
                <w:szCs w:val="20"/>
                <w:color w:val="auto"/>
              </w:rPr>
            </w:pPr>
          </w:p>
        </w:tc>
        <w:tc>
          <w:tcPr>
            <w:tcW w:w="1040" w:type="dxa"/>
            <w:vAlign w:val="bottom"/>
            <w:tcBorders>
              <w:bottom w:val="single" w:sz="8" w:color="494949"/>
            </w:tcBorders>
            <w:gridSpan w:val="2"/>
          </w:tcPr>
          <w:p>
            <w:pPr>
              <w:jc w:val="right"/>
              <w:ind w:right="60"/>
              <w:spacing w:after="0"/>
              <w:rPr>
                <w:sz w:val="20"/>
                <w:szCs w:val="20"/>
                <w:color w:val="auto"/>
              </w:rPr>
            </w:pPr>
            <w:r>
              <w:rPr>
                <w:rFonts w:ascii="Arial" w:cs="Arial" w:eastAsia="Arial" w:hAnsi="Arial"/>
                <w:sz w:val="16"/>
                <w:szCs w:val="16"/>
                <w:color w:val="auto"/>
              </w:rPr>
              <w:t>134,944</w:t>
            </w:r>
          </w:p>
        </w:tc>
        <w:tc>
          <w:tcPr>
            <w:tcW w:w="320" w:type="dxa"/>
            <w:vAlign w:val="bottom"/>
          </w:tcPr>
          <w:p>
            <w:pPr>
              <w:spacing w:after="0"/>
              <w:rPr>
                <w:sz w:val="20"/>
                <w:szCs w:val="20"/>
                <w:color w:val="auto"/>
              </w:rPr>
            </w:pPr>
          </w:p>
        </w:tc>
        <w:tc>
          <w:tcPr>
            <w:tcW w:w="280" w:type="dxa"/>
            <w:vAlign w:val="bottom"/>
            <w:tcBorders>
              <w:bottom w:val="single" w:sz="8" w:color="494949"/>
            </w:tcBorders>
          </w:tcPr>
          <w:p>
            <w:pPr>
              <w:spacing w:after="0"/>
              <w:rPr>
                <w:sz w:val="20"/>
                <w:szCs w:val="20"/>
                <w:color w:val="auto"/>
              </w:rPr>
            </w:pPr>
          </w:p>
        </w:tc>
        <w:tc>
          <w:tcPr>
            <w:tcW w:w="106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103,636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tcBorders>
              <w:bottom w:val="single" w:sz="8" w:color="454545"/>
            </w:tcBorders>
            <w:gridSpan w:val="2"/>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520" w:type="dxa"/>
            <w:vAlign w:val="bottom"/>
            <w:tcBorders>
              <w:bottom w:val="single" w:sz="8" w:color="454545"/>
            </w:tcBorders>
          </w:tcPr>
          <w:p>
            <w:pPr>
              <w:jc w:val="right"/>
              <w:ind w:right="3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454545"/>
            </w:tcBorders>
            <w:gridSpan w:val="2"/>
          </w:tcPr>
          <w:p>
            <w:pPr>
              <w:ind w:left="4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54545"/>
            </w:tcBorders>
          </w:tcPr>
          <w:p>
            <w:pPr>
              <w:jc w:val="right"/>
              <w:ind w:right="7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454545"/>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54545"/>
            </w:tcBorders>
          </w:tcPr>
          <w:p>
            <w:pPr>
              <w:spacing w:after="0"/>
              <w:rPr>
                <w:sz w:val="23"/>
                <w:szCs w:val="23"/>
                <w:color w:val="auto"/>
              </w:rPr>
            </w:pPr>
          </w:p>
        </w:tc>
        <w:tc>
          <w:tcPr>
            <w:tcW w:w="1540" w:type="dxa"/>
            <w:vAlign w:val="bottom"/>
            <w:tcBorders>
              <w:bottom w:val="single" w:sz="8" w:color="454545"/>
            </w:tcBorders>
          </w:tcPr>
          <w:p>
            <w:pPr>
              <w:spacing w:after="0"/>
              <w:rPr>
                <w:sz w:val="23"/>
                <w:szCs w:val="23"/>
                <w:color w:val="auto"/>
              </w:rPr>
            </w:pPr>
          </w:p>
        </w:tc>
        <w:tc>
          <w:tcPr>
            <w:tcW w:w="980" w:type="dxa"/>
            <w:vAlign w:val="bottom"/>
            <w:tcBorders>
              <w:bottom w:val="single" w:sz="8" w:color="454545"/>
            </w:tcBorders>
            <w:gridSpan w:val="2"/>
          </w:tcPr>
          <w:p>
            <w:pPr>
              <w:ind w:left="8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454545"/>
            </w:tcBorders>
            <w:gridSpan w:val="2"/>
          </w:tcPr>
          <w:p>
            <w:pPr>
              <w:jc w:val="right"/>
              <w:ind w:right="60"/>
              <w:spacing w:after="0"/>
              <w:rPr>
                <w:sz w:val="20"/>
                <w:szCs w:val="20"/>
                <w:color w:val="auto"/>
              </w:rPr>
            </w:pPr>
            <w:r>
              <w:rPr>
                <w:rFonts w:ascii="Arial" w:cs="Arial" w:eastAsia="Arial" w:hAnsi="Arial"/>
                <w:sz w:val="16"/>
                <w:szCs w:val="16"/>
                <w:color w:val="auto"/>
              </w:rPr>
              <w:t>22,953,974</w:t>
            </w:r>
          </w:p>
        </w:tc>
        <w:tc>
          <w:tcPr>
            <w:tcW w:w="600" w:type="dxa"/>
            <w:vAlign w:val="bottom"/>
            <w:tcBorders>
              <w:bottom w:val="single" w:sz="8" w:color="454545"/>
            </w:tcBorders>
            <w:gridSpan w:val="2"/>
          </w:tcPr>
          <w:p>
            <w:pPr>
              <w:ind w:left="3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17,628,484</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399"/>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2024 PROXY STATEMENT</w:t>
            </w: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Borders>
              <w:bottom w:val="single" w:sz="8" w:color="8A8C8F"/>
            </w:tcBorders>
          </w:tcPr>
          <w:p>
            <w:pPr>
              <w:spacing w:after="0"/>
              <w:rPr>
                <w:sz w:val="24"/>
                <w:szCs w:val="24"/>
                <w:color w:val="auto"/>
              </w:rPr>
            </w:pPr>
          </w:p>
        </w:tc>
        <w:tc>
          <w:tcPr>
            <w:tcW w:w="140" w:type="dxa"/>
            <w:vAlign w:val="bottom"/>
            <w:tcBorders>
              <w:bottom w:val="single" w:sz="8" w:color="8A8C8F"/>
            </w:tcBorders>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4"/>
            <w:vMerge w:val="restart"/>
          </w:tcPr>
          <w:p>
            <w:pPr>
              <w:ind w:left="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88"/>
        </w:trPr>
        <w:tc>
          <w:tcPr>
            <w:tcW w:w="1940" w:type="dxa"/>
            <w:vAlign w:val="bottom"/>
            <w:vMerge w:val="continue"/>
          </w:tcPr>
          <w:p>
            <w:pPr>
              <w:spacing w:after="0"/>
              <w:rPr>
                <w:sz w:val="7"/>
                <w:szCs w:val="7"/>
                <w:color w:val="auto"/>
              </w:rPr>
            </w:pPr>
          </w:p>
        </w:tc>
        <w:tc>
          <w:tcPr>
            <w:tcW w:w="1160" w:type="dxa"/>
            <w:vAlign w:val="bottom"/>
            <w:tcBorders>
              <w:bottom w:val="single" w:sz="8" w:color="8A8C8F"/>
            </w:tcBorders>
          </w:tcPr>
          <w:p>
            <w:pPr>
              <w:spacing w:after="0"/>
              <w:rPr>
                <w:sz w:val="7"/>
                <w:szCs w:val="7"/>
                <w:color w:val="auto"/>
              </w:rPr>
            </w:pPr>
          </w:p>
        </w:tc>
        <w:tc>
          <w:tcPr>
            <w:tcW w:w="520" w:type="dxa"/>
            <w:vAlign w:val="bottom"/>
            <w:tcBorders>
              <w:bottom w:val="single" w:sz="8" w:color="8A8C8F"/>
            </w:tcBorders>
          </w:tcPr>
          <w:p>
            <w:pPr>
              <w:spacing w:after="0"/>
              <w:rPr>
                <w:sz w:val="7"/>
                <w:szCs w:val="7"/>
                <w:color w:val="auto"/>
              </w:rPr>
            </w:pPr>
          </w:p>
        </w:tc>
        <w:tc>
          <w:tcPr>
            <w:tcW w:w="640" w:type="dxa"/>
            <w:vAlign w:val="bottom"/>
            <w:tcBorders>
              <w:bottom w:val="single" w:sz="8" w:color="8A8C8F"/>
            </w:tcBorders>
          </w:tcPr>
          <w:p>
            <w:pPr>
              <w:spacing w:after="0"/>
              <w:rPr>
                <w:sz w:val="7"/>
                <w:szCs w:val="7"/>
                <w:color w:val="auto"/>
              </w:rPr>
            </w:pPr>
          </w:p>
        </w:tc>
        <w:tc>
          <w:tcPr>
            <w:tcW w:w="140" w:type="dxa"/>
            <w:vAlign w:val="bottom"/>
            <w:tcBorders>
              <w:bottom w:val="single" w:sz="8" w:color="8A8C8F"/>
            </w:tcBorders>
          </w:tcPr>
          <w:p>
            <w:pPr>
              <w:spacing w:after="0"/>
              <w:rPr>
                <w:sz w:val="7"/>
                <w:szCs w:val="7"/>
                <w:color w:val="auto"/>
              </w:rPr>
            </w:pPr>
          </w:p>
        </w:tc>
        <w:tc>
          <w:tcPr>
            <w:tcW w:w="1020" w:type="dxa"/>
            <w:vAlign w:val="bottom"/>
            <w:tcBorders>
              <w:bottom w:val="single" w:sz="8" w:color="8A8C8F"/>
              <w:right w:val="single" w:sz="8" w:color="8A8C8F"/>
            </w:tcBorders>
          </w:tcPr>
          <w:p>
            <w:pPr>
              <w:spacing w:after="0"/>
              <w:rPr>
                <w:sz w:val="7"/>
                <w:szCs w:val="7"/>
                <w:color w:val="auto"/>
              </w:rPr>
            </w:pPr>
          </w:p>
        </w:tc>
        <w:tc>
          <w:tcPr>
            <w:tcW w:w="280" w:type="dxa"/>
            <w:vAlign w:val="bottom"/>
            <w:vMerge w:val="restart"/>
          </w:tcPr>
          <w:p>
            <w:pPr>
              <w:ind w:left="120"/>
              <w:spacing w:after="0"/>
              <w:rPr>
                <w:sz w:val="20"/>
                <w:szCs w:val="20"/>
                <w:color w:val="auto"/>
              </w:rPr>
            </w:pPr>
            <w:r>
              <w:rPr>
                <w:rFonts w:ascii="Arial" w:cs="Arial" w:eastAsia="Arial" w:hAnsi="Arial"/>
                <w:sz w:val="13"/>
                <w:szCs w:val="13"/>
                <w:b w:val="1"/>
                <w:bCs w:val="1"/>
                <w:color w:val="074A75"/>
                <w:w w:val="96"/>
              </w:rPr>
              <w:t>65</w:t>
            </w:r>
          </w:p>
        </w:tc>
        <w:tc>
          <w:tcPr>
            <w:tcW w:w="140" w:type="dxa"/>
            <w:vAlign w:val="bottom"/>
            <w:tcBorders>
              <w:right w:val="single" w:sz="8" w:color="8A8C8F"/>
            </w:tcBorders>
          </w:tcPr>
          <w:p>
            <w:pPr>
              <w:spacing w:after="0"/>
              <w:rPr>
                <w:sz w:val="7"/>
                <w:szCs w:val="7"/>
                <w:color w:val="auto"/>
              </w:rPr>
            </w:pPr>
          </w:p>
        </w:tc>
        <w:tc>
          <w:tcPr>
            <w:tcW w:w="1540" w:type="dxa"/>
            <w:vAlign w:val="bottom"/>
            <w:tcBorders>
              <w:bottom w:val="single" w:sz="8" w:color="8A8C8F"/>
            </w:tcBorders>
          </w:tcPr>
          <w:p>
            <w:pPr>
              <w:spacing w:after="0"/>
              <w:rPr>
                <w:sz w:val="7"/>
                <w:szCs w:val="7"/>
                <w:color w:val="auto"/>
              </w:rPr>
            </w:pPr>
          </w:p>
        </w:tc>
        <w:tc>
          <w:tcPr>
            <w:tcW w:w="780" w:type="dxa"/>
            <w:vAlign w:val="bottom"/>
            <w:tcBorders>
              <w:bottom w:val="single" w:sz="8" w:color="8A8C8F"/>
            </w:tcBorders>
          </w:tcPr>
          <w:p>
            <w:pPr>
              <w:spacing w:after="0"/>
              <w:rPr>
                <w:sz w:val="7"/>
                <w:szCs w:val="7"/>
                <w:color w:val="auto"/>
              </w:rPr>
            </w:pPr>
          </w:p>
        </w:tc>
        <w:tc>
          <w:tcPr>
            <w:tcW w:w="200" w:type="dxa"/>
            <w:vAlign w:val="bottom"/>
            <w:tcBorders>
              <w:bottom w:val="single" w:sz="8" w:color="8A8C8F"/>
            </w:tcBorders>
          </w:tcPr>
          <w:p>
            <w:pPr>
              <w:spacing w:after="0"/>
              <w:rPr>
                <w:sz w:val="7"/>
                <w:szCs w:val="7"/>
                <w:color w:val="auto"/>
              </w:rPr>
            </w:pPr>
          </w:p>
        </w:tc>
        <w:tc>
          <w:tcPr>
            <w:tcW w:w="940" w:type="dxa"/>
            <w:vAlign w:val="bottom"/>
            <w:tcBorders>
              <w:bottom w:val="single" w:sz="8" w:color="8A8C8F"/>
            </w:tcBorders>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Borders>
              <w:right w:val="single" w:sz="8" w:color="8A8C8F"/>
            </w:tcBorders>
          </w:tcPr>
          <w:p>
            <w:pPr>
              <w:spacing w:after="0"/>
              <w:rPr>
                <w:sz w:val="8"/>
                <w:szCs w:val="8"/>
                <w:color w:val="auto"/>
              </w:rPr>
            </w:pPr>
          </w:p>
        </w:tc>
        <w:tc>
          <w:tcPr>
            <w:tcW w:w="280" w:type="dxa"/>
            <w:vAlign w:val="bottom"/>
            <w:tcBorders>
              <w:bottom w:val="single" w:sz="8" w:color="8A8C8F"/>
            </w:tcBorders>
            <w:vMerge w:val="continue"/>
          </w:tcPr>
          <w:p>
            <w:pPr>
              <w:spacing w:after="0"/>
              <w:rPr>
                <w:sz w:val="8"/>
                <w:szCs w:val="8"/>
                <w:color w:val="auto"/>
              </w:rPr>
            </w:pPr>
          </w:p>
        </w:tc>
        <w:tc>
          <w:tcPr>
            <w:tcW w:w="140" w:type="dxa"/>
            <w:vAlign w:val="bottom"/>
            <w:tcBorders>
              <w:bottom w:val="single" w:sz="8" w:color="8A8C8F"/>
              <w:right w:val="single" w:sz="8" w:color="8A8C8F"/>
            </w:tcBorders>
          </w:tcPr>
          <w:p>
            <w:pPr>
              <w:spacing w:after="0"/>
              <w:rPr>
                <w:sz w:val="8"/>
                <w:szCs w:val="8"/>
                <w:color w:val="auto"/>
              </w:rPr>
            </w:pPr>
          </w:p>
        </w:tc>
        <w:tc>
          <w:tcPr>
            <w:tcW w:w="1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Borders>
              <w:bottom w:val="single" w:sz="8" w:color="454545"/>
            </w:tcBorders>
          </w:tcPr>
          <w:p>
            <w:pPr>
              <w:spacing w:after="0"/>
              <w:rPr>
                <w:sz w:val="19"/>
                <w:szCs w:val="19"/>
                <w:color w:val="auto"/>
              </w:rPr>
            </w:pPr>
          </w:p>
        </w:tc>
        <w:tc>
          <w:tcPr>
            <w:tcW w:w="1020" w:type="dxa"/>
            <w:vAlign w:val="bottom"/>
            <w:tcBorders>
              <w:bottom w:val="single" w:sz="8" w:color="454545"/>
            </w:tcBorders>
          </w:tcPr>
          <w:p>
            <w:pPr>
              <w:spacing w:after="0"/>
              <w:rPr>
                <w:sz w:val="19"/>
                <w:szCs w:val="19"/>
                <w:color w:val="auto"/>
              </w:rPr>
            </w:pPr>
          </w:p>
        </w:tc>
        <w:tc>
          <w:tcPr>
            <w:tcW w:w="180" w:type="dxa"/>
            <w:vAlign w:val="bottom"/>
            <w:tcBorders>
              <w:bottom w:val="single" w:sz="8" w:color="454545"/>
            </w:tcBorders>
          </w:tcPr>
          <w:p>
            <w:pPr>
              <w:spacing w:after="0"/>
              <w:rPr>
                <w:sz w:val="19"/>
                <w:szCs w:val="19"/>
                <w:color w:val="auto"/>
              </w:rPr>
            </w:pPr>
          </w:p>
        </w:tc>
        <w:tc>
          <w:tcPr>
            <w:tcW w:w="200" w:type="dxa"/>
            <w:vAlign w:val="bottom"/>
            <w:tcBorders>
              <w:bottom w:val="single" w:sz="8" w:color="454545"/>
            </w:tcBorders>
          </w:tcPr>
          <w:p>
            <w:pPr>
              <w:spacing w:after="0"/>
              <w:rPr>
                <w:sz w:val="19"/>
                <w:szCs w:val="19"/>
                <w:color w:val="auto"/>
              </w:rPr>
            </w:pPr>
          </w:p>
        </w:tc>
        <w:tc>
          <w:tcPr>
            <w:tcW w:w="1520" w:type="dxa"/>
            <w:vAlign w:val="bottom"/>
            <w:tcBorders>
              <w:bottom w:val="single" w:sz="8" w:color="454545"/>
            </w:tcBorders>
            <w:gridSpan w:val="2"/>
          </w:tcPr>
          <w:p>
            <w:pPr>
              <w:jc w:val="center"/>
              <w:ind w:left="359"/>
              <w:spacing w:after="0"/>
              <w:rPr>
                <w:sz w:val="20"/>
                <w:szCs w:val="20"/>
                <w:color w:val="auto"/>
              </w:rPr>
            </w:pPr>
            <w:r>
              <w:rPr>
                <w:rFonts w:ascii="Arial" w:cs="Arial" w:eastAsia="Arial" w:hAnsi="Arial"/>
                <w:sz w:val="16"/>
                <w:szCs w:val="16"/>
                <w:color w:val="auto"/>
              </w:rPr>
              <w:t>Option awards</w:t>
            </w:r>
          </w:p>
        </w:tc>
        <w:tc>
          <w:tcPr>
            <w:tcW w:w="940" w:type="dxa"/>
            <w:vAlign w:val="bottom"/>
            <w:tcBorders>
              <w:bottom w:val="single" w:sz="8" w:color="454545"/>
            </w:tcBorders>
          </w:tcPr>
          <w:p>
            <w:pPr>
              <w:spacing w:after="0"/>
              <w:rPr>
                <w:sz w:val="19"/>
                <w:szCs w:val="19"/>
                <w:color w:val="auto"/>
              </w:rPr>
            </w:pPr>
          </w:p>
        </w:tc>
        <w:tc>
          <w:tcPr>
            <w:tcW w:w="1060" w:type="dxa"/>
            <w:vAlign w:val="bottom"/>
            <w:tcBorders>
              <w:bottom w:val="single" w:sz="8" w:color="454545"/>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454545"/>
            </w:tcBorders>
          </w:tcPr>
          <w:p>
            <w:pPr>
              <w:spacing w:after="0"/>
              <w:rPr>
                <w:sz w:val="19"/>
                <w:szCs w:val="19"/>
                <w:color w:val="auto"/>
              </w:rPr>
            </w:pPr>
          </w:p>
        </w:tc>
        <w:tc>
          <w:tcPr>
            <w:tcW w:w="100" w:type="dxa"/>
            <w:vAlign w:val="bottom"/>
            <w:tcBorders>
              <w:bottom w:val="single" w:sz="8" w:color="454545"/>
            </w:tcBorders>
          </w:tcPr>
          <w:p>
            <w:pPr>
              <w:spacing w:after="0"/>
              <w:rPr>
                <w:sz w:val="19"/>
                <w:szCs w:val="19"/>
                <w:color w:val="auto"/>
              </w:rPr>
            </w:pPr>
          </w:p>
        </w:tc>
        <w:tc>
          <w:tcPr>
            <w:tcW w:w="2740" w:type="dxa"/>
            <w:vAlign w:val="bottom"/>
            <w:tcBorders>
              <w:bottom w:val="single" w:sz="8" w:color="454545"/>
            </w:tcBorders>
            <w:gridSpan w:val="4"/>
          </w:tcPr>
          <w:p>
            <w:pPr>
              <w:jc w:val="right"/>
              <w:ind w:right="899"/>
              <w:spacing w:after="0"/>
              <w:rPr>
                <w:sz w:val="20"/>
                <w:szCs w:val="20"/>
                <w:color w:val="auto"/>
              </w:rPr>
            </w:pPr>
            <w:r>
              <w:rPr>
                <w:rFonts w:ascii="Arial" w:cs="Arial" w:eastAsia="Arial" w:hAnsi="Arial"/>
                <w:sz w:val="16"/>
                <w:szCs w:val="16"/>
                <w:color w:val="auto"/>
              </w:rPr>
              <w:t>Stock awards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color w:val="074A75"/>
              </w:rPr>
              <w:t>Number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074A75"/>
              </w:rPr>
              <w:t>Number of</w:t>
            </w:r>
          </w:p>
        </w:tc>
        <w:tc>
          <w:tcPr>
            <w:tcW w:w="20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074A75"/>
              </w:rPr>
              <w:t>Number of</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color w:val="074A75"/>
              </w:rPr>
              <w:t>unearned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074A75"/>
              </w:rPr>
              <w:t>securities</w:t>
            </w:r>
          </w:p>
        </w:tc>
        <w:tc>
          <w:tcPr>
            <w:tcW w:w="20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074A75"/>
              </w:rPr>
              <w:t>securities</w:t>
            </w: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39"/>
              <w:spacing w:after="0"/>
              <w:rPr>
                <w:sz w:val="20"/>
                <w:szCs w:val="20"/>
                <w:color w:val="auto"/>
              </w:rPr>
            </w:pPr>
            <w:r>
              <w:rPr>
                <w:rFonts w:ascii="Arial" w:cs="Arial" w:eastAsia="Arial" w:hAnsi="Arial"/>
                <w:sz w:val="16"/>
                <w:szCs w:val="16"/>
                <w:color w:val="074A75"/>
              </w:rPr>
              <w:t>Number of</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color w:val="074A75"/>
              </w:rPr>
              <w:t>performance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074A75"/>
              </w:rPr>
              <w:t>underlying</w:t>
            </w:r>
          </w:p>
        </w:tc>
        <w:tc>
          <w:tcPr>
            <w:tcW w:w="20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color w:val="074A75"/>
              </w:rPr>
              <w:t>underlying</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9"/>
              <w:spacing w:after="0"/>
              <w:rPr>
                <w:sz w:val="20"/>
                <w:szCs w:val="20"/>
                <w:color w:val="auto"/>
              </w:rPr>
            </w:pPr>
            <w:r>
              <w:rPr>
                <w:rFonts w:ascii="Arial" w:cs="Arial" w:eastAsia="Arial" w:hAnsi="Arial"/>
                <w:sz w:val="16"/>
                <w:szCs w:val="16"/>
                <w:color w:val="074A75"/>
              </w:rPr>
              <w:t>shares or units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color w:val="074A75"/>
              </w:rPr>
              <w:t>shares or units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74A75"/>
              </w:rPr>
              <w:t>Option/</w:t>
            </w:r>
          </w:p>
        </w:tc>
        <w:tc>
          <w:tcPr>
            <w:tcW w:w="16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074A75"/>
              </w:rPr>
              <w:t>unexercised</w:t>
            </w:r>
          </w:p>
        </w:tc>
        <w:tc>
          <w:tcPr>
            <w:tcW w:w="20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074A75"/>
              </w:rPr>
              <w:t>unexercised</w:t>
            </w:r>
          </w:p>
        </w:tc>
        <w:tc>
          <w:tcPr>
            <w:tcW w:w="940" w:type="dxa"/>
            <w:vAlign w:val="bottom"/>
          </w:tcPr>
          <w:p>
            <w:pPr>
              <w:ind w:left="60"/>
              <w:spacing w:after="0"/>
              <w:rPr>
                <w:sz w:val="20"/>
                <w:szCs w:val="20"/>
                <w:color w:val="auto"/>
              </w:rPr>
            </w:pPr>
            <w:r>
              <w:rPr>
                <w:rFonts w:ascii="Arial" w:cs="Arial" w:eastAsia="Arial" w:hAnsi="Arial"/>
                <w:sz w:val="16"/>
                <w:szCs w:val="16"/>
                <w:color w:val="074A75"/>
              </w:rPr>
              <w:t>Option</w:t>
            </w: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color w:val="074A75"/>
              </w:rPr>
              <w:t>Option</w:t>
            </w:r>
          </w:p>
        </w:tc>
        <w:tc>
          <w:tcPr>
            <w:tcW w:w="100" w:type="dxa"/>
            <w:vAlign w:val="bottom"/>
          </w:tcPr>
          <w:p>
            <w:pPr>
              <w:spacing w:after="0"/>
              <w:rPr>
                <w:sz w:val="16"/>
                <w:szCs w:val="16"/>
                <w:color w:val="auto"/>
              </w:rPr>
            </w:pPr>
          </w:p>
        </w:tc>
        <w:tc>
          <w:tcPr>
            <w:tcW w:w="1100" w:type="dxa"/>
            <w:vAlign w:val="bottom"/>
          </w:tcPr>
          <w:p>
            <w:pPr>
              <w:jc w:val="center"/>
              <w:ind w:right="139"/>
              <w:spacing w:after="0"/>
              <w:rPr>
                <w:sz w:val="20"/>
                <w:szCs w:val="20"/>
                <w:color w:val="auto"/>
              </w:rPr>
            </w:pPr>
            <w:r>
              <w:rPr>
                <w:rFonts w:ascii="Arial" w:cs="Arial" w:eastAsia="Arial" w:hAnsi="Arial"/>
                <w:sz w:val="16"/>
                <w:szCs w:val="16"/>
                <w:color w:val="074A75"/>
              </w:rPr>
              <w:t>of stock that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color w:val="074A75"/>
              </w:rPr>
              <w:t>of stock that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74A75"/>
              </w:rPr>
              <w:t>stock award</w:t>
            </w:r>
          </w:p>
        </w:tc>
        <w:tc>
          <w:tcPr>
            <w:tcW w:w="16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074A75"/>
              </w:rPr>
              <w:t>options: #</w:t>
            </w:r>
          </w:p>
        </w:tc>
        <w:tc>
          <w:tcPr>
            <w:tcW w:w="20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color w:val="074A75"/>
              </w:rPr>
              <w:t>options: #</w:t>
            </w:r>
          </w:p>
        </w:tc>
        <w:tc>
          <w:tcPr>
            <w:tcW w:w="940" w:type="dxa"/>
            <w:vAlign w:val="bottom"/>
          </w:tcPr>
          <w:p>
            <w:pPr>
              <w:spacing w:after="0"/>
              <w:rPr>
                <w:sz w:val="20"/>
                <w:szCs w:val="20"/>
                <w:color w:val="auto"/>
              </w:rPr>
            </w:pPr>
            <w:r>
              <w:rPr>
                <w:rFonts w:ascii="Arial" w:cs="Arial" w:eastAsia="Arial" w:hAnsi="Arial"/>
                <w:sz w:val="16"/>
                <w:szCs w:val="16"/>
                <w:color w:val="074A75"/>
              </w:rPr>
              <w:t>exercise</w:t>
            </w: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color w:val="074A75"/>
              </w:rPr>
              <w:t>expiration</w:t>
            </w:r>
          </w:p>
        </w:tc>
        <w:tc>
          <w:tcPr>
            <w:tcW w:w="100" w:type="dxa"/>
            <w:vAlign w:val="bottom"/>
          </w:tcPr>
          <w:p>
            <w:pPr>
              <w:spacing w:after="0"/>
              <w:rPr>
                <w:sz w:val="16"/>
                <w:szCs w:val="16"/>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color w:val="074A75"/>
              </w:rPr>
              <w:t>have not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color w:val="074A75"/>
              </w:rPr>
              <w:t>have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124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grant date</w:t>
            </w:r>
            <w:r>
              <w:rPr>
                <w:rFonts w:ascii="Arial" w:cs="Arial" w:eastAsia="Arial" w:hAnsi="Arial"/>
                <w:sz w:val="21"/>
                <w:szCs w:val="21"/>
                <w:color w:val="074A75"/>
                <w:vertAlign w:val="superscript"/>
              </w:rPr>
              <w:t>1</w:t>
            </w:r>
          </w:p>
        </w:tc>
        <w:tc>
          <w:tcPr>
            <w:tcW w:w="160" w:type="dxa"/>
            <w:vAlign w:val="bottom"/>
            <w:tcBorders>
              <w:bottom w:val="single" w:sz="8" w:color="454545"/>
            </w:tcBorders>
          </w:tcPr>
          <w:p>
            <w:pPr>
              <w:spacing w:after="0"/>
              <w:rPr>
                <w:sz w:val="21"/>
                <w:szCs w:val="21"/>
                <w:color w:val="auto"/>
              </w:rPr>
            </w:pPr>
          </w:p>
        </w:tc>
        <w:tc>
          <w:tcPr>
            <w:tcW w:w="1200" w:type="dxa"/>
            <w:vAlign w:val="bottom"/>
            <w:tcBorders>
              <w:bottom w:val="single" w:sz="8" w:color="454545"/>
            </w:tcBorders>
            <w:gridSpan w:val="2"/>
          </w:tcPr>
          <w:p>
            <w:pPr>
              <w:jc w:val="center"/>
              <w:ind w:right="160"/>
              <w:spacing w:after="0"/>
              <w:rPr>
                <w:sz w:val="20"/>
                <w:szCs w:val="20"/>
                <w:color w:val="auto"/>
              </w:rPr>
            </w:pPr>
            <w:r>
              <w:rPr>
                <w:rFonts w:ascii="Arial" w:cs="Arial" w:eastAsia="Arial" w:hAnsi="Arial"/>
                <w:sz w:val="16"/>
                <w:szCs w:val="16"/>
                <w:color w:val="074A75"/>
                <w:w w:val="95"/>
              </w:rPr>
              <w:t>exercisable</w:t>
            </w:r>
            <w:r>
              <w:rPr>
                <w:rFonts w:ascii="Arial" w:cs="Arial" w:eastAsia="Arial" w:hAnsi="Arial"/>
                <w:sz w:val="21"/>
                <w:szCs w:val="21"/>
                <w:color w:val="074A75"/>
                <w:w w:val="95"/>
                <w:vertAlign w:val="superscript"/>
              </w:rPr>
              <w:t>1,2</w:t>
            </w:r>
          </w:p>
        </w:tc>
        <w:tc>
          <w:tcPr>
            <w:tcW w:w="200" w:type="dxa"/>
            <w:vAlign w:val="bottom"/>
            <w:tcBorders>
              <w:bottom w:val="single" w:sz="8" w:color="454545"/>
            </w:tcBorders>
          </w:tcPr>
          <w:p>
            <w:pPr>
              <w:spacing w:after="0"/>
              <w:rPr>
                <w:sz w:val="21"/>
                <w:szCs w:val="21"/>
                <w:color w:val="auto"/>
              </w:rPr>
            </w:pPr>
          </w:p>
        </w:tc>
        <w:tc>
          <w:tcPr>
            <w:tcW w:w="1520" w:type="dxa"/>
            <w:vAlign w:val="bottom"/>
            <w:tcBorders>
              <w:bottom w:val="single" w:sz="8" w:color="454545"/>
            </w:tcBorders>
            <w:gridSpan w:val="2"/>
          </w:tcPr>
          <w:p>
            <w:pPr>
              <w:jc w:val="center"/>
              <w:ind w:right="400"/>
              <w:spacing w:after="0"/>
              <w:rPr>
                <w:sz w:val="20"/>
                <w:szCs w:val="20"/>
                <w:color w:val="auto"/>
              </w:rPr>
            </w:pPr>
            <w:r>
              <w:rPr>
                <w:rFonts w:ascii="Arial" w:cs="Arial" w:eastAsia="Arial" w:hAnsi="Arial"/>
                <w:sz w:val="16"/>
                <w:szCs w:val="16"/>
                <w:color w:val="074A75"/>
                <w:w w:val="95"/>
              </w:rPr>
              <w:t>exercisable</w:t>
            </w:r>
            <w:r>
              <w:rPr>
                <w:rFonts w:ascii="Arial" w:cs="Arial" w:eastAsia="Arial" w:hAnsi="Arial"/>
                <w:sz w:val="21"/>
                <w:szCs w:val="21"/>
                <w:color w:val="074A75"/>
                <w:w w:val="95"/>
                <w:vertAlign w:val="superscript"/>
              </w:rPr>
              <w:t>1,2</w:t>
            </w:r>
          </w:p>
        </w:tc>
        <w:tc>
          <w:tcPr>
            <w:tcW w:w="940" w:type="dxa"/>
            <w:vAlign w:val="bottom"/>
            <w:tcBorders>
              <w:bottom w:val="single" w:sz="8" w:color="454545"/>
            </w:tcBorders>
          </w:tcPr>
          <w:p>
            <w:pPr>
              <w:spacing w:after="0"/>
              <w:rPr>
                <w:sz w:val="20"/>
                <w:szCs w:val="20"/>
                <w:color w:val="auto"/>
              </w:rPr>
            </w:pPr>
            <w:r>
              <w:rPr>
                <w:rFonts w:ascii="Arial" w:cs="Arial" w:eastAsia="Arial" w:hAnsi="Arial"/>
                <w:sz w:val="16"/>
                <w:szCs w:val="16"/>
                <w:color w:val="074A75"/>
              </w:rPr>
              <w:t>price ($)</w:t>
            </w:r>
          </w:p>
        </w:tc>
        <w:tc>
          <w:tcPr>
            <w:tcW w:w="1340" w:type="dxa"/>
            <w:vAlign w:val="bottom"/>
            <w:tcBorders>
              <w:bottom w:val="single" w:sz="8" w:color="454545"/>
            </w:tcBorders>
            <w:gridSpan w:val="3"/>
          </w:tcPr>
          <w:p>
            <w:pPr>
              <w:jc w:val="center"/>
              <w:ind w:right="220"/>
              <w:spacing w:after="0"/>
              <w:rPr>
                <w:sz w:val="20"/>
                <w:szCs w:val="20"/>
                <w:color w:val="auto"/>
              </w:rPr>
            </w:pPr>
            <w:r>
              <w:rPr>
                <w:rFonts w:ascii="Arial" w:cs="Arial" w:eastAsia="Arial" w:hAnsi="Arial"/>
                <w:sz w:val="16"/>
                <w:szCs w:val="16"/>
                <w:color w:val="074A75"/>
              </w:rPr>
              <w:t>date</w:t>
            </w:r>
          </w:p>
        </w:tc>
        <w:tc>
          <w:tcPr>
            <w:tcW w:w="100" w:type="dxa"/>
            <w:vAlign w:val="bottom"/>
            <w:tcBorders>
              <w:bottom w:val="single" w:sz="8" w:color="454545"/>
            </w:tcBorders>
          </w:tcPr>
          <w:p>
            <w:pPr>
              <w:spacing w:after="0"/>
              <w:rPr>
                <w:sz w:val="21"/>
                <w:szCs w:val="21"/>
                <w:color w:val="auto"/>
              </w:rPr>
            </w:pPr>
          </w:p>
        </w:tc>
        <w:tc>
          <w:tcPr>
            <w:tcW w:w="1100" w:type="dxa"/>
            <w:vAlign w:val="bottom"/>
            <w:tcBorders>
              <w:bottom w:val="single" w:sz="8" w:color="454545"/>
            </w:tcBorders>
          </w:tcPr>
          <w:p>
            <w:pPr>
              <w:jc w:val="center"/>
              <w:ind w:right="139"/>
              <w:spacing w:after="0"/>
              <w:rPr>
                <w:sz w:val="20"/>
                <w:szCs w:val="20"/>
                <w:color w:val="auto"/>
              </w:rPr>
            </w:pPr>
            <w:r>
              <w:rPr>
                <w:rFonts w:ascii="Arial" w:cs="Arial" w:eastAsia="Arial" w:hAnsi="Arial"/>
                <w:sz w:val="16"/>
                <w:szCs w:val="16"/>
                <w:color w:val="074A75"/>
                <w:w w:val="91"/>
              </w:rPr>
              <w:t>vested</w:t>
            </w:r>
            <w:r>
              <w:rPr>
                <w:rFonts w:ascii="Arial" w:cs="Arial" w:eastAsia="Arial" w:hAnsi="Arial"/>
                <w:sz w:val="21"/>
                <w:szCs w:val="21"/>
                <w:color w:val="074A75"/>
                <w:w w:val="91"/>
                <w:vertAlign w:val="superscript"/>
              </w:rPr>
              <w:t>1,2,3</w:t>
            </w:r>
          </w:p>
        </w:tc>
        <w:tc>
          <w:tcPr>
            <w:tcW w:w="340" w:type="dxa"/>
            <w:vAlign w:val="bottom"/>
            <w:tcBorders>
              <w:bottom w:val="single" w:sz="8" w:color="454545"/>
            </w:tcBorders>
          </w:tcPr>
          <w:p>
            <w:pPr>
              <w:spacing w:after="0"/>
              <w:rPr>
                <w:sz w:val="21"/>
                <w:szCs w:val="21"/>
                <w:color w:val="auto"/>
              </w:rPr>
            </w:pPr>
          </w:p>
        </w:tc>
        <w:tc>
          <w:tcPr>
            <w:tcW w:w="120" w:type="dxa"/>
            <w:vAlign w:val="bottom"/>
            <w:tcBorders>
              <w:bottom w:val="single" w:sz="8" w:color="454545"/>
            </w:tcBorders>
          </w:tcPr>
          <w:p>
            <w:pPr>
              <w:spacing w:after="0"/>
              <w:rPr>
                <w:sz w:val="21"/>
                <w:szCs w:val="21"/>
                <w:color w:val="auto"/>
              </w:rPr>
            </w:pPr>
          </w:p>
        </w:tc>
        <w:tc>
          <w:tcPr>
            <w:tcW w:w="1180" w:type="dxa"/>
            <w:vAlign w:val="bottom"/>
            <w:tcBorders>
              <w:bottom w:val="single" w:sz="8" w:color="454545"/>
            </w:tcBorders>
          </w:tcPr>
          <w:p>
            <w:pPr>
              <w:jc w:val="center"/>
              <w:ind w:right="39"/>
              <w:spacing w:after="0"/>
              <w:rPr>
                <w:sz w:val="20"/>
                <w:szCs w:val="20"/>
                <w:color w:val="auto"/>
              </w:rPr>
            </w:pPr>
            <w:r>
              <w:rPr>
                <w:rFonts w:ascii="Arial" w:cs="Arial" w:eastAsia="Arial" w:hAnsi="Arial"/>
                <w:sz w:val="16"/>
                <w:szCs w:val="16"/>
                <w:color w:val="074A75"/>
                <w:w w:val="93"/>
              </w:rPr>
              <w:t>not vested</w:t>
            </w:r>
            <w:r>
              <w:rPr>
                <w:rFonts w:ascii="Arial" w:cs="Arial" w:eastAsia="Arial" w:hAnsi="Arial"/>
                <w:sz w:val="21"/>
                <w:szCs w:val="21"/>
                <w:color w:val="074A75"/>
                <w:w w:val="93"/>
                <w:vertAlign w:val="superscript"/>
              </w:rPr>
              <w:t>1,2,3</w:t>
            </w:r>
          </w:p>
        </w:tc>
        <w:tc>
          <w:tcPr>
            <w:tcW w:w="180" w:type="dxa"/>
            <w:vAlign w:val="bottom"/>
            <w:tcBorders>
              <w:bottom w:val="single" w:sz="8" w:color="454545"/>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1240" w:type="dxa"/>
            <w:vAlign w:val="bottom"/>
            <w:vMerge w:val="restart"/>
          </w:tcPr>
          <w:p>
            <w:pPr>
              <w:ind w:left="300"/>
              <w:spacing w:after="0"/>
              <w:rPr>
                <w:sz w:val="20"/>
                <w:szCs w:val="20"/>
                <w:color w:val="auto"/>
              </w:rPr>
            </w:pPr>
            <w:r>
              <w:rPr>
                <w:rFonts w:ascii="Arial" w:cs="Arial" w:eastAsia="Arial" w:hAnsi="Arial"/>
                <w:sz w:val="16"/>
                <w:szCs w:val="16"/>
                <w:color w:val="auto"/>
              </w:rPr>
              <w:t xml:space="preserve">1/19/2021 </w:t>
            </w:r>
            <w:r>
              <w:rPr>
                <w:rFonts w:ascii="Arial" w:cs="Arial" w:eastAsia="Arial" w:hAnsi="Arial"/>
                <w:sz w:val="23"/>
                <w:szCs w:val="23"/>
                <w:color w:val="auto"/>
                <w:vertAlign w:val="superscript"/>
              </w:rPr>
              <w:t>4</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62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52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8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39,277</w:t>
            </w:r>
          </w:p>
        </w:tc>
        <w:tc>
          <w:tcPr>
            <w:tcW w:w="3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620" w:type="dxa"/>
            <w:vAlign w:val="bottom"/>
          </w:tcPr>
          <w:p>
            <w:pPr>
              <w:spacing w:after="0"/>
              <w:rPr>
                <w:sz w:val="19"/>
                <w:szCs w:val="19"/>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1/19/2021</w:t>
            </w:r>
          </w:p>
        </w:tc>
        <w:tc>
          <w:tcPr>
            <w:tcW w:w="16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52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8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12,118</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1/18/2022</w:t>
            </w: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52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8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30,851</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48,795</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52"/>
        </w:trPr>
        <w:tc>
          <w:tcPr>
            <w:tcW w:w="162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1/17/2023</w:t>
            </w:r>
          </w:p>
        </w:tc>
        <w:tc>
          <w:tcPr>
            <w:tcW w:w="160" w:type="dxa"/>
            <w:vAlign w:val="bottom"/>
            <w:tcBorders>
              <w:bottom w:val="single" w:sz="8" w:color="454545"/>
            </w:tcBorders>
          </w:tcPr>
          <w:p>
            <w:pPr>
              <w:spacing w:after="0"/>
              <w:rPr>
                <w:sz w:val="21"/>
                <w:szCs w:val="21"/>
                <w:color w:val="auto"/>
              </w:rPr>
            </w:pPr>
          </w:p>
        </w:tc>
        <w:tc>
          <w:tcPr>
            <w:tcW w:w="102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200" w:type="dxa"/>
            <w:vAlign w:val="bottom"/>
            <w:tcBorders>
              <w:bottom w:val="single" w:sz="8" w:color="454545"/>
            </w:tcBorders>
          </w:tcPr>
          <w:p>
            <w:pPr>
              <w:spacing w:after="0"/>
              <w:rPr>
                <w:sz w:val="21"/>
                <w:szCs w:val="21"/>
                <w:color w:val="auto"/>
              </w:rPr>
            </w:pPr>
          </w:p>
        </w:tc>
        <w:tc>
          <w:tcPr>
            <w:tcW w:w="1140" w:type="dxa"/>
            <w:vAlign w:val="bottom"/>
            <w:tcBorders>
              <w:bottom w:val="single" w:sz="8" w:color="454545"/>
            </w:tcBorders>
          </w:tcPr>
          <w:p>
            <w:pPr>
              <w:jc w:val="center"/>
              <w:ind w:left="77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1"/>
                <w:szCs w:val="21"/>
                <w:color w:val="auto"/>
              </w:rPr>
            </w:pP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54545"/>
            </w:tcBorders>
          </w:tcPr>
          <w:p>
            <w:pPr>
              <w:spacing w:after="0"/>
              <w:rPr>
                <w:sz w:val="21"/>
                <w:szCs w:val="21"/>
                <w:color w:val="auto"/>
              </w:rPr>
            </w:pPr>
          </w:p>
        </w:tc>
        <w:tc>
          <w:tcPr>
            <w:tcW w:w="120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35,796</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Borders>
              <w:bottom w:val="single" w:sz="8" w:color="454545"/>
            </w:tcBorders>
          </w:tcPr>
          <w:p>
            <w:pPr>
              <w:spacing w:after="0"/>
              <w:rPr>
                <w:sz w:val="21"/>
                <w:szCs w:val="21"/>
                <w:color w:val="auto"/>
              </w:rPr>
            </w:pPr>
          </w:p>
        </w:tc>
        <w:tc>
          <w:tcPr>
            <w:tcW w:w="1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54,841</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1240" w:type="dxa"/>
            <w:vAlign w:val="bottom"/>
          </w:tcPr>
          <w:p>
            <w:pPr>
              <w:spacing w:after="0"/>
              <w:rPr>
                <w:sz w:val="20"/>
                <w:szCs w:val="20"/>
                <w:color w:val="auto"/>
              </w:rPr>
            </w:pPr>
          </w:p>
        </w:tc>
        <w:tc>
          <w:tcPr>
            <w:tcW w:w="160" w:type="dxa"/>
            <w:vAlign w:val="bottom"/>
            <w:tcBorders>
              <w:bottom w:val="single" w:sz="8" w:color="454545"/>
            </w:tcBorders>
          </w:tcPr>
          <w:p>
            <w:pPr>
              <w:spacing w:after="0"/>
              <w:rPr>
                <w:sz w:val="20"/>
                <w:szCs w:val="20"/>
                <w:color w:val="auto"/>
              </w:rPr>
            </w:pPr>
          </w:p>
        </w:tc>
        <w:tc>
          <w:tcPr>
            <w:tcW w:w="102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0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center"/>
              <w:ind w:left="77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00" w:type="dxa"/>
            <w:vAlign w:val="bottom"/>
            <w:tcBorders>
              <w:bottom w:val="single" w:sz="8" w:color="454545"/>
            </w:tcBorders>
          </w:tcPr>
          <w:p>
            <w:pPr>
              <w:spacing w:after="0"/>
              <w:rPr>
                <w:sz w:val="20"/>
                <w:szCs w:val="20"/>
                <w:color w:val="auto"/>
              </w:rPr>
            </w:pPr>
          </w:p>
        </w:tc>
        <w:tc>
          <w:tcPr>
            <w:tcW w:w="110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118,042</w:t>
            </w:r>
          </w:p>
        </w:tc>
        <w:tc>
          <w:tcPr>
            <w:tcW w:w="340" w:type="dxa"/>
            <w:vAlign w:val="bottom"/>
          </w:tcPr>
          <w:p>
            <w:pPr>
              <w:spacing w:after="0"/>
              <w:rPr>
                <w:sz w:val="20"/>
                <w:szCs w:val="20"/>
                <w:color w:val="auto"/>
              </w:rPr>
            </w:pPr>
          </w:p>
        </w:tc>
        <w:tc>
          <w:tcPr>
            <w:tcW w:w="120" w:type="dxa"/>
            <w:vAlign w:val="bottom"/>
            <w:tcBorders>
              <w:bottom w:val="single" w:sz="8" w:color="494949"/>
            </w:tcBorders>
          </w:tcPr>
          <w:p>
            <w:pPr>
              <w:spacing w:after="0"/>
              <w:rPr>
                <w:sz w:val="20"/>
                <w:szCs w:val="20"/>
                <w:color w:val="auto"/>
              </w:rPr>
            </w:pPr>
          </w:p>
        </w:tc>
        <w:tc>
          <w:tcPr>
            <w:tcW w:w="118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103,636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1240" w:type="dxa"/>
            <w:vAlign w:val="bottom"/>
            <w:tcBorders>
              <w:bottom w:val="single" w:sz="8" w:color="454545"/>
            </w:tcBorders>
          </w:tcPr>
          <w:p>
            <w:pPr>
              <w:spacing w:after="0"/>
              <w:rPr>
                <w:sz w:val="23"/>
                <w:szCs w:val="23"/>
                <w:color w:val="auto"/>
              </w:rPr>
            </w:pPr>
          </w:p>
        </w:tc>
        <w:tc>
          <w:tcPr>
            <w:tcW w:w="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54545"/>
            </w:tcBorders>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454545"/>
            </w:tcBorders>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Borders>
              <w:bottom w:val="single" w:sz="8" w:color="454545"/>
            </w:tcBorders>
          </w:tcPr>
          <w:p>
            <w:pPr>
              <w:spacing w:after="0"/>
              <w:rPr>
                <w:sz w:val="23"/>
                <w:szCs w:val="23"/>
                <w:color w:val="auto"/>
              </w:rPr>
            </w:pPr>
          </w:p>
        </w:tc>
        <w:tc>
          <w:tcPr>
            <w:tcW w:w="1340" w:type="dxa"/>
            <w:vAlign w:val="bottom"/>
            <w:tcBorders>
              <w:bottom w:val="single" w:sz="8" w:color="454545"/>
            </w:tcBorders>
            <w:gridSpan w:val="3"/>
          </w:tcPr>
          <w:p>
            <w:pPr>
              <w:ind w:left="1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20,078,944</w:t>
            </w:r>
          </w:p>
        </w:tc>
        <w:tc>
          <w:tcPr>
            <w:tcW w:w="34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17,628,484</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Jeremy Barnum</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620" w:type="dxa"/>
            <w:vAlign w:val="bottom"/>
          </w:tcPr>
          <w:p>
            <w:pPr>
              <w:spacing w:after="0"/>
              <w:rPr>
                <w:sz w:val="20"/>
                <w:szCs w:val="20"/>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1/19/2021</w:t>
            </w:r>
          </w:p>
        </w:tc>
        <w:tc>
          <w:tcPr>
            <w:tcW w:w="16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2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8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8,797</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1/18/2022</w:t>
            </w: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52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8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18,229</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28,831</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52"/>
        </w:trPr>
        <w:tc>
          <w:tcPr>
            <w:tcW w:w="162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1/17/2023</w:t>
            </w:r>
          </w:p>
        </w:tc>
        <w:tc>
          <w:tcPr>
            <w:tcW w:w="160" w:type="dxa"/>
            <w:vAlign w:val="bottom"/>
            <w:tcBorders>
              <w:bottom w:val="single" w:sz="8" w:color="454545"/>
            </w:tcBorders>
          </w:tcPr>
          <w:p>
            <w:pPr>
              <w:spacing w:after="0"/>
              <w:rPr>
                <w:sz w:val="21"/>
                <w:szCs w:val="21"/>
                <w:color w:val="auto"/>
              </w:rPr>
            </w:pPr>
          </w:p>
        </w:tc>
        <w:tc>
          <w:tcPr>
            <w:tcW w:w="102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200" w:type="dxa"/>
            <w:vAlign w:val="bottom"/>
            <w:tcBorders>
              <w:bottom w:val="single" w:sz="8" w:color="454545"/>
            </w:tcBorders>
          </w:tcPr>
          <w:p>
            <w:pPr>
              <w:spacing w:after="0"/>
              <w:rPr>
                <w:sz w:val="21"/>
                <w:szCs w:val="21"/>
                <w:color w:val="auto"/>
              </w:rPr>
            </w:pPr>
          </w:p>
        </w:tc>
        <w:tc>
          <w:tcPr>
            <w:tcW w:w="1140" w:type="dxa"/>
            <w:vAlign w:val="bottom"/>
            <w:tcBorders>
              <w:bottom w:val="single" w:sz="8" w:color="454545"/>
            </w:tcBorders>
          </w:tcPr>
          <w:p>
            <w:pPr>
              <w:jc w:val="center"/>
              <w:ind w:left="77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1"/>
                <w:szCs w:val="21"/>
                <w:color w:val="auto"/>
              </w:rPr>
            </w:pPr>
          </w:p>
        </w:tc>
        <w:tc>
          <w:tcPr>
            <w:tcW w:w="940" w:type="dxa"/>
            <w:vAlign w:val="bottom"/>
          </w:tcPr>
          <w:p>
            <w:pPr>
              <w:ind w:left="5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54545"/>
            </w:tcBorders>
          </w:tcPr>
          <w:p>
            <w:pPr>
              <w:spacing w:after="0"/>
              <w:rPr>
                <w:sz w:val="21"/>
                <w:szCs w:val="21"/>
                <w:color w:val="auto"/>
              </w:rPr>
            </w:pPr>
          </w:p>
        </w:tc>
        <w:tc>
          <w:tcPr>
            <w:tcW w:w="120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24,042</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Borders>
              <w:bottom w:val="single" w:sz="8" w:color="454545"/>
            </w:tcBorders>
          </w:tcPr>
          <w:p>
            <w:pPr>
              <w:spacing w:after="0"/>
              <w:rPr>
                <w:sz w:val="21"/>
                <w:szCs w:val="21"/>
                <w:color w:val="auto"/>
              </w:rPr>
            </w:pPr>
          </w:p>
        </w:tc>
        <w:tc>
          <w:tcPr>
            <w:tcW w:w="1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36,833</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6"/>
        </w:trPr>
        <w:tc>
          <w:tcPr>
            <w:tcW w:w="16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1240" w:type="dxa"/>
            <w:vAlign w:val="bottom"/>
          </w:tcPr>
          <w:p>
            <w:pPr>
              <w:spacing w:after="0"/>
              <w:rPr>
                <w:sz w:val="20"/>
                <w:szCs w:val="20"/>
                <w:color w:val="auto"/>
              </w:rPr>
            </w:pPr>
          </w:p>
        </w:tc>
        <w:tc>
          <w:tcPr>
            <w:tcW w:w="160" w:type="dxa"/>
            <w:vAlign w:val="bottom"/>
            <w:tcBorders>
              <w:bottom w:val="single" w:sz="8" w:color="454545"/>
            </w:tcBorders>
          </w:tcPr>
          <w:p>
            <w:pPr>
              <w:spacing w:after="0"/>
              <w:rPr>
                <w:sz w:val="20"/>
                <w:szCs w:val="20"/>
                <w:color w:val="auto"/>
              </w:rPr>
            </w:pPr>
          </w:p>
        </w:tc>
        <w:tc>
          <w:tcPr>
            <w:tcW w:w="1020" w:type="dxa"/>
            <w:vAlign w:val="bottom"/>
            <w:tcBorders>
              <w:bottom w:val="single" w:sz="8" w:color="454545"/>
            </w:tcBorders>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0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center"/>
              <w:ind w:left="77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00" w:type="dxa"/>
            <w:vAlign w:val="bottom"/>
            <w:tcBorders>
              <w:bottom w:val="single" w:sz="8" w:color="454545"/>
            </w:tcBorders>
          </w:tcPr>
          <w:p>
            <w:pPr>
              <w:spacing w:after="0"/>
              <w:rPr>
                <w:sz w:val="20"/>
                <w:szCs w:val="20"/>
                <w:color w:val="auto"/>
              </w:rPr>
            </w:pPr>
          </w:p>
        </w:tc>
        <w:tc>
          <w:tcPr>
            <w:tcW w:w="110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51,068</w:t>
            </w:r>
          </w:p>
        </w:tc>
        <w:tc>
          <w:tcPr>
            <w:tcW w:w="340" w:type="dxa"/>
            <w:vAlign w:val="bottom"/>
          </w:tcPr>
          <w:p>
            <w:pPr>
              <w:spacing w:after="0"/>
              <w:rPr>
                <w:sz w:val="20"/>
                <w:szCs w:val="20"/>
                <w:color w:val="auto"/>
              </w:rPr>
            </w:pPr>
          </w:p>
        </w:tc>
        <w:tc>
          <w:tcPr>
            <w:tcW w:w="120" w:type="dxa"/>
            <w:vAlign w:val="bottom"/>
            <w:tcBorders>
              <w:bottom w:val="single" w:sz="8" w:color="494949"/>
            </w:tcBorders>
          </w:tcPr>
          <w:p>
            <w:pPr>
              <w:spacing w:after="0"/>
              <w:rPr>
                <w:sz w:val="20"/>
                <w:szCs w:val="20"/>
                <w:color w:val="auto"/>
              </w:rPr>
            </w:pPr>
          </w:p>
        </w:tc>
        <w:tc>
          <w:tcPr>
            <w:tcW w:w="118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65,664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1240" w:type="dxa"/>
            <w:vAlign w:val="bottom"/>
            <w:tcBorders>
              <w:bottom w:val="single" w:sz="8" w:color="454545"/>
            </w:tcBorders>
          </w:tcPr>
          <w:p>
            <w:pPr>
              <w:spacing w:after="0"/>
              <w:rPr>
                <w:sz w:val="23"/>
                <w:szCs w:val="23"/>
                <w:color w:val="auto"/>
              </w:rPr>
            </w:pPr>
          </w:p>
        </w:tc>
        <w:tc>
          <w:tcPr>
            <w:tcW w:w="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54545"/>
            </w:tcBorders>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454545"/>
            </w:tcBorders>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940" w:type="dxa"/>
            <w:vAlign w:val="bottom"/>
            <w:tcBorders>
              <w:bottom w:val="single" w:sz="8" w:color="454545"/>
            </w:tcBorders>
          </w:tcPr>
          <w:p>
            <w:pPr>
              <w:spacing w:after="0"/>
              <w:rPr>
                <w:sz w:val="23"/>
                <w:szCs w:val="23"/>
                <w:color w:val="auto"/>
              </w:rPr>
            </w:pPr>
          </w:p>
        </w:tc>
        <w:tc>
          <w:tcPr>
            <w:tcW w:w="1340" w:type="dxa"/>
            <w:vAlign w:val="bottom"/>
            <w:tcBorders>
              <w:bottom w:val="single" w:sz="8" w:color="454545"/>
            </w:tcBorders>
            <w:gridSpan w:val="3"/>
          </w:tcPr>
          <w:p>
            <w:pPr>
              <w:ind w:left="1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8,686,667</w:t>
            </w:r>
          </w:p>
        </w:tc>
        <w:tc>
          <w:tcPr>
            <w:tcW w:w="34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11,169,446</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0" w:hanging="192"/>
        <w:spacing w:after="0"/>
        <w:tabs>
          <w:tab w:leader="none" w:pos="200" w:val="left"/>
        </w:tabs>
        <w:numPr>
          <w:ilvl w:val="0"/>
          <w:numId w:val="242"/>
        </w:numPr>
        <w:rPr>
          <w:rFonts w:ascii="Arial" w:cs="Arial" w:eastAsia="Arial" w:hAnsi="Arial"/>
          <w:sz w:val="16"/>
          <w:szCs w:val="16"/>
          <w:color w:val="auto"/>
          <w:vertAlign w:val="superscript"/>
        </w:rPr>
      </w:pPr>
      <w:r>
        <w:rPr>
          <w:rFonts w:ascii="Arial" w:cs="Arial" w:eastAsia="Arial" w:hAnsi="Arial"/>
          <w:sz w:val="13"/>
          <w:szCs w:val="13"/>
          <w:color w:val="auto"/>
        </w:rPr>
        <w:t>The awards set forth in the table were granted with the following vesting schedules:</w:t>
      </w:r>
    </w:p>
    <w:p>
      <w:pPr>
        <w:ind w:left="400" w:hanging="198"/>
        <w:spacing w:after="0" w:line="193" w:lineRule="auto"/>
        <w:tabs>
          <w:tab w:leader="none" w:pos="400" w:val="left"/>
        </w:tabs>
        <w:numPr>
          <w:ilvl w:val="0"/>
          <w:numId w:val="243"/>
        </w:numPr>
        <w:rPr>
          <w:rFonts w:ascii="Arial" w:cs="Arial" w:eastAsia="Arial" w:hAnsi="Arial"/>
          <w:sz w:val="16"/>
          <w:szCs w:val="16"/>
          <w:color w:val="auto"/>
          <w:vertAlign w:val="superscript"/>
        </w:rPr>
      </w:pPr>
      <w:r>
        <w:rPr>
          <w:rFonts w:ascii="Arial" w:cs="Arial" w:eastAsia="Arial" w:hAnsi="Arial"/>
          <w:sz w:val="13"/>
          <w:szCs w:val="13"/>
          <w:color w:val="auto"/>
        </w:rPr>
        <w:t>PSUs cliff vest in year three including any dividends that are reinvested over the vesting period</w:t>
      </w:r>
    </w:p>
    <w:p>
      <w:pPr>
        <w:ind w:left="400" w:hanging="198"/>
        <w:spacing w:after="0" w:line="194" w:lineRule="auto"/>
        <w:tabs>
          <w:tab w:leader="none" w:pos="400" w:val="left"/>
        </w:tabs>
        <w:numPr>
          <w:ilvl w:val="0"/>
          <w:numId w:val="244"/>
        </w:numPr>
        <w:rPr>
          <w:rFonts w:ascii="Arial" w:cs="Arial" w:eastAsia="Arial" w:hAnsi="Arial"/>
          <w:sz w:val="16"/>
          <w:szCs w:val="16"/>
          <w:color w:val="auto"/>
          <w:vertAlign w:val="superscript"/>
        </w:rPr>
      </w:pPr>
      <w:r>
        <w:rPr>
          <w:rFonts w:ascii="Arial" w:cs="Arial" w:eastAsia="Arial" w:hAnsi="Arial"/>
          <w:sz w:val="13"/>
          <w:szCs w:val="13"/>
          <w:color w:val="auto"/>
        </w:rPr>
        <w:t>SARs cliff vest in year five</w:t>
      </w:r>
    </w:p>
    <w:p>
      <w:pPr>
        <w:ind w:left="400" w:hanging="198"/>
        <w:spacing w:after="0" w:line="194" w:lineRule="auto"/>
        <w:tabs>
          <w:tab w:leader="none" w:pos="400" w:val="left"/>
        </w:tabs>
        <w:numPr>
          <w:ilvl w:val="0"/>
          <w:numId w:val="245"/>
        </w:numPr>
        <w:rPr>
          <w:rFonts w:ascii="Arial" w:cs="Arial" w:eastAsia="Arial" w:hAnsi="Arial"/>
          <w:sz w:val="16"/>
          <w:szCs w:val="16"/>
          <w:color w:val="auto"/>
          <w:vertAlign w:val="superscript"/>
        </w:rPr>
      </w:pPr>
      <w:r>
        <w:rPr>
          <w:rFonts w:ascii="Arial" w:cs="Arial" w:eastAsia="Arial" w:hAnsi="Arial"/>
          <w:sz w:val="13"/>
          <w:szCs w:val="13"/>
          <w:color w:val="auto"/>
        </w:rPr>
        <w:t>PSUs vest in five equal installments, in years three, four, five, six and seven including any dividends that are reinvested over the vesting period</w:t>
      </w:r>
    </w:p>
    <w:p>
      <w:pPr>
        <w:ind w:left="400" w:hanging="198"/>
        <w:spacing w:after="0" w:line="193" w:lineRule="auto"/>
        <w:tabs>
          <w:tab w:leader="none" w:pos="400" w:val="left"/>
        </w:tabs>
        <w:numPr>
          <w:ilvl w:val="0"/>
          <w:numId w:val="246"/>
        </w:numPr>
        <w:rPr>
          <w:rFonts w:ascii="Arial" w:cs="Arial" w:eastAsia="Arial" w:hAnsi="Arial"/>
          <w:sz w:val="16"/>
          <w:szCs w:val="16"/>
          <w:color w:val="auto"/>
          <w:vertAlign w:val="superscript"/>
        </w:rPr>
      </w:pPr>
      <w:r>
        <w:rPr>
          <w:rFonts w:ascii="Arial" w:cs="Arial" w:eastAsia="Arial" w:hAnsi="Arial"/>
          <w:sz w:val="13"/>
          <w:szCs w:val="13"/>
          <w:color w:val="auto"/>
        </w:rPr>
        <w:t>PSUs and RSUs vest in five equal installments, in years three, four, five, six and seven</w:t>
      </w:r>
    </w:p>
    <w:p>
      <w:pPr>
        <w:ind w:left="400" w:hanging="198"/>
        <w:spacing w:after="0" w:line="212" w:lineRule="auto"/>
        <w:tabs>
          <w:tab w:leader="none" w:pos="400" w:val="left"/>
        </w:tabs>
        <w:numPr>
          <w:ilvl w:val="0"/>
          <w:numId w:val="247"/>
        </w:numPr>
        <w:rPr>
          <w:rFonts w:ascii="Arial" w:cs="Arial" w:eastAsia="Arial" w:hAnsi="Arial"/>
          <w:sz w:val="16"/>
          <w:szCs w:val="16"/>
          <w:color w:val="auto"/>
          <w:vertAlign w:val="superscript"/>
        </w:rPr>
      </w:pPr>
      <w:r>
        <w:rPr>
          <w:rFonts w:ascii="Arial" w:cs="Arial" w:eastAsia="Arial" w:hAnsi="Arial"/>
          <w:sz w:val="13"/>
          <w:szCs w:val="13"/>
          <w:color w:val="auto"/>
        </w:rPr>
        <w:t>RSUs vest in two equal installments, in years two and three</w:t>
      </w:r>
    </w:p>
    <w:p>
      <w:pPr>
        <w:ind w:left="200" w:hanging="192"/>
        <w:spacing w:after="0" w:line="193" w:lineRule="auto"/>
        <w:tabs>
          <w:tab w:leader="none" w:pos="200" w:val="left"/>
        </w:tabs>
        <w:numPr>
          <w:ilvl w:val="0"/>
          <w:numId w:val="248"/>
        </w:numPr>
        <w:rPr>
          <w:rFonts w:ascii="Arial" w:cs="Arial" w:eastAsia="Arial" w:hAnsi="Arial"/>
          <w:sz w:val="16"/>
          <w:szCs w:val="16"/>
          <w:color w:val="auto"/>
          <w:vertAlign w:val="superscript"/>
        </w:rPr>
      </w:pPr>
      <w:r>
        <w:rPr>
          <w:rFonts w:ascii="Arial" w:cs="Arial" w:eastAsia="Arial" w:hAnsi="Arial"/>
          <w:sz w:val="13"/>
          <w:szCs w:val="13"/>
          <w:color w:val="auto"/>
        </w:rPr>
        <w:t>Value based on $170.10, which was the closing price per share of our common stock on December 29, 2023, the last trading day of the year.</w:t>
      </w:r>
    </w:p>
    <w:p>
      <w:pPr>
        <w:ind w:left="200" w:hanging="192"/>
        <w:spacing w:after="0" w:line="195" w:lineRule="auto"/>
        <w:tabs>
          <w:tab w:leader="none" w:pos="200" w:val="left"/>
        </w:tabs>
        <w:numPr>
          <w:ilvl w:val="0"/>
          <w:numId w:val="249"/>
        </w:numPr>
        <w:rPr>
          <w:rFonts w:ascii="Arial" w:cs="Arial" w:eastAsia="Arial" w:hAnsi="Arial"/>
          <w:sz w:val="16"/>
          <w:szCs w:val="16"/>
          <w:color w:val="auto"/>
          <w:vertAlign w:val="superscript"/>
        </w:rPr>
      </w:pPr>
      <w:r>
        <w:rPr>
          <w:rFonts w:ascii="Arial" w:cs="Arial" w:eastAsia="Arial" w:hAnsi="Arial"/>
          <w:sz w:val="13"/>
          <w:szCs w:val="13"/>
          <w:color w:val="auto"/>
        </w:rPr>
        <w:t>Represents the maximum number of shares that NEOs may receive over the vesting period in connection with PSU awards granted and accumulated reinvested dividend equivalent shares, as</w:t>
      </w:r>
    </w:p>
    <w:p>
      <w:pPr>
        <w:ind w:left="200"/>
        <w:spacing w:after="0" w:line="237" w:lineRule="auto"/>
        <w:rPr>
          <w:sz w:val="20"/>
          <w:szCs w:val="20"/>
          <w:color w:val="auto"/>
        </w:rPr>
      </w:pPr>
      <w:r>
        <w:rPr>
          <w:rFonts w:ascii="Arial" w:cs="Arial" w:eastAsia="Arial" w:hAnsi="Arial"/>
          <w:sz w:val="13"/>
          <w:szCs w:val="13"/>
          <w:color w:val="auto"/>
        </w:rPr>
        <w:t>applicable, as of December 31, 2023.</w:t>
      </w:r>
    </w:p>
    <w:p>
      <w:pPr>
        <w:ind w:left="200" w:hanging="192"/>
        <w:spacing w:after="0" w:line="202" w:lineRule="auto"/>
        <w:tabs>
          <w:tab w:leader="none" w:pos="200" w:val="left"/>
        </w:tabs>
        <w:numPr>
          <w:ilvl w:val="0"/>
          <w:numId w:val="250"/>
        </w:numPr>
        <w:rPr>
          <w:rFonts w:ascii="Arial" w:cs="Arial" w:eastAsia="Arial" w:hAnsi="Arial"/>
          <w:sz w:val="16"/>
          <w:szCs w:val="16"/>
          <w:color w:val="auto"/>
          <w:vertAlign w:val="superscript"/>
        </w:rPr>
      </w:pPr>
      <w:r>
        <w:rPr>
          <w:rFonts w:ascii="Arial" w:cs="Arial" w:eastAsia="Arial" w:hAnsi="Arial"/>
          <w:sz w:val="13"/>
          <w:szCs w:val="13"/>
          <w:color w:val="auto"/>
        </w:rPr>
        <w:t>Represents PSU awards for which the performance period ended on December 31, 2023. The CMDC certified the applicable performance criteria for the PSUs on March 19, 2024; the PSUs</w:t>
      </w:r>
    </w:p>
    <w:p>
      <w:pPr>
        <w:ind w:left="200"/>
        <w:spacing w:after="0" w:line="229" w:lineRule="auto"/>
        <w:rPr>
          <w:sz w:val="20"/>
          <w:szCs w:val="20"/>
          <w:color w:val="auto"/>
        </w:rPr>
      </w:pPr>
      <w:r>
        <w:rPr>
          <w:rFonts w:ascii="Arial" w:cs="Arial" w:eastAsia="Arial" w:hAnsi="Arial"/>
          <w:sz w:val="13"/>
          <w:szCs w:val="13"/>
          <w:color w:val="auto"/>
        </w:rPr>
        <w:t>subsequently vested on March 25, 2024 as noted in the applicable footnotes a and d.</w:t>
      </w:r>
    </w:p>
    <w:p>
      <w:pPr>
        <w:ind w:left="200" w:hanging="192"/>
        <w:spacing w:after="0" w:line="219" w:lineRule="auto"/>
        <w:tabs>
          <w:tab w:leader="none" w:pos="200" w:val="left"/>
        </w:tabs>
        <w:numPr>
          <w:ilvl w:val="0"/>
          <w:numId w:val="251"/>
        </w:numPr>
        <w:rPr>
          <w:rFonts w:ascii="Arial" w:cs="Arial" w:eastAsia="Arial" w:hAnsi="Arial"/>
          <w:sz w:val="16"/>
          <w:szCs w:val="16"/>
          <w:color w:val="auto"/>
          <w:vertAlign w:val="superscript"/>
        </w:rPr>
      </w:pPr>
      <w:r>
        <w:rPr>
          <w:rFonts w:ascii="Arial" w:cs="Arial" w:eastAsia="Arial" w:hAnsi="Arial"/>
          <w:sz w:val="13"/>
          <w:szCs w:val="13"/>
          <w:color w:val="auto"/>
        </w:rPr>
        <w:t>For option awards, this represents the market value of in-the-money SARs; for stock awards it represents the value of unearned PSUs or RSUs that have not vested.</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074A75"/>
        </w:rPr>
        <w:t>IV. 2023 OPTION EXERCISES AND STOCK VESTED TABLE</w:t>
      </w:r>
    </w:p>
    <w:p>
      <w:pPr>
        <w:spacing w:after="0" w:line="12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shows the number of shares acquired and the value realized during 2023 upon the vesting of PSUs and RSUs previously granted to each of the Named Executive Officers. There were no stock options exercised in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460" w:type="dxa"/>
            <w:vAlign w:val="bottom"/>
          </w:tcPr>
          <w:p>
            <w:pPr>
              <w:spacing w:after="0"/>
              <w:rPr>
                <w:sz w:val="19"/>
                <w:szCs w:val="19"/>
                <w:color w:val="auto"/>
              </w:rPr>
            </w:pPr>
          </w:p>
        </w:tc>
        <w:tc>
          <w:tcPr>
            <w:tcW w:w="2780" w:type="dxa"/>
            <w:vAlign w:val="bottom"/>
            <w:tcBorders>
              <w:bottom w:val="single" w:sz="8" w:color="454545"/>
            </w:tcBorders>
            <w:gridSpan w:val="3"/>
          </w:tcPr>
          <w:p>
            <w:pPr>
              <w:jc w:val="right"/>
              <w:ind w:right="819"/>
              <w:spacing w:after="0"/>
              <w:rPr>
                <w:sz w:val="20"/>
                <w:szCs w:val="20"/>
                <w:color w:val="auto"/>
              </w:rPr>
            </w:pPr>
            <w:r>
              <w:rPr>
                <w:rFonts w:ascii="Arial" w:cs="Arial" w:eastAsia="Arial" w:hAnsi="Arial"/>
                <w:sz w:val="16"/>
                <w:szCs w:val="16"/>
                <w:color w:val="auto"/>
              </w:rPr>
              <w:t>Stock awards</w:t>
            </w:r>
          </w:p>
        </w:tc>
      </w:tr>
      <w:tr>
        <w:trPr>
          <w:trHeight w:val="202"/>
        </w:trPr>
        <w:tc>
          <w:tcPr>
            <w:tcW w:w="84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205A85"/>
              </w:rPr>
              <w:t>Number of</w:t>
            </w:r>
          </w:p>
        </w:tc>
        <w:tc>
          <w:tcPr>
            <w:tcW w:w="24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color w:val="205A85"/>
                <w:w w:val="97"/>
              </w:rPr>
              <w:t>Value</w:t>
            </w:r>
          </w:p>
        </w:tc>
      </w:tr>
      <w:tr>
        <w:trPr>
          <w:trHeight w:val="189"/>
        </w:trPr>
        <w:tc>
          <w:tcPr>
            <w:tcW w:w="84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205A85"/>
              </w:rPr>
              <w:t>shares acquired</w:t>
            </w:r>
          </w:p>
        </w:tc>
        <w:tc>
          <w:tcPr>
            <w:tcW w:w="240" w:type="dxa"/>
            <w:vAlign w:val="bottom"/>
          </w:tcPr>
          <w:p>
            <w:pPr>
              <w:spacing w:after="0"/>
              <w:rPr>
                <w:sz w:val="16"/>
                <w:szCs w:val="16"/>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color w:val="205A85"/>
                <w:w w:val="99"/>
              </w:rPr>
              <w:t>realized on</w:t>
            </w:r>
          </w:p>
        </w:tc>
      </w:tr>
      <w:tr>
        <w:trPr>
          <w:trHeight w:val="244"/>
        </w:trPr>
        <w:tc>
          <w:tcPr>
            <w:tcW w:w="846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205A85"/>
              </w:rPr>
              <w:t>Name</w:t>
            </w:r>
          </w:p>
        </w:tc>
        <w:tc>
          <w:tcPr>
            <w:tcW w:w="14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205A85"/>
              </w:rPr>
              <w:t>on vesting (#)</w:t>
            </w:r>
          </w:p>
        </w:tc>
        <w:tc>
          <w:tcPr>
            <w:tcW w:w="240" w:type="dxa"/>
            <w:vAlign w:val="bottom"/>
            <w:tcBorders>
              <w:bottom w:val="single" w:sz="8" w:color="454545"/>
            </w:tcBorders>
          </w:tcPr>
          <w:p>
            <w:pPr>
              <w:spacing w:after="0"/>
              <w:rPr>
                <w:sz w:val="21"/>
                <w:szCs w:val="21"/>
                <w:color w:val="auto"/>
              </w:rPr>
            </w:pPr>
          </w:p>
        </w:tc>
        <w:tc>
          <w:tcPr>
            <w:tcW w:w="1140" w:type="dxa"/>
            <w:vAlign w:val="bottom"/>
            <w:tcBorders>
              <w:bottom w:val="single" w:sz="8" w:color="454545"/>
            </w:tcBorders>
          </w:tcPr>
          <w:p>
            <w:pPr>
              <w:jc w:val="center"/>
              <w:ind w:right="199"/>
              <w:spacing w:after="0"/>
              <w:rPr>
                <w:sz w:val="20"/>
                <w:szCs w:val="20"/>
                <w:color w:val="auto"/>
              </w:rPr>
            </w:pPr>
            <w:r>
              <w:rPr>
                <w:rFonts w:ascii="Arial" w:cs="Arial" w:eastAsia="Arial" w:hAnsi="Arial"/>
                <w:sz w:val="16"/>
                <w:szCs w:val="16"/>
                <w:color w:val="205A85"/>
                <w:w w:val="99"/>
              </w:rPr>
              <w:t>vesting ($)</w:t>
            </w:r>
            <w:r>
              <w:rPr>
                <w:rFonts w:ascii="Arial" w:cs="Arial" w:eastAsia="Arial" w:hAnsi="Arial"/>
                <w:sz w:val="21"/>
                <w:szCs w:val="21"/>
                <w:color w:val="205A85"/>
                <w:w w:val="99"/>
                <w:vertAlign w:val="superscript"/>
              </w:rPr>
              <w:t>1</w:t>
            </w:r>
          </w:p>
        </w:tc>
      </w:tr>
      <w:tr>
        <w:trPr>
          <w:trHeight w:val="233"/>
        </w:trPr>
        <w:tc>
          <w:tcPr>
            <w:tcW w:w="846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298,970</w:t>
            </w:r>
          </w:p>
        </w:tc>
        <w:tc>
          <w:tcPr>
            <w:tcW w:w="2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37,190,388</w:t>
            </w:r>
          </w:p>
        </w:tc>
      </w:tr>
      <w:tr>
        <w:trPr>
          <w:trHeight w:val="237"/>
        </w:trPr>
        <w:tc>
          <w:tcPr>
            <w:tcW w:w="846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135,773</w:t>
            </w:r>
          </w:p>
        </w:tc>
        <w:tc>
          <w:tcPr>
            <w:tcW w:w="24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17,692,945</w:t>
            </w:r>
          </w:p>
        </w:tc>
      </w:tr>
      <w:tr>
        <w:trPr>
          <w:trHeight w:val="236"/>
        </w:trPr>
        <w:tc>
          <w:tcPr>
            <w:tcW w:w="846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116,573</w:t>
            </w:r>
          </w:p>
        </w:tc>
        <w:tc>
          <w:tcPr>
            <w:tcW w:w="24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15,149,003</w:t>
            </w:r>
          </w:p>
        </w:tc>
      </w:tr>
      <w:tr>
        <w:trPr>
          <w:trHeight w:val="237"/>
        </w:trPr>
        <w:tc>
          <w:tcPr>
            <w:tcW w:w="846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Marianne Lake</w:t>
            </w: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84,425</w:t>
            </w:r>
          </w:p>
        </w:tc>
        <w:tc>
          <w:tcPr>
            <w:tcW w:w="24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10,974,735</w:t>
            </w:r>
          </w:p>
        </w:tc>
      </w:tr>
      <w:tr>
        <w:trPr>
          <w:trHeight w:val="237"/>
        </w:trPr>
        <w:tc>
          <w:tcPr>
            <w:tcW w:w="846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Jennifer Piepszak</w:t>
            </w: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55,794</w:t>
            </w:r>
          </w:p>
        </w:tc>
        <w:tc>
          <w:tcPr>
            <w:tcW w:w="24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7,269,634</w:t>
            </w:r>
          </w:p>
        </w:tc>
      </w:tr>
      <w:tr>
        <w:trPr>
          <w:trHeight w:val="236"/>
        </w:trPr>
        <w:tc>
          <w:tcPr>
            <w:tcW w:w="846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Jeremy Barnum</w:t>
            </w:r>
          </w:p>
        </w:tc>
        <w:tc>
          <w:tcPr>
            <w:tcW w:w="14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17,714</w:t>
            </w:r>
          </w:p>
        </w:tc>
        <w:tc>
          <w:tcPr>
            <w:tcW w:w="24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2,464,815</w:t>
            </w:r>
          </w:p>
        </w:tc>
      </w:tr>
    </w:tbl>
    <w:p>
      <w:pPr>
        <w:spacing w:after="0" w:line="153" w:lineRule="exact"/>
        <w:rPr>
          <w:sz w:val="20"/>
          <w:szCs w:val="20"/>
          <w:color w:val="auto"/>
        </w:rPr>
      </w:pPr>
    </w:p>
    <w:p>
      <w:pPr>
        <w:ind w:left="200" w:hanging="192"/>
        <w:spacing w:after="0"/>
        <w:tabs>
          <w:tab w:leader="none" w:pos="200" w:val="left"/>
        </w:tabs>
        <w:numPr>
          <w:ilvl w:val="0"/>
          <w:numId w:val="252"/>
        </w:numPr>
        <w:rPr>
          <w:rFonts w:ascii="Arial" w:cs="Arial" w:eastAsia="Arial" w:hAnsi="Arial"/>
          <w:sz w:val="16"/>
          <w:szCs w:val="16"/>
          <w:color w:val="auto"/>
          <w:vertAlign w:val="superscript"/>
        </w:rPr>
      </w:pPr>
      <w:r>
        <w:rPr>
          <w:rFonts w:ascii="Arial" w:cs="Arial" w:eastAsia="Arial" w:hAnsi="Arial"/>
          <w:sz w:val="13"/>
          <w:szCs w:val="13"/>
          <w:color w:val="auto"/>
        </w:rPr>
        <w:t>Values were determined by multiplying the number of PSUs and RSUs, as applicable, that vested by the per-share fair market value of our common stock on the vesting date.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V. 2023 PENSION BENEFITS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retirement benefits expected to be paid to our Named Executive Officers under the Firm’s retirement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plans are described below the table. No payments were made under these plans during 2023 to our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820" w:type="dxa"/>
            <w:vAlign w:val="bottom"/>
          </w:tcPr>
          <w:p>
            <w:pPr>
              <w:jc w:val="right"/>
              <w:ind w:right="479"/>
              <w:spacing w:after="0"/>
              <w:rPr>
                <w:sz w:val="20"/>
                <w:szCs w:val="20"/>
                <w:color w:val="auto"/>
              </w:rPr>
            </w:pPr>
            <w:r>
              <w:rPr>
                <w:rFonts w:ascii="Arial" w:cs="Arial" w:eastAsia="Arial" w:hAnsi="Arial"/>
                <w:sz w:val="16"/>
                <w:szCs w:val="16"/>
                <w:color w:val="074A75"/>
              </w:rPr>
              <w:t>Number of years of</w:t>
            </w:r>
          </w:p>
        </w:tc>
        <w:tc>
          <w:tcPr>
            <w:tcW w:w="9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074A75"/>
              </w:rPr>
              <w:t>Present value of</w:t>
            </w:r>
          </w:p>
        </w:tc>
      </w:tr>
      <w:tr>
        <w:trPr>
          <w:trHeight w:val="237"/>
        </w:trPr>
        <w:tc>
          <w:tcPr>
            <w:tcW w:w="2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074A75"/>
              </w:rPr>
              <w:t>Plan name</w:t>
            </w:r>
          </w:p>
        </w:tc>
        <w:tc>
          <w:tcPr>
            <w:tcW w:w="2820" w:type="dxa"/>
            <w:vAlign w:val="bottom"/>
            <w:tcBorders>
              <w:bottom w:val="single" w:sz="8" w:color="454545"/>
            </w:tcBorders>
          </w:tcPr>
          <w:p>
            <w:pPr>
              <w:jc w:val="right"/>
              <w:ind w:right="479"/>
              <w:spacing w:after="0"/>
              <w:rPr>
                <w:sz w:val="20"/>
                <w:szCs w:val="20"/>
                <w:color w:val="auto"/>
              </w:rPr>
            </w:pPr>
            <w:r>
              <w:rPr>
                <w:rFonts w:ascii="Arial" w:cs="Arial" w:eastAsia="Arial" w:hAnsi="Arial"/>
                <w:sz w:val="16"/>
                <w:szCs w:val="16"/>
                <w:color w:val="074A75"/>
              </w:rPr>
              <w:t>credited service (#)</w:t>
            </w:r>
          </w:p>
        </w:tc>
        <w:tc>
          <w:tcPr>
            <w:tcW w:w="228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074A75"/>
              </w:rPr>
              <w:t>accumulated benefit ($)</w:t>
            </w:r>
          </w:p>
        </w:tc>
      </w:tr>
      <w:tr>
        <w:trPr>
          <w:trHeight w:val="235"/>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3520" w:type="dxa"/>
            <w:vAlign w:val="bottom"/>
          </w:tcPr>
          <w:p>
            <w:pPr>
              <w:ind w:left="900"/>
              <w:spacing w:after="0"/>
              <w:rPr>
                <w:sz w:val="20"/>
                <w:szCs w:val="20"/>
                <w:color w:val="auto"/>
              </w:rPr>
            </w:pPr>
            <w:r>
              <w:rPr>
                <w:rFonts w:ascii="Arial" w:cs="Arial" w:eastAsia="Arial" w:hAnsi="Arial"/>
                <w:sz w:val="16"/>
                <w:szCs w:val="16"/>
                <w:color w:val="auto"/>
              </w:rPr>
              <w:t>Retirement Plan</w:t>
            </w:r>
          </w:p>
        </w:tc>
        <w:tc>
          <w:tcPr>
            <w:tcW w:w="2820" w:type="dxa"/>
            <w:vAlign w:val="bottom"/>
          </w:tcPr>
          <w:p>
            <w:pPr>
              <w:jc w:val="right"/>
              <w:ind w:right="539"/>
              <w:spacing w:after="0"/>
              <w:rPr>
                <w:sz w:val="20"/>
                <w:szCs w:val="20"/>
                <w:color w:val="auto"/>
              </w:rPr>
            </w:pPr>
            <w:r>
              <w:rPr>
                <w:rFonts w:ascii="Arial" w:cs="Arial" w:eastAsia="Arial" w:hAnsi="Arial"/>
                <w:sz w:val="16"/>
                <w:szCs w:val="16"/>
                <w:color w:val="auto"/>
              </w:rPr>
              <w:t>19</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221,366</w:t>
            </w:r>
          </w:p>
        </w:tc>
      </w:tr>
      <w:tr>
        <w:trPr>
          <w:trHeight w:val="244"/>
        </w:trPr>
        <w:tc>
          <w:tcPr>
            <w:tcW w:w="2620" w:type="dxa"/>
            <w:vAlign w:val="bottom"/>
            <w:tcBorders>
              <w:bottom w:val="single" w:sz="8" w:color="454545"/>
            </w:tcBorders>
          </w:tcPr>
          <w:p>
            <w:pPr>
              <w:spacing w:after="0"/>
              <w:rPr>
                <w:sz w:val="21"/>
                <w:szCs w:val="21"/>
                <w:color w:val="auto"/>
              </w:rPr>
            </w:pP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Excess Retirement Plan</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19</w:t>
            </w:r>
          </w:p>
        </w:tc>
        <w:tc>
          <w:tcPr>
            <w:tcW w:w="960" w:type="dxa"/>
            <w:vAlign w:val="bottom"/>
            <w:tcBorders>
              <w:bottom w:val="single" w:sz="8" w:color="454545"/>
            </w:tcBorders>
          </w:tcPr>
          <w:p>
            <w:pPr>
              <w:spacing w:after="0"/>
              <w:rPr>
                <w:sz w:val="21"/>
                <w:szCs w:val="21"/>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529,288</w:t>
            </w:r>
          </w:p>
        </w:tc>
      </w:tr>
      <w:tr>
        <w:trPr>
          <w:trHeight w:val="239"/>
        </w:trPr>
        <w:tc>
          <w:tcPr>
            <w:tcW w:w="2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54545"/>
            </w:tcBorders>
          </w:tcPr>
          <w:p>
            <w:pPr>
              <w:spacing w:after="0"/>
              <w:rPr>
                <w:sz w:val="20"/>
                <w:szCs w:val="20"/>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3520" w:type="dxa"/>
            <w:vAlign w:val="bottom"/>
          </w:tcPr>
          <w:p>
            <w:pPr>
              <w:ind w:left="900"/>
              <w:spacing w:after="0"/>
              <w:rPr>
                <w:sz w:val="20"/>
                <w:szCs w:val="20"/>
                <w:color w:val="auto"/>
              </w:rPr>
            </w:pPr>
            <w:r>
              <w:rPr>
                <w:rFonts w:ascii="Arial" w:cs="Arial" w:eastAsia="Arial" w:hAnsi="Arial"/>
                <w:sz w:val="16"/>
                <w:szCs w:val="16"/>
                <w:color w:val="auto"/>
              </w:rPr>
              <w:t>Retirement Plan</w:t>
            </w:r>
          </w:p>
        </w:tc>
        <w:tc>
          <w:tcPr>
            <w:tcW w:w="2820" w:type="dxa"/>
            <w:vAlign w:val="bottom"/>
          </w:tcPr>
          <w:p>
            <w:pPr>
              <w:jc w:val="right"/>
              <w:ind w:right="539"/>
              <w:spacing w:after="0"/>
              <w:rPr>
                <w:sz w:val="20"/>
                <w:szCs w:val="20"/>
                <w:color w:val="auto"/>
              </w:rPr>
            </w:pPr>
            <w:r>
              <w:rPr>
                <w:rFonts w:ascii="Arial" w:cs="Arial" w:eastAsia="Arial" w:hAnsi="Arial"/>
                <w:sz w:val="16"/>
                <w:szCs w:val="16"/>
                <w:color w:val="auto"/>
              </w:rPr>
              <w:t>23</w:t>
            </w:r>
          </w:p>
        </w:tc>
        <w:tc>
          <w:tcPr>
            <w:tcW w:w="9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358,128</w:t>
            </w:r>
          </w:p>
        </w:tc>
      </w:tr>
      <w:tr>
        <w:trPr>
          <w:trHeight w:val="244"/>
        </w:trPr>
        <w:tc>
          <w:tcPr>
            <w:tcW w:w="2620" w:type="dxa"/>
            <w:vAlign w:val="bottom"/>
            <w:tcBorders>
              <w:bottom w:val="single" w:sz="8" w:color="454545"/>
            </w:tcBorders>
          </w:tcPr>
          <w:p>
            <w:pPr>
              <w:spacing w:after="0"/>
              <w:rPr>
                <w:sz w:val="21"/>
                <w:szCs w:val="21"/>
                <w:color w:val="auto"/>
              </w:rPr>
            </w:pP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Excess Retirement Plan</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23</w:t>
            </w:r>
          </w:p>
        </w:tc>
        <w:tc>
          <w:tcPr>
            <w:tcW w:w="960" w:type="dxa"/>
            <w:vAlign w:val="bottom"/>
            <w:tcBorders>
              <w:bottom w:val="single" w:sz="8" w:color="454545"/>
            </w:tcBorders>
          </w:tcPr>
          <w:p>
            <w:pPr>
              <w:spacing w:after="0"/>
              <w:rPr>
                <w:sz w:val="21"/>
                <w:szCs w:val="21"/>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32,010</w:t>
            </w:r>
          </w:p>
        </w:tc>
      </w:tr>
      <w:tr>
        <w:trPr>
          <w:trHeight w:val="239"/>
        </w:trPr>
        <w:tc>
          <w:tcPr>
            <w:tcW w:w="2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Marianne Lake</w:t>
            </w: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54545"/>
            </w:tcBorders>
          </w:tcPr>
          <w:p>
            <w:pPr>
              <w:spacing w:after="0"/>
              <w:rPr>
                <w:sz w:val="20"/>
                <w:szCs w:val="20"/>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3520" w:type="dxa"/>
            <w:vAlign w:val="bottom"/>
          </w:tcPr>
          <w:p>
            <w:pPr>
              <w:ind w:left="900"/>
              <w:spacing w:after="0"/>
              <w:rPr>
                <w:sz w:val="20"/>
                <w:szCs w:val="20"/>
                <w:color w:val="auto"/>
              </w:rPr>
            </w:pPr>
            <w:r>
              <w:rPr>
                <w:rFonts w:ascii="Arial" w:cs="Arial" w:eastAsia="Arial" w:hAnsi="Arial"/>
                <w:sz w:val="16"/>
                <w:szCs w:val="16"/>
                <w:color w:val="auto"/>
              </w:rPr>
              <w:t>Retirement Plan</w:t>
            </w:r>
          </w:p>
        </w:tc>
        <w:tc>
          <w:tcPr>
            <w:tcW w:w="2820" w:type="dxa"/>
            <w:vAlign w:val="bottom"/>
          </w:tcPr>
          <w:p>
            <w:pPr>
              <w:jc w:val="right"/>
              <w:ind w:right="539"/>
              <w:spacing w:after="0"/>
              <w:rPr>
                <w:sz w:val="20"/>
                <w:szCs w:val="20"/>
                <w:color w:val="auto"/>
              </w:rPr>
            </w:pPr>
            <w:r>
              <w:rPr>
                <w:rFonts w:ascii="Arial" w:cs="Arial" w:eastAsia="Arial" w:hAnsi="Arial"/>
                <w:sz w:val="16"/>
                <w:szCs w:val="16"/>
                <w:color w:val="auto"/>
              </w:rPr>
              <w:t>25</w:t>
            </w:r>
          </w:p>
        </w:tc>
        <w:tc>
          <w:tcPr>
            <w:tcW w:w="9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277,467</w:t>
            </w:r>
          </w:p>
        </w:tc>
      </w:tr>
      <w:tr>
        <w:trPr>
          <w:trHeight w:val="244"/>
        </w:trPr>
        <w:tc>
          <w:tcPr>
            <w:tcW w:w="2620" w:type="dxa"/>
            <w:vAlign w:val="bottom"/>
            <w:tcBorders>
              <w:bottom w:val="single" w:sz="8" w:color="454545"/>
            </w:tcBorders>
          </w:tcPr>
          <w:p>
            <w:pPr>
              <w:spacing w:after="0"/>
              <w:rPr>
                <w:sz w:val="21"/>
                <w:szCs w:val="21"/>
                <w:color w:val="auto"/>
              </w:rPr>
            </w:pP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Excess Retirement Plan</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25</w:t>
            </w:r>
          </w:p>
        </w:tc>
        <w:tc>
          <w:tcPr>
            <w:tcW w:w="960" w:type="dxa"/>
            <w:vAlign w:val="bottom"/>
            <w:tcBorders>
              <w:bottom w:val="single" w:sz="8" w:color="454545"/>
            </w:tcBorders>
          </w:tcPr>
          <w:p>
            <w:pPr>
              <w:spacing w:after="0"/>
              <w:rPr>
                <w:sz w:val="21"/>
                <w:szCs w:val="21"/>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574</w:t>
            </w:r>
          </w:p>
        </w:tc>
      </w:tr>
      <w:tr>
        <w:trPr>
          <w:trHeight w:val="239"/>
        </w:trPr>
        <w:tc>
          <w:tcPr>
            <w:tcW w:w="2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Jeremy Barnum</w:t>
            </w:r>
          </w:p>
        </w:tc>
        <w:tc>
          <w:tcPr>
            <w:tcW w:w="3520" w:type="dxa"/>
            <w:vAlign w:val="bottom"/>
            <w:tcBorders>
              <w:bottom w:val="single" w:sz="8" w:color="454545"/>
            </w:tcBorders>
          </w:tcPr>
          <w:p>
            <w:pPr>
              <w:ind w:left="900"/>
              <w:spacing w:after="0"/>
              <w:rPr>
                <w:sz w:val="20"/>
                <w:szCs w:val="20"/>
                <w:color w:val="auto"/>
              </w:rPr>
            </w:pPr>
            <w:r>
              <w:rPr>
                <w:rFonts w:ascii="Arial" w:cs="Arial" w:eastAsia="Arial" w:hAnsi="Arial"/>
                <w:sz w:val="16"/>
                <w:szCs w:val="16"/>
                <w:color w:val="auto"/>
              </w:rPr>
              <w:t>Retirement Plan</w:t>
            </w:r>
          </w:p>
        </w:tc>
        <w:tc>
          <w:tcPr>
            <w:tcW w:w="282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auto"/>
              </w:rPr>
              <w:t>23</w:t>
            </w:r>
          </w:p>
        </w:tc>
        <w:tc>
          <w:tcPr>
            <w:tcW w:w="960" w:type="dxa"/>
            <w:vAlign w:val="bottom"/>
            <w:tcBorders>
              <w:bottom w:val="single" w:sz="8" w:color="454545"/>
            </w:tcBorders>
          </w:tcPr>
          <w:p>
            <w:pPr>
              <w:spacing w:after="0"/>
              <w:rPr>
                <w:sz w:val="20"/>
                <w:szCs w:val="20"/>
                <w:color w:val="auto"/>
              </w:rPr>
            </w:pP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216,946</w:t>
            </w:r>
          </w:p>
        </w:tc>
      </w:tr>
    </w:tbl>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Retirement Plan — </w:t>
      </w:r>
      <w:r>
        <w:rPr>
          <w:rFonts w:ascii="Arial" w:cs="Arial" w:eastAsia="Arial" w:hAnsi="Arial"/>
          <w:sz w:val="18"/>
          <w:szCs w:val="18"/>
          <w:color w:val="auto"/>
        </w:rPr>
        <w:t>The JPMorgan Chase Retirement Plan is a qualified noncontributory U.S. defined benefit pension plan that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to most U.S. employees. The Plan was frozen with respect to pay credit contributions, effective January 1, 2020, and frozen with respect to new entrants into the Plan, effective January 1, 2019. Employees became fully vested in the value of their Plan benefits as a result of this change. The years of service listed above are as of the freeze date. The Plan employed a cash balance formula (in the form of pay and interest credits) to determine amounts at retirement. Pay credits ceased effective with the plan freeze. Interest credits, which generally equal the yield on one-year U.S. Treasury bills plus 1% (subject to a minimum of 4.5%), continue to accrue. Account balances include the value of benefits earned under prior heritage company plans, if any. Benefits are payable as an actuarially equivalent lifetime annuity with survivorship rights (if married) or optionally under a variety of other payment forms, including a single-sum distribution.</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 xml:space="preserve">Excess Retirement Plan — </w:t>
      </w:r>
      <w:r>
        <w:rPr>
          <w:rFonts w:ascii="Arial" w:cs="Arial" w:eastAsia="Arial" w:hAnsi="Arial"/>
          <w:sz w:val="18"/>
          <w:szCs w:val="18"/>
          <w:color w:val="auto"/>
        </w:rPr>
        <w:t>Benefits were determined under the same terms and conditions as the Retirement Plan, but reflecting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in excess of IRS limits up to $ 1 million and benefit amounts in excess of IRS limits. Benefits are generally payable in a lump sum in the year following termination. The plan is closed to new participants and accruals under the plan were discontinued as of May 1, 2009.</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Present value of accumulated benefits — </w:t>
      </w:r>
      <w:r>
        <w:rPr>
          <w:rFonts w:ascii="Arial" w:cs="Arial" w:eastAsia="Arial" w:hAnsi="Arial"/>
          <w:sz w:val="18"/>
          <w:szCs w:val="18"/>
          <w:color w:val="auto"/>
        </w:rPr>
        <w:t>The valuation method and all material assumptions used to calculate the amounts above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those reflected in Note 8 to the Firm’s Consolidated Financial Statements in the 2023 Form 10-K on pages 222- 224. Key assumptions include the discount rate (5.35%); interest rates (interest crediting rates of 6.42% for 2024, 5.50% for 2025, and 5.00% thereafter, to project cash balances; 4.12% to convert annuities to lump sums and lump sums to annuities) and mortality rates (for the present value of annuities, the Pri-2012 (white-collar) projected generational mortality table with projection scale MP2021; for lump sums, the UP94 mortality table projected to 2002, with 50%/50% male/female weighting). We assumed benefits would commence at normal retirement date or unreduced retirement date, if earlier. Benefits paid from the Retirement Plan were assumed to be paid either as single-sum distributions (with probability of 85%) or life annuities (with probability of 15%). Benefits from the Excess Retirement Plan are paid as single-sum distributions. No death or other separation from service was assumed prior to retirement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195580</wp:posOffset>
            </wp:positionV>
            <wp:extent cx="27432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67  </w:t>
      </w:r>
      <w:r>
        <w:rPr>
          <w:sz w:val="1"/>
          <w:szCs w:val="1"/>
          <w:color w:val="auto"/>
        </w:rPr>
        <w:drawing>
          <wp:inline distT="0" distB="0" distL="0" distR="0">
            <wp:extent cx="2203450" cy="154305"/>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VI. 2023 NON-QUALIFIED DEFERRED COMPENSATION</w:t>
      </w:r>
    </w:p>
    <w:p>
      <w:pPr>
        <w:spacing w:after="0" w:line="12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Deferred Compensation Plan allows eligible participants to defer their annual cash incentive compensation awards on a before-tax basis up to a maximum of $1 million. A lifetime $10 million cap applies to deferrals of cash made after 2005. No deferral elections have been permitted relative to equity awards since 2006. During 2023, there were no contributions made by the Firm nor contributions made or withdrawals or distributions received by the Named Executive Officers.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4760" w:type="dxa"/>
            <w:vAlign w:val="bottom"/>
          </w:tcPr>
          <w:p>
            <w:pPr>
              <w:jc w:val="center"/>
              <w:ind w:left="2699"/>
              <w:spacing w:after="0"/>
              <w:rPr>
                <w:sz w:val="20"/>
                <w:szCs w:val="20"/>
                <w:color w:val="auto"/>
              </w:rPr>
            </w:pPr>
            <w:r>
              <w:rPr>
                <w:rFonts w:ascii="Arial" w:cs="Arial" w:eastAsia="Arial" w:hAnsi="Arial"/>
                <w:sz w:val="16"/>
                <w:szCs w:val="16"/>
                <w:color w:val="205A85"/>
              </w:rPr>
              <w:t>Aggregate earnings</w:t>
            </w:r>
          </w:p>
        </w:tc>
        <w:tc>
          <w:tcPr>
            <w:tcW w:w="1700" w:type="dxa"/>
            <w:vAlign w:val="bottom"/>
          </w:tcPr>
          <w:p>
            <w:pPr>
              <w:jc w:val="center"/>
              <w:spacing w:after="0"/>
              <w:rPr>
                <w:sz w:val="20"/>
                <w:szCs w:val="20"/>
                <w:color w:val="auto"/>
              </w:rPr>
            </w:pPr>
            <w:r>
              <w:rPr>
                <w:rFonts w:ascii="Arial" w:cs="Arial" w:eastAsia="Arial" w:hAnsi="Arial"/>
                <w:sz w:val="16"/>
                <w:szCs w:val="16"/>
                <w:color w:val="205A85"/>
              </w:rPr>
              <w:t>Aggregate</w:t>
            </w:r>
          </w:p>
        </w:tc>
      </w:tr>
      <w:tr>
        <w:trPr>
          <w:trHeight w:val="189"/>
        </w:trPr>
        <w:tc>
          <w:tcPr>
            <w:tcW w:w="4780" w:type="dxa"/>
            <w:vAlign w:val="bottom"/>
          </w:tcPr>
          <w:p>
            <w:pPr>
              <w:spacing w:after="0"/>
              <w:rPr>
                <w:sz w:val="16"/>
                <w:szCs w:val="16"/>
                <w:color w:val="auto"/>
              </w:rPr>
            </w:pPr>
          </w:p>
        </w:tc>
        <w:tc>
          <w:tcPr>
            <w:tcW w:w="4760" w:type="dxa"/>
            <w:vAlign w:val="bottom"/>
          </w:tcPr>
          <w:p>
            <w:pPr>
              <w:jc w:val="center"/>
              <w:ind w:left="2699"/>
              <w:spacing w:after="0"/>
              <w:rPr>
                <w:sz w:val="20"/>
                <w:szCs w:val="20"/>
                <w:color w:val="auto"/>
              </w:rPr>
            </w:pPr>
            <w:r>
              <w:rPr>
                <w:rFonts w:ascii="Arial" w:cs="Arial" w:eastAsia="Arial" w:hAnsi="Arial"/>
                <w:sz w:val="16"/>
                <w:szCs w:val="16"/>
                <w:color w:val="205A85"/>
              </w:rPr>
              <w:t>(loss) in last</w:t>
            </w:r>
          </w:p>
        </w:tc>
        <w:tc>
          <w:tcPr>
            <w:tcW w:w="1700" w:type="dxa"/>
            <w:vAlign w:val="bottom"/>
          </w:tcPr>
          <w:p>
            <w:pPr>
              <w:jc w:val="center"/>
              <w:spacing w:after="0"/>
              <w:rPr>
                <w:sz w:val="20"/>
                <w:szCs w:val="20"/>
                <w:color w:val="auto"/>
              </w:rPr>
            </w:pPr>
            <w:r>
              <w:rPr>
                <w:rFonts w:ascii="Arial" w:cs="Arial" w:eastAsia="Arial" w:hAnsi="Arial"/>
                <w:sz w:val="16"/>
                <w:szCs w:val="16"/>
                <w:color w:val="205A85"/>
              </w:rPr>
              <w:t>balance at last</w:t>
            </w:r>
          </w:p>
        </w:tc>
      </w:tr>
      <w:tr>
        <w:trPr>
          <w:trHeight w:val="244"/>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4760" w:type="dxa"/>
            <w:vAlign w:val="bottom"/>
            <w:tcBorders>
              <w:bottom w:val="single" w:sz="8" w:color="454545"/>
            </w:tcBorders>
          </w:tcPr>
          <w:p>
            <w:pPr>
              <w:jc w:val="center"/>
              <w:ind w:left="2699"/>
              <w:spacing w:after="0"/>
              <w:rPr>
                <w:sz w:val="20"/>
                <w:szCs w:val="20"/>
                <w:color w:val="auto"/>
              </w:rPr>
            </w:pPr>
            <w:r>
              <w:rPr>
                <w:rFonts w:ascii="Arial" w:cs="Arial" w:eastAsia="Arial" w:hAnsi="Arial"/>
                <w:sz w:val="16"/>
                <w:szCs w:val="16"/>
                <w:color w:val="205A85"/>
                <w:w w:val="98"/>
              </w:rPr>
              <w:t>fiscal year ($)</w:t>
            </w:r>
            <w:r>
              <w:rPr>
                <w:rFonts w:ascii="Arial" w:cs="Arial" w:eastAsia="Arial" w:hAnsi="Arial"/>
                <w:sz w:val="21"/>
                <w:szCs w:val="21"/>
                <w:color w:val="205A85"/>
                <w:w w:val="98"/>
                <w:vertAlign w:val="superscript"/>
              </w:rPr>
              <w:t>1</w:t>
            </w:r>
          </w:p>
        </w:tc>
        <w:tc>
          <w:tcPr>
            <w:tcW w:w="17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205A85"/>
              </w:rPr>
              <w:t>fiscal year–end ($)</w:t>
            </w:r>
          </w:p>
        </w:tc>
      </w:tr>
      <w:tr>
        <w:trPr>
          <w:trHeight w:val="233"/>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  8,268</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162,088</w:t>
            </w:r>
          </w:p>
        </w:tc>
      </w:tr>
      <w:tr>
        <w:trPr>
          <w:trHeight w:val="237"/>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830</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26,448</w:t>
            </w:r>
          </w:p>
        </w:tc>
      </w:tr>
      <w:tr>
        <w:trPr>
          <w:trHeight w:val="237"/>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Marianne Lake</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Jennifer Piepszak</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17</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542</w:t>
            </w:r>
          </w:p>
        </w:tc>
      </w:tr>
      <w:tr>
        <w:trPr>
          <w:trHeight w:val="236"/>
        </w:trPr>
        <w:tc>
          <w:tcPr>
            <w:tcW w:w="47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Jeremy Barnum</w:t>
            </w:r>
          </w:p>
        </w:tc>
        <w:tc>
          <w:tcPr>
            <w:tcW w:w="476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bl>
    <w:p>
      <w:pPr>
        <w:spacing w:after="0" w:line="63" w:lineRule="exact"/>
        <w:rPr>
          <w:sz w:val="20"/>
          <w:szCs w:val="20"/>
          <w:color w:val="auto"/>
        </w:rPr>
      </w:pPr>
    </w:p>
    <w:p>
      <w:pPr>
        <w:ind w:left="200" w:right="80" w:hanging="192"/>
        <w:spacing w:after="0" w:line="253" w:lineRule="auto"/>
        <w:tabs>
          <w:tab w:leader="none" w:pos="200" w:val="left"/>
        </w:tabs>
        <w:numPr>
          <w:ilvl w:val="0"/>
          <w:numId w:val="253"/>
        </w:numPr>
        <w:rPr>
          <w:rFonts w:ascii="Arial" w:cs="Arial" w:eastAsia="Arial" w:hAnsi="Arial"/>
          <w:sz w:val="15"/>
          <w:szCs w:val="15"/>
          <w:color w:val="auto"/>
          <w:vertAlign w:val="superscript"/>
        </w:rPr>
      </w:pPr>
      <w:r>
        <w:rPr>
          <w:rFonts w:ascii="Arial" w:cs="Arial" w:eastAsia="Arial" w:hAnsi="Arial"/>
          <w:sz w:val="12"/>
          <w:szCs w:val="12"/>
          <w:color w:val="auto"/>
        </w:rPr>
        <w:t>The Deferred Compensation Plan allows participants to direct their deferrals among several investment choices, including JPMorgan Chase common stock; an interest income fund based 50% on a weighted average of returns by Hartford Investment Management Company SVA Bond Index Division and 50% by Newport Group designated set of general account life insurance policies owned by JPMorgan Chase; Hartford funds indexed to fixed income, bond, balanced, S&amp;P 500, Russell 2000 and international portfolios; and Hartford investments in Vanguard Variable Insurance Fund high-yield bond, mid-cap and REIT index. In addition, there are balances in deemed investment choices from heritage company plans that are no longer open to new deferrals.</w:t>
      </w:r>
    </w:p>
    <w:p>
      <w:pPr>
        <w:spacing w:after="0" w:line="1" w:lineRule="exact"/>
        <w:rPr>
          <w:rFonts w:ascii="Arial" w:cs="Arial" w:eastAsia="Arial" w:hAnsi="Arial"/>
          <w:sz w:val="15"/>
          <w:szCs w:val="15"/>
          <w:color w:val="auto"/>
          <w:vertAlign w:val="superscript"/>
        </w:rPr>
      </w:pPr>
    </w:p>
    <w:p>
      <w:pPr>
        <w:ind w:left="200" w:right="280"/>
        <w:spacing w:after="0" w:line="241" w:lineRule="auto"/>
        <w:rPr>
          <w:rFonts w:ascii="Arial" w:cs="Arial" w:eastAsia="Arial" w:hAnsi="Arial"/>
          <w:sz w:val="15"/>
          <w:szCs w:val="15"/>
          <w:color w:val="auto"/>
          <w:vertAlign w:val="superscript"/>
        </w:rPr>
      </w:pPr>
      <w:r>
        <w:rPr>
          <w:rFonts w:ascii="Arial" w:cs="Arial" w:eastAsia="Arial" w:hAnsi="Arial"/>
          <w:sz w:val="13"/>
          <w:szCs w:val="13"/>
          <w:color w:val="auto"/>
        </w:rPr>
        <w:t>Investment returns in 2023 for the following investment choices were: Short-Term Fixed Income, 6.49%; Interest Income, 3.24%; Barclays Capital U.S. Aggregate Bond Index, 5.57%; High-Yield, 11.51%; Balanced Portfolio, 15.58%; S&amp;P 500 Index, 26.23%; Mid-Cap Index, 15.83%; Russell 2000 Index, 16.82%; REIT Index, 11.70%; International, 14.65%; and JPMorgan Chase common stock, including dividend equivalents, 30.63%.</w:t>
      </w:r>
    </w:p>
    <w:p>
      <w:pPr>
        <w:ind w:left="200" w:right="40"/>
        <w:spacing w:after="0" w:line="244" w:lineRule="auto"/>
        <w:rPr>
          <w:rFonts w:ascii="Arial" w:cs="Arial" w:eastAsia="Arial" w:hAnsi="Arial"/>
          <w:sz w:val="15"/>
          <w:szCs w:val="15"/>
          <w:color w:val="auto"/>
          <w:vertAlign w:val="superscript"/>
        </w:rPr>
      </w:pPr>
      <w:r>
        <w:rPr>
          <w:rFonts w:ascii="Arial" w:cs="Arial" w:eastAsia="Arial" w:hAnsi="Arial"/>
          <w:sz w:val="13"/>
          <w:szCs w:val="13"/>
          <w:color w:val="auto"/>
        </w:rPr>
        <w:t>Beginning with deferrals credited January 2005 under the Deferred Compensation Plan, participants were required to elect to receive distribution of the deferral balance beginning either following retirement or termination or in a specific year but no earlier than the second anniversary of the date the deferral would otherwise have been paid. If retirement or termination were elected, payments will commence during the calendar year following retirement or termination. Participants may elect the distribution to be lump sum or annual installments for a maximum of 15 years. With respect to deferrals made after December 31, 2004, under the Deferred Compensation Plan, account balances are automatically paid as a lump sum in the year following termination if employment terminates prior to the participant attaining 15 years of service. With respect to deferrals made after December 31, 2017, account balances are automatically paid as a lump sum in the year following termination if employment terminates prior to the participant attaining 5 years of service.</w:t>
      </w:r>
    </w:p>
    <w:p>
      <w:pPr>
        <w:ind w:left="200" w:right="220"/>
        <w:spacing w:after="0" w:line="242" w:lineRule="auto"/>
        <w:rPr>
          <w:rFonts w:ascii="Arial" w:cs="Arial" w:eastAsia="Arial" w:hAnsi="Arial"/>
          <w:sz w:val="15"/>
          <w:szCs w:val="15"/>
          <w:color w:val="auto"/>
          <w:vertAlign w:val="superscript"/>
        </w:rPr>
      </w:pPr>
      <w:r>
        <w:rPr>
          <w:rFonts w:ascii="Arial" w:cs="Arial" w:eastAsia="Arial" w:hAnsi="Arial"/>
          <w:sz w:val="13"/>
          <w:szCs w:val="13"/>
          <w:color w:val="auto"/>
        </w:rPr>
        <w:t>The Supplemental Savings and Investment Plan (“SSIP”) is a heritage plan applicable to former Bank One employees which is closed to new participants and does not permit new deferrals. It functions similarly to the Deferred Compensation Plan. The investment return in 2023 for the following investment choice was: Short-Term Fixed Income, 5.38%. With respect to the SSIP, account balances are automatically paid as a lump sum in the year following termination unless an installment option is elected prior to termination of employment.</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VII. 2023 POTENTIAL PAYMENTS UPON TERMINATION OR CHANGE IN CONTROL</w:t>
      </w:r>
    </w:p>
    <w:p>
      <w:pPr>
        <w:spacing w:after="0" w:line="12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believe our pay practices relating to termination events, summarized below, illustrate our commitment to sound corporate governance, are consistent with best practices and are aligned with the interests of shareholders.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POLICIES ALIGNED WITH SHAREHOLDER INTERESTS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360" w:type="dxa"/>
            <w:vAlign w:val="bottom"/>
            <w:shd w:val="clear" w:color="auto" w:fill="EEEFEF"/>
          </w:tcPr>
          <w:p>
            <w:pPr>
              <w:ind w:left="20"/>
              <w:spacing w:after="0"/>
              <w:rPr>
                <w:sz w:val="20"/>
                <w:szCs w:val="20"/>
                <w:color w:val="auto"/>
              </w:rPr>
            </w:pPr>
            <w:r>
              <w:rPr>
                <w:rFonts w:ascii="Arial" w:cs="Arial" w:eastAsia="Arial" w:hAnsi="Arial"/>
                <w:sz w:val="18"/>
                <w:szCs w:val="18"/>
                <w:color w:val="auto"/>
              </w:rPr>
              <w:t>No golden parachute agreements</w:t>
            </w:r>
          </w:p>
        </w:tc>
        <w:tc>
          <w:tcPr>
            <w:tcW w:w="7880" w:type="dxa"/>
            <w:vAlign w:val="bottom"/>
            <w:shd w:val="clear" w:color="auto" w:fill="EEEFEF"/>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NEOs are not entitled to any accelerated cash/equity payments or special benefits upon a</w:t>
            </w:r>
          </w:p>
        </w:tc>
      </w:tr>
      <w:tr>
        <w:trPr>
          <w:trHeight w:val="239"/>
        </w:trPr>
        <w:tc>
          <w:tcPr>
            <w:tcW w:w="3360" w:type="dxa"/>
            <w:vAlign w:val="bottom"/>
            <w:shd w:val="clear" w:color="auto" w:fill="EEEFEF"/>
          </w:tcPr>
          <w:p>
            <w:pPr>
              <w:spacing w:after="0"/>
              <w:rPr>
                <w:sz w:val="20"/>
                <w:szCs w:val="20"/>
                <w:color w:val="auto"/>
              </w:rPr>
            </w:pPr>
          </w:p>
        </w:tc>
        <w:tc>
          <w:tcPr>
            <w:tcW w:w="7880" w:type="dxa"/>
            <w:vAlign w:val="bottom"/>
            <w:shd w:val="clear" w:color="auto" w:fill="EEEFEF"/>
          </w:tcPr>
          <w:p>
            <w:pPr>
              <w:ind w:left="220"/>
              <w:spacing w:after="0"/>
              <w:rPr>
                <w:sz w:val="20"/>
                <w:szCs w:val="20"/>
                <w:color w:val="auto"/>
              </w:rPr>
            </w:pPr>
            <w:r>
              <w:rPr>
                <w:rFonts w:ascii="Arial" w:cs="Arial" w:eastAsia="Arial" w:hAnsi="Arial"/>
                <w:sz w:val="18"/>
                <w:szCs w:val="18"/>
                <w:color w:val="auto"/>
              </w:rPr>
              <w:t>change in control</w:t>
            </w:r>
          </w:p>
        </w:tc>
      </w:tr>
      <w:tr>
        <w:trPr>
          <w:trHeight w:val="77"/>
        </w:trPr>
        <w:tc>
          <w:tcPr>
            <w:tcW w:w="3360" w:type="dxa"/>
            <w:vAlign w:val="bottom"/>
            <w:shd w:val="clear" w:color="auto" w:fill="EEEFEF"/>
          </w:tcPr>
          <w:p>
            <w:pPr>
              <w:spacing w:after="0"/>
              <w:rPr>
                <w:sz w:val="6"/>
                <w:szCs w:val="6"/>
                <w:color w:val="auto"/>
              </w:rPr>
            </w:pPr>
          </w:p>
        </w:tc>
        <w:tc>
          <w:tcPr>
            <w:tcW w:w="7880" w:type="dxa"/>
            <w:vAlign w:val="bottom"/>
            <w:shd w:val="clear" w:color="auto" w:fill="EEEFEF"/>
          </w:tcPr>
          <w:p>
            <w:pPr>
              <w:spacing w:after="0"/>
              <w:rPr>
                <w:sz w:val="6"/>
                <w:szCs w:val="6"/>
                <w:color w:val="auto"/>
              </w:rPr>
            </w:pPr>
          </w:p>
        </w:tc>
      </w:tr>
      <w:tr>
        <w:trPr>
          <w:trHeight w:val="292"/>
        </w:trPr>
        <w:tc>
          <w:tcPr>
            <w:tcW w:w="3360" w:type="dxa"/>
            <w:vAlign w:val="bottom"/>
          </w:tcPr>
          <w:p>
            <w:pPr>
              <w:ind w:left="20"/>
              <w:spacing w:after="0"/>
              <w:rPr>
                <w:sz w:val="20"/>
                <w:szCs w:val="20"/>
                <w:color w:val="auto"/>
              </w:rPr>
            </w:pPr>
            <w:r>
              <w:rPr>
                <w:rFonts w:ascii="Arial" w:cs="Arial" w:eastAsia="Arial" w:hAnsi="Arial"/>
                <w:sz w:val="18"/>
                <w:szCs w:val="18"/>
                <w:color w:val="auto"/>
              </w:rPr>
              <w:t>No employment agreements</w:t>
            </w: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All of the U.S. based NEOs are “at will” employees and are not covered by employment</w:t>
            </w:r>
          </w:p>
        </w:tc>
      </w:tr>
      <w:tr>
        <w:trPr>
          <w:trHeight w:val="230"/>
        </w:trPr>
        <w:tc>
          <w:tcPr>
            <w:tcW w:w="3360" w:type="dxa"/>
            <w:vAlign w:val="bottom"/>
          </w:tcPr>
          <w:p>
            <w:pPr>
              <w:spacing w:after="0"/>
              <w:rPr>
                <w:sz w:val="19"/>
                <w:szCs w:val="19"/>
                <w:color w:val="auto"/>
              </w:rPr>
            </w:pPr>
          </w:p>
        </w:tc>
        <w:tc>
          <w:tcPr>
            <w:tcW w:w="7880" w:type="dxa"/>
            <w:vAlign w:val="bottom"/>
          </w:tcPr>
          <w:p>
            <w:pPr>
              <w:ind w:left="220"/>
              <w:spacing w:after="0"/>
              <w:rPr>
                <w:sz w:val="20"/>
                <w:szCs w:val="20"/>
                <w:color w:val="auto"/>
              </w:rPr>
            </w:pPr>
            <w:r>
              <w:rPr>
                <w:rFonts w:ascii="Arial" w:cs="Arial" w:eastAsia="Arial" w:hAnsi="Arial"/>
                <w:sz w:val="18"/>
                <w:szCs w:val="18"/>
                <w:color w:val="auto"/>
              </w:rPr>
              <w:t>agreements</w:t>
            </w:r>
          </w:p>
        </w:tc>
      </w:tr>
      <w:tr>
        <w:trPr>
          <w:trHeight w:val="239"/>
        </w:trPr>
        <w:tc>
          <w:tcPr>
            <w:tcW w:w="336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Ms. Lake's terms of employment reflect applicable U.K. legal standards</w:t>
            </w:r>
          </w:p>
        </w:tc>
      </w:tr>
      <w:tr>
        <w:trPr>
          <w:trHeight w:val="104"/>
        </w:trPr>
        <w:tc>
          <w:tcPr>
            <w:tcW w:w="3360" w:type="dxa"/>
            <w:vAlign w:val="bottom"/>
          </w:tcPr>
          <w:p>
            <w:pPr>
              <w:spacing w:after="0"/>
              <w:rPr>
                <w:sz w:val="9"/>
                <w:szCs w:val="9"/>
                <w:color w:val="auto"/>
              </w:rPr>
            </w:pPr>
          </w:p>
        </w:tc>
        <w:tc>
          <w:tcPr>
            <w:tcW w:w="7880" w:type="dxa"/>
            <w:vAlign w:val="bottom"/>
          </w:tcPr>
          <w:p>
            <w:pPr>
              <w:spacing w:after="0"/>
              <w:rPr>
                <w:sz w:val="9"/>
                <w:szCs w:val="9"/>
                <w:color w:val="auto"/>
              </w:rPr>
            </w:pPr>
          </w:p>
        </w:tc>
      </w:tr>
      <w:tr>
        <w:trPr>
          <w:trHeight w:val="278"/>
        </w:trPr>
        <w:tc>
          <w:tcPr>
            <w:tcW w:w="3360" w:type="dxa"/>
            <w:vAlign w:val="bottom"/>
            <w:shd w:val="clear" w:color="auto" w:fill="EEEFEF"/>
          </w:tcPr>
          <w:p>
            <w:pPr>
              <w:ind w:left="20"/>
              <w:spacing w:after="0"/>
              <w:rPr>
                <w:sz w:val="20"/>
                <w:szCs w:val="20"/>
                <w:color w:val="auto"/>
              </w:rPr>
            </w:pPr>
            <w:r>
              <w:rPr>
                <w:rFonts w:ascii="Arial" w:cs="Arial" w:eastAsia="Arial" w:hAnsi="Arial"/>
                <w:sz w:val="18"/>
                <w:szCs w:val="18"/>
                <w:color w:val="auto"/>
              </w:rPr>
              <w:t>No special cash severance</w:t>
            </w:r>
          </w:p>
        </w:tc>
        <w:tc>
          <w:tcPr>
            <w:tcW w:w="7880" w:type="dxa"/>
            <w:vAlign w:val="bottom"/>
            <w:shd w:val="clear" w:color="auto" w:fill="EEEFEF"/>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Severance amounts for NEOs are capped at one-year salary, not to exceed $400,000 (or</w:t>
            </w:r>
          </w:p>
        </w:tc>
      </w:tr>
      <w:tr>
        <w:trPr>
          <w:trHeight w:val="239"/>
        </w:trPr>
        <w:tc>
          <w:tcPr>
            <w:tcW w:w="3360" w:type="dxa"/>
            <w:vAlign w:val="bottom"/>
            <w:shd w:val="clear" w:color="auto" w:fill="EEEFEF"/>
          </w:tcPr>
          <w:p>
            <w:pPr>
              <w:spacing w:after="0"/>
              <w:rPr>
                <w:sz w:val="20"/>
                <w:szCs w:val="20"/>
                <w:color w:val="auto"/>
              </w:rPr>
            </w:pPr>
          </w:p>
        </w:tc>
        <w:tc>
          <w:tcPr>
            <w:tcW w:w="7880" w:type="dxa"/>
            <w:vAlign w:val="bottom"/>
            <w:shd w:val="clear" w:color="auto" w:fill="EEEFEF"/>
          </w:tcPr>
          <w:p>
            <w:pPr>
              <w:ind w:left="220"/>
              <w:spacing w:after="0"/>
              <w:rPr>
                <w:sz w:val="20"/>
                <w:szCs w:val="20"/>
                <w:color w:val="auto"/>
              </w:rPr>
            </w:pPr>
            <w:r>
              <w:rPr>
                <w:rFonts w:ascii="Arial" w:cs="Arial" w:eastAsia="Arial" w:hAnsi="Arial"/>
                <w:sz w:val="18"/>
                <w:szCs w:val="18"/>
                <w:color w:val="auto"/>
              </w:rPr>
              <w:t>£275,000 in the case of Ms. Lake)</w:t>
            </w:r>
          </w:p>
        </w:tc>
      </w:tr>
      <w:tr>
        <w:trPr>
          <w:trHeight w:val="77"/>
        </w:trPr>
        <w:tc>
          <w:tcPr>
            <w:tcW w:w="3360" w:type="dxa"/>
            <w:vAlign w:val="bottom"/>
            <w:shd w:val="clear" w:color="auto" w:fill="EEEFEF"/>
          </w:tcPr>
          <w:p>
            <w:pPr>
              <w:spacing w:after="0"/>
              <w:rPr>
                <w:sz w:val="6"/>
                <w:szCs w:val="6"/>
                <w:color w:val="auto"/>
              </w:rPr>
            </w:pPr>
          </w:p>
        </w:tc>
        <w:tc>
          <w:tcPr>
            <w:tcW w:w="7880" w:type="dxa"/>
            <w:vAlign w:val="bottom"/>
            <w:shd w:val="clear" w:color="auto" w:fill="EEEFEF"/>
          </w:tcPr>
          <w:p>
            <w:pPr>
              <w:spacing w:after="0"/>
              <w:rPr>
                <w:sz w:val="6"/>
                <w:szCs w:val="6"/>
                <w:color w:val="auto"/>
              </w:rPr>
            </w:pPr>
          </w:p>
        </w:tc>
      </w:tr>
      <w:tr>
        <w:trPr>
          <w:trHeight w:val="301"/>
        </w:trPr>
        <w:tc>
          <w:tcPr>
            <w:tcW w:w="3360" w:type="dxa"/>
            <w:vAlign w:val="bottom"/>
          </w:tcPr>
          <w:p>
            <w:pPr>
              <w:ind w:left="20"/>
              <w:spacing w:after="0"/>
              <w:rPr>
                <w:sz w:val="20"/>
                <w:szCs w:val="20"/>
                <w:color w:val="auto"/>
              </w:rPr>
            </w:pPr>
            <w:r>
              <w:rPr>
                <w:rFonts w:ascii="Arial" w:cs="Arial" w:eastAsia="Arial" w:hAnsi="Arial"/>
                <w:sz w:val="18"/>
                <w:szCs w:val="18"/>
                <w:color w:val="auto"/>
              </w:rPr>
              <w:t>No special executive benefits</w:t>
            </w: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NEOs are not entitled to any special benefits upon termination</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broad-based severance</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Dimon, Mr. Pinto, Ms. Erdoes, Ms. Piepszak and Mr. Barnum are covered under the Firm’s broad-based U.S. Severance Pay Plan. Benefits under the U.S. Severance Pay Plan are based on an employee’s base salary and length of service on termination of employment. Employees remain eligible for coverage at active employee rates under certain of the Firm’s employee welfare plans (such as medical and dental) for up to six months after their employment terminates. Ms. Lake is covered under the Firm’s U.K. Discretionary Redundancy Policy, which provides for a lump sum payment on termination based on base salary and length of service and subject to a cap of £275,000. In addition, in the event of termination by the Firm for reasons other than cause, employees may be considered, at the discretion of the Firm, for a cash payment in lieu of an annual incentive compensation award, taking into consideration all circumstances the Firm deems relevant, including the circumstances of the employee’s leaving and the employee’s contributions to the Firm over his or her career. Severance benefits and any such discretionary payment are subject to execution of a release in favor of the Firm and certain post-termination restrictions.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table on the following page sets forth the benefits and compensation which the Named Executive Officers would have received if their employment had terminated on December 31, 2023. The amounts shown in the table on the following page do not include other payments and benefits available generally to salaried employees upon termination of employment, such as accrued vacation pay, distributions from the 401(k) Savings Plan, pension and deferred compensation plans, or any death, disability or post retirement welfare benefits available under broad-based employee plans. For information on the pension and deferred compensation plans, see “Table V: 2023 Pension benefits” on page 67 and “Table VI: 2023 Non-qualified deferred compensation” on page 68. Such tables also do not show the value of vested SARs, which would be listed in “Table III: Outstanding equity awards at fiscal year-end 2023” on pages 65 and 66; however, there were no vested SARs outstanding on December 31, 2023.</w:t>
      </w:r>
    </w:p>
    <w:p>
      <w:pPr>
        <w:spacing w:after="0" w:line="7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NEOs are not entitled to any additional equity awards in connection with a potential termination. Rather, under certain termination scenarios including disability, death, termination without cause, or resignation (if full-career eligible), NEOs’ outstanding equity awards continue to vest in accordance with their terms (or accelerate in the event of death). The table on the following page shows the value of these unvested RSUs, PSUs and SARs based on the closing price of our common stock on December 29,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Office provision</w:t>
      </w:r>
    </w:p>
    <w:p>
      <w:pPr>
        <w:spacing w:after="0" w:line="11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Employees with applicable awards, including NEOs, are covered under the Firm’s Government Office provision which allows for continued vesting of equity awards if the employee resigns to accept a covered government office. For such employees who are full-career eligible, outstanding performance year awards continue to vest in accordance with their terms whether they leave the Firm to enter government service or otherwise, so, for these awards, the Government Office provision does not provide any benefit to employees who are full-career eligible. All NEOs meet the full-career eligibility provision of their applicable awards.</w:t>
      </w:r>
      <w:r>
        <w:rPr>
          <w:rFonts w:ascii="Arial" w:cs="Arial" w:eastAsia="Arial" w:hAnsi="Arial"/>
          <w:sz w:val="23"/>
          <w:szCs w:val="23"/>
          <w:color w:val="auto"/>
          <w:vertAlign w:val="superscript"/>
        </w:rPr>
        <w:t>1</w:t>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employees who are not full-career eligible, and for awards that do not have full career eligibility provisions, the value of awards that would continue to vest as a result of the Government Office provision of our equity plan would equal a percentage of the unvested stock awards ranging from 0% prior to three years of employment by the Firm to 50% after three years of employment increasing to 100% after five years.</w:t>
      </w:r>
    </w:p>
    <w:p>
      <w:pPr>
        <w:spacing w:after="0" w:line="396" w:lineRule="exact"/>
        <w:rPr>
          <w:sz w:val="20"/>
          <w:szCs w:val="20"/>
          <w:color w:val="auto"/>
        </w:rPr>
      </w:pPr>
    </w:p>
    <w:p>
      <w:pPr>
        <w:ind w:left="200" w:hanging="192"/>
        <w:spacing w:after="0"/>
        <w:tabs>
          <w:tab w:leader="none" w:pos="200" w:val="left"/>
        </w:tabs>
        <w:numPr>
          <w:ilvl w:val="0"/>
          <w:numId w:val="254"/>
        </w:numPr>
        <w:rPr>
          <w:rFonts w:ascii="Arial" w:cs="Arial" w:eastAsia="Arial" w:hAnsi="Arial"/>
          <w:sz w:val="16"/>
          <w:szCs w:val="16"/>
          <w:color w:val="auto"/>
          <w:vertAlign w:val="superscript"/>
        </w:rPr>
      </w:pPr>
      <w:r>
        <w:rPr>
          <w:rFonts w:ascii="Arial" w:cs="Arial" w:eastAsia="Arial" w:hAnsi="Arial"/>
          <w:sz w:val="13"/>
          <w:szCs w:val="13"/>
          <w:color w:val="auto"/>
        </w:rPr>
        <w:t>Refer to Notes 3 and 6 on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69  </w:t>
      </w:r>
      <w:r>
        <w:rPr>
          <w:sz w:val="1"/>
          <w:szCs w:val="1"/>
          <w:color w:val="auto"/>
        </w:rPr>
        <w:drawing>
          <wp:inline distT="0" distB="0" distL="0" distR="0">
            <wp:extent cx="2203450" cy="154305"/>
            <wp:effectExtent l="0" t="0" r="0"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color w:val="auto"/>
        </w:rPr>
        <w:t>The Firm’s Government Office provision allows for accelerated vesting of the awards otherwise eligible for continued vesting, as described above, only if government ethics or conflicts of interest laws require divestiture of unvested awards and do not allow continued vesting.</w:t>
      </w:r>
    </w:p>
    <w:p>
      <w:pPr>
        <w:spacing w:after="0" w:line="2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Notwithstanding acceleration of any awards, the former employee remains subject to the applicable terms of the award agreement as if the award had remained outstanding for the duration of the original vesting period, including the clawback provisions and post-employment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Any awards not eligible for continued vesting under the terms of the plan are forfeited and they do not accelerate.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2023, no current or former OC member received any benefits under the Government Office provision.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POTENTIAL PAYMENTS UPON TERMINATION OR CHANGE IN CONTROL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0" w:type="dxa"/>
            <w:vAlign w:val="bottom"/>
            <w:tcBorders>
              <w:bottom w:val="single" w:sz="8" w:color="454545"/>
            </w:tcBorders>
          </w:tcPr>
          <w:p>
            <w:pPr>
              <w:spacing w:after="0"/>
              <w:rPr>
                <w:sz w:val="22"/>
                <w:szCs w:val="22"/>
                <w:color w:val="auto"/>
              </w:rPr>
            </w:pPr>
          </w:p>
        </w:tc>
        <w:tc>
          <w:tcPr>
            <w:tcW w:w="1220" w:type="dxa"/>
            <w:vAlign w:val="bottom"/>
            <w:tcBorders>
              <w:bottom w:val="single" w:sz="8" w:color="454545"/>
            </w:tcBorders>
          </w:tcPr>
          <w:p>
            <w:pPr>
              <w:spacing w:after="0"/>
              <w:rPr>
                <w:sz w:val="22"/>
                <w:szCs w:val="22"/>
                <w:color w:val="auto"/>
              </w:rPr>
            </w:pPr>
          </w:p>
        </w:tc>
        <w:tc>
          <w:tcPr>
            <w:tcW w:w="180" w:type="dxa"/>
            <w:vAlign w:val="bottom"/>
            <w:tcBorders>
              <w:bottom w:val="single" w:sz="8" w:color="454545"/>
            </w:tcBorders>
          </w:tcPr>
          <w:p>
            <w:pPr>
              <w:spacing w:after="0"/>
              <w:rPr>
                <w:sz w:val="22"/>
                <w:szCs w:val="22"/>
                <w:color w:val="auto"/>
              </w:rPr>
            </w:pPr>
          </w:p>
        </w:tc>
        <w:tc>
          <w:tcPr>
            <w:tcW w:w="1420" w:type="dxa"/>
            <w:vAlign w:val="bottom"/>
            <w:tcBorders>
              <w:bottom w:val="single" w:sz="8" w:color="454545"/>
            </w:tcBorders>
          </w:tcPr>
          <w:p>
            <w:pPr>
              <w:spacing w:after="0"/>
              <w:rPr>
                <w:sz w:val="22"/>
                <w:szCs w:val="22"/>
                <w:color w:val="auto"/>
              </w:rPr>
            </w:pPr>
          </w:p>
        </w:tc>
        <w:tc>
          <w:tcPr>
            <w:tcW w:w="2500" w:type="dxa"/>
            <w:vAlign w:val="bottom"/>
            <w:tcBorders>
              <w:bottom w:val="single" w:sz="8" w:color="454545"/>
            </w:tcBorders>
            <w:gridSpan w:val="2"/>
          </w:tcPr>
          <w:p>
            <w:pPr>
              <w:jc w:val="right"/>
              <w:ind w:right="899"/>
              <w:spacing w:after="0"/>
              <w:rPr>
                <w:sz w:val="20"/>
                <w:szCs w:val="20"/>
                <w:color w:val="auto"/>
              </w:rPr>
            </w:pPr>
            <w:r>
              <w:rPr>
                <w:rFonts w:ascii="Arial" w:cs="Arial" w:eastAsia="Arial" w:hAnsi="Arial"/>
                <w:sz w:val="16"/>
                <w:szCs w:val="16"/>
                <w:color w:val="auto"/>
              </w:rPr>
              <w:t>Termination reason</w:t>
            </w:r>
            <w:r>
              <w:rPr>
                <w:rFonts w:ascii="Arial" w:cs="Arial" w:eastAsia="Arial" w:hAnsi="Arial"/>
                <w:sz w:val="21"/>
                <w:szCs w:val="21"/>
                <w:color w:val="auto"/>
                <w:vertAlign w:val="superscript"/>
              </w:rPr>
              <w:t>1</w:t>
            </w:r>
          </w:p>
        </w:tc>
        <w:tc>
          <w:tcPr>
            <w:tcW w:w="200" w:type="dxa"/>
            <w:vAlign w:val="bottom"/>
            <w:tcBorders>
              <w:bottom w:val="single" w:sz="8" w:color="454545"/>
            </w:tcBorders>
          </w:tcPr>
          <w:p>
            <w:pPr>
              <w:spacing w:after="0"/>
              <w:rPr>
                <w:sz w:val="22"/>
                <w:szCs w:val="22"/>
                <w:color w:val="auto"/>
              </w:rPr>
            </w:pPr>
          </w:p>
        </w:tc>
        <w:tc>
          <w:tcPr>
            <w:tcW w:w="1120" w:type="dxa"/>
            <w:vAlign w:val="bottom"/>
            <w:tcBorders>
              <w:bottom w:val="single" w:sz="8" w:color="454545"/>
            </w:tcBorders>
          </w:tcPr>
          <w:p>
            <w:pPr>
              <w:spacing w:after="0"/>
              <w:rPr>
                <w:sz w:val="22"/>
                <w:szCs w:val="22"/>
                <w:color w:val="auto"/>
              </w:rPr>
            </w:pPr>
          </w:p>
        </w:tc>
        <w:tc>
          <w:tcPr>
            <w:tcW w:w="360" w:type="dxa"/>
            <w:vAlign w:val="bottom"/>
            <w:tcBorders>
              <w:bottom w:val="single" w:sz="8" w:color="454545"/>
            </w:tcBorders>
          </w:tcPr>
          <w:p>
            <w:pPr>
              <w:spacing w:after="0"/>
              <w:rPr>
                <w:sz w:val="22"/>
                <w:szCs w:val="22"/>
                <w:color w:val="auto"/>
              </w:rPr>
            </w:pPr>
          </w:p>
        </w:tc>
        <w:tc>
          <w:tcPr>
            <w:tcW w:w="460" w:type="dxa"/>
            <w:vAlign w:val="bottom"/>
            <w:tcBorders>
              <w:bottom w:val="single" w:sz="8" w:color="454545"/>
            </w:tcBorders>
          </w:tcPr>
          <w:p>
            <w:pPr>
              <w:spacing w:after="0"/>
              <w:rPr>
                <w:sz w:val="22"/>
                <w:szCs w:val="22"/>
                <w:color w:val="auto"/>
              </w:rPr>
            </w:pPr>
          </w:p>
        </w:tc>
      </w:tr>
      <w:tr>
        <w:trPr>
          <w:trHeight w:val="195"/>
        </w:trPr>
        <w:tc>
          <w:tcPr>
            <w:tcW w:w="18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0" w:type="dxa"/>
            <w:vAlign w:val="bottom"/>
            <w:gridSpan w:val="2"/>
          </w:tcPr>
          <w:p>
            <w:pPr>
              <w:jc w:val="center"/>
              <w:ind w:right="199"/>
              <w:spacing w:after="0"/>
              <w:rPr>
                <w:sz w:val="20"/>
                <w:szCs w:val="20"/>
                <w:color w:val="auto"/>
              </w:rPr>
            </w:pPr>
            <w:r>
              <w:rPr>
                <w:rFonts w:ascii="Arial" w:cs="Arial" w:eastAsia="Arial" w:hAnsi="Arial"/>
                <w:sz w:val="16"/>
                <w:szCs w:val="16"/>
                <w:color w:val="205A85"/>
                <w:w w:val="99"/>
              </w:rPr>
              <w:t>Resignation per</w:t>
            </w: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color w:val="205A85"/>
                <w:w w:val="99"/>
              </w:rPr>
              <w:t>Resignation per</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3"/>
        </w:trPr>
        <w:tc>
          <w:tcPr>
            <w:tcW w:w="1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39"/>
              <w:spacing w:after="0"/>
              <w:rPr>
                <w:sz w:val="20"/>
                <w:szCs w:val="20"/>
                <w:color w:val="auto"/>
              </w:rPr>
            </w:pPr>
            <w:r>
              <w:rPr>
                <w:rFonts w:ascii="Arial" w:cs="Arial" w:eastAsia="Arial" w:hAnsi="Arial"/>
                <w:sz w:val="16"/>
                <w:szCs w:val="16"/>
                <w:color w:val="205A85"/>
              </w:rPr>
              <w:t>Involuntary</w:t>
            </w:r>
          </w:p>
        </w:tc>
        <w:tc>
          <w:tcPr>
            <w:tcW w:w="180" w:type="dxa"/>
            <w:vAlign w:val="bottom"/>
          </w:tcPr>
          <w:p>
            <w:pPr>
              <w:spacing w:after="0"/>
              <w:rPr>
                <w:sz w:val="17"/>
                <w:szCs w:val="17"/>
                <w:color w:val="auto"/>
              </w:rPr>
            </w:pPr>
          </w:p>
        </w:tc>
        <w:tc>
          <w:tcPr>
            <w:tcW w:w="1420" w:type="dxa"/>
            <w:vAlign w:val="bottom"/>
          </w:tcPr>
          <w:p>
            <w:pPr>
              <w:jc w:val="center"/>
              <w:ind w:right="379"/>
              <w:spacing w:after="0"/>
              <w:rPr>
                <w:sz w:val="20"/>
                <w:szCs w:val="20"/>
                <w:color w:val="auto"/>
              </w:rPr>
            </w:pPr>
            <w:r>
              <w:rPr>
                <w:rFonts w:ascii="Arial" w:cs="Arial" w:eastAsia="Arial" w:hAnsi="Arial"/>
                <w:sz w:val="16"/>
                <w:szCs w:val="16"/>
                <w:color w:val="205A85"/>
                <w:w w:val="99"/>
              </w:rPr>
              <w:t>Full-Career</w:t>
            </w: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color w:val="205A85"/>
                <w:w w:val="99"/>
              </w:rPr>
              <w:t>Government</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89"/>
        </w:trPr>
        <w:tc>
          <w:tcPr>
            <w:tcW w:w="18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205A85"/>
              </w:rPr>
              <w:t>without cause</w:t>
            </w:r>
          </w:p>
        </w:tc>
        <w:tc>
          <w:tcPr>
            <w:tcW w:w="180" w:type="dxa"/>
            <w:vAlign w:val="bottom"/>
          </w:tcPr>
          <w:p>
            <w:pPr>
              <w:spacing w:after="0"/>
              <w:rPr>
                <w:sz w:val="16"/>
                <w:szCs w:val="16"/>
                <w:color w:val="auto"/>
              </w:rPr>
            </w:pPr>
          </w:p>
        </w:tc>
        <w:tc>
          <w:tcPr>
            <w:tcW w:w="1420" w:type="dxa"/>
            <w:vAlign w:val="bottom"/>
          </w:tcPr>
          <w:p>
            <w:pPr>
              <w:jc w:val="center"/>
              <w:ind w:right="379"/>
              <w:spacing w:after="0"/>
              <w:rPr>
                <w:sz w:val="20"/>
                <w:szCs w:val="20"/>
                <w:color w:val="auto"/>
              </w:rPr>
            </w:pPr>
            <w:r>
              <w:rPr>
                <w:rFonts w:ascii="Arial" w:cs="Arial" w:eastAsia="Arial" w:hAnsi="Arial"/>
                <w:sz w:val="16"/>
                <w:szCs w:val="16"/>
                <w:color w:val="205A85"/>
              </w:rPr>
              <w:t>Eligibility</w:t>
            </w:r>
          </w:p>
        </w:tc>
        <w:tc>
          <w:tcPr>
            <w:tcW w:w="14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color w:val="205A85"/>
              </w:rPr>
              <w:t>Death</w:t>
            </w:r>
          </w:p>
        </w:tc>
        <w:tc>
          <w:tcPr>
            <w:tcW w:w="1320" w:type="dxa"/>
            <w:vAlign w:val="bottom"/>
            <w:gridSpan w:val="2"/>
          </w:tcPr>
          <w:p>
            <w:pPr>
              <w:jc w:val="center"/>
              <w:spacing w:after="0"/>
              <w:rPr>
                <w:sz w:val="20"/>
                <w:szCs w:val="20"/>
                <w:color w:val="auto"/>
              </w:rPr>
            </w:pPr>
            <w:r>
              <w:rPr>
                <w:rFonts w:ascii="Arial" w:cs="Arial" w:eastAsia="Arial" w:hAnsi="Arial"/>
                <w:sz w:val="16"/>
                <w:szCs w:val="16"/>
                <w:color w:val="205A85"/>
              </w:rPr>
              <w:t>Office provision</w:t>
            </w:r>
          </w:p>
        </w:tc>
        <w:tc>
          <w:tcPr>
            <w:tcW w:w="820" w:type="dxa"/>
            <w:vAlign w:val="bottom"/>
            <w:gridSpan w:val="2"/>
          </w:tcPr>
          <w:p>
            <w:pPr>
              <w:ind w:left="60"/>
              <w:spacing w:after="0"/>
              <w:rPr>
                <w:sz w:val="20"/>
                <w:szCs w:val="20"/>
                <w:color w:val="auto"/>
              </w:rPr>
            </w:pPr>
            <w:r>
              <w:rPr>
                <w:rFonts w:ascii="Arial" w:cs="Arial" w:eastAsia="Arial" w:hAnsi="Arial"/>
                <w:sz w:val="16"/>
                <w:szCs w:val="16"/>
                <w:color w:val="205A85"/>
              </w:rPr>
              <w:t>Change in</w:t>
            </w:r>
          </w:p>
        </w:tc>
      </w:tr>
      <w:tr>
        <w:trPr>
          <w:trHeight w:val="244"/>
        </w:trPr>
        <w:tc>
          <w:tcPr>
            <w:tcW w:w="18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205A85"/>
              </w:rPr>
              <w:t>Name</w:t>
            </w:r>
          </w:p>
        </w:tc>
        <w:tc>
          <w:tcPr>
            <w:tcW w:w="1760" w:type="dxa"/>
            <w:vAlign w:val="bottom"/>
            <w:tcBorders>
              <w:bottom w:val="single" w:sz="8" w:color="454545"/>
            </w:tcBorders>
          </w:tcPr>
          <w:p>
            <w:pPr>
              <w:spacing w:after="0"/>
              <w:rPr>
                <w:sz w:val="21"/>
                <w:szCs w:val="21"/>
                <w:color w:val="auto"/>
              </w:rPr>
            </w:pPr>
          </w:p>
        </w:tc>
        <w:tc>
          <w:tcPr>
            <w:tcW w:w="200" w:type="dxa"/>
            <w:vAlign w:val="bottom"/>
            <w:tcBorders>
              <w:bottom w:val="single" w:sz="8" w:color="454545"/>
            </w:tcBorders>
          </w:tcPr>
          <w:p>
            <w:pPr>
              <w:spacing w:after="0"/>
              <w:rPr>
                <w:sz w:val="21"/>
                <w:szCs w:val="21"/>
                <w:color w:val="auto"/>
              </w:rPr>
            </w:pPr>
          </w:p>
        </w:tc>
        <w:tc>
          <w:tcPr>
            <w:tcW w:w="1220" w:type="dxa"/>
            <w:vAlign w:val="bottom"/>
            <w:tcBorders>
              <w:bottom w:val="single" w:sz="8" w:color="454545"/>
            </w:tcBorders>
          </w:tcPr>
          <w:p>
            <w:pPr>
              <w:jc w:val="center"/>
              <w:ind w:right="159"/>
              <w:spacing w:after="0"/>
              <w:rPr>
                <w:sz w:val="20"/>
                <w:szCs w:val="20"/>
                <w:color w:val="auto"/>
              </w:rPr>
            </w:pPr>
            <w:r>
              <w:rPr>
                <w:rFonts w:ascii="Arial" w:cs="Arial" w:eastAsia="Arial" w:hAnsi="Arial"/>
                <w:sz w:val="16"/>
                <w:szCs w:val="16"/>
                <w:color w:val="205A85"/>
                <w:w w:val="94"/>
              </w:rPr>
              <w:t>($)</w:t>
            </w:r>
            <w:r>
              <w:rPr>
                <w:rFonts w:ascii="Arial" w:cs="Arial" w:eastAsia="Arial" w:hAnsi="Arial"/>
                <w:sz w:val="21"/>
                <w:szCs w:val="21"/>
                <w:color w:val="205A85"/>
                <w:w w:val="94"/>
                <w:vertAlign w:val="superscript"/>
              </w:rPr>
              <w:t>2</w:t>
            </w:r>
          </w:p>
        </w:tc>
        <w:tc>
          <w:tcPr>
            <w:tcW w:w="180" w:type="dxa"/>
            <w:vAlign w:val="bottom"/>
            <w:tcBorders>
              <w:bottom w:val="single" w:sz="8" w:color="454545"/>
            </w:tcBorders>
          </w:tcPr>
          <w:p>
            <w:pPr>
              <w:spacing w:after="0"/>
              <w:rPr>
                <w:sz w:val="21"/>
                <w:szCs w:val="21"/>
                <w:color w:val="auto"/>
              </w:rPr>
            </w:pPr>
          </w:p>
        </w:tc>
        <w:tc>
          <w:tcPr>
            <w:tcW w:w="1420" w:type="dxa"/>
            <w:vAlign w:val="bottom"/>
            <w:tcBorders>
              <w:bottom w:val="single" w:sz="8" w:color="454545"/>
            </w:tcBorders>
          </w:tcPr>
          <w:p>
            <w:pPr>
              <w:jc w:val="center"/>
              <w:ind w:right="379"/>
              <w:spacing w:after="0"/>
              <w:rPr>
                <w:sz w:val="20"/>
                <w:szCs w:val="20"/>
                <w:color w:val="auto"/>
              </w:rPr>
            </w:pPr>
            <w:r>
              <w:rPr>
                <w:rFonts w:ascii="Arial" w:cs="Arial" w:eastAsia="Arial" w:hAnsi="Arial"/>
                <w:sz w:val="16"/>
                <w:szCs w:val="16"/>
                <w:color w:val="205A85"/>
              </w:rPr>
              <w:t>provision ($)</w:t>
            </w:r>
            <w:r>
              <w:rPr>
                <w:rFonts w:ascii="Arial" w:cs="Arial" w:eastAsia="Arial" w:hAnsi="Arial"/>
                <w:sz w:val="21"/>
                <w:szCs w:val="21"/>
                <w:color w:val="205A85"/>
                <w:vertAlign w:val="superscript"/>
              </w:rPr>
              <w:t>3</w:t>
            </w:r>
          </w:p>
        </w:tc>
        <w:tc>
          <w:tcPr>
            <w:tcW w:w="1400" w:type="dxa"/>
            <w:vAlign w:val="bottom"/>
            <w:tcBorders>
              <w:bottom w:val="single" w:sz="8" w:color="454545"/>
            </w:tcBorders>
          </w:tcPr>
          <w:p>
            <w:pPr>
              <w:jc w:val="right"/>
              <w:ind w:right="539"/>
              <w:spacing w:after="0"/>
              <w:rPr>
                <w:sz w:val="20"/>
                <w:szCs w:val="20"/>
                <w:color w:val="auto"/>
              </w:rPr>
            </w:pPr>
            <w:r>
              <w:rPr>
                <w:rFonts w:ascii="Arial" w:cs="Arial" w:eastAsia="Arial" w:hAnsi="Arial"/>
                <w:sz w:val="16"/>
                <w:szCs w:val="16"/>
                <w:color w:val="205A85"/>
              </w:rPr>
              <w:t>Disability</w:t>
            </w:r>
            <w:r>
              <w:rPr>
                <w:rFonts w:ascii="Arial" w:cs="Arial" w:eastAsia="Arial" w:hAnsi="Arial"/>
                <w:sz w:val="21"/>
                <w:szCs w:val="21"/>
                <w:color w:val="205A85"/>
                <w:vertAlign w:val="superscript"/>
              </w:rPr>
              <w:t>4</w:t>
            </w:r>
          </w:p>
        </w:tc>
        <w:tc>
          <w:tcPr>
            <w:tcW w:w="1100" w:type="dxa"/>
            <w:vAlign w:val="bottom"/>
            <w:tcBorders>
              <w:bottom w:val="single" w:sz="8" w:color="454545"/>
            </w:tcBorders>
          </w:tcPr>
          <w:p>
            <w:pPr>
              <w:jc w:val="right"/>
              <w:ind w:right="499"/>
              <w:spacing w:after="0"/>
              <w:rPr>
                <w:sz w:val="20"/>
                <w:szCs w:val="20"/>
                <w:color w:val="auto"/>
              </w:rPr>
            </w:pPr>
            <w:r>
              <w:rPr>
                <w:rFonts w:ascii="Arial" w:cs="Arial" w:eastAsia="Arial" w:hAnsi="Arial"/>
                <w:sz w:val="16"/>
                <w:szCs w:val="16"/>
                <w:color w:val="205A85"/>
              </w:rPr>
              <w:t>($)</w:t>
            </w:r>
            <w:r>
              <w:rPr>
                <w:rFonts w:ascii="Arial" w:cs="Arial" w:eastAsia="Arial" w:hAnsi="Arial"/>
                <w:sz w:val="21"/>
                <w:szCs w:val="21"/>
                <w:color w:val="205A85"/>
                <w:vertAlign w:val="superscript"/>
              </w:rPr>
              <w:t>5</w:t>
            </w:r>
          </w:p>
        </w:tc>
        <w:tc>
          <w:tcPr>
            <w:tcW w:w="200" w:type="dxa"/>
            <w:vAlign w:val="bottom"/>
            <w:tcBorders>
              <w:bottom w:val="single" w:sz="8" w:color="454545"/>
            </w:tcBorders>
          </w:tcPr>
          <w:p>
            <w:pPr>
              <w:spacing w:after="0"/>
              <w:rPr>
                <w:sz w:val="21"/>
                <w:szCs w:val="21"/>
                <w:color w:val="auto"/>
              </w:rPr>
            </w:pPr>
          </w:p>
        </w:tc>
        <w:tc>
          <w:tcPr>
            <w:tcW w:w="1120" w:type="dxa"/>
            <w:vAlign w:val="bottom"/>
            <w:tcBorders>
              <w:bottom w:val="single" w:sz="8" w:color="454545"/>
            </w:tcBorders>
          </w:tcPr>
          <w:p>
            <w:pPr>
              <w:jc w:val="center"/>
              <w:ind w:right="99"/>
              <w:spacing w:after="0"/>
              <w:rPr>
                <w:sz w:val="20"/>
                <w:szCs w:val="20"/>
                <w:color w:val="auto"/>
              </w:rPr>
            </w:pPr>
            <w:r>
              <w:rPr>
                <w:rFonts w:ascii="Arial" w:cs="Arial" w:eastAsia="Arial" w:hAnsi="Arial"/>
                <w:sz w:val="16"/>
                <w:szCs w:val="16"/>
                <w:color w:val="205A85"/>
                <w:w w:val="94"/>
              </w:rPr>
              <w:t>($)</w:t>
            </w:r>
            <w:r>
              <w:rPr>
                <w:rFonts w:ascii="Arial" w:cs="Arial" w:eastAsia="Arial" w:hAnsi="Arial"/>
                <w:sz w:val="21"/>
                <w:szCs w:val="21"/>
                <w:color w:val="205A85"/>
                <w:w w:val="94"/>
                <w:vertAlign w:val="superscript"/>
              </w:rPr>
              <w:t>6</w:t>
            </w:r>
          </w:p>
        </w:tc>
        <w:tc>
          <w:tcPr>
            <w:tcW w:w="820" w:type="dxa"/>
            <w:vAlign w:val="bottom"/>
            <w:tcBorders>
              <w:bottom w:val="single" w:sz="8" w:color="454545"/>
            </w:tcBorders>
            <w:gridSpan w:val="2"/>
          </w:tcPr>
          <w:p>
            <w:pPr>
              <w:ind w:left="60"/>
              <w:spacing w:after="0"/>
              <w:rPr>
                <w:sz w:val="20"/>
                <w:szCs w:val="20"/>
                <w:color w:val="auto"/>
              </w:rPr>
            </w:pPr>
            <w:r>
              <w:rPr>
                <w:rFonts w:ascii="Arial" w:cs="Arial" w:eastAsia="Arial" w:hAnsi="Arial"/>
                <w:sz w:val="16"/>
                <w:szCs w:val="16"/>
                <w:color w:val="205A85"/>
              </w:rPr>
              <w:t>control ($)</w:t>
            </w:r>
          </w:p>
        </w:tc>
      </w:tr>
      <w:tr>
        <w:trPr>
          <w:trHeight w:val="229"/>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Severance and other   $</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  $</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960"/>
              <w:spacing w:after="0"/>
              <w:rPr>
                <w:sz w:val="20"/>
                <w:szCs w:val="20"/>
                <w:color w:val="auto"/>
              </w:rPr>
            </w:pPr>
            <w:r>
              <w:rPr>
                <w:rFonts w:ascii="Arial" w:cs="Arial" w:eastAsia="Arial" w:hAnsi="Arial"/>
                <w:sz w:val="16"/>
                <w:szCs w:val="16"/>
                <w:color w:val="auto"/>
              </w:rPr>
              <w:t>— $</w:t>
            </w: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35"/>
        </w:trPr>
        <w:tc>
          <w:tcPr>
            <w:tcW w:w="182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SARs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32,055,000</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32,055,000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32,055,000</w:t>
            </w:r>
          </w:p>
        </w:tc>
        <w:tc>
          <w:tcPr>
            <w:tcW w:w="360" w:type="dxa"/>
            <w:vAlign w:val="bottom"/>
          </w:tcPr>
          <w:p>
            <w:pPr>
              <w:spacing w:after="0"/>
              <w:rPr>
                <w:sz w:val="20"/>
                <w:szCs w:val="20"/>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43"/>
        </w:trPr>
        <w:tc>
          <w:tcPr>
            <w:tcW w:w="1820" w:type="dxa"/>
            <w:vAlign w:val="bottom"/>
          </w:tcPr>
          <w:p>
            <w:pPr>
              <w:spacing w:after="0"/>
              <w:rPr>
                <w:sz w:val="21"/>
                <w:szCs w:val="21"/>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RSUs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99"/>
        </w:trPr>
        <w:tc>
          <w:tcPr>
            <w:tcW w:w="1820" w:type="dxa"/>
            <w:vAlign w:val="bottom"/>
            <w:tcBorders>
              <w:bottom w:val="single" w:sz="8" w:color="454545"/>
            </w:tcBorders>
          </w:tcPr>
          <w:p>
            <w:pPr>
              <w:spacing w:after="0"/>
              <w:rPr>
                <w:sz w:val="24"/>
                <w:szCs w:val="24"/>
                <w:color w:val="auto"/>
              </w:rPr>
            </w:pPr>
          </w:p>
        </w:tc>
        <w:tc>
          <w:tcPr>
            <w:tcW w:w="1960" w:type="dxa"/>
            <w:vAlign w:val="bottom"/>
            <w:tcBorders>
              <w:bottom w:val="single" w:sz="8" w:color="454545"/>
            </w:tcBorders>
            <w:gridSpan w:val="2"/>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122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116,929,313</w:t>
            </w:r>
          </w:p>
        </w:tc>
        <w:tc>
          <w:tcPr>
            <w:tcW w:w="180" w:type="dxa"/>
            <w:vAlign w:val="bottom"/>
            <w:tcBorders>
              <w:bottom w:val="single" w:sz="8" w:color="454545"/>
            </w:tcBorders>
          </w:tcPr>
          <w:p>
            <w:pPr>
              <w:spacing w:after="0"/>
              <w:rPr>
                <w:sz w:val="24"/>
                <w:szCs w:val="24"/>
                <w:color w:val="auto"/>
              </w:rPr>
            </w:pPr>
          </w:p>
        </w:tc>
        <w:tc>
          <w:tcPr>
            <w:tcW w:w="142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116,929,313</w:t>
            </w:r>
          </w:p>
        </w:tc>
        <w:tc>
          <w:tcPr>
            <w:tcW w:w="140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116,929,313</w:t>
            </w:r>
          </w:p>
        </w:tc>
        <w:tc>
          <w:tcPr>
            <w:tcW w:w="11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133,634,404</w:t>
            </w:r>
          </w:p>
        </w:tc>
        <w:tc>
          <w:tcPr>
            <w:tcW w:w="200" w:type="dxa"/>
            <w:vAlign w:val="bottom"/>
            <w:tcBorders>
              <w:bottom w:val="single" w:sz="8" w:color="454545"/>
            </w:tcBorders>
          </w:tcPr>
          <w:p>
            <w:pPr>
              <w:spacing w:after="0"/>
              <w:rPr>
                <w:sz w:val="24"/>
                <w:szCs w:val="24"/>
                <w:color w:val="auto"/>
              </w:rPr>
            </w:pP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454545"/>
            </w:tcBorders>
          </w:tcPr>
          <w:p>
            <w:pPr>
              <w:spacing w:after="0"/>
              <w:rPr>
                <w:sz w:val="24"/>
                <w:szCs w:val="24"/>
                <w:color w:val="auto"/>
              </w:rPr>
            </w:pPr>
          </w:p>
        </w:tc>
        <w:tc>
          <w:tcPr>
            <w:tcW w:w="460" w:type="dxa"/>
            <w:vAlign w:val="bottom"/>
            <w:tcBorders>
              <w:bottom w:val="single" w:sz="8" w:color="454545"/>
            </w:tcBorders>
          </w:tcPr>
          <w:p>
            <w:pPr>
              <w:ind w:left="220"/>
              <w:spacing w:after="0"/>
              <w:rPr>
                <w:sz w:val="20"/>
                <w:szCs w:val="20"/>
                <w:color w:val="auto"/>
              </w:rPr>
            </w:pPr>
            <w:r>
              <w:rPr>
                <w:rFonts w:ascii="Arial" w:cs="Arial" w:eastAsia="Arial" w:hAnsi="Arial"/>
                <w:sz w:val="16"/>
                <w:szCs w:val="16"/>
                <w:color w:val="auto"/>
              </w:rPr>
              <w:t>—</w:t>
            </w:r>
          </w:p>
        </w:tc>
      </w:tr>
      <w:tr>
        <w:trPr>
          <w:trHeight w:val="229"/>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Daniel Pinto</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Severance and other</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80" w:type="dxa"/>
            <w:vAlign w:val="bottom"/>
          </w:tcPr>
          <w:p>
            <w:pPr>
              <w:spacing w:after="0"/>
              <w:rPr>
                <w:sz w:val="19"/>
                <w:szCs w:val="19"/>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35"/>
        </w:trPr>
        <w:tc>
          <w:tcPr>
            <w:tcW w:w="182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SARs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8,253,750</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8,253,750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8,253,750</w:t>
            </w:r>
          </w:p>
        </w:tc>
        <w:tc>
          <w:tcPr>
            <w:tcW w:w="360" w:type="dxa"/>
            <w:vAlign w:val="bottom"/>
          </w:tcPr>
          <w:p>
            <w:pPr>
              <w:spacing w:after="0"/>
              <w:rPr>
                <w:sz w:val="20"/>
                <w:szCs w:val="20"/>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43"/>
        </w:trPr>
        <w:tc>
          <w:tcPr>
            <w:tcW w:w="1820" w:type="dxa"/>
            <w:vAlign w:val="bottom"/>
          </w:tcPr>
          <w:p>
            <w:pPr>
              <w:spacing w:after="0"/>
              <w:rPr>
                <w:sz w:val="21"/>
                <w:szCs w:val="21"/>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RSUs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82,135,337</w:t>
            </w:r>
          </w:p>
        </w:tc>
        <w:tc>
          <w:tcPr>
            <w:tcW w:w="180" w:type="dxa"/>
            <w:vAlign w:val="bottom"/>
          </w:tcPr>
          <w:p>
            <w:pPr>
              <w:spacing w:after="0"/>
              <w:rPr>
                <w:sz w:val="21"/>
                <w:szCs w:val="21"/>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82,135,337</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82,135,337</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82,135,337</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99"/>
        </w:trPr>
        <w:tc>
          <w:tcPr>
            <w:tcW w:w="1820" w:type="dxa"/>
            <w:vAlign w:val="bottom"/>
            <w:tcBorders>
              <w:bottom w:val="single" w:sz="8" w:color="454545"/>
            </w:tcBorders>
          </w:tcPr>
          <w:p>
            <w:pPr>
              <w:spacing w:after="0"/>
              <w:rPr>
                <w:sz w:val="24"/>
                <w:szCs w:val="24"/>
                <w:color w:val="auto"/>
              </w:rPr>
            </w:pPr>
          </w:p>
        </w:tc>
        <w:tc>
          <w:tcPr>
            <w:tcW w:w="1960" w:type="dxa"/>
            <w:vAlign w:val="bottom"/>
            <w:tcBorders>
              <w:bottom w:val="single" w:sz="8" w:color="454545"/>
            </w:tcBorders>
            <w:gridSpan w:val="2"/>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122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57,870,649</w:t>
            </w:r>
          </w:p>
        </w:tc>
        <w:tc>
          <w:tcPr>
            <w:tcW w:w="180" w:type="dxa"/>
            <w:vAlign w:val="bottom"/>
            <w:tcBorders>
              <w:bottom w:val="single" w:sz="8" w:color="454545"/>
            </w:tcBorders>
          </w:tcPr>
          <w:p>
            <w:pPr>
              <w:spacing w:after="0"/>
              <w:rPr>
                <w:sz w:val="24"/>
                <w:szCs w:val="24"/>
                <w:color w:val="auto"/>
              </w:rPr>
            </w:pPr>
          </w:p>
        </w:tc>
        <w:tc>
          <w:tcPr>
            <w:tcW w:w="142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57,870,649</w:t>
            </w:r>
          </w:p>
        </w:tc>
        <w:tc>
          <w:tcPr>
            <w:tcW w:w="140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57,870,649</w:t>
            </w:r>
          </w:p>
        </w:tc>
        <w:tc>
          <w:tcPr>
            <w:tcW w:w="11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66,696,570</w:t>
            </w:r>
          </w:p>
        </w:tc>
        <w:tc>
          <w:tcPr>
            <w:tcW w:w="200" w:type="dxa"/>
            <w:vAlign w:val="bottom"/>
            <w:tcBorders>
              <w:bottom w:val="single" w:sz="8" w:color="454545"/>
            </w:tcBorders>
          </w:tcPr>
          <w:p>
            <w:pPr>
              <w:spacing w:after="0"/>
              <w:rPr>
                <w:sz w:val="24"/>
                <w:szCs w:val="24"/>
                <w:color w:val="auto"/>
              </w:rPr>
            </w:pP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454545"/>
            </w:tcBorders>
          </w:tcPr>
          <w:p>
            <w:pPr>
              <w:spacing w:after="0"/>
              <w:rPr>
                <w:sz w:val="24"/>
                <w:szCs w:val="24"/>
                <w:color w:val="auto"/>
              </w:rPr>
            </w:pPr>
          </w:p>
        </w:tc>
        <w:tc>
          <w:tcPr>
            <w:tcW w:w="460" w:type="dxa"/>
            <w:vAlign w:val="bottom"/>
            <w:tcBorders>
              <w:bottom w:val="single" w:sz="8" w:color="454545"/>
            </w:tcBorders>
          </w:tcPr>
          <w:p>
            <w:pPr>
              <w:ind w:left="220"/>
              <w:spacing w:after="0"/>
              <w:rPr>
                <w:sz w:val="20"/>
                <w:szCs w:val="20"/>
                <w:color w:val="auto"/>
              </w:rPr>
            </w:pPr>
            <w:r>
              <w:rPr>
                <w:rFonts w:ascii="Arial" w:cs="Arial" w:eastAsia="Arial" w:hAnsi="Arial"/>
                <w:sz w:val="16"/>
                <w:szCs w:val="16"/>
                <w:color w:val="auto"/>
              </w:rPr>
              <w:t>—</w:t>
            </w:r>
          </w:p>
        </w:tc>
      </w:tr>
      <w:tr>
        <w:trPr>
          <w:trHeight w:val="229"/>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Severance and other</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80" w:type="dxa"/>
            <w:vAlign w:val="bottom"/>
          </w:tcPr>
          <w:p>
            <w:pPr>
              <w:spacing w:after="0"/>
              <w:rPr>
                <w:sz w:val="19"/>
                <w:szCs w:val="19"/>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35"/>
        </w:trPr>
        <w:tc>
          <w:tcPr>
            <w:tcW w:w="182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RSUs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19,287,639</w:t>
            </w:r>
          </w:p>
        </w:tc>
        <w:tc>
          <w:tcPr>
            <w:tcW w:w="180" w:type="dxa"/>
            <w:vAlign w:val="bottom"/>
          </w:tcPr>
          <w:p>
            <w:pPr>
              <w:spacing w:after="0"/>
              <w:rPr>
                <w:sz w:val="20"/>
                <w:szCs w:val="20"/>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19,287,639</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19,287,639</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19,287,639</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99"/>
        </w:trPr>
        <w:tc>
          <w:tcPr>
            <w:tcW w:w="1820" w:type="dxa"/>
            <w:vAlign w:val="bottom"/>
            <w:tcBorders>
              <w:bottom w:val="single" w:sz="8" w:color="454545"/>
            </w:tcBorders>
          </w:tcPr>
          <w:p>
            <w:pPr>
              <w:spacing w:after="0"/>
              <w:rPr>
                <w:sz w:val="24"/>
                <w:szCs w:val="24"/>
                <w:color w:val="auto"/>
              </w:rPr>
            </w:pPr>
          </w:p>
        </w:tc>
        <w:tc>
          <w:tcPr>
            <w:tcW w:w="1960" w:type="dxa"/>
            <w:vAlign w:val="bottom"/>
            <w:tcBorders>
              <w:bottom w:val="single" w:sz="8" w:color="454545"/>
            </w:tcBorders>
            <w:gridSpan w:val="2"/>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122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28,153,360</w:t>
            </w:r>
          </w:p>
        </w:tc>
        <w:tc>
          <w:tcPr>
            <w:tcW w:w="180" w:type="dxa"/>
            <w:vAlign w:val="bottom"/>
            <w:tcBorders>
              <w:bottom w:val="single" w:sz="8" w:color="454545"/>
            </w:tcBorders>
          </w:tcPr>
          <w:p>
            <w:pPr>
              <w:spacing w:after="0"/>
              <w:rPr>
                <w:sz w:val="24"/>
                <w:szCs w:val="24"/>
                <w:color w:val="auto"/>
              </w:rPr>
            </w:pPr>
          </w:p>
        </w:tc>
        <w:tc>
          <w:tcPr>
            <w:tcW w:w="142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28,153,360</w:t>
            </w:r>
          </w:p>
        </w:tc>
        <w:tc>
          <w:tcPr>
            <w:tcW w:w="140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28,153,360</w:t>
            </w:r>
          </w:p>
        </w:tc>
        <w:tc>
          <w:tcPr>
            <w:tcW w:w="11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31,997,735</w:t>
            </w:r>
          </w:p>
        </w:tc>
        <w:tc>
          <w:tcPr>
            <w:tcW w:w="200" w:type="dxa"/>
            <w:vAlign w:val="bottom"/>
            <w:tcBorders>
              <w:bottom w:val="single" w:sz="8" w:color="454545"/>
            </w:tcBorders>
          </w:tcPr>
          <w:p>
            <w:pPr>
              <w:spacing w:after="0"/>
              <w:rPr>
                <w:sz w:val="24"/>
                <w:szCs w:val="24"/>
                <w:color w:val="auto"/>
              </w:rPr>
            </w:pP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454545"/>
            </w:tcBorders>
          </w:tcPr>
          <w:p>
            <w:pPr>
              <w:spacing w:after="0"/>
              <w:rPr>
                <w:sz w:val="24"/>
                <w:szCs w:val="24"/>
                <w:color w:val="auto"/>
              </w:rPr>
            </w:pPr>
          </w:p>
        </w:tc>
        <w:tc>
          <w:tcPr>
            <w:tcW w:w="460" w:type="dxa"/>
            <w:vAlign w:val="bottom"/>
            <w:tcBorders>
              <w:bottom w:val="single" w:sz="8" w:color="454545"/>
            </w:tcBorders>
          </w:tcPr>
          <w:p>
            <w:pPr>
              <w:ind w:left="220"/>
              <w:spacing w:after="0"/>
              <w:rPr>
                <w:sz w:val="20"/>
                <w:szCs w:val="20"/>
                <w:color w:val="auto"/>
              </w:rPr>
            </w:pPr>
            <w:r>
              <w:rPr>
                <w:rFonts w:ascii="Arial" w:cs="Arial" w:eastAsia="Arial" w:hAnsi="Arial"/>
                <w:sz w:val="16"/>
                <w:szCs w:val="16"/>
                <w:color w:val="auto"/>
              </w:rPr>
              <w:t>—</w:t>
            </w:r>
          </w:p>
        </w:tc>
      </w:tr>
      <w:tr>
        <w:trPr>
          <w:trHeight w:val="229"/>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Marianne Lake</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Severance and other</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348,288</w:t>
            </w:r>
          </w:p>
        </w:tc>
        <w:tc>
          <w:tcPr>
            <w:tcW w:w="180" w:type="dxa"/>
            <w:vAlign w:val="bottom"/>
          </w:tcPr>
          <w:p>
            <w:pPr>
              <w:spacing w:after="0"/>
              <w:rPr>
                <w:sz w:val="19"/>
                <w:szCs w:val="19"/>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35"/>
        </w:trPr>
        <w:tc>
          <w:tcPr>
            <w:tcW w:w="182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RSUs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14,075,775</w:t>
            </w:r>
          </w:p>
        </w:tc>
        <w:tc>
          <w:tcPr>
            <w:tcW w:w="180" w:type="dxa"/>
            <w:vAlign w:val="bottom"/>
          </w:tcPr>
          <w:p>
            <w:pPr>
              <w:spacing w:after="0"/>
              <w:rPr>
                <w:sz w:val="20"/>
                <w:szCs w:val="20"/>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14,075,775</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14,075,775</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14,075,775</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99"/>
        </w:trPr>
        <w:tc>
          <w:tcPr>
            <w:tcW w:w="1820" w:type="dxa"/>
            <w:vAlign w:val="bottom"/>
            <w:tcBorders>
              <w:bottom w:val="single" w:sz="8" w:color="454545"/>
            </w:tcBorders>
          </w:tcPr>
          <w:p>
            <w:pPr>
              <w:spacing w:after="0"/>
              <w:rPr>
                <w:sz w:val="24"/>
                <w:szCs w:val="24"/>
                <w:color w:val="auto"/>
              </w:rPr>
            </w:pPr>
          </w:p>
        </w:tc>
        <w:tc>
          <w:tcPr>
            <w:tcW w:w="1960" w:type="dxa"/>
            <w:vAlign w:val="bottom"/>
            <w:tcBorders>
              <w:bottom w:val="single" w:sz="8" w:color="454545"/>
            </w:tcBorders>
            <w:gridSpan w:val="2"/>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122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20,630,400</w:t>
            </w:r>
          </w:p>
        </w:tc>
        <w:tc>
          <w:tcPr>
            <w:tcW w:w="180" w:type="dxa"/>
            <w:vAlign w:val="bottom"/>
            <w:tcBorders>
              <w:bottom w:val="single" w:sz="8" w:color="454545"/>
            </w:tcBorders>
          </w:tcPr>
          <w:p>
            <w:pPr>
              <w:spacing w:after="0"/>
              <w:rPr>
                <w:sz w:val="24"/>
                <w:szCs w:val="24"/>
                <w:color w:val="auto"/>
              </w:rPr>
            </w:pPr>
          </w:p>
        </w:tc>
        <w:tc>
          <w:tcPr>
            <w:tcW w:w="142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20,630,400</w:t>
            </w:r>
          </w:p>
        </w:tc>
        <w:tc>
          <w:tcPr>
            <w:tcW w:w="140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20,630,400</w:t>
            </w:r>
          </w:p>
        </w:tc>
        <w:tc>
          <w:tcPr>
            <w:tcW w:w="11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23,511,333</w:t>
            </w:r>
          </w:p>
        </w:tc>
        <w:tc>
          <w:tcPr>
            <w:tcW w:w="200" w:type="dxa"/>
            <w:vAlign w:val="bottom"/>
            <w:tcBorders>
              <w:bottom w:val="single" w:sz="8" w:color="454545"/>
            </w:tcBorders>
          </w:tcPr>
          <w:p>
            <w:pPr>
              <w:spacing w:after="0"/>
              <w:rPr>
                <w:sz w:val="24"/>
                <w:szCs w:val="24"/>
                <w:color w:val="auto"/>
              </w:rPr>
            </w:pP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454545"/>
            </w:tcBorders>
          </w:tcPr>
          <w:p>
            <w:pPr>
              <w:spacing w:after="0"/>
              <w:rPr>
                <w:sz w:val="24"/>
                <w:szCs w:val="24"/>
                <w:color w:val="auto"/>
              </w:rPr>
            </w:pPr>
          </w:p>
        </w:tc>
        <w:tc>
          <w:tcPr>
            <w:tcW w:w="460" w:type="dxa"/>
            <w:vAlign w:val="bottom"/>
            <w:tcBorders>
              <w:bottom w:val="single" w:sz="8" w:color="454545"/>
            </w:tcBorders>
          </w:tcPr>
          <w:p>
            <w:pPr>
              <w:ind w:left="220"/>
              <w:spacing w:after="0"/>
              <w:rPr>
                <w:sz w:val="20"/>
                <w:szCs w:val="20"/>
                <w:color w:val="auto"/>
              </w:rPr>
            </w:pPr>
            <w:r>
              <w:rPr>
                <w:rFonts w:ascii="Arial" w:cs="Arial" w:eastAsia="Arial" w:hAnsi="Arial"/>
                <w:sz w:val="16"/>
                <w:szCs w:val="16"/>
                <w:color w:val="auto"/>
              </w:rPr>
              <w:t>—</w:t>
            </w:r>
          </w:p>
        </w:tc>
      </w:tr>
      <w:tr>
        <w:trPr>
          <w:trHeight w:val="229"/>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Severance and other</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80" w:type="dxa"/>
            <w:vAlign w:val="bottom"/>
          </w:tcPr>
          <w:p>
            <w:pPr>
              <w:spacing w:after="0"/>
              <w:rPr>
                <w:sz w:val="19"/>
                <w:szCs w:val="19"/>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35"/>
        </w:trPr>
        <w:tc>
          <w:tcPr>
            <w:tcW w:w="182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RSUs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13,397,927</w:t>
            </w:r>
          </w:p>
        </w:tc>
        <w:tc>
          <w:tcPr>
            <w:tcW w:w="180" w:type="dxa"/>
            <w:vAlign w:val="bottom"/>
          </w:tcPr>
          <w:p>
            <w:pPr>
              <w:spacing w:after="0"/>
              <w:rPr>
                <w:sz w:val="20"/>
                <w:szCs w:val="20"/>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13,397,927</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13,397,927</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13,397,927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99"/>
        </w:trPr>
        <w:tc>
          <w:tcPr>
            <w:tcW w:w="1820" w:type="dxa"/>
            <w:vAlign w:val="bottom"/>
            <w:tcBorders>
              <w:bottom w:val="single" w:sz="8" w:color="454545"/>
            </w:tcBorders>
          </w:tcPr>
          <w:p>
            <w:pPr>
              <w:spacing w:after="0"/>
              <w:rPr>
                <w:sz w:val="24"/>
                <w:szCs w:val="24"/>
                <w:color w:val="auto"/>
              </w:rPr>
            </w:pPr>
          </w:p>
        </w:tc>
        <w:tc>
          <w:tcPr>
            <w:tcW w:w="1960" w:type="dxa"/>
            <w:vAlign w:val="bottom"/>
            <w:tcBorders>
              <w:bottom w:val="single" w:sz="8" w:color="454545"/>
            </w:tcBorders>
            <w:gridSpan w:val="2"/>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122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18,433,334</w:t>
            </w:r>
          </w:p>
        </w:tc>
        <w:tc>
          <w:tcPr>
            <w:tcW w:w="180" w:type="dxa"/>
            <w:vAlign w:val="bottom"/>
            <w:tcBorders>
              <w:bottom w:val="single" w:sz="8" w:color="454545"/>
            </w:tcBorders>
          </w:tcPr>
          <w:p>
            <w:pPr>
              <w:spacing w:after="0"/>
              <w:rPr>
                <w:sz w:val="24"/>
                <w:szCs w:val="24"/>
                <w:color w:val="auto"/>
              </w:rPr>
            </w:pPr>
          </w:p>
        </w:tc>
        <w:tc>
          <w:tcPr>
            <w:tcW w:w="142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18,433,334</w:t>
            </w:r>
          </w:p>
        </w:tc>
        <w:tc>
          <w:tcPr>
            <w:tcW w:w="140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18,433,334</w:t>
            </w:r>
          </w:p>
        </w:tc>
        <w:tc>
          <w:tcPr>
            <w:tcW w:w="11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21,314,267</w:t>
            </w:r>
          </w:p>
        </w:tc>
        <w:tc>
          <w:tcPr>
            <w:tcW w:w="200" w:type="dxa"/>
            <w:vAlign w:val="bottom"/>
            <w:tcBorders>
              <w:bottom w:val="single" w:sz="8" w:color="454545"/>
            </w:tcBorders>
          </w:tcPr>
          <w:p>
            <w:pPr>
              <w:spacing w:after="0"/>
              <w:rPr>
                <w:sz w:val="24"/>
                <w:szCs w:val="24"/>
                <w:color w:val="auto"/>
              </w:rPr>
            </w:pP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454545"/>
            </w:tcBorders>
          </w:tcPr>
          <w:p>
            <w:pPr>
              <w:spacing w:after="0"/>
              <w:rPr>
                <w:sz w:val="24"/>
                <w:szCs w:val="24"/>
                <w:color w:val="auto"/>
              </w:rPr>
            </w:pPr>
          </w:p>
        </w:tc>
        <w:tc>
          <w:tcPr>
            <w:tcW w:w="460" w:type="dxa"/>
            <w:vAlign w:val="bottom"/>
            <w:tcBorders>
              <w:bottom w:val="single" w:sz="8" w:color="454545"/>
            </w:tcBorders>
          </w:tcPr>
          <w:p>
            <w:pPr>
              <w:ind w:left="220"/>
              <w:spacing w:after="0"/>
              <w:rPr>
                <w:sz w:val="20"/>
                <w:szCs w:val="20"/>
                <w:color w:val="auto"/>
              </w:rPr>
            </w:pPr>
            <w:r>
              <w:rPr>
                <w:rFonts w:ascii="Arial" w:cs="Arial" w:eastAsia="Arial" w:hAnsi="Arial"/>
                <w:sz w:val="16"/>
                <w:szCs w:val="16"/>
                <w:color w:val="auto"/>
              </w:rPr>
              <w:t>—</w:t>
            </w:r>
          </w:p>
        </w:tc>
      </w:tr>
      <w:tr>
        <w:trPr>
          <w:trHeight w:val="229"/>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Jeremy Barnum</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Severance and other</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369,231</w:t>
            </w:r>
          </w:p>
        </w:tc>
        <w:tc>
          <w:tcPr>
            <w:tcW w:w="180" w:type="dxa"/>
            <w:vAlign w:val="bottom"/>
          </w:tcPr>
          <w:p>
            <w:pPr>
              <w:spacing w:after="0"/>
              <w:rPr>
                <w:sz w:val="19"/>
                <w:szCs w:val="19"/>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76"/>
        </w:trPr>
        <w:tc>
          <w:tcPr>
            <w:tcW w:w="1820" w:type="dxa"/>
            <w:vAlign w:val="bottom"/>
          </w:tcPr>
          <w:p>
            <w:pPr>
              <w:spacing w:after="0"/>
              <w:rPr>
                <w:sz w:val="23"/>
                <w:szCs w:val="23"/>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RSUs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8,686,667</w:t>
            </w:r>
          </w:p>
        </w:tc>
        <w:tc>
          <w:tcPr>
            <w:tcW w:w="180" w:type="dxa"/>
            <w:vAlign w:val="bottom"/>
          </w:tcPr>
          <w:p>
            <w:pPr>
              <w:spacing w:after="0"/>
              <w:rPr>
                <w:sz w:val="23"/>
                <w:szCs w:val="23"/>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8,686,667</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8,686,667</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8,686,667</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r>
      <w:tr>
        <w:trPr>
          <w:trHeight w:val="299"/>
        </w:trPr>
        <w:tc>
          <w:tcPr>
            <w:tcW w:w="1820" w:type="dxa"/>
            <w:vAlign w:val="bottom"/>
            <w:tcBorders>
              <w:bottom w:val="single" w:sz="8" w:color="454545"/>
            </w:tcBorders>
          </w:tcPr>
          <w:p>
            <w:pPr>
              <w:spacing w:after="0"/>
              <w:rPr>
                <w:sz w:val="24"/>
                <w:szCs w:val="24"/>
                <w:color w:val="auto"/>
              </w:rPr>
            </w:pPr>
          </w:p>
        </w:tc>
        <w:tc>
          <w:tcPr>
            <w:tcW w:w="1960" w:type="dxa"/>
            <w:vAlign w:val="bottom"/>
            <w:tcBorders>
              <w:bottom w:val="single" w:sz="8" w:color="454545"/>
            </w:tcBorders>
            <w:gridSpan w:val="2"/>
          </w:tcPr>
          <w:p>
            <w:pPr>
              <w:ind w:left="80"/>
              <w:spacing w:after="0"/>
              <w:rPr>
                <w:sz w:val="20"/>
                <w:szCs w:val="20"/>
                <w:color w:val="auto"/>
              </w:rPr>
            </w:pPr>
            <w:r>
              <w:rPr>
                <w:rFonts w:ascii="Arial" w:cs="Arial" w:eastAsia="Arial" w:hAnsi="Arial"/>
                <w:sz w:val="16"/>
                <w:szCs w:val="16"/>
                <w:color w:val="auto"/>
              </w:rPr>
              <w:t>PSUs</w:t>
            </w:r>
            <w:r>
              <w:rPr>
                <w:rFonts w:ascii="Arial" w:cs="Arial" w:eastAsia="Arial" w:hAnsi="Arial"/>
                <w:sz w:val="21"/>
                <w:szCs w:val="21"/>
                <w:color w:val="auto"/>
                <w:vertAlign w:val="superscript"/>
              </w:rPr>
              <w:t>7</w:t>
            </w:r>
          </w:p>
        </w:tc>
        <w:tc>
          <w:tcPr>
            <w:tcW w:w="122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7,446,375</w:t>
            </w:r>
          </w:p>
        </w:tc>
        <w:tc>
          <w:tcPr>
            <w:tcW w:w="180" w:type="dxa"/>
            <w:vAlign w:val="bottom"/>
            <w:tcBorders>
              <w:bottom w:val="single" w:sz="8" w:color="454545"/>
            </w:tcBorders>
          </w:tcPr>
          <w:p>
            <w:pPr>
              <w:spacing w:after="0"/>
              <w:rPr>
                <w:sz w:val="24"/>
                <w:szCs w:val="24"/>
                <w:color w:val="auto"/>
              </w:rPr>
            </w:pPr>
          </w:p>
        </w:tc>
        <w:tc>
          <w:tcPr>
            <w:tcW w:w="142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7,446,375</w:t>
            </w:r>
          </w:p>
        </w:tc>
        <w:tc>
          <w:tcPr>
            <w:tcW w:w="140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7,446,375</w:t>
            </w:r>
          </w:p>
        </w:tc>
        <w:tc>
          <w:tcPr>
            <w:tcW w:w="110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9,232,353</w:t>
            </w:r>
          </w:p>
        </w:tc>
        <w:tc>
          <w:tcPr>
            <w:tcW w:w="200" w:type="dxa"/>
            <w:vAlign w:val="bottom"/>
            <w:tcBorders>
              <w:bottom w:val="single" w:sz="8" w:color="454545"/>
            </w:tcBorders>
          </w:tcPr>
          <w:p>
            <w:pPr>
              <w:spacing w:after="0"/>
              <w:rPr>
                <w:sz w:val="24"/>
                <w:szCs w:val="24"/>
                <w:color w:val="auto"/>
              </w:rPr>
            </w:pP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454545"/>
            </w:tcBorders>
          </w:tcPr>
          <w:p>
            <w:pPr>
              <w:spacing w:after="0"/>
              <w:rPr>
                <w:sz w:val="24"/>
                <w:szCs w:val="24"/>
                <w:color w:val="auto"/>
              </w:rPr>
            </w:pPr>
          </w:p>
        </w:tc>
        <w:tc>
          <w:tcPr>
            <w:tcW w:w="460" w:type="dxa"/>
            <w:vAlign w:val="bottom"/>
            <w:tcBorders>
              <w:bottom w:val="single" w:sz="8" w:color="454545"/>
            </w:tcBorders>
          </w:tcPr>
          <w:p>
            <w:pPr>
              <w:ind w:left="22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hanging="192"/>
        <w:spacing w:after="0"/>
        <w:tabs>
          <w:tab w:leader="none" w:pos="200" w:val="left"/>
        </w:tabs>
        <w:numPr>
          <w:ilvl w:val="0"/>
          <w:numId w:val="255"/>
        </w:numPr>
        <w:rPr>
          <w:rFonts w:ascii="Arial" w:cs="Arial" w:eastAsia="Arial" w:hAnsi="Arial"/>
          <w:sz w:val="16"/>
          <w:szCs w:val="16"/>
          <w:color w:val="auto"/>
          <w:vertAlign w:val="superscript"/>
        </w:rPr>
      </w:pPr>
      <w:r>
        <w:rPr>
          <w:rFonts w:ascii="Arial" w:cs="Arial" w:eastAsia="Arial" w:hAnsi="Arial"/>
          <w:sz w:val="13"/>
          <w:szCs w:val="13"/>
          <w:color w:val="auto"/>
        </w:rPr>
        <w:t>"SARs," “RSUs” and “PSUs” refer to previously granted, outstanding equity awards. NEOs are not entitled to any additional equity awards in connection with a potential termination.</w:t>
      </w:r>
    </w:p>
    <w:p>
      <w:pPr>
        <w:ind w:left="200" w:right="20" w:hanging="192"/>
        <w:spacing w:after="0" w:line="225" w:lineRule="auto"/>
        <w:tabs>
          <w:tab w:leader="none" w:pos="200" w:val="left"/>
        </w:tabs>
        <w:numPr>
          <w:ilvl w:val="0"/>
          <w:numId w:val="256"/>
        </w:numPr>
        <w:rPr>
          <w:rFonts w:ascii="Arial" w:cs="Arial" w:eastAsia="Arial" w:hAnsi="Arial"/>
          <w:sz w:val="16"/>
          <w:szCs w:val="16"/>
          <w:color w:val="auto"/>
          <w:vertAlign w:val="superscript"/>
        </w:rPr>
      </w:pPr>
      <w:r>
        <w:rPr>
          <w:rFonts w:ascii="Arial" w:cs="Arial" w:eastAsia="Arial" w:hAnsi="Arial"/>
          <w:sz w:val="13"/>
          <w:szCs w:val="13"/>
          <w:color w:val="auto"/>
        </w:rPr>
        <w:t>Involuntary terminations without cause include involuntary terminations due to redundancies and involuntary terminations without alternative employment. For “Severance and other,” amounts shown represent severance under the Firm’s broad-based U.S. Severance Pay Plan, or the U.K. Discretionary Redundancy Policy in the case of Ms. Lake. Base salary greater than $400,000 per year, or £275,000 in the case of Ms. Lake, is disregarded for purposes of determining severance amounts. The rate used to convert Ms. Lake’s eligible severance to U.S. dollars was the blended spot rate for the month of December 2023, which was $1.2665 U.S. dollars per British pound sterling.</w:t>
      </w:r>
    </w:p>
    <w:p>
      <w:pPr>
        <w:ind w:left="200" w:hanging="192"/>
        <w:spacing w:after="0" w:line="227" w:lineRule="auto"/>
        <w:tabs>
          <w:tab w:leader="none" w:pos="200" w:val="left"/>
        </w:tabs>
        <w:numPr>
          <w:ilvl w:val="0"/>
          <w:numId w:val="257"/>
        </w:numPr>
        <w:rPr>
          <w:rFonts w:ascii="Arial" w:cs="Arial" w:eastAsia="Arial" w:hAnsi="Arial"/>
          <w:sz w:val="15"/>
          <w:szCs w:val="15"/>
          <w:color w:val="auto"/>
          <w:vertAlign w:val="superscript"/>
        </w:rPr>
      </w:pPr>
      <w:r>
        <w:rPr>
          <w:rFonts w:ascii="Arial" w:cs="Arial" w:eastAsia="Arial" w:hAnsi="Arial"/>
          <w:sz w:val="12"/>
          <w:szCs w:val="12"/>
          <w:color w:val="auto"/>
        </w:rPr>
        <w:t>For employees in good standing who have resigned and have met full-career eligibility or other acceptable criteria, awards continue to vest over time on their original schedule, provided that the</w:t>
      </w:r>
    </w:p>
    <w:p>
      <w:pPr>
        <w:ind w:left="200" w:right="140"/>
        <w:spacing w:after="0" w:line="238" w:lineRule="auto"/>
        <w:rPr>
          <w:sz w:val="20"/>
          <w:szCs w:val="20"/>
          <w:color w:val="auto"/>
        </w:rPr>
      </w:pPr>
      <w:r>
        <w:rPr>
          <w:rFonts w:ascii="Arial" w:cs="Arial" w:eastAsia="Arial" w:hAnsi="Arial"/>
          <w:sz w:val="13"/>
          <w:szCs w:val="13"/>
          <w:color w:val="auto"/>
        </w:rPr>
        <w:t>employees, for the remainder of the vesting period, do not perform services for a financial services company or work in their profession (whether or not for a financial services company); provided that employees may work for a government, education or not-for-profit organization. The awards shown represent RSUs and PSUs that would continue to vest because the NEOs have met the full-career eligibility criteria. The awards are subject to continuing post-employment obligations to the Firm during this period.</w:t>
      </w:r>
    </w:p>
    <w:p>
      <w:pPr>
        <w:ind w:left="200" w:hanging="192"/>
        <w:spacing w:after="0" w:line="193" w:lineRule="auto"/>
        <w:tabs>
          <w:tab w:leader="none" w:pos="200" w:val="left"/>
        </w:tabs>
        <w:numPr>
          <w:ilvl w:val="0"/>
          <w:numId w:val="258"/>
        </w:numPr>
        <w:rPr>
          <w:rFonts w:ascii="Arial" w:cs="Arial" w:eastAsia="Arial" w:hAnsi="Arial"/>
          <w:sz w:val="16"/>
          <w:szCs w:val="16"/>
          <w:color w:val="auto"/>
          <w:vertAlign w:val="superscript"/>
        </w:rPr>
      </w:pPr>
      <w:r>
        <w:rPr>
          <w:rFonts w:ascii="Arial" w:cs="Arial" w:eastAsia="Arial" w:hAnsi="Arial"/>
          <w:sz w:val="13"/>
          <w:szCs w:val="13"/>
          <w:color w:val="auto"/>
        </w:rPr>
        <w:t>In the case of disability, stock awards continue to vest pursuant to their original vesting schedule.</w:t>
      </w:r>
    </w:p>
    <w:p>
      <w:pPr>
        <w:ind w:left="200" w:hanging="192"/>
        <w:spacing w:after="0" w:line="194" w:lineRule="auto"/>
        <w:tabs>
          <w:tab w:leader="none" w:pos="200" w:val="left"/>
        </w:tabs>
        <w:numPr>
          <w:ilvl w:val="0"/>
          <w:numId w:val="259"/>
        </w:numPr>
        <w:rPr>
          <w:rFonts w:ascii="Arial" w:cs="Arial" w:eastAsia="Arial" w:hAnsi="Arial"/>
          <w:sz w:val="16"/>
          <w:szCs w:val="16"/>
          <w:color w:val="auto"/>
          <w:vertAlign w:val="superscript"/>
        </w:rPr>
      </w:pPr>
      <w:r>
        <w:rPr>
          <w:rFonts w:ascii="Arial" w:cs="Arial" w:eastAsia="Arial" w:hAnsi="Arial"/>
          <w:sz w:val="13"/>
          <w:szCs w:val="13"/>
          <w:color w:val="auto"/>
        </w:rPr>
        <w:t>Vesting restrictions on stock awards and restrictions upon exercise of SARs lapse immediately upon death.</w:t>
      </w:r>
    </w:p>
    <w:p>
      <w:pPr>
        <w:ind w:left="200" w:hanging="192"/>
        <w:spacing w:after="0" w:line="212" w:lineRule="auto"/>
        <w:tabs>
          <w:tab w:leader="none" w:pos="200" w:val="left"/>
        </w:tabs>
        <w:numPr>
          <w:ilvl w:val="0"/>
          <w:numId w:val="260"/>
        </w:numPr>
        <w:rPr>
          <w:rFonts w:ascii="Arial" w:cs="Arial" w:eastAsia="Arial" w:hAnsi="Arial"/>
          <w:sz w:val="16"/>
          <w:szCs w:val="16"/>
          <w:color w:val="auto"/>
          <w:vertAlign w:val="superscript"/>
        </w:rPr>
      </w:pPr>
      <w:r>
        <w:rPr>
          <w:rFonts w:ascii="Arial" w:cs="Arial" w:eastAsia="Arial" w:hAnsi="Arial"/>
          <w:sz w:val="13"/>
          <w:szCs w:val="13"/>
          <w:color w:val="auto"/>
        </w:rPr>
        <w:t>The Government Office provision of an award does not provide any benefit to employees who have met the full-career eligibility provision of that same award. Therefore, under the terms of the</w:t>
      </w:r>
    </w:p>
    <w:p>
      <w:pPr>
        <w:spacing w:after="0" w:line="1" w:lineRule="exact"/>
        <w:rPr>
          <w:sz w:val="20"/>
          <w:szCs w:val="20"/>
          <w:color w:val="auto"/>
        </w:rPr>
      </w:pPr>
    </w:p>
    <w:p>
      <w:pPr>
        <w:jc w:val="both"/>
        <w:ind w:left="200" w:right="360"/>
        <w:spacing w:after="0" w:line="238" w:lineRule="auto"/>
        <w:rPr>
          <w:sz w:val="20"/>
          <w:szCs w:val="20"/>
          <w:color w:val="auto"/>
        </w:rPr>
      </w:pPr>
      <w:r>
        <w:rPr>
          <w:rFonts w:ascii="Arial" w:cs="Arial" w:eastAsia="Arial" w:hAnsi="Arial"/>
          <w:sz w:val="13"/>
          <w:szCs w:val="13"/>
          <w:color w:val="auto"/>
        </w:rPr>
        <w:t>Government Office provision, NEOs would generally not receive any benefit upon termination since they meet the full-career eligibility provision entitling them to continued vesting of their equity awards (see preceding Note 3). For awards that do not have the full career eligibility provision, the amount reported is based on the December 31, 2023 value of the award in which the NEO is eligible to continue to vest.</w:t>
      </w:r>
    </w:p>
    <w:p>
      <w:pPr>
        <w:ind w:left="200" w:hanging="192"/>
        <w:spacing w:after="0" w:line="215" w:lineRule="auto"/>
        <w:tabs>
          <w:tab w:leader="none" w:pos="200" w:val="left"/>
        </w:tabs>
        <w:numPr>
          <w:ilvl w:val="0"/>
          <w:numId w:val="261"/>
        </w:numPr>
        <w:rPr>
          <w:rFonts w:ascii="Arial" w:cs="Arial" w:eastAsia="Arial" w:hAnsi="Arial"/>
          <w:sz w:val="15"/>
          <w:szCs w:val="15"/>
          <w:color w:val="auto"/>
          <w:vertAlign w:val="superscript"/>
        </w:rPr>
      </w:pPr>
      <w:r>
        <w:rPr>
          <w:rFonts w:ascii="Arial" w:cs="Arial" w:eastAsia="Arial" w:hAnsi="Arial"/>
          <w:sz w:val="12"/>
          <w:szCs w:val="12"/>
          <w:color w:val="auto"/>
        </w:rPr>
        <w:t>For death, represents the value of PSUs granted on January 19, 2021, January 18, 2022, and January 17, 2023 assuming: (a) maximum payout related to 2021, 2022, and 2023 performance years;</w:t>
      </w:r>
    </w:p>
    <w:p>
      <w:pPr>
        <w:spacing w:after="0" w:line="8" w:lineRule="exact"/>
        <w:rPr>
          <w:rFonts w:ascii="Arial" w:cs="Arial" w:eastAsia="Arial" w:hAnsi="Arial"/>
          <w:sz w:val="15"/>
          <w:szCs w:val="15"/>
          <w:color w:val="auto"/>
          <w:vertAlign w:val="superscript"/>
        </w:rPr>
      </w:pPr>
    </w:p>
    <w:p>
      <w:pPr>
        <w:ind w:left="200" w:right="80"/>
        <w:spacing w:after="0" w:line="242" w:lineRule="auto"/>
        <w:rPr>
          <w:rFonts w:ascii="Arial" w:cs="Arial" w:eastAsia="Arial" w:hAnsi="Arial"/>
          <w:sz w:val="15"/>
          <w:szCs w:val="15"/>
          <w:color w:val="auto"/>
          <w:vertAlign w:val="superscript"/>
        </w:rPr>
      </w:pPr>
      <w:r>
        <w:rPr>
          <w:rFonts w:ascii="Arial" w:cs="Arial" w:eastAsia="Arial" w:hAnsi="Arial"/>
          <w:sz w:val="13"/>
          <w:szCs w:val="13"/>
          <w:color w:val="auto"/>
        </w:rPr>
        <w:t>(b) target payout related to 2024 and 2025 performance years; and (c) accumulated reinvested dividend equivalent shares as of December 31, 2023. For involuntary without cause, full career eligibility provision and disability, (a) maximum payout related to PSUs granted on January 19, 2021; and (b) target payout is assumed related to PSUs granted on January 18, 2022 and January 17, 2023.</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Pay versus performance disclosure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074A75"/>
        </w:rPr>
        <w:t>PAY VERSUS PERFORMANCE TABLE</w:t>
      </w:r>
    </w:p>
    <w:p>
      <w:pPr>
        <w:spacing w:after="0" w:line="12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presents the executive Compensation Actually Paid ("CAP") for our Principal Executive Officer ("PEO") and non-PEO NEOs relative to the Firm’s financial performance in the format specified by the SEC pursuant to Item 402(v) of Regulation S-K. The CMDC does not utilize CAP for compensation considerations and determinations; for more information on our compensation philosophy and pay decisions for our Named Executive Officers, see our "Compensation Discussion and Analysis" which starts on page 35.</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Firm continues to consider ROTCE its most important company-selected financial performance measure for compensation. ROTCE is a comprehensive performance metric that measures the Firm's net income applicable to common equity as a percentage of average tangible common equity, and reflects how well management is using shareholders’ equity to generate profit. It is a fundamental performance metric that is widely used by the Firm, investors and analysts in assessing the earnings power of common shareholders’ equity capital, and is useful for comparing the profitability of the Firm with that of our competitors.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074A75"/>
              </w:rPr>
              <w:t>Average Summary</w:t>
            </w:r>
          </w:p>
        </w:tc>
        <w:tc>
          <w:tcPr>
            <w:tcW w:w="1580" w:type="dxa"/>
            <w:vAlign w:val="bottom"/>
          </w:tcPr>
          <w:p>
            <w:pPr>
              <w:spacing w:after="0"/>
              <w:rPr>
                <w:sz w:val="14"/>
                <w:szCs w:val="14"/>
                <w:color w:val="auto"/>
              </w:rPr>
            </w:pPr>
          </w:p>
        </w:tc>
        <w:tc>
          <w:tcPr>
            <w:tcW w:w="2960" w:type="dxa"/>
            <w:vAlign w:val="bottom"/>
            <w:gridSpan w:val="2"/>
            <w:vMerge w:val="restart"/>
          </w:tcPr>
          <w:p>
            <w:pPr>
              <w:jc w:val="right"/>
              <w:spacing w:after="0"/>
              <w:rPr>
                <w:sz w:val="20"/>
                <w:szCs w:val="20"/>
                <w:color w:val="auto"/>
              </w:rPr>
            </w:pPr>
            <w:r>
              <w:rPr>
                <w:rFonts w:ascii="Arial" w:cs="Arial" w:eastAsia="Arial" w:hAnsi="Arial"/>
                <w:sz w:val="14"/>
                <w:szCs w:val="14"/>
                <w:color w:val="074A75"/>
              </w:rPr>
              <w:t>Value of Initial Fixed $100 Investment Based</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0" w:type="dxa"/>
            <w:vAlign w:val="bottom"/>
          </w:tcPr>
          <w:p>
            <w:pPr>
              <w:spacing w:after="0"/>
              <w:rPr>
                <w:sz w:val="13"/>
                <w:szCs w:val="13"/>
                <w:color w:val="auto"/>
              </w:rPr>
            </w:pPr>
          </w:p>
        </w:tc>
        <w:tc>
          <w:tcPr>
            <w:tcW w:w="1800" w:type="dxa"/>
            <w:vAlign w:val="bottom"/>
          </w:tcPr>
          <w:p>
            <w:pPr>
              <w:jc w:val="right"/>
              <w:ind w:right="168"/>
              <w:spacing w:after="0" w:line="158" w:lineRule="exact"/>
              <w:rPr>
                <w:sz w:val="20"/>
                <w:szCs w:val="20"/>
                <w:color w:val="auto"/>
              </w:rPr>
            </w:pPr>
            <w:r>
              <w:rPr>
                <w:rFonts w:ascii="Arial" w:cs="Arial" w:eastAsia="Arial" w:hAnsi="Arial"/>
                <w:sz w:val="14"/>
                <w:szCs w:val="14"/>
                <w:color w:val="074A75"/>
              </w:rPr>
              <w:t>Summary</w:t>
            </w:r>
          </w:p>
        </w:tc>
        <w:tc>
          <w:tcPr>
            <w:tcW w:w="1260" w:type="dxa"/>
            <w:vAlign w:val="bottom"/>
          </w:tcPr>
          <w:p>
            <w:pPr>
              <w:jc w:val="right"/>
              <w:ind w:right="28"/>
              <w:spacing w:after="0" w:line="158" w:lineRule="exact"/>
              <w:rPr>
                <w:sz w:val="20"/>
                <w:szCs w:val="20"/>
                <w:color w:val="auto"/>
              </w:rPr>
            </w:pPr>
            <w:r>
              <w:rPr>
                <w:rFonts w:ascii="Arial" w:cs="Arial" w:eastAsia="Arial" w:hAnsi="Arial"/>
                <w:sz w:val="14"/>
                <w:szCs w:val="14"/>
                <w:color w:val="074A75"/>
              </w:rPr>
              <w:t>Compensation</w:t>
            </w:r>
          </w:p>
        </w:tc>
        <w:tc>
          <w:tcPr>
            <w:tcW w:w="1480" w:type="dxa"/>
            <w:vAlign w:val="bottom"/>
          </w:tcPr>
          <w:p>
            <w:pPr>
              <w:jc w:val="right"/>
              <w:spacing w:after="0" w:line="158" w:lineRule="exact"/>
              <w:rPr>
                <w:sz w:val="20"/>
                <w:szCs w:val="20"/>
                <w:color w:val="auto"/>
              </w:rPr>
            </w:pPr>
            <w:r>
              <w:rPr>
                <w:rFonts w:ascii="Arial" w:cs="Arial" w:eastAsia="Arial" w:hAnsi="Arial"/>
                <w:sz w:val="14"/>
                <w:szCs w:val="14"/>
                <w:color w:val="074A75"/>
              </w:rPr>
              <w:t>Compensation Table</w:t>
            </w:r>
          </w:p>
        </w:tc>
        <w:tc>
          <w:tcPr>
            <w:tcW w:w="1580" w:type="dxa"/>
            <w:vAlign w:val="bottom"/>
          </w:tcPr>
          <w:p>
            <w:pPr>
              <w:jc w:val="right"/>
              <w:spacing w:after="0" w:line="158" w:lineRule="exact"/>
              <w:rPr>
                <w:sz w:val="20"/>
                <w:szCs w:val="20"/>
                <w:color w:val="auto"/>
              </w:rPr>
            </w:pPr>
            <w:r>
              <w:rPr>
                <w:rFonts w:ascii="Arial" w:cs="Arial" w:eastAsia="Arial" w:hAnsi="Arial"/>
                <w:sz w:val="14"/>
                <w:szCs w:val="14"/>
                <w:color w:val="074A75"/>
              </w:rPr>
              <w:t>Average Compensation</w:t>
            </w:r>
          </w:p>
        </w:tc>
        <w:tc>
          <w:tcPr>
            <w:tcW w:w="2960" w:type="dxa"/>
            <w:vAlign w:val="bottom"/>
            <w:gridSpan w:val="2"/>
            <w:vMerge w:val="continue"/>
          </w:tcPr>
          <w:p>
            <w:pPr>
              <w:spacing w:after="0"/>
              <w:rPr>
                <w:sz w:val="13"/>
                <w:szCs w:val="13"/>
                <w:color w:val="auto"/>
              </w:rPr>
            </w:pPr>
          </w:p>
        </w:tc>
        <w:tc>
          <w:tcPr>
            <w:tcW w:w="840" w:type="dxa"/>
            <w:vAlign w:val="bottom"/>
          </w:tcPr>
          <w:p>
            <w:pPr>
              <w:jc w:val="right"/>
              <w:ind w:right="48"/>
              <w:spacing w:after="0" w:line="158" w:lineRule="exact"/>
              <w:rPr>
                <w:sz w:val="20"/>
                <w:szCs w:val="20"/>
                <w:color w:val="auto"/>
              </w:rPr>
            </w:pPr>
            <w:r>
              <w:rPr>
                <w:rFonts w:ascii="Arial" w:cs="Arial" w:eastAsia="Arial" w:hAnsi="Arial"/>
                <w:sz w:val="14"/>
                <w:szCs w:val="14"/>
                <w:color w:val="074A75"/>
              </w:rPr>
              <w:t>Net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06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074A75"/>
              </w:rPr>
              <w:t>Compensation Table Actually Paid to PEO</w:t>
            </w:r>
          </w:p>
        </w:tc>
        <w:tc>
          <w:tcPr>
            <w:tcW w:w="1480" w:type="dxa"/>
            <w:vAlign w:val="bottom"/>
          </w:tcPr>
          <w:p>
            <w:pPr>
              <w:jc w:val="right"/>
              <w:spacing w:after="0" w:line="142" w:lineRule="exact"/>
              <w:rPr>
                <w:sz w:val="20"/>
                <w:szCs w:val="20"/>
                <w:color w:val="auto"/>
              </w:rPr>
            </w:pPr>
            <w:r>
              <w:rPr>
                <w:rFonts w:ascii="Arial" w:cs="Arial" w:eastAsia="Arial" w:hAnsi="Arial"/>
                <w:sz w:val="14"/>
                <w:szCs w:val="14"/>
                <w:color w:val="074A75"/>
              </w:rPr>
              <w:t>Total for non-PEO</w:t>
            </w:r>
          </w:p>
        </w:tc>
        <w:tc>
          <w:tcPr>
            <w:tcW w:w="1580" w:type="dxa"/>
            <w:vAlign w:val="bottom"/>
          </w:tcPr>
          <w:p>
            <w:pPr>
              <w:jc w:val="right"/>
              <w:spacing w:after="0" w:line="142" w:lineRule="exact"/>
              <w:rPr>
                <w:sz w:val="20"/>
                <w:szCs w:val="20"/>
                <w:color w:val="auto"/>
              </w:rPr>
            </w:pPr>
            <w:r>
              <w:rPr>
                <w:rFonts w:ascii="Arial" w:cs="Arial" w:eastAsia="Arial" w:hAnsi="Arial"/>
                <w:sz w:val="14"/>
                <w:szCs w:val="14"/>
                <w:color w:val="074A75"/>
              </w:rPr>
              <w:t>Actually Paid to non-</w:t>
            </w:r>
          </w:p>
        </w:tc>
        <w:tc>
          <w:tcPr>
            <w:tcW w:w="1620" w:type="dxa"/>
            <w:vAlign w:val="bottom"/>
            <w:tcBorders>
              <w:bottom w:val="single" w:sz="8" w:color="6D6D6D"/>
            </w:tcBorders>
          </w:tcPr>
          <w:p>
            <w:pPr>
              <w:jc w:val="right"/>
              <w:spacing w:after="0" w:line="149" w:lineRule="exact"/>
              <w:rPr>
                <w:sz w:val="20"/>
                <w:szCs w:val="20"/>
                <w:color w:val="auto"/>
              </w:rPr>
            </w:pPr>
            <w:r>
              <w:rPr>
                <w:rFonts w:ascii="Arial" w:cs="Arial" w:eastAsia="Arial" w:hAnsi="Arial"/>
                <w:sz w:val="14"/>
                <w:szCs w:val="14"/>
                <w:color w:val="074A75"/>
              </w:rPr>
              <w:t>On:</w:t>
            </w:r>
          </w:p>
        </w:tc>
        <w:tc>
          <w:tcPr>
            <w:tcW w:w="1340" w:type="dxa"/>
            <w:vAlign w:val="bottom"/>
            <w:tcBorders>
              <w:bottom w:val="single" w:sz="8" w:color="6D6D6D"/>
            </w:tcBorders>
          </w:tcPr>
          <w:p>
            <w:pPr>
              <w:spacing w:after="0"/>
              <w:rPr>
                <w:sz w:val="12"/>
                <w:szCs w:val="12"/>
                <w:color w:val="auto"/>
              </w:rPr>
            </w:pPr>
          </w:p>
        </w:tc>
        <w:tc>
          <w:tcPr>
            <w:tcW w:w="840" w:type="dxa"/>
            <w:vAlign w:val="bottom"/>
          </w:tcPr>
          <w:p>
            <w:pPr>
              <w:jc w:val="right"/>
              <w:ind w:right="48"/>
              <w:spacing w:after="0" w:line="142" w:lineRule="exact"/>
              <w:rPr>
                <w:sz w:val="20"/>
                <w:szCs w:val="20"/>
                <w:color w:val="auto"/>
              </w:rPr>
            </w:pPr>
            <w:r>
              <w:rPr>
                <w:rFonts w:ascii="Arial" w:cs="Arial" w:eastAsia="Arial" w:hAnsi="Arial"/>
                <w:sz w:val="14"/>
                <w:szCs w:val="14"/>
                <w:color w:val="074A75"/>
              </w:rPr>
              <w:t>Income</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074A75"/>
              </w:rPr>
              <w:t>ROTCE</w:t>
            </w:r>
            <w:r>
              <w:rPr>
                <w:rFonts w:ascii="Arial" w:cs="Arial" w:eastAsia="Arial" w:hAnsi="Arial"/>
                <w:sz w:val="16"/>
                <w:szCs w:val="16"/>
                <w:color w:val="074A75"/>
                <w:vertAlign w:val="superscript"/>
              </w:rPr>
              <w:t>4</w:t>
            </w:r>
          </w:p>
        </w:tc>
        <w:tc>
          <w:tcPr>
            <w:tcW w:w="0" w:type="dxa"/>
            <w:vAlign w:val="bottom"/>
          </w:tcPr>
          <w:p>
            <w:pPr>
              <w:spacing w:after="0"/>
              <w:rPr>
                <w:sz w:val="1"/>
                <w:szCs w:val="1"/>
                <w:color w:val="auto"/>
              </w:rPr>
            </w:pPr>
          </w:p>
        </w:tc>
      </w:tr>
      <w:tr>
        <w:trPr>
          <w:trHeight w:val="237"/>
        </w:trPr>
        <w:tc>
          <w:tcPr>
            <w:tcW w:w="640" w:type="dxa"/>
            <w:vAlign w:val="bottom"/>
            <w:tcBorders>
              <w:bottom w:val="single" w:sz="8" w:color="6D6D6D"/>
            </w:tcBorders>
          </w:tcPr>
          <w:p>
            <w:pPr>
              <w:ind w:left="20"/>
              <w:spacing w:after="0"/>
              <w:rPr>
                <w:sz w:val="20"/>
                <w:szCs w:val="20"/>
                <w:color w:val="auto"/>
              </w:rPr>
            </w:pPr>
            <w:r>
              <w:rPr>
                <w:rFonts w:ascii="Arial" w:cs="Arial" w:eastAsia="Arial" w:hAnsi="Arial"/>
                <w:sz w:val="14"/>
                <w:szCs w:val="14"/>
                <w:color w:val="074A75"/>
              </w:rPr>
              <w:t>Year</w:t>
            </w:r>
            <w:r>
              <w:rPr>
                <w:rFonts w:ascii="Arial" w:cs="Arial" w:eastAsia="Arial" w:hAnsi="Arial"/>
                <w:sz w:val="18"/>
                <w:szCs w:val="18"/>
                <w:color w:val="074A75"/>
                <w:vertAlign w:val="superscript"/>
              </w:rPr>
              <w:t>1</w:t>
            </w:r>
          </w:p>
        </w:tc>
        <w:tc>
          <w:tcPr>
            <w:tcW w:w="1800" w:type="dxa"/>
            <w:vAlign w:val="bottom"/>
            <w:tcBorders>
              <w:bottom w:val="single" w:sz="8" w:color="6D6D6D"/>
            </w:tcBorders>
          </w:tcPr>
          <w:p>
            <w:pPr>
              <w:jc w:val="right"/>
              <w:ind w:right="168"/>
              <w:spacing w:after="0"/>
              <w:rPr>
                <w:sz w:val="20"/>
                <w:szCs w:val="20"/>
                <w:color w:val="auto"/>
              </w:rPr>
            </w:pPr>
            <w:r>
              <w:rPr>
                <w:rFonts w:ascii="Arial" w:cs="Arial" w:eastAsia="Arial" w:hAnsi="Arial"/>
                <w:sz w:val="14"/>
                <w:szCs w:val="14"/>
                <w:color w:val="074A75"/>
              </w:rPr>
              <w:t>Total for PEO ($)</w:t>
            </w:r>
          </w:p>
        </w:tc>
        <w:tc>
          <w:tcPr>
            <w:tcW w:w="1260" w:type="dxa"/>
            <w:vAlign w:val="bottom"/>
            <w:tcBorders>
              <w:bottom w:val="single" w:sz="8" w:color="6D6D6D"/>
            </w:tcBorders>
          </w:tcPr>
          <w:p>
            <w:pPr>
              <w:jc w:val="right"/>
              <w:ind w:right="28"/>
              <w:spacing w:after="0"/>
              <w:rPr>
                <w:sz w:val="20"/>
                <w:szCs w:val="20"/>
                <w:color w:val="auto"/>
              </w:rPr>
            </w:pPr>
            <w:r>
              <w:rPr>
                <w:rFonts w:ascii="Arial" w:cs="Arial" w:eastAsia="Arial" w:hAnsi="Arial"/>
                <w:sz w:val="14"/>
                <w:szCs w:val="14"/>
                <w:color w:val="074A75"/>
              </w:rPr>
              <w:t>($)</w:t>
            </w:r>
            <w:r>
              <w:rPr>
                <w:rFonts w:ascii="Arial" w:cs="Arial" w:eastAsia="Arial" w:hAnsi="Arial"/>
                <w:sz w:val="18"/>
                <w:szCs w:val="18"/>
                <w:color w:val="074A75"/>
                <w:vertAlign w:val="superscript"/>
              </w:rPr>
              <w:t>2</w:t>
            </w:r>
          </w:p>
        </w:tc>
        <w:tc>
          <w:tcPr>
            <w:tcW w:w="14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074A75"/>
              </w:rPr>
              <w:t>NEOs ($)</w:t>
            </w:r>
          </w:p>
        </w:tc>
        <w:tc>
          <w:tcPr>
            <w:tcW w:w="15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074A75"/>
              </w:rPr>
              <w:t>PEO NEOs ($)</w:t>
            </w:r>
            <w:r>
              <w:rPr>
                <w:rFonts w:ascii="Arial" w:cs="Arial" w:eastAsia="Arial" w:hAnsi="Arial"/>
                <w:sz w:val="18"/>
                <w:szCs w:val="18"/>
                <w:color w:val="074A75"/>
                <w:vertAlign w:val="superscript"/>
              </w:rPr>
              <w:t>2</w:t>
            </w:r>
          </w:p>
        </w:tc>
        <w:tc>
          <w:tcPr>
            <w:tcW w:w="1620" w:type="dxa"/>
            <w:vAlign w:val="bottom"/>
            <w:tcBorders>
              <w:bottom w:val="single" w:sz="8" w:color="6D6D6D"/>
            </w:tcBorders>
          </w:tcPr>
          <w:p>
            <w:pPr>
              <w:jc w:val="right"/>
              <w:ind w:right="108"/>
              <w:spacing w:after="0"/>
              <w:rPr>
                <w:sz w:val="20"/>
                <w:szCs w:val="20"/>
                <w:color w:val="auto"/>
              </w:rPr>
            </w:pPr>
            <w:r>
              <w:rPr>
                <w:rFonts w:ascii="Arial" w:cs="Arial" w:eastAsia="Arial" w:hAnsi="Arial"/>
                <w:sz w:val="14"/>
                <w:szCs w:val="14"/>
                <w:color w:val="074A75"/>
              </w:rPr>
              <w:t>Company TSR</w:t>
            </w:r>
            <w:r>
              <w:rPr>
                <w:rFonts w:ascii="Arial" w:cs="Arial" w:eastAsia="Arial" w:hAnsi="Arial"/>
                <w:sz w:val="18"/>
                <w:szCs w:val="18"/>
                <w:color w:val="074A75"/>
                <w:vertAlign w:val="superscript"/>
              </w:rPr>
              <w:t>3</w:t>
            </w:r>
            <w:r>
              <w:rPr>
                <w:rFonts w:ascii="Arial" w:cs="Arial" w:eastAsia="Arial" w:hAnsi="Arial"/>
                <w:sz w:val="14"/>
                <w:szCs w:val="14"/>
                <w:color w:val="074A75"/>
              </w:rPr>
              <w:t xml:space="preserve"> ($)</w:t>
            </w:r>
          </w:p>
        </w:tc>
        <w:tc>
          <w:tcPr>
            <w:tcW w:w="134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074A75"/>
              </w:rPr>
              <w:t>Peer Group TSR</w:t>
            </w:r>
            <w:r>
              <w:rPr>
                <w:rFonts w:ascii="Arial" w:cs="Arial" w:eastAsia="Arial" w:hAnsi="Arial"/>
                <w:sz w:val="18"/>
                <w:szCs w:val="18"/>
                <w:color w:val="074A75"/>
                <w:vertAlign w:val="superscript"/>
              </w:rPr>
              <w:t>3</w:t>
            </w:r>
            <w:r>
              <w:rPr>
                <w:rFonts w:ascii="Arial" w:cs="Arial" w:eastAsia="Arial" w:hAnsi="Arial"/>
                <w:sz w:val="14"/>
                <w:szCs w:val="14"/>
                <w:color w:val="074A75"/>
              </w:rPr>
              <w:t xml:space="preserve"> ($)</w:t>
            </w:r>
          </w:p>
        </w:tc>
        <w:tc>
          <w:tcPr>
            <w:tcW w:w="840" w:type="dxa"/>
            <w:vAlign w:val="bottom"/>
            <w:tcBorders>
              <w:bottom w:val="single" w:sz="8" w:color="6D6D6D"/>
            </w:tcBorders>
          </w:tcPr>
          <w:p>
            <w:pPr>
              <w:jc w:val="right"/>
              <w:ind w:right="48"/>
              <w:spacing w:after="0"/>
              <w:rPr>
                <w:sz w:val="20"/>
                <w:szCs w:val="20"/>
                <w:color w:val="auto"/>
              </w:rPr>
            </w:pPr>
            <w:r>
              <w:rPr>
                <w:rFonts w:ascii="Arial" w:cs="Arial" w:eastAsia="Arial" w:hAnsi="Arial"/>
                <w:sz w:val="14"/>
                <w:szCs w:val="14"/>
                <w:color w:val="074A75"/>
              </w:rPr>
              <w:t>($B)</w:t>
            </w:r>
          </w:p>
        </w:tc>
        <w:tc>
          <w:tcPr>
            <w:tcW w:w="6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074A75"/>
              </w:rPr>
              <w:t>(%)</w:t>
            </w:r>
          </w:p>
        </w:tc>
        <w:tc>
          <w:tcPr>
            <w:tcW w:w="0" w:type="dxa"/>
            <w:vAlign w:val="bottom"/>
          </w:tcPr>
          <w:p>
            <w:pPr>
              <w:spacing w:after="0"/>
              <w:rPr>
                <w:sz w:val="1"/>
                <w:szCs w:val="1"/>
                <w:color w:val="auto"/>
              </w:rPr>
            </w:pPr>
          </w:p>
        </w:tc>
      </w:tr>
      <w:tr>
        <w:trPr>
          <w:trHeight w:val="208"/>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2023</w:t>
            </w:r>
          </w:p>
        </w:tc>
        <w:tc>
          <w:tcPr>
            <w:tcW w:w="1800" w:type="dxa"/>
            <w:vAlign w:val="bottom"/>
          </w:tcPr>
          <w:p>
            <w:pPr>
              <w:jc w:val="right"/>
              <w:ind w:right="208"/>
              <w:spacing w:after="0"/>
              <w:rPr>
                <w:sz w:val="20"/>
                <w:szCs w:val="20"/>
                <w:color w:val="auto"/>
              </w:rPr>
            </w:pPr>
            <w:r>
              <w:rPr>
                <w:rFonts w:ascii="Arial" w:cs="Arial" w:eastAsia="Arial" w:hAnsi="Arial"/>
                <w:sz w:val="14"/>
                <w:szCs w:val="14"/>
                <w:color w:val="auto"/>
              </w:rPr>
              <w:t>$35,093,780</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$103,727,807</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$21,481,873</w:t>
            </w:r>
          </w:p>
        </w:tc>
        <w:tc>
          <w:tcPr>
            <w:tcW w:w="1580" w:type="dxa"/>
            <w:vAlign w:val="bottom"/>
          </w:tcPr>
          <w:p>
            <w:pPr>
              <w:jc w:val="right"/>
              <w:spacing w:after="0"/>
              <w:rPr>
                <w:sz w:val="20"/>
                <w:szCs w:val="20"/>
                <w:color w:val="auto"/>
              </w:rPr>
            </w:pPr>
            <w:r>
              <w:rPr>
                <w:rFonts w:ascii="Arial" w:cs="Arial" w:eastAsia="Arial" w:hAnsi="Arial"/>
                <w:sz w:val="14"/>
                <w:szCs w:val="14"/>
                <w:color w:val="auto"/>
              </w:rPr>
              <w:t>$41,047,384</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$137.91</w:t>
            </w:r>
          </w:p>
        </w:tc>
        <w:tc>
          <w:tcPr>
            <w:tcW w:w="1340" w:type="dxa"/>
            <w:vAlign w:val="bottom"/>
          </w:tcPr>
          <w:p>
            <w:pPr>
              <w:jc w:val="right"/>
              <w:spacing w:after="0"/>
              <w:rPr>
                <w:sz w:val="20"/>
                <w:szCs w:val="20"/>
                <w:color w:val="auto"/>
              </w:rPr>
            </w:pPr>
            <w:r>
              <w:rPr>
                <w:rFonts w:ascii="Arial" w:cs="Arial" w:eastAsia="Arial" w:hAnsi="Arial"/>
                <w:sz w:val="14"/>
                <w:szCs w:val="14"/>
                <w:color w:val="auto"/>
              </w:rPr>
              <w:t>$132.94</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$49.6</w:t>
            </w:r>
          </w:p>
        </w:tc>
        <w:tc>
          <w:tcPr>
            <w:tcW w:w="68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229"/>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1800" w:type="dxa"/>
            <w:vAlign w:val="bottom"/>
          </w:tcPr>
          <w:p>
            <w:pPr>
              <w:jc w:val="right"/>
              <w:ind w:right="208"/>
              <w:spacing w:after="0"/>
              <w:rPr>
                <w:sz w:val="20"/>
                <w:szCs w:val="20"/>
                <w:color w:val="auto"/>
              </w:rPr>
            </w:pPr>
            <w:r>
              <w:rPr>
                <w:rFonts w:ascii="Arial" w:cs="Arial" w:eastAsia="Arial" w:hAnsi="Arial"/>
                <w:sz w:val="14"/>
                <w:szCs w:val="14"/>
                <w:color w:val="auto"/>
              </w:rPr>
              <w:t>34,848,606</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37,460,704</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19,230,223</w:t>
            </w:r>
          </w:p>
        </w:tc>
        <w:tc>
          <w:tcPr>
            <w:tcW w:w="1580" w:type="dxa"/>
            <w:vAlign w:val="bottom"/>
          </w:tcPr>
          <w:p>
            <w:pPr>
              <w:jc w:val="right"/>
              <w:spacing w:after="0"/>
              <w:rPr>
                <w:sz w:val="20"/>
                <w:szCs w:val="20"/>
                <w:color w:val="auto"/>
              </w:rPr>
            </w:pPr>
            <w:r>
              <w:rPr>
                <w:rFonts w:ascii="Arial" w:cs="Arial" w:eastAsia="Arial" w:hAnsi="Arial"/>
                <w:sz w:val="14"/>
                <w:szCs w:val="14"/>
                <w:color w:val="auto"/>
              </w:rPr>
              <w:t>17,207,207</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105.48</w:t>
            </w:r>
          </w:p>
        </w:tc>
        <w:tc>
          <w:tcPr>
            <w:tcW w:w="1340" w:type="dxa"/>
            <w:vAlign w:val="bottom"/>
          </w:tcPr>
          <w:p>
            <w:pPr>
              <w:jc w:val="right"/>
              <w:spacing w:after="0"/>
              <w:rPr>
                <w:sz w:val="20"/>
                <w:szCs w:val="20"/>
                <w:color w:val="auto"/>
              </w:rPr>
            </w:pPr>
            <w:r>
              <w:rPr>
                <w:rFonts w:ascii="Arial" w:cs="Arial" w:eastAsia="Arial" w:hAnsi="Arial"/>
                <w:sz w:val="14"/>
                <w:szCs w:val="14"/>
                <w:color w:val="auto"/>
              </w:rPr>
              <w:t>118.54</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37.7</w:t>
            </w:r>
          </w:p>
        </w:tc>
        <w:tc>
          <w:tcPr>
            <w:tcW w:w="68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30"/>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1800" w:type="dxa"/>
            <w:vAlign w:val="bottom"/>
          </w:tcPr>
          <w:p>
            <w:pPr>
              <w:jc w:val="right"/>
              <w:ind w:right="208"/>
              <w:spacing w:after="0"/>
              <w:rPr>
                <w:sz w:val="20"/>
                <w:szCs w:val="20"/>
                <w:color w:val="auto"/>
              </w:rPr>
            </w:pPr>
            <w:r>
              <w:rPr>
                <w:rFonts w:ascii="Arial" w:cs="Arial" w:eastAsia="Arial" w:hAnsi="Arial"/>
                <w:sz w:val="14"/>
                <w:szCs w:val="14"/>
                <w:color w:val="auto"/>
              </w:rPr>
              <w:t>84,428,145</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130,523,740</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23,472,201</w:t>
            </w:r>
          </w:p>
        </w:tc>
        <w:tc>
          <w:tcPr>
            <w:tcW w:w="1580" w:type="dxa"/>
            <w:vAlign w:val="bottom"/>
          </w:tcPr>
          <w:p>
            <w:pPr>
              <w:jc w:val="right"/>
              <w:spacing w:after="0"/>
              <w:rPr>
                <w:sz w:val="20"/>
                <w:szCs w:val="20"/>
                <w:color w:val="auto"/>
              </w:rPr>
            </w:pPr>
            <w:r>
              <w:rPr>
                <w:rFonts w:ascii="Arial" w:cs="Arial" w:eastAsia="Arial" w:hAnsi="Arial"/>
                <w:sz w:val="14"/>
                <w:szCs w:val="14"/>
                <w:color w:val="auto"/>
              </w:rPr>
              <w:t>35,685,622</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120.68</w:t>
            </w:r>
          </w:p>
        </w:tc>
        <w:tc>
          <w:tcPr>
            <w:tcW w:w="1340" w:type="dxa"/>
            <w:vAlign w:val="bottom"/>
          </w:tcPr>
          <w:p>
            <w:pPr>
              <w:jc w:val="right"/>
              <w:spacing w:after="0"/>
              <w:rPr>
                <w:sz w:val="20"/>
                <w:szCs w:val="20"/>
                <w:color w:val="auto"/>
              </w:rPr>
            </w:pPr>
            <w:r>
              <w:rPr>
                <w:rFonts w:ascii="Arial" w:cs="Arial" w:eastAsia="Arial" w:hAnsi="Arial"/>
                <w:sz w:val="14"/>
                <w:szCs w:val="14"/>
                <w:color w:val="auto"/>
              </w:rPr>
              <w:t>132.50</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48.3</w:t>
            </w:r>
          </w:p>
        </w:tc>
        <w:tc>
          <w:tcPr>
            <w:tcW w:w="680" w:type="dxa"/>
            <w:vAlign w:val="bottom"/>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38"/>
        </w:trPr>
        <w:tc>
          <w:tcPr>
            <w:tcW w:w="640" w:type="dxa"/>
            <w:vAlign w:val="bottom"/>
            <w:tcBorders>
              <w:bottom w:val="single" w:sz="8" w:color="6D6D6D"/>
            </w:tcBorders>
          </w:tcPr>
          <w:p>
            <w:pPr>
              <w:ind w:left="20"/>
              <w:spacing w:after="0"/>
              <w:rPr>
                <w:sz w:val="20"/>
                <w:szCs w:val="20"/>
                <w:color w:val="auto"/>
              </w:rPr>
            </w:pPr>
            <w:r>
              <w:rPr>
                <w:rFonts w:ascii="Arial" w:cs="Arial" w:eastAsia="Arial" w:hAnsi="Arial"/>
                <w:sz w:val="14"/>
                <w:szCs w:val="14"/>
                <w:b w:val="1"/>
                <w:bCs w:val="1"/>
                <w:color w:val="auto"/>
              </w:rPr>
              <w:t>2020</w:t>
            </w:r>
          </w:p>
        </w:tc>
        <w:tc>
          <w:tcPr>
            <w:tcW w:w="1800" w:type="dxa"/>
            <w:vAlign w:val="bottom"/>
            <w:tcBorders>
              <w:bottom w:val="single" w:sz="8" w:color="6D6D6D"/>
            </w:tcBorders>
          </w:tcPr>
          <w:p>
            <w:pPr>
              <w:jc w:val="right"/>
              <w:ind w:right="208"/>
              <w:spacing w:after="0"/>
              <w:rPr>
                <w:sz w:val="20"/>
                <w:szCs w:val="20"/>
                <w:color w:val="auto"/>
              </w:rPr>
            </w:pPr>
            <w:r>
              <w:rPr>
                <w:rFonts w:ascii="Arial" w:cs="Arial" w:eastAsia="Arial" w:hAnsi="Arial"/>
                <w:sz w:val="14"/>
                <w:szCs w:val="14"/>
                <w:color w:val="auto"/>
              </w:rPr>
              <w:t>31,664,554</w:t>
            </w:r>
          </w:p>
        </w:tc>
        <w:tc>
          <w:tcPr>
            <w:tcW w:w="1260" w:type="dxa"/>
            <w:vAlign w:val="bottom"/>
            <w:tcBorders>
              <w:bottom w:val="single" w:sz="8" w:color="6D6D6D"/>
            </w:tcBorders>
          </w:tcPr>
          <w:p>
            <w:pPr>
              <w:jc w:val="right"/>
              <w:ind w:right="88"/>
              <w:spacing w:after="0"/>
              <w:rPr>
                <w:sz w:val="20"/>
                <w:szCs w:val="20"/>
                <w:color w:val="auto"/>
              </w:rPr>
            </w:pPr>
            <w:r>
              <w:rPr>
                <w:rFonts w:ascii="Arial" w:cs="Arial" w:eastAsia="Arial" w:hAnsi="Arial"/>
                <w:sz w:val="14"/>
                <w:szCs w:val="14"/>
                <w:color w:val="auto"/>
              </w:rPr>
              <w:t>10,691,379</w:t>
            </w:r>
          </w:p>
        </w:tc>
        <w:tc>
          <w:tcPr>
            <w:tcW w:w="1480" w:type="dxa"/>
            <w:vAlign w:val="bottom"/>
            <w:tcBorders>
              <w:bottom w:val="single" w:sz="8" w:color="6D6D6D"/>
            </w:tcBorders>
          </w:tcPr>
          <w:p>
            <w:pPr>
              <w:jc w:val="right"/>
              <w:ind w:right="28"/>
              <w:spacing w:after="0"/>
              <w:rPr>
                <w:sz w:val="20"/>
                <w:szCs w:val="20"/>
                <w:color w:val="auto"/>
              </w:rPr>
            </w:pPr>
            <w:r>
              <w:rPr>
                <w:rFonts w:ascii="Arial" w:cs="Arial" w:eastAsia="Arial" w:hAnsi="Arial"/>
                <w:sz w:val="14"/>
                <w:szCs w:val="14"/>
                <w:color w:val="auto"/>
              </w:rPr>
              <w:t>19,253,451</w:t>
            </w:r>
          </w:p>
        </w:tc>
        <w:tc>
          <w:tcPr>
            <w:tcW w:w="15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14,705,061</w:t>
            </w:r>
          </w:p>
        </w:tc>
        <w:tc>
          <w:tcPr>
            <w:tcW w:w="1620" w:type="dxa"/>
            <w:vAlign w:val="bottom"/>
            <w:tcBorders>
              <w:bottom w:val="single" w:sz="8" w:color="6D6D6D"/>
            </w:tcBorders>
          </w:tcPr>
          <w:p>
            <w:pPr>
              <w:jc w:val="right"/>
              <w:ind w:right="168"/>
              <w:spacing w:after="0"/>
              <w:rPr>
                <w:sz w:val="20"/>
                <w:szCs w:val="20"/>
                <w:color w:val="auto"/>
              </w:rPr>
            </w:pPr>
            <w:r>
              <w:rPr>
                <w:rFonts w:ascii="Arial" w:cs="Arial" w:eastAsia="Arial" w:hAnsi="Arial"/>
                <w:sz w:val="14"/>
                <w:szCs w:val="14"/>
                <w:color w:val="auto"/>
              </w:rPr>
              <w:t>94.48</w:t>
            </w:r>
          </w:p>
        </w:tc>
        <w:tc>
          <w:tcPr>
            <w:tcW w:w="134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98.24</w:t>
            </w:r>
          </w:p>
        </w:tc>
        <w:tc>
          <w:tcPr>
            <w:tcW w:w="840" w:type="dxa"/>
            <w:vAlign w:val="bottom"/>
            <w:tcBorders>
              <w:bottom w:val="single" w:sz="8" w:color="6D6D6D"/>
            </w:tcBorders>
          </w:tcPr>
          <w:p>
            <w:pPr>
              <w:jc w:val="right"/>
              <w:ind w:right="88"/>
              <w:spacing w:after="0"/>
              <w:rPr>
                <w:sz w:val="20"/>
                <w:szCs w:val="20"/>
                <w:color w:val="auto"/>
              </w:rPr>
            </w:pPr>
            <w:r>
              <w:rPr>
                <w:rFonts w:ascii="Arial" w:cs="Arial" w:eastAsia="Arial" w:hAnsi="Arial"/>
                <w:sz w:val="14"/>
                <w:szCs w:val="14"/>
                <w:color w:val="auto"/>
              </w:rPr>
              <w:t>29.1</w:t>
            </w:r>
          </w:p>
        </w:tc>
        <w:tc>
          <w:tcPr>
            <w:tcW w:w="6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00" w:right="160" w:hanging="192"/>
        <w:spacing w:after="0" w:line="216" w:lineRule="auto"/>
        <w:tabs>
          <w:tab w:leader="none" w:pos="200" w:val="left"/>
        </w:tabs>
        <w:numPr>
          <w:ilvl w:val="0"/>
          <w:numId w:val="262"/>
        </w:numPr>
        <w:rPr>
          <w:rFonts w:ascii="Arial" w:cs="Arial" w:eastAsia="Arial" w:hAnsi="Arial"/>
          <w:sz w:val="16"/>
          <w:szCs w:val="16"/>
          <w:color w:val="auto"/>
          <w:vertAlign w:val="superscript"/>
        </w:rPr>
      </w:pPr>
      <w:r>
        <w:rPr>
          <w:rFonts w:ascii="Arial" w:cs="Arial" w:eastAsia="Arial" w:hAnsi="Arial"/>
          <w:sz w:val="13"/>
          <w:szCs w:val="13"/>
          <w:color w:val="auto"/>
        </w:rPr>
        <w:t>NEOs included in the above table are comprised of the following individuals. In accordance with SEC rules, only the Firm's CEO, CFO and three highest-paid NEOs from the 2023 SCT on page 63 have been included.</w:t>
      </w:r>
    </w:p>
    <w:p>
      <w:pPr>
        <w:spacing w:after="0" w:line="42"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340" w:type="dxa"/>
            <w:vAlign w:val="bottom"/>
          </w:tcPr>
          <w:p>
            <w:pPr>
              <w:ind w:left="20"/>
              <w:spacing w:after="0"/>
              <w:rPr>
                <w:sz w:val="20"/>
                <w:szCs w:val="20"/>
                <w:color w:val="auto"/>
              </w:rPr>
            </w:pPr>
            <w:r>
              <w:rPr>
                <w:rFonts w:ascii="Arial" w:cs="Arial" w:eastAsia="Arial" w:hAnsi="Arial"/>
                <w:sz w:val="11"/>
                <w:szCs w:val="11"/>
                <w:color w:val="074A75"/>
              </w:rPr>
              <w:t>Year</w:t>
            </w:r>
          </w:p>
        </w:tc>
        <w:tc>
          <w:tcPr>
            <w:tcW w:w="820" w:type="dxa"/>
            <w:vAlign w:val="bottom"/>
          </w:tcPr>
          <w:p>
            <w:pPr>
              <w:ind w:left="80"/>
              <w:spacing w:after="0"/>
              <w:rPr>
                <w:sz w:val="20"/>
                <w:szCs w:val="20"/>
                <w:color w:val="auto"/>
              </w:rPr>
            </w:pPr>
            <w:r>
              <w:rPr>
                <w:rFonts w:ascii="Arial" w:cs="Arial" w:eastAsia="Arial" w:hAnsi="Arial"/>
                <w:sz w:val="11"/>
                <w:szCs w:val="11"/>
                <w:color w:val="074A75"/>
              </w:rPr>
              <w:t>PEO</w:t>
            </w:r>
          </w:p>
        </w:tc>
        <w:tc>
          <w:tcPr>
            <w:tcW w:w="4660" w:type="dxa"/>
            <w:vAlign w:val="bottom"/>
          </w:tcPr>
          <w:p>
            <w:pPr>
              <w:ind w:left="80"/>
              <w:spacing w:after="0"/>
              <w:rPr>
                <w:sz w:val="20"/>
                <w:szCs w:val="20"/>
                <w:color w:val="auto"/>
              </w:rPr>
            </w:pPr>
            <w:r>
              <w:rPr>
                <w:rFonts w:ascii="Arial" w:cs="Arial" w:eastAsia="Arial" w:hAnsi="Arial"/>
                <w:sz w:val="11"/>
                <w:szCs w:val="11"/>
                <w:color w:val="074A75"/>
              </w:rPr>
              <w:t>Non-PEO NEOs</w:t>
            </w:r>
          </w:p>
        </w:tc>
      </w:tr>
      <w:tr>
        <w:trPr>
          <w:trHeight w:val="33"/>
        </w:trPr>
        <w:tc>
          <w:tcPr>
            <w:tcW w:w="340" w:type="dxa"/>
            <w:vAlign w:val="bottom"/>
            <w:tcBorders>
              <w:bottom w:val="single" w:sz="8" w:color="6D6D6D"/>
            </w:tcBorders>
          </w:tcPr>
          <w:p>
            <w:pPr>
              <w:spacing w:after="0"/>
              <w:rPr>
                <w:sz w:val="2"/>
                <w:szCs w:val="2"/>
                <w:color w:val="auto"/>
              </w:rPr>
            </w:pPr>
          </w:p>
        </w:tc>
        <w:tc>
          <w:tcPr>
            <w:tcW w:w="820" w:type="dxa"/>
            <w:vAlign w:val="bottom"/>
            <w:tcBorders>
              <w:bottom w:val="single" w:sz="8" w:color="6D6D6D"/>
            </w:tcBorders>
          </w:tcPr>
          <w:p>
            <w:pPr>
              <w:spacing w:after="0"/>
              <w:rPr>
                <w:sz w:val="2"/>
                <w:szCs w:val="2"/>
                <w:color w:val="auto"/>
              </w:rPr>
            </w:pPr>
          </w:p>
        </w:tc>
        <w:tc>
          <w:tcPr>
            <w:tcW w:w="4660" w:type="dxa"/>
            <w:vAlign w:val="bottom"/>
            <w:tcBorders>
              <w:bottom w:val="single" w:sz="8" w:color="6D6D6D"/>
            </w:tcBorders>
          </w:tcPr>
          <w:p>
            <w:pPr>
              <w:spacing w:after="0"/>
              <w:rPr>
                <w:sz w:val="2"/>
                <w:szCs w:val="2"/>
                <w:color w:val="auto"/>
              </w:rPr>
            </w:pPr>
          </w:p>
        </w:tc>
      </w:tr>
      <w:tr>
        <w:trPr>
          <w:trHeight w:val="149"/>
        </w:trPr>
        <w:tc>
          <w:tcPr>
            <w:tcW w:w="340" w:type="dxa"/>
            <w:vAlign w:val="bottom"/>
          </w:tcPr>
          <w:p>
            <w:pPr>
              <w:ind w:left="20"/>
              <w:spacing w:after="0"/>
              <w:rPr>
                <w:sz w:val="20"/>
                <w:szCs w:val="20"/>
                <w:color w:val="auto"/>
              </w:rPr>
            </w:pPr>
            <w:r>
              <w:rPr>
                <w:rFonts w:ascii="Arial" w:cs="Arial" w:eastAsia="Arial" w:hAnsi="Arial"/>
                <w:sz w:val="11"/>
                <w:szCs w:val="11"/>
                <w:color w:val="auto"/>
              </w:rPr>
              <w:t>2023</w:t>
            </w:r>
          </w:p>
        </w:tc>
        <w:tc>
          <w:tcPr>
            <w:tcW w:w="820" w:type="dxa"/>
            <w:vAlign w:val="bottom"/>
          </w:tcPr>
          <w:p>
            <w:pPr>
              <w:ind w:left="80"/>
              <w:spacing w:after="0"/>
              <w:rPr>
                <w:sz w:val="20"/>
                <w:szCs w:val="20"/>
                <w:color w:val="auto"/>
              </w:rPr>
            </w:pPr>
            <w:r>
              <w:rPr>
                <w:rFonts w:ascii="Arial" w:cs="Arial" w:eastAsia="Arial" w:hAnsi="Arial"/>
                <w:sz w:val="11"/>
                <w:szCs w:val="11"/>
                <w:color w:val="auto"/>
              </w:rPr>
              <w:t>James Dimon</w:t>
            </w:r>
          </w:p>
        </w:tc>
        <w:tc>
          <w:tcPr>
            <w:tcW w:w="4660" w:type="dxa"/>
            <w:vAlign w:val="bottom"/>
          </w:tcPr>
          <w:p>
            <w:pPr>
              <w:ind w:left="80"/>
              <w:spacing w:after="0"/>
              <w:rPr>
                <w:sz w:val="20"/>
                <w:szCs w:val="20"/>
                <w:color w:val="auto"/>
              </w:rPr>
            </w:pPr>
            <w:r>
              <w:rPr>
                <w:rFonts w:ascii="Arial" w:cs="Arial" w:eastAsia="Arial" w:hAnsi="Arial"/>
                <w:sz w:val="11"/>
                <w:szCs w:val="11"/>
                <w:color w:val="auto"/>
              </w:rPr>
              <w:t>Daniel Pinto, Mary Callahan Erdoes, Marianne Lake, Jeremy Barnum</w:t>
            </w:r>
          </w:p>
        </w:tc>
      </w:tr>
      <w:tr>
        <w:trPr>
          <w:trHeight w:val="189"/>
        </w:trPr>
        <w:tc>
          <w:tcPr>
            <w:tcW w:w="340" w:type="dxa"/>
            <w:vAlign w:val="bottom"/>
          </w:tcPr>
          <w:p>
            <w:pPr>
              <w:ind w:left="20"/>
              <w:spacing w:after="0"/>
              <w:rPr>
                <w:sz w:val="20"/>
                <w:szCs w:val="20"/>
                <w:color w:val="auto"/>
              </w:rPr>
            </w:pPr>
            <w:r>
              <w:rPr>
                <w:rFonts w:ascii="Arial" w:cs="Arial" w:eastAsia="Arial" w:hAnsi="Arial"/>
                <w:sz w:val="11"/>
                <w:szCs w:val="11"/>
                <w:color w:val="auto"/>
              </w:rPr>
              <w:t>2022</w:t>
            </w:r>
          </w:p>
        </w:tc>
        <w:tc>
          <w:tcPr>
            <w:tcW w:w="820" w:type="dxa"/>
            <w:vAlign w:val="bottom"/>
          </w:tcPr>
          <w:p>
            <w:pPr>
              <w:ind w:left="80"/>
              <w:spacing w:after="0"/>
              <w:rPr>
                <w:sz w:val="20"/>
                <w:szCs w:val="20"/>
                <w:color w:val="auto"/>
              </w:rPr>
            </w:pPr>
            <w:r>
              <w:rPr>
                <w:rFonts w:ascii="Arial" w:cs="Arial" w:eastAsia="Arial" w:hAnsi="Arial"/>
                <w:sz w:val="11"/>
                <w:szCs w:val="11"/>
                <w:color w:val="auto"/>
              </w:rPr>
              <w:t>James Dimon</w:t>
            </w:r>
          </w:p>
        </w:tc>
        <w:tc>
          <w:tcPr>
            <w:tcW w:w="4660" w:type="dxa"/>
            <w:vAlign w:val="bottom"/>
          </w:tcPr>
          <w:p>
            <w:pPr>
              <w:ind w:left="80"/>
              <w:spacing w:after="0"/>
              <w:rPr>
                <w:sz w:val="20"/>
                <w:szCs w:val="20"/>
                <w:color w:val="auto"/>
              </w:rPr>
            </w:pPr>
            <w:r>
              <w:rPr>
                <w:rFonts w:ascii="Arial" w:cs="Arial" w:eastAsia="Arial" w:hAnsi="Arial"/>
                <w:sz w:val="11"/>
                <w:szCs w:val="11"/>
                <w:color w:val="auto"/>
              </w:rPr>
              <w:t>Daniel Pinto, Mary Callahan Erdoes, Marianne Lake, Jeremy Barnum</w:t>
            </w:r>
          </w:p>
        </w:tc>
      </w:tr>
      <w:tr>
        <w:trPr>
          <w:trHeight w:val="189"/>
        </w:trPr>
        <w:tc>
          <w:tcPr>
            <w:tcW w:w="340" w:type="dxa"/>
            <w:vAlign w:val="bottom"/>
          </w:tcPr>
          <w:p>
            <w:pPr>
              <w:ind w:left="20"/>
              <w:spacing w:after="0"/>
              <w:rPr>
                <w:sz w:val="20"/>
                <w:szCs w:val="20"/>
                <w:color w:val="auto"/>
              </w:rPr>
            </w:pPr>
            <w:r>
              <w:rPr>
                <w:rFonts w:ascii="Arial" w:cs="Arial" w:eastAsia="Arial" w:hAnsi="Arial"/>
                <w:sz w:val="11"/>
                <w:szCs w:val="11"/>
                <w:color w:val="auto"/>
              </w:rPr>
              <w:t>2021</w:t>
            </w:r>
          </w:p>
        </w:tc>
        <w:tc>
          <w:tcPr>
            <w:tcW w:w="820" w:type="dxa"/>
            <w:vAlign w:val="bottom"/>
          </w:tcPr>
          <w:p>
            <w:pPr>
              <w:ind w:left="80"/>
              <w:spacing w:after="0"/>
              <w:rPr>
                <w:sz w:val="20"/>
                <w:szCs w:val="20"/>
                <w:color w:val="auto"/>
              </w:rPr>
            </w:pPr>
            <w:r>
              <w:rPr>
                <w:rFonts w:ascii="Arial" w:cs="Arial" w:eastAsia="Arial" w:hAnsi="Arial"/>
                <w:sz w:val="11"/>
                <w:szCs w:val="11"/>
                <w:color w:val="auto"/>
              </w:rPr>
              <w:t>James Dimon</w:t>
            </w:r>
          </w:p>
        </w:tc>
        <w:tc>
          <w:tcPr>
            <w:tcW w:w="4660" w:type="dxa"/>
            <w:vAlign w:val="bottom"/>
          </w:tcPr>
          <w:p>
            <w:pPr>
              <w:ind w:left="80"/>
              <w:spacing w:after="0"/>
              <w:rPr>
                <w:sz w:val="20"/>
                <w:szCs w:val="20"/>
                <w:color w:val="auto"/>
              </w:rPr>
            </w:pPr>
            <w:r>
              <w:rPr>
                <w:rFonts w:ascii="Arial" w:cs="Arial" w:eastAsia="Arial" w:hAnsi="Arial"/>
                <w:sz w:val="11"/>
                <w:szCs w:val="11"/>
                <w:color w:val="auto"/>
              </w:rPr>
              <w:t>Daniel Pinto, Gordon Smith, Mary Callahan Erdoes, Jennifer Piepszak, Jeremy Barnum</w:t>
            </w:r>
          </w:p>
        </w:tc>
      </w:tr>
      <w:tr>
        <w:trPr>
          <w:trHeight w:val="189"/>
        </w:trPr>
        <w:tc>
          <w:tcPr>
            <w:tcW w:w="340" w:type="dxa"/>
            <w:vAlign w:val="bottom"/>
          </w:tcPr>
          <w:p>
            <w:pPr>
              <w:ind w:left="20"/>
              <w:spacing w:after="0"/>
              <w:rPr>
                <w:sz w:val="20"/>
                <w:szCs w:val="20"/>
                <w:color w:val="auto"/>
              </w:rPr>
            </w:pPr>
            <w:r>
              <w:rPr>
                <w:rFonts w:ascii="Arial" w:cs="Arial" w:eastAsia="Arial" w:hAnsi="Arial"/>
                <w:sz w:val="11"/>
                <w:szCs w:val="11"/>
                <w:color w:val="auto"/>
              </w:rPr>
              <w:t>2020</w:t>
            </w:r>
          </w:p>
        </w:tc>
        <w:tc>
          <w:tcPr>
            <w:tcW w:w="820" w:type="dxa"/>
            <w:vAlign w:val="bottom"/>
          </w:tcPr>
          <w:p>
            <w:pPr>
              <w:ind w:left="80"/>
              <w:spacing w:after="0"/>
              <w:rPr>
                <w:sz w:val="20"/>
                <w:szCs w:val="20"/>
                <w:color w:val="auto"/>
              </w:rPr>
            </w:pPr>
            <w:r>
              <w:rPr>
                <w:rFonts w:ascii="Arial" w:cs="Arial" w:eastAsia="Arial" w:hAnsi="Arial"/>
                <w:sz w:val="11"/>
                <w:szCs w:val="11"/>
                <w:color w:val="auto"/>
              </w:rPr>
              <w:t>James Dimon</w:t>
            </w:r>
          </w:p>
        </w:tc>
        <w:tc>
          <w:tcPr>
            <w:tcW w:w="4660" w:type="dxa"/>
            <w:vAlign w:val="bottom"/>
          </w:tcPr>
          <w:p>
            <w:pPr>
              <w:ind w:left="80"/>
              <w:spacing w:after="0"/>
              <w:rPr>
                <w:sz w:val="20"/>
                <w:szCs w:val="20"/>
                <w:color w:val="auto"/>
              </w:rPr>
            </w:pPr>
            <w:r>
              <w:rPr>
                <w:rFonts w:ascii="Arial" w:cs="Arial" w:eastAsia="Arial" w:hAnsi="Arial"/>
                <w:sz w:val="11"/>
                <w:szCs w:val="11"/>
                <w:color w:val="auto"/>
              </w:rPr>
              <w:t>Daniel Pinto, Gordon Smith, Mary Callahan Erdoes, Jennifer Piepszak</w:t>
            </w:r>
          </w:p>
        </w:tc>
      </w:tr>
      <w:tr>
        <w:trPr>
          <w:trHeight w:val="33"/>
        </w:trPr>
        <w:tc>
          <w:tcPr>
            <w:tcW w:w="340" w:type="dxa"/>
            <w:vAlign w:val="bottom"/>
            <w:tcBorders>
              <w:bottom w:val="single" w:sz="8" w:color="6D6D6D"/>
            </w:tcBorders>
          </w:tcPr>
          <w:p>
            <w:pPr>
              <w:spacing w:after="0"/>
              <w:rPr>
                <w:sz w:val="2"/>
                <w:szCs w:val="2"/>
                <w:color w:val="auto"/>
              </w:rPr>
            </w:pPr>
          </w:p>
        </w:tc>
        <w:tc>
          <w:tcPr>
            <w:tcW w:w="820" w:type="dxa"/>
            <w:vAlign w:val="bottom"/>
            <w:tcBorders>
              <w:bottom w:val="single" w:sz="8" w:color="6D6D6D"/>
            </w:tcBorders>
          </w:tcPr>
          <w:p>
            <w:pPr>
              <w:spacing w:after="0"/>
              <w:rPr>
                <w:sz w:val="2"/>
                <w:szCs w:val="2"/>
                <w:color w:val="auto"/>
              </w:rPr>
            </w:pPr>
          </w:p>
        </w:tc>
        <w:tc>
          <w:tcPr>
            <w:tcW w:w="4660" w:type="dxa"/>
            <w:vAlign w:val="bottom"/>
            <w:tcBorders>
              <w:bottom w:val="single" w:sz="8" w:color="6D6D6D"/>
            </w:tcBorders>
          </w:tcPr>
          <w:p>
            <w:pPr>
              <w:spacing w:after="0"/>
              <w:rPr>
                <w:sz w:val="2"/>
                <w:szCs w:val="2"/>
                <w:color w:val="auto"/>
              </w:rPr>
            </w:pPr>
          </w:p>
        </w:tc>
      </w:tr>
    </w:tbl>
    <w:p>
      <w:pPr>
        <w:spacing w:after="0" w:line="171" w:lineRule="exact"/>
        <w:rPr>
          <w:sz w:val="20"/>
          <w:szCs w:val="20"/>
          <w:color w:val="auto"/>
        </w:rPr>
      </w:pPr>
    </w:p>
    <w:p>
      <w:pPr>
        <w:jc w:val="both"/>
        <w:ind w:left="200" w:right="180" w:hanging="192"/>
        <w:spacing w:after="0" w:line="239" w:lineRule="auto"/>
        <w:tabs>
          <w:tab w:leader="none" w:pos="200" w:val="left"/>
        </w:tabs>
        <w:numPr>
          <w:ilvl w:val="0"/>
          <w:numId w:val="263"/>
        </w:numPr>
        <w:rPr>
          <w:rFonts w:ascii="Arial" w:cs="Arial" w:eastAsia="Arial" w:hAnsi="Arial"/>
          <w:sz w:val="15"/>
          <w:szCs w:val="15"/>
          <w:color w:val="auto"/>
          <w:vertAlign w:val="superscript"/>
        </w:rPr>
      </w:pPr>
      <w:r>
        <w:rPr>
          <w:rFonts w:ascii="Arial" w:cs="Arial" w:eastAsia="Arial" w:hAnsi="Arial"/>
          <w:sz w:val="12"/>
          <w:szCs w:val="12"/>
          <w:color w:val="auto"/>
        </w:rPr>
        <w:t>The following table details the adjustments that were made to SCT values to determine CAP, as presented in the above table. For the CAP portions that are calculated based on the average of the high and low JPM stock price at the end of the reporting year, the following prices were used: 2023 $170.16; 2022 $133.39; 2021 $158.63; 2020 $126.08. There are no U.S. GAAP pension service costs as pension plans are frozen, and there are no changes in defined benefit plan projected benefit obligations attributable to a plan amendment. Fair value amounts were computed in a manner consistent with the fair value methodology used to account for share-based payments in the Firm's financial statements. All amounts shown for non-PEO NEOs are averages.</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074A75"/>
                <w:w w:val="96"/>
              </w:rPr>
              <w:t>Change in fair value of</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74A75"/>
              </w:rPr>
              <w:t>Less: value of</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074A75"/>
              </w:rPr>
              <w:t>Less: value of</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74A75"/>
              </w:rPr>
              <w:t>Less: actuarial</w:t>
            </w: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074A75"/>
              </w:rPr>
              <w:t>Plus: year-end fair</w:t>
            </w:r>
          </w:p>
        </w:tc>
        <w:tc>
          <w:tcPr>
            <w:tcW w:w="1160" w:type="dxa"/>
            <w:vAlign w:val="bottom"/>
            <w:gridSpan w:val="2"/>
          </w:tcPr>
          <w:p>
            <w:pPr>
              <w:jc w:val="right"/>
              <w:spacing w:after="0"/>
              <w:rPr>
                <w:sz w:val="20"/>
                <w:szCs w:val="20"/>
                <w:color w:val="auto"/>
              </w:rPr>
            </w:pPr>
            <w:r>
              <w:rPr>
                <w:rFonts w:ascii="Arial" w:cs="Arial" w:eastAsia="Arial" w:hAnsi="Arial"/>
                <w:sz w:val="11"/>
                <w:szCs w:val="11"/>
                <w:color w:val="074A75"/>
              </w:rPr>
              <w:t>Change in fair value of</w:t>
            </w:r>
          </w:p>
        </w:tc>
        <w:tc>
          <w:tcPr>
            <w:tcW w:w="1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074A75"/>
                <w:w w:val="97"/>
              </w:rPr>
              <w:t>equity awards granted</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074A75"/>
                <w:w w:val="95"/>
              </w:rPr>
              <w:t>Plus: total fair</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74A75"/>
                <w:w w:val="96"/>
              </w:rPr>
              <w:t>stock awards at</w:t>
            </w:r>
          </w:p>
        </w:tc>
        <w:tc>
          <w:tcPr>
            <w:tcW w:w="860" w:type="dxa"/>
            <w:vAlign w:val="bottom"/>
            <w:gridSpan w:val="2"/>
          </w:tcPr>
          <w:p>
            <w:pPr>
              <w:jc w:val="right"/>
              <w:spacing w:after="0"/>
              <w:rPr>
                <w:sz w:val="20"/>
                <w:szCs w:val="20"/>
                <w:color w:val="auto"/>
              </w:rPr>
            </w:pPr>
            <w:r>
              <w:rPr>
                <w:rFonts w:ascii="Arial" w:cs="Arial" w:eastAsia="Arial" w:hAnsi="Arial"/>
                <w:sz w:val="11"/>
                <w:szCs w:val="11"/>
                <w:color w:val="074A75"/>
              </w:rPr>
              <w:t>option awards at</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74A75"/>
                <w:w w:val="97"/>
              </w:rPr>
              <w:t>present value of</w:t>
            </w: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074A75"/>
              </w:rPr>
              <w:t>value of unvested</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074A75"/>
              </w:rPr>
              <w:t>unvested equity</w:t>
            </w:r>
          </w:p>
        </w:tc>
        <w:tc>
          <w:tcPr>
            <w:tcW w:w="1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074A75"/>
              </w:rPr>
              <w:t>in prior years that</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074A75"/>
              </w:rPr>
              <w:t>value of</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19"/>
        </w:trPr>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1"/>
                <w:szCs w:val="11"/>
                <w:color w:val="074A75"/>
              </w:rPr>
              <w:t>grant date fair</w:t>
            </w:r>
          </w:p>
        </w:tc>
        <w:tc>
          <w:tcPr>
            <w:tcW w:w="12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1"/>
                <w:szCs w:val="11"/>
                <w:color w:val="074A75"/>
              </w:rPr>
              <w:t>grant date fair</w:t>
            </w:r>
          </w:p>
        </w:tc>
        <w:tc>
          <w:tcPr>
            <w:tcW w:w="80" w:type="dxa"/>
            <w:vAlign w:val="bottom"/>
          </w:tcPr>
          <w:p>
            <w:pPr>
              <w:spacing w:after="0"/>
              <w:rPr>
                <w:sz w:val="10"/>
                <w:szCs w:val="10"/>
                <w:color w:val="auto"/>
              </w:rPr>
            </w:pPr>
          </w:p>
        </w:tc>
        <w:tc>
          <w:tcPr>
            <w:tcW w:w="800" w:type="dxa"/>
            <w:vAlign w:val="bottom"/>
          </w:tcPr>
          <w:p>
            <w:pPr>
              <w:jc w:val="right"/>
              <w:spacing w:after="0" w:line="120" w:lineRule="exact"/>
              <w:rPr>
                <w:sz w:val="20"/>
                <w:szCs w:val="20"/>
                <w:color w:val="auto"/>
              </w:rPr>
            </w:pPr>
            <w:r>
              <w:rPr>
                <w:rFonts w:ascii="Arial" w:cs="Arial" w:eastAsia="Arial" w:hAnsi="Arial"/>
                <w:sz w:val="11"/>
                <w:szCs w:val="11"/>
                <w:color w:val="074A75"/>
              </w:rPr>
              <w:t>defined benefit</w:t>
            </w:r>
          </w:p>
        </w:tc>
        <w:tc>
          <w:tcPr>
            <w:tcW w:w="80" w:type="dxa"/>
            <w:vAlign w:val="bottom"/>
          </w:tcPr>
          <w:p>
            <w:pPr>
              <w:spacing w:after="0"/>
              <w:rPr>
                <w:sz w:val="10"/>
                <w:szCs w:val="10"/>
                <w:color w:val="auto"/>
              </w:rPr>
            </w:pPr>
          </w:p>
        </w:tc>
        <w:tc>
          <w:tcPr>
            <w:tcW w:w="1100" w:type="dxa"/>
            <w:vAlign w:val="bottom"/>
          </w:tcPr>
          <w:p>
            <w:pPr>
              <w:jc w:val="right"/>
              <w:spacing w:after="0" w:line="120" w:lineRule="exact"/>
              <w:rPr>
                <w:sz w:val="20"/>
                <w:szCs w:val="20"/>
                <w:color w:val="auto"/>
              </w:rPr>
            </w:pPr>
            <w:r>
              <w:rPr>
                <w:rFonts w:ascii="Arial" w:cs="Arial" w:eastAsia="Arial" w:hAnsi="Arial"/>
                <w:sz w:val="11"/>
                <w:szCs w:val="11"/>
                <w:color w:val="074A75"/>
                <w:w w:val="97"/>
              </w:rPr>
              <w:t>equity awards granted</w:t>
            </w:r>
          </w:p>
        </w:tc>
        <w:tc>
          <w:tcPr>
            <w:tcW w:w="1160" w:type="dxa"/>
            <w:vAlign w:val="bottom"/>
            <w:gridSpan w:val="2"/>
          </w:tcPr>
          <w:p>
            <w:pPr>
              <w:jc w:val="right"/>
              <w:spacing w:after="0" w:line="120" w:lineRule="exact"/>
              <w:rPr>
                <w:sz w:val="20"/>
                <w:szCs w:val="20"/>
                <w:color w:val="auto"/>
              </w:rPr>
            </w:pPr>
            <w:r>
              <w:rPr>
                <w:rFonts w:ascii="Arial" w:cs="Arial" w:eastAsia="Arial" w:hAnsi="Arial"/>
                <w:sz w:val="11"/>
                <w:szCs w:val="11"/>
                <w:color w:val="074A75"/>
                <w:w w:val="99"/>
              </w:rPr>
              <w:t>awards granted in prior</w:t>
            </w:r>
          </w:p>
        </w:tc>
        <w:tc>
          <w:tcPr>
            <w:tcW w:w="100" w:type="dxa"/>
            <w:vAlign w:val="bottom"/>
          </w:tcPr>
          <w:p>
            <w:pPr>
              <w:spacing w:after="0"/>
              <w:rPr>
                <w:sz w:val="10"/>
                <w:szCs w:val="10"/>
                <w:color w:val="auto"/>
              </w:rPr>
            </w:pPr>
          </w:p>
        </w:tc>
        <w:tc>
          <w:tcPr>
            <w:tcW w:w="1100" w:type="dxa"/>
            <w:vAlign w:val="bottom"/>
          </w:tcPr>
          <w:p>
            <w:pPr>
              <w:jc w:val="right"/>
              <w:spacing w:after="0" w:line="120" w:lineRule="exact"/>
              <w:rPr>
                <w:sz w:val="20"/>
                <w:szCs w:val="20"/>
                <w:color w:val="auto"/>
              </w:rPr>
            </w:pPr>
            <w:r>
              <w:rPr>
                <w:rFonts w:ascii="Arial" w:cs="Arial" w:eastAsia="Arial" w:hAnsi="Arial"/>
                <w:sz w:val="11"/>
                <w:szCs w:val="11"/>
                <w:color w:val="074A75"/>
              </w:rPr>
              <w:t>vested in reporting</w:t>
            </w:r>
          </w:p>
        </w:tc>
        <w:tc>
          <w:tcPr>
            <w:tcW w:w="760" w:type="dxa"/>
            <w:vAlign w:val="bottom"/>
            <w:gridSpan w:val="2"/>
          </w:tcPr>
          <w:p>
            <w:pPr>
              <w:jc w:val="right"/>
              <w:spacing w:after="0" w:line="120" w:lineRule="exact"/>
              <w:rPr>
                <w:sz w:val="20"/>
                <w:szCs w:val="20"/>
                <w:color w:val="auto"/>
              </w:rPr>
            </w:pPr>
            <w:r>
              <w:rPr>
                <w:rFonts w:ascii="Arial" w:cs="Arial" w:eastAsia="Arial" w:hAnsi="Arial"/>
                <w:sz w:val="11"/>
                <w:szCs w:val="11"/>
                <w:color w:val="074A75"/>
              </w:rPr>
              <w:t>dividends paid</w:t>
            </w:r>
          </w:p>
        </w:tc>
        <w:tc>
          <w:tcPr>
            <w:tcW w:w="160" w:type="dxa"/>
            <w:vAlign w:val="bottom"/>
          </w:tcPr>
          <w:p>
            <w:pPr>
              <w:spacing w:after="0"/>
              <w:rPr>
                <w:sz w:val="10"/>
                <w:szCs w:val="10"/>
                <w:color w:val="auto"/>
              </w:rPr>
            </w:pPr>
          </w:p>
        </w:tc>
        <w:tc>
          <w:tcPr>
            <w:tcW w:w="720" w:type="dxa"/>
            <w:vAlign w:val="bottom"/>
          </w:tcPr>
          <w:p>
            <w:pPr>
              <w:jc w:val="right"/>
              <w:spacing w:after="0" w:line="120" w:lineRule="exact"/>
              <w:rPr>
                <w:sz w:val="20"/>
                <w:szCs w:val="20"/>
                <w:color w:val="auto"/>
              </w:rPr>
            </w:pPr>
            <w:r>
              <w:rPr>
                <w:rFonts w:ascii="Arial" w:cs="Arial" w:eastAsia="Arial" w:hAnsi="Arial"/>
                <w:sz w:val="11"/>
                <w:szCs w:val="11"/>
                <w:color w:val="074A75"/>
              </w:rPr>
              <w:t>Total</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78"/>
        </w:trPr>
        <w:tc>
          <w:tcPr>
            <w:tcW w:w="340" w:type="dxa"/>
            <w:vAlign w:val="bottom"/>
            <w:tcBorders>
              <w:bottom w:val="single" w:sz="8" w:color="6D6D6D"/>
            </w:tcBorders>
          </w:tcPr>
          <w:p>
            <w:pPr>
              <w:ind w:left="20"/>
              <w:spacing w:after="0"/>
              <w:rPr>
                <w:sz w:val="20"/>
                <w:szCs w:val="20"/>
                <w:color w:val="auto"/>
              </w:rPr>
            </w:pPr>
            <w:r>
              <w:rPr>
                <w:rFonts w:ascii="Arial" w:cs="Arial" w:eastAsia="Arial" w:hAnsi="Arial"/>
                <w:sz w:val="11"/>
                <w:szCs w:val="11"/>
                <w:color w:val="074A75"/>
              </w:rPr>
              <w:t>Year</w:t>
            </w:r>
          </w:p>
        </w:tc>
        <w:tc>
          <w:tcPr>
            <w:tcW w:w="900" w:type="dxa"/>
            <w:vAlign w:val="bottom"/>
            <w:tcBorders>
              <w:bottom w:val="single" w:sz="8" w:color="6D6D6D"/>
            </w:tcBorders>
          </w:tcPr>
          <w:p>
            <w:pPr>
              <w:ind w:left="80"/>
              <w:spacing w:after="0"/>
              <w:rPr>
                <w:sz w:val="20"/>
                <w:szCs w:val="20"/>
                <w:color w:val="auto"/>
              </w:rPr>
            </w:pPr>
            <w:r>
              <w:rPr>
                <w:rFonts w:ascii="Arial" w:cs="Arial" w:eastAsia="Arial" w:hAnsi="Arial"/>
                <w:sz w:val="11"/>
                <w:szCs w:val="11"/>
                <w:color w:val="074A75"/>
              </w:rPr>
              <w:t>Executive</w:t>
            </w:r>
          </w:p>
        </w:tc>
        <w:tc>
          <w:tcPr>
            <w:tcW w:w="200" w:type="dxa"/>
            <w:vAlign w:val="bottom"/>
            <w:tcBorders>
              <w:bottom w:val="single" w:sz="8" w:color="6D6D6D"/>
            </w:tcBorders>
          </w:tcPr>
          <w:p>
            <w:pPr>
              <w:spacing w:after="0"/>
              <w:rPr>
                <w:sz w:val="15"/>
                <w:szCs w:val="15"/>
                <w:color w:val="auto"/>
              </w:rPr>
            </w:pPr>
          </w:p>
        </w:tc>
        <w:tc>
          <w:tcPr>
            <w:tcW w:w="66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SCT Total</w:t>
            </w:r>
          </w:p>
        </w:tc>
        <w:tc>
          <w:tcPr>
            <w:tcW w:w="100" w:type="dxa"/>
            <w:vAlign w:val="bottom"/>
            <w:tcBorders>
              <w:bottom w:val="single" w:sz="8" w:color="6D6D6D"/>
            </w:tcBorders>
          </w:tcPr>
          <w:p>
            <w:pPr>
              <w:spacing w:after="0"/>
              <w:rPr>
                <w:sz w:val="15"/>
                <w:szCs w:val="15"/>
                <w:color w:val="auto"/>
              </w:rPr>
            </w:pPr>
          </w:p>
        </w:tc>
        <w:tc>
          <w:tcPr>
            <w:tcW w:w="78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value</w:t>
            </w:r>
          </w:p>
        </w:tc>
        <w:tc>
          <w:tcPr>
            <w:tcW w:w="120" w:type="dxa"/>
            <w:vAlign w:val="bottom"/>
            <w:tcBorders>
              <w:bottom w:val="single" w:sz="8" w:color="6D6D6D"/>
            </w:tcBorders>
          </w:tcPr>
          <w:p>
            <w:pPr>
              <w:spacing w:after="0"/>
              <w:rPr>
                <w:sz w:val="15"/>
                <w:szCs w:val="15"/>
                <w:color w:val="auto"/>
              </w:rPr>
            </w:pPr>
          </w:p>
        </w:tc>
        <w:tc>
          <w:tcPr>
            <w:tcW w:w="74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value</w:t>
            </w:r>
          </w:p>
        </w:tc>
        <w:tc>
          <w:tcPr>
            <w:tcW w:w="80" w:type="dxa"/>
            <w:vAlign w:val="bottom"/>
            <w:tcBorders>
              <w:bottom w:val="single" w:sz="8" w:color="6D6D6D"/>
            </w:tcBorders>
          </w:tcPr>
          <w:p>
            <w:pPr>
              <w:spacing w:after="0"/>
              <w:rPr>
                <w:sz w:val="15"/>
                <w:szCs w:val="15"/>
                <w:color w:val="auto"/>
              </w:rPr>
            </w:pPr>
          </w:p>
        </w:tc>
        <w:tc>
          <w:tcPr>
            <w:tcW w:w="80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plan benefits</w:t>
            </w:r>
          </w:p>
        </w:tc>
        <w:tc>
          <w:tcPr>
            <w:tcW w:w="80" w:type="dxa"/>
            <w:vAlign w:val="bottom"/>
            <w:tcBorders>
              <w:bottom w:val="single" w:sz="8" w:color="6D6D6D"/>
            </w:tcBorders>
          </w:tcPr>
          <w:p>
            <w:pPr>
              <w:spacing w:after="0"/>
              <w:rPr>
                <w:sz w:val="15"/>
                <w:szCs w:val="15"/>
                <w:color w:val="auto"/>
              </w:rPr>
            </w:pPr>
          </w:p>
        </w:tc>
        <w:tc>
          <w:tcPr>
            <w:tcW w:w="110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in reporting year</w:t>
            </w:r>
            <w:r>
              <w:rPr>
                <w:rFonts w:ascii="Arial" w:cs="Arial" w:eastAsia="Arial" w:hAnsi="Arial"/>
                <w:sz w:val="14"/>
                <w:szCs w:val="14"/>
                <w:color w:val="074A75"/>
                <w:vertAlign w:val="superscript"/>
              </w:rPr>
              <w:t>5,6</w:t>
            </w:r>
          </w:p>
        </w:tc>
        <w:tc>
          <w:tcPr>
            <w:tcW w:w="240" w:type="dxa"/>
            <w:vAlign w:val="bottom"/>
            <w:tcBorders>
              <w:bottom w:val="single" w:sz="8" w:color="6D6D6D"/>
            </w:tcBorders>
          </w:tcPr>
          <w:p>
            <w:pPr>
              <w:spacing w:after="0"/>
              <w:rPr>
                <w:sz w:val="15"/>
                <w:szCs w:val="15"/>
                <w:color w:val="auto"/>
              </w:rPr>
            </w:pPr>
          </w:p>
        </w:tc>
        <w:tc>
          <w:tcPr>
            <w:tcW w:w="92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years</w:t>
            </w:r>
            <w:r>
              <w:rPr>
                <w:rFonts w:ascii="Arial" w:cs="Arial" w:eastAsia="Arial" w:hAnsi="Arial"/>
                <w:sz w:val="14"/>
                <w:szCs w:val="14"/>
                <w:color w:val="074A75"/>
                <w:vertAlign w:val="superscript"/>
              </w:rPr>
              <w:t>5,6</w:t>
            </w:r>
          </w:p>
        </w:tc>
        <w:tc>
          <w:tcPr>
            <w:tcW w:w="100" w:type="dxa"/>
            <w:vAlign w:val="bottom"/>
            <w:tcBorders>
              <w:bottom w:val="single" w:sz="8" w:color="6D6D6D"/>
            </w:tcBorders>
          </w:tcPr>
          <w:p>
            <w:pPr>
              <w:spacing w:after="0"/>
              <w:rPr>
                <w:sz w:val="15"/>
                <w:szCs w:val="15"/>
                <w:color w:val="auto"/>
              </w:rPr>
            </w:pPr>
          </w:p>
        </w:tc>
        <w:tc>
          <w:tcPr>
            <w:tcW w:w="110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year</w:t>
            </w:r>
            <w:r>
              <w:rPr>
                <w:rFonts w:ascii="Arial" w:cs="Arial" w:eastAsia="Arial" w:hAnsi="Arial"/>
                <w:sz w:val="14"/>
                <w:szCs w:val="14"/>
                <w:color w:val="074A75"/>
                <w:vertAlign w:val="superscript"/>
              </w:rPr>
              <w:t>5,6</w:t>
            </w:r>
          </w:p>
        </w:tc>
        <w:tc>
          <w:tcPr>
            <w:tcW w:w="80" w:type="dxa"/>
            <w:vAlign w:val="bottom"/>
            <w:tcBorders>
              <w:bottom w:val="single" w:sz="8" w:color="6D6D6D"/>
            </w:tcBorders>
          </w:tcPr>
          <w:p>
            <w:pPr>
              <w:spacing w:after="0"/>
              <w:rPr>
                <w:sz w:val="15"/>
                <w:szCs w:val="15"/>
                <w:color w:val="auto"/>
              </w:rPr>
            </w:pPr>
          </w:p>
        </w:tc>
        <w:tc>
          <w:tcPr>
            <w:tcW w:w="68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or reinvested</w:t>
            </w:r>
          </w:p>
        </w:tc>
        <w:tc>
          <w:tcPr>
            <w:tcW w:w="160" w:type="dxa"/>
            <w:vAlign w:val="bottom"/>
            <w:tcBorders>
              <w:bottom w:val="single" w:sz="8" w:color="6D6D6D"/>
            </w:tcBorders>
          </w:tcPr>
          <w:p>
            <w:pPr>
              <w:spacing w:after="0"/>
              <w:rPr>
                <w:sz w:val="15"/>
                <w:szCs w:val="15"/>
                <w:color w:val="auto"/>
              </w:rPr>
            </w:pPr>
          </w:p>
        </w:tc>
        <w:tc>
          <w:tcPr>
            <w:tcW w:w="72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Adjustments</w:t>
            </w:r>
            <w:r>
              <w:rPr>
                <w:rFonts w:ascii="Arial" w:cs="Arial" w:eastAsia="Arial" w:hAnsi="Arial"/>
                <w:sz w:val="7"/>
                <w:szCs w:val="7"/>
                <w:color w:val="074A75"/>
              </w:rPr>
              <w:t>7</w:t>
            </w:r>
          </w:p>
        </w:tc>
        <w:tc>
          <w:tcPr>
            <w:tcW w:w="120" w:type="dxa"/>
            <w:vAlign w:val="bottom"/>
            <w:tcBorders>
              <w:bottom w:val="single" w:sz="8" w:color="6D6D6D"/>
            </w:tcBorders>
          </w:tcPr>
          <w:p>
            <w:pPr>
              <w:spacing w:after="0"/>
              <w:rPr>
                <w:sz w:val="15"/>
                <w:szCs w:val="15"/>
                <w:color w:val="auto"/>
              </w:rPr>
            </w:pPr>
          </w:p>
        </w:tc>
        <w:tc>
          <w:tcPr>
            <w:tcW w:w="760" w:type="dxa"/>
            <w:vAlign w:val="bottom"/>
            <w:tcBorders>
              <w:bottom w:val="single" w:sz="8" w:color="6D6D6D"/>
            </w:tcBorders>
          </w:tcPr>
          <w:p>
            <w:pPr>
              <w:jc w:val="right"/>
              <w:spacing w:after="0"/>
              <w:rPr>
                <w:sz w:val="20"/>
                <w:szCs w:val="20"/>
                <w:color w:val="auto"/>
              </w:rPr>
            </w:pPr>
            <w:r>
              <w:rPr>
                <w:rFonts w:ascii="Arial" w:cs="Arial" w:eastAsia="Arial" w:hAnsi="Arial"/>
                <w:sz w:val="11"/>
                <w:szCs w:val="11"/>
                <w:color w:val="074A75"/>
              </w:rPr>
              <w:t>Executive CAP</w:t>
            </w:r>
          </w:p>
        </w:tc>
      </w:tr>
      <w:tr>
        <w:trPr>
          <w:trHeight w:val="155"/>
        </w:trPr>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2023</w:t>
            </w:r>
          </w:p>
        </w:tc>
        <w:tc>
          <w:tcPr>
            <w:tcW w:w="900" w:type="dxa"/>
            <w:vAlign w:val="bottom"/>
          </w:tcPr>
          <w:p>
            <w:pPr>
              <w:ind w:left="80"/>
              <w:spacing w:after="0"/>
              <w:rPr>
                <w:sz w:val="20"/>
                <w:szCs w:val="20"/>
                <w:color w:val="auto"/>
              </w:rPr>
            </w:pPr>
            <w:r>
              <w:rPr>
                <w:rFonts w:ascii="Arial" w:cs="Arial" w:eastAsia="Arial" w:hAnsi="Arial"/>
                <w:sz w:val="11"/>
                <w:szCs w:val="11"/>
                <w:color w:val="auto"/>
              </w:rPr>
              <w:t>PEO</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35,093,780</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(28,000,000)</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(40,185)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33,939,433</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60,604,871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(2,453,960)</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4,583,868</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68,634,027</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103,727,807</w:t>
            </w:r>
          </w:p>
        </w:tc>
      </w:tr>
      <w:tr>
        <w:trPr>
          <w:trHeight w:val="183"/>
        </w:trPr>
        <w:tc>
          <w:tcPr>
            <w:tcW w:w="3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1"/>
                <w:szCs w:val="11"/>
                <w:color w:val="auto"/>
              </w:rPr>
              <w:t>Non-PEO NEOs</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21,481,873</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(13,412,500)</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(11,360)</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16,257,725</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15,976,583</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(222,653)</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977,716</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19,565,511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41,047,384</w:t>
            </w:r>
          </w:p>
        </w:tc>
      </w:tr>
      <w:tr>
        <w:trPr>
          <w:trHeight w:val="33"/>
        </w:trPr>
        <w:tc>
          <w:tcPr>
            <w:tcW w:w="340" w:type="dxa"/>
            <w:vAlign w:val="bottom"/>
            <w:tcBorders>
              <w:bottom w:val="single" w:sz="8" w:color="6D6D6D"/>
            </w:tcBorders>
          </w:tcPr>
          <w:p>
            <w:pPr>
              <w:spacing w:after="0"/>
              <w:rPr>
                <w:sz w:val="2"/>
                <w:szCs w:val="2"/>
                <w:color w:val="auto"/>
              </w:rPr>
            </w:pPr>
          </w:p>
        </w:tc>
        <w:tc>
          <w:tcPr>
            <w:tcW w:w="900" w:type="dxa"/>
            <w:vAlign w:val="bottom"/>
            <w:tcBorders>
              <w:bottom w:val="single" w:sz="8" w:color="6D6D6D"/>
            </w:tcBorders>
          </w:tcPr>
          <w:p>
            <w:pPr>
              <w:spacing w:after="0"/>
              <w:rPr>
                <w:sz w:val="2"/>
                <w:szCs w:val="2"/>
                <w:color w:val="auto"/>
              </w:rPr>
            </w:pPr>
          </w:p>
        </w:tc>
        <w:tc>
          <w:tcPr>
            <w:tcW w:w="200" w:type="dxa"/>
            <w:vAlign w:val="bottom"/>
            <w:tcBorders>
              <w:bottom w:val="single" w:sz="8" w:color="6D6D6D"/>
            </w:tcBorders>
          </w:tcPr>
          <w:p>
            <w:pPr>
              <w:spacing w:after="0"/>
              <w:rPr>
                <w:sz w:val="2"/>
                <w:szCs w:val="2"/>
                <w:color w:val="auto"/>
              </w:rPr>
            </w:pPr>
          </w:p>
        </w:tc>
        <w:tc>
          <w:tcPr>
            <w:tcW w:w="66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78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240" w:type="dxa"/>
            <w:vAlign w:val="bottom"/>
            <w:tcBorders>
              <w:bottom w:val="single" w:sz="8" w:color="6D6D6D"/>
            </w:tcBorders>
          </w:tcPr>
          <w:p>
            <w:pPr>
              <w:spacing w:after="0"/>
              <w:rPr>
                <w:sz w:val="2"/>
                <w:szCs w:val="2"/>
                <w:color w:val="auto"/>
              </w:rPr>
            </w:pPr>
          </w:p>
        </w:tc>
        <w:tc>
          <w:tcPr>
            <w:tcW w:w="92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680" w:type="dxa"/>
            <w:vAlign w:val="bottom"/>
            <w:tcBorders>
              <w:bottom w:val="single" w:sz="8" w:color="6D6D6D"/>
            </w:tcBorders>
          </w:tcPr>
          <w:p>
            <w:pPr>
              <w:spacing w:after="0"/>
              <w:rPr>
                <w:sz w:val="2"/>
                <w:szCs w:val="2"/>
                <w:color w:val="auto"/>
              </w:rPr>
            </w:pPr>
          </w:p>
        </w:tc>
        <w:tc>
          <w:tcPr>
            <w:tcW w:w="160" w:type="dxa"/>
            <w:vAlign w:val="bottom"/>
            <w:tcBorders>
              <w:bottom w:val="single" w:sz="8" w:color="6D6D6D"/>
            </w:tcBorders>
          </w:tcPr>
          <w:p>
            <w:pPr>
              <w:spacing w:after="0"/>
              <w:rPr>
                <w:sz w:val="2"/>
                <w:szCs w:val="2"/>
                <w:color w:val="auto"/>
              </w:rPr>
            </w:pPr>
          </w:p>
        </w:tc>
        <w:tc>
          <w:tcPr>
            <w:tcW w:w="72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760" w:type="dxa"/>
            <w:vAlign w:val="bottom"/>
            <w:tcBorders>
              <w:bottom w:val="single" w:sz="8" w:color="6D6D6D"/>
            </w:tcBorders>
          </w:tcPr>
          <w:p>
            <w:pPr>
              <w:spacing w:after="0"/>
              <w:rPr>
                <w:sz w:val="2"/>
                <w:szCs w:val="2"/>
                <w:color w:val="auto"/>
              </w:rPr>
            </w:pPr>
          </w:p>
        </w:tc>
      </w:tr>
      <w:tr>
        <w:trPr>
          <w:trHeight w:val="155"/>
        </w:trPr>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2022</w:t>
            </w:r>
          </w:p>
        </w:tc>
        <w:tc>
          <w:tcPr>
            <w:tcW w:w="900" w:type="dxa"/>
            <w:vAlign w:val="bottom"/>
          </w:tcPr>
          <w:p>
            <w:pPr>
              <w:ind w:left="80"/>
              <w:spacing w:after="0"/>
              <w:rPr>
                <w:sz w:val="20"/>
                <w:szCs w:val="20"/>
                <w:color w:val="auto"/>
              </w:rPr>
            </w:pPr>
            <w:r>
              <w:rPr>
                <w:rFonts w:ascii="Arial" w:cs="Arial" w:eastAsia="Arial" w:hAnsi="Arial"/>
                <w:sz w:val="11"/>
                <w:szCs w:val="11"/>
                <w:color w:val="auto"/>
              </w:rPr>
              <w:t>PEO</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34,848,606</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(28,000,000)</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(29,877)</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24,384,912</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8,917,510</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(6,080,841)</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3,420,395</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2,612,098</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37,460,704</w:t>
            </w:r>
          </w:p>
        </w:tc>
      </w:tr>
      <w:tr>
        <w:trPr>
          <w:trHeight w:val="183"/>
        </w:trPr>
        <w:tc>
          <w:tcPr>
            <w:tcW w:w="3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1"/>
                <w:szCs w:val="11"/>
                <w:color w:val="auto"/>
              </w:rPr>
              <w:t>Non-PEO NEOs</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19,230,223</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(11,581,951)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10,868,710</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(1,458,095)</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(503,796)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652,116</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(2,023,015)</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17,207,207</w:t>
            </w:r>
          </w:p>
        </w:tc>
      </w:tr>
      <w:tr>
        <w:trPr>
          <w:trHeight w:val="33"/>
        </w:trPr>
        <w:tc>
          <w:tcPr>
            <w:tcW w:w="340" w:type="dxa"/>
            <w:vAlign w:val="bottom"/>
            <w:tcBorders>
              <w:bottom w:val="single" w:sz="8" w:color="6D6D6D"/>
            </w:tcBorders>
          </w:tcPr>
          <w:p>
            <w:pPr>
              <w:spacing w:after="0"/>
              <w:rPr>
                <w:sz w:val="2"/>
                <w:szCs w:val="2"/>
                <w:color w:val="auto"/>
              </w:rPr>
            </w:pPr>
          </w:p>
        </w:tc>
        <w:tc>
          <w:tcPr>
            <w:tcW w:w="900" w:type="dxa"/>
            <w:vAlign w:val="bottom"/>
            <w:tcBorders>
              <w:bottom w:val="single" w:sz="8" w:color="6D6D6D"/>
            </w:tcBorders>
          </w:tcPr>
          <w:p>
            <w:pPr>
              <w:spacing w:after="0"/>
              <w:rPr>
                <w:sz w:val="2"/>
                <w:szCs w:val="2"/>
                <w:color w:val="auto"/>
              </w:rPr>
            </w:pPr>
          </w:p>
        </w:tc>
        <w:tc>
          <w:tcPr>
            <w:tcW w:w="200" w:type="dxa"/>
            <w:vAlign w:val="bottom"/>
            <w:tcBorders>
              <w:bottom w:val="single" w:sz="8" w:color="6D6D6D"/>
            </w:tcBorders>
          </w:tcPr>
          <w:p>
            <w:pPr>
              <w:spacing w:after="0"/>
              <w:rPr>
                <w:sz w:val="2"/>
                <w:szCs w:val="2"/>
                <w:color w:val="auto"/>
              </w:rPr>
            </w:pPr>
          </w:p>
        </w:tc>
        <w:tc>
          <w:tcPr>
            <w:tcW w:w="66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78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240" w:type="dxa"/>
            <w:vAlign w:val="bottom"/>
            <w:tcBorders>
              <w:bottom w:val="single" w:sz="8" w:color="6D6D6D"/>
            </w:tcBorders>
          </w:tcPr>
          <w:p>
            <w:pPr>
              <w:spacing w:after="0"/>
              <w:rPr>
                <w:sz w:val="2"/>
                <w:szCs w:val="2"/>
                <w:color w:val="auto"/>
              </w:rPr>
            </w:pPr>
          </w:p>
        </w:tc>
        <w:tc>
          <w:tcPr>
            <w:tcW w:w="92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680" w:type="dxa"/>
            <w:vAlign w:val="bottom"/>
            <w:tcBorders>
              <w:bottom w:val="single" w:sz="8" w:color="6D6D6D"/>
            </w:tcBorders>
          </w:tcPr>
          <w:p>
            <w:pPr>
              <w:spacing w:after="0"/>
              <w:rPr>
                <w:sz w:val="2"/>
                <w:szCs w:val="2"/>
                <w:color w:val="auto"/>
              </w:rPr>
            </w:pPr>
          </w:p>
        </w:tc>
        <w:tc>
          <w:tcPr>
            <w:tcW w:w="160" w:type="dxa"/>
            <w:vAlign w:val="bottom"/>
            <w:tcBorders>
              <w:bottom w:val="single" w:sz="8" w:color="6D6D6D"/>
            </w:tcBorders>
          </w:tcPr>
          <w:p>
            <w:pPr>
              <w:spacing w:after="0"/>
              <w:rPr>
                <w:sz w:val="2"/>
                <w:szCs w:val="2"/>
                <w:color w:val="auto"/>
              </w:rPr>
            </w:pPr>
          </w:p>
        </w:tc>
        <w:tc>
          <w:tcPr>
            <w:tcW w:w="72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760" w:type="dxa"/>
            <w:vAlign w:val="bottom"/>
            <w:tcBorders>
              <w:bottom w:val="single" w:sz="8" w:color="6D6D6D"/>
            </w:tcBorders>
          </w:tcPr>
          <w:p>
            <w:pPr>
              <w:spacing w:after="0"/>
              <w:rPr>
                <w:sz w:val="2"/>
                <w:szCs w:val="2"/>
                <w:color w:val="auto"/>
              </w:rPr>
            </w:pPr>
          </w:p>
        </w:tc>
      </w:tr>
      <w:tr>
        <w:trPr>
          <w:trHeight w:val="155"/>
        </w:trPr>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2021</w:t>
            </w:r>
          </w:p>
        </w:tc>
        <w:tc>
          <w:tcPr>
            <w:tcW w:w="900" w:type="dxa"/>
            <w:vAlign w:val="bottom"/>
          </w:tcPr>
          <w:p>
            <w:pPr>
              <w:ind w:left="80"/>
              <w:spacing w:after="0"/>
              <w:rPr>
                <w:sz w:val="20"/>
                <w:szCs w:val="20"/>
                <w:color w:val="auto"/>
              </w:rPr>
            </w:pPr>
            <w:r>
              <w:rPr>
                <w:rFonts w:ascii="Arial" w:cs="Arial" w:eastAsia="Arial" w:hAnsi="Arial"/>
                <w:sz w:val="11"/>
                <w:szCs w:val="11"/>
                <w:color w:val="auto"/>
              </w:rPr>
              <w:t>PEO</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84,428,145</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(25,000,000)</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(52,620,000)</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(25,486)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88,199,019</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22,942,541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7,706,801</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4,892,720</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46,095,595</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130,523,740</w:t>
            </w:r>
          </w:p>
        </w:tc>
      </w:tr>
      <w:tr>
        <w:trPr>
          <w:trHeight w:val="183"/>
        </w:trPr>
        <w:tc>
          <w:tcPr>
            <w:tcW w:w="3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1"/>
                <w:szCs w:val="11"/>
                <w:color w:val="auto"/>
              </w:rPr>
              <w:t>Non-PEO NEOs</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23,472,201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(10,131,942)</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(5,572,500)</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(206)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17,813,787</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7,748,310</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1,451,083</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904,889</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12,213,421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35,685,622</w:t>
            </w:r>
          </w:p>
        </w:tc>
      </w:tr>
      <w:tr>
        <w:trPr>
          <w:trHeight w:val="33"/>
        </w:trPr>
        <w:tc>
          <w:tcPr>
            <w:tcW w:w="340" w:type="dxa"/>
            <w:vAlign w:val="bottom"/>
            <w:tcBorders>
              <w:bottom w:val="single" w:sz="8" w:color="6D6D6D"/>
            </w:tcBorders>
          </w:tcPr>
          <w:p>
            <w:pPr>
              <w:spacing w:after="0"/>
              <w:rPr>
                <w:sz w:val="2"/>
                <w:szCs w:val="2"/>
                <w:color w:val="auto"/>
              </w:rPr>
            </w:pPr>
          </w:p>
        </w:tc>
        <w:tc>
          <w:tcPr>
            <w:tcW w:w="900" w:type="dxa"/>
            <w:vAlign w:val="bottom"/>
            <w:tcBorders>
              <w:bottom w:val="single" w:sz="8" w:color="6D6D6D"/>
            </w:tcBorders>
          </w:tcPr>
          <w:p>
            <w:pPr>
              <w:spacing w:after="0"/>
              <w:rPr>
                <w:sz w:val="2"/>
                <w:szCs w:val="2"/>
                <w:color w:val="auto"/>
              </w:rPr>
            </w:pPr>
          </w:p>
        </w:tc>
        <w:tc>
          <w:tcPr>
            <w:tcW w:w="200" w:type="dxa"/>
            <w:vAlign w:val="bottom"/>
            <w:tcBorders>
              <w:bottom w:val="single" w:sz="8" w:color="6D6D6D"/>
            </w:tcBorders>
          </w:tcPr>
          <w:p>
            <w:pPr>
              <w:spacing w:after="0"/>
              <w:rPr>
                <w:sz w:val="2"/>
                <w:szCs w:val="2"/>
                <w:color w:val="auto"/>
              </w:rPr>
            </w:pPr>
          </w:p>
        </w:tc>
        <w:tc>
          <w:tcPr>
            <w:tcW w:w="66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78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240" w:type="dxa"/>
            <w:vAlign w:val="bottom"/>
            <w:tcBorders>
              <w:bottom w:val="single" w:sz="8" w:color="6D6D6D"/>
            </w:tcBorders>
          </w:tcPr>
          <w:p>
            <w:pPr>
              <w:spacing w:after="0"/>
              <w:rPr>
                <w:sz w:val="2"/>
                <w:szCs w:val="2"/>
                <w:color w:val="auto"/>
              </w:rPr>
            </w:pPr>
          </w:p>
        </w:tc>
        <w:tc>
          <w:tcPr>
            <w:tcW w:w="92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680" w:type="dxa"/>
            <w:vAlign w:val="bottom"/>
            <w:tcBorders>
              <w:bottom w:val="single" w:sz="8" w:color="6D6D6D"/>
            </w:tcBorders>
          </w:tcPr>
          <w:p>
            <w:pPr>
              <w:spacing w:after="0"/>
              <w:rPr>
                <w:sz w:val="2"/>
                <w:szCs w:val="2"/>
                <w:color w:val="auto"/>
              </w:rPr>
            </w:pPr>
          </w:p>
        </w:tc>
        <w:tc>
          <w:tcPr>
            <w:tcW w:w="160" w:type="dxa"/>
            <w:vAlign w:val="bottom"/>
            <w:tcBorders>
              <w:bottom w:val="single" w:sz="8" w:color="6D6D6D"/>
            </w:tcBorders>
          </w:tcPr>
          <w:p>
            <w:pPr>
              <w:spacing w:after="0"/>
              <w:rPr>
                <w:sz w:val="2"/>
                <w:szCs w:val="2"/>
                <w:color w:val="auto"/>
              </w:rPr>
            </w:pPr>
          </w:p>
        </w:tc>
        <w:tc>
          <w:tcPr>
            <w:tcW w:w="72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760" w:type="dxa"/>
            <w:vAlign w:val="bottom"/>
            <w:tcBorders>
              <w:bottom w:val="single" w:sz="8" w:color="6D6D6D"/>
            </w:tcBorders>
          </w:tcPr>
          <w:p>
            <w:pPr>
              <w:spacing w:after="0"/>
              <w:rPr>
                <w:sz w:val="2"/>
                <w:szCs w:val="2"/>
                <w:color w:val="auto"/>
              </w:rPr>
            </w:pPr>
          </w:p>
        </w:tc>
      </w:tr>
      <w:tr>
        <w:trPr>
          <w:trHeight w:val="155"/>
        </w:trPr>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2020</w:t>
            </w:r>
          </w:p>
        </w:tc>
        <w:tc>
          <w:tcPr>
            <w:tcW w:w="900" w:type="dxa"/>
            <w:vAlign w:val="bottom"/>
          </w:tcPr>
          <w:p>
            <w:pPr>
              <w:ind w:left="80"/>
              <w:spacing w:after="0"/>
              <w:rPr>
                <w:sz w:val="20"/>
                <w:szCs w:val="20"/>
                <w:color w:val="auto"/>
              </w:rPr>
            </w:pPr>
            <w:r>
              <w:rPr>
                <w:rFonts w:ascii="Arial" w:cs="Arial" w:eastAsia="Arial" w:hAnsi="Arial"/>
                <w:sz w:val="11"/>
                <w:szCs w:val="11"/>
                <w:color w:val="auto"/>
              </w:rPr>
              <w:t>PEO</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31,664,554</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(25,000,000)</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(21,845)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22,942,750</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(2,460,001)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(18,772,954)</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2,338,875</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(20,973,175)</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10,691,379</w:t>
            </w:r>
          </w:p>
        </w:tc>
      </w:tr>
      <w:tr>
        <w:trPr>
          <w:trHeight w:val="183"/>
        </w:trPr>
        <w:tc>
          <w:tcPr>
            <w:tcW w:w="3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1"/>
                <w:szCs w:val="11"/>
                <w:color w:val="auto"/>
              </w:rPr>
              <w:t>Non-PEO NEOs</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19,253,451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(11,265,195)</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(25,655)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10,881,250</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(2,075,052)</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(2,767,310)</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703,571</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(4,548,390)</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14,705,061</w:t>
            </w:r>
          </w:p>
        </w:tc>
      </w:tr>
      <w:tr>
        <w:trPr>
          <w:trHeight w:val="33"/>
        </w:trPr>
        <w:tc>
          <w:tcPr>
            <w:tcW w:w="340" w:type="dxa"/>
            <w:vAlign w:val="bottom"/>
            <w:tcBorders>
              <w:bottom w:val="single" w:sz="8" w:color="6D6D6D"/>
            </w:tcBorders>
          </w:tcPr>
          <w:p>
            <w:pPr>
              <w:spacing w:after="0"/>
              <w:rPr>
                <w:sz w:val="2"/>
                <w:szCs w:val="2"/>
                <w:color w:val="auto"/>
              </w:rPr>
            </w:pPr>
          </w:p>
        </w:tc>
        <w:tc>
          <w:tcPr>
            <w:tcW w:w="900" w:type="dxa"/>
            <w:vAlign w:val="bottom"/>
            <w:tcBorders>
              <w:bottom w:val="single" w:sz="8" w:color="6D6D6D"/>
            </w:tcBorders>
          </w:tcPr>
          <w:p>
            <w:pPr>
              <w:spacing w:after="0"/>
              <w:rPr>
                <w:sz w:val="2"/>
                <w:szCs w:val="2"/>
                <w:color w:val="auto"/>
              </w:rPr>
            </w:pPr>
          </w:p>
        </w:tc>
        <w:tc>
          <w:tcPr>
            <w:tcW w:w="200" w:type="dxa"/>
            <w:vAlign w:val="bottom"/>
            <w:tcBorders>
              <w:bottom w:val="single" w:sz="8" w:color="6D6D6D"/>
            </w:tcBorders>
          </w:tcPr>
          <w:p>
            <w:pPr>
              <w:spacing w:after="0"/>
              <w:rPr>
                <w:sz w:val="2"/>
                <w:szCs w:val="2"/>
                <w:color w:val="auto"/>
              </w:rPr>
            </w:pPr>
          </w:p>
        </w:tc>
        <w:tc>
          <w:tcPr>
            <w:tcW w:w="66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78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240" w:type="dxa"/>
            <w:vAlign w:val="bottom"/>
            <w:tcBorders>
              <w:bottom w:val="single" w:sz="8" w:color="6D6D6D"/>
            </w:tcBorders>
          </w:tcPr>
          <w:p>
            <w:pPr>
              <w:spacing w:after="0"/>
              <w:rPr>
                <w:sz w:val="2"/>
                <w:szCs w:val="2"/>
                <w:color w:val="auto"/>
              </w:rPr>
            </w:pPr>
          </w:p>
        </w:tc>
        <w:tc>
          <w:tcPr>
            <w:tcW w:w="92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680" w:type="dxa"/>
            <w:vAlign w:val="bottom"/>
            <w:tcBorders>
              <w:bottom w:val="single" w:sz="8" w:color="6D6D6D"/>
            </w:tcBorders>
          </w:tcPr>
          <w:p>
            <w:pPr>
              <w:spacing w:after="0"/>
              <w:rPr>
                <w:sz w:val="2"/>
                <w:szCs w:val="2"/>
                <w:color w:val="auto"/>
              </w:rPr>
            </w:pPr>
          </w:p>
        </w:tc>
        <w:tc>
          <w:tcPr>
            <w:tcW w:w="160" w:type="dxa"/>
            <w:vAlign w:val="bottom"/>
            <w:tcBorders>
              <w:bottom w:val="single" w:sz="8" w:color="6D6D6D"/>
            </w:tcBorders>
          </w:tcPr>
          <w:p>
            <w:pPr>
              <w:spacing w:after="0"/>
              <w:rPr>
                <w:sz w:val="2"/>
                <w:szCs w:val="2"/>
                <w:color w:val="auto"/>
              </w:rPr>
            </w:pPr>
          </w:p>
        </w:tc>
        <w:tc>
          <w:tcPr>
            <w:tcW w:w="72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760" w:type="dxa"/>
            <w:vAlign w:val="bottom"/>
            <w:tcBorders>
              <w:bottom w:val="single" w:sz="8" w:color="6D6D6D"/>
            </w:tcBorders>
          </w:tcPr>
          <w:p>
            <w:pPr>
              <w:spacing w:after="0"/>
              <w:rPr>
                <w:sz w:val="2"/>
                <w:szCs w:val="2"/>
                <w:color w:val="auto"/>
              </w:rPr>
            </w:pPr>
          </w:p>
        </w:tc>
      </w:tr>
    </w:tbl>
    <w:p>
      <w:pPr>
        <w:spacing w:after="0" w:line="185" w:lineRule="exact"/>
        <w:rPr>
          <w:sz w:val="20"/>
          <w:szCs w:val="20"/>
          <w:color w:val="auto"/>
        </w:rPr>
      </w:pPr>
    </w:p>
    <w:p>
      <w:pPr>
        <w:ind w:left="200" w:right="100" w:hanging="192"/>
        <w:spacing w:after="0" w:line="221" w:lineRule="auto"/>
        <w:tabs>
          <w:tab w:leader="none" w:pos="200" w:val="left"/>
        </w:tabs>
        <w:numPr>
          <w:ilvl w:val="0"/>
          <w:numId w:val="264"/>
        </w:numPr>
        <w:rPr>
          <w:rFonts w:ascii="Arial" w:cs="Arial" w:eastAsia="Arial" w:hAnsi="Arial"/>
          <w:sz w:val="16"/>
          <w:szCs w:val="16"/>
          <w:color w:val="auto"/>
          <w:vertAlign w:val="superscript"/>
        </w:rPr>
      </w:pPr>
      <w:r>
        <w:rPr>
          <w:rFonts w:ascii="Arial" w:cs="Arial" w:eastAsia="Arial" w:hAnsi="Arial"/>
          <w:sz w:val="13"/>
          <w:szCs w:val="13"/>
          <w:color w:val="auto"/>
        </w:rPr>
        <w:t>The TSR value listed in each year reflects what the cumulative value of $100 would be, including dividend reinvestment, if invested on December 31, 2019. For the purposes of this disclosure, “peer group” is defined as the S&amp;P Financials Index, as reflected in our Annual Report on Form 10-K for the year ended December 31, 2023.</w:t>
      </w:r>
    </w:p>
    <w:p>
      <w:pPr>
        <w:ind w:left="200" w:hanging="192"/>
        <w:spacing w:after="0" w:line="195" w:lineRule="auto"/>
        <w:tabs>
          <w:tab w:leader="none" w:pos="200" w:val="left"/>
        </w:tabs>
        <w:numPr>
          <w:ilvl w:val="0"/>
          <w:numId w:val="265"/>
        </w:numPr>
        <w:rPr>
          <w:rFonts w:ascii="Arial" w:cs="Arial" w:eastAsia="Arial" w:hAnsi="Arial"/>
          <w:sz w:val="16"/>
          <w:szCs w:val="16"/>
          <w:color w:val="auto"/>
          <w:vertAlign w:val="superscript"/>
        </w:rPr>
      </w:pPr>
      <w:r>
        <w:rPr>
          <w:rFonts w:ascii="Arial" w:cs="Arial" w:eastAsia="Arial" w:hAnsi="Arial"/>
          <w:sz w:val="13"/>
          <w:szCs w:val="13"/>
          <w:color w:val="auto"/>
        </w:rPr>
        <w:t>ROTCE is a non-GAAP financial measure; refer to Note 1 on page 113 for a further discussion of this measure.</w:t>
      </w:r>
    </w:p>
    <w:p>
      <w:pPr>
        <w:ind w:left="200" w:hanging="192"/>
        <w:spacing w:after="0" w:line="194" w:lineRule="auto"/>
        <w:tabs>
          <w:tab w:leader="none" w:pos="200" w:val="left"/>
        </w:tabs>
        <w:numPr>
          <w:ilvl w:val="0"/>
          <w:numId w:val="266"/>
        </w:numPr>
        <w:rPr>
          <w:rFonts w:ascii="Arial" w:cs="Arial" w:eastAsia="Arial" w:hAnsi="Arial"/>
          <w:sz w:val="16"/>
          <w:szCs w:val="16"/>
          <w:color w:val="auto"/>
          <w:vertAlign w:val="superscript"/>
        </w:rPr>
      </w:pPr>
      <w:r>
        <w:rPr>
          <w:rFonts w:ascii="Arial" w:cs="Arial" w:eastAsia="Arial" w:hAnsi="Arial"/>
          <w:sz w:val="13"/>
          <w:szCs w:val="13"/>
          <w:color w:val="auto"/>
        </w:rPr>
        <w:t>Values of PSUs include an estimated payout percentage at the vesting date which is assessed at each reporting period, consistent with the Firm's financial statements.</w:t>
      </w:r>
    </w:p>
    <w:p>
      <w:pPr>
        <w:ind w:left="200" w:hanging="192"/>
        <w:spacing w:after="0" w:line="193" w:lineRule="auto"/>
        <w:tabs>
          <w:tab w:leader="none" w:pos="200" w:val="left"/>
        </w:tabs>
        <w:numPr>
          <w:ilvl w:val="0"/>
          <w:numId w:val="267"/>
        </w:numPr>
        <w:rPr>
          <w:rFonts w:ascii="Arial" w:cs="Arial" w:eastAsia="Arial" w:hAnsi="Arial"/>
          <w:sz w:val="16"/>
          <w:szCs w:val="16"/>
          <w:color w:val="auto"/>
          <w:vertAlign w:val="superscript"/>
        </w:rPr>
      </w:pPr>
      <w:r>
        <w:rPr>
          <w:rFonts w:ascii="Arial" w:cs="Arial" w:eastAsia="Arial" w:hAnsi="Arial"/>
          <w:sz w:val="13"/>
          <w:szCs w:val="13"/>
          <w:color w:val="auto"/>
        </w:rPr>
        <w:t>Refer to footnote 4 of the SCT on page 63 for the assumptions included in the Black-Scholes valuation model used in the determination of fair values for option awards.</w:t>
      </w:r>
    </w:p>
    <w:p>
      <w:pPr>
        <w:spacing w:after="0" w:line="1" w:lineRule="exact"/>
        <w:rPr>
          <w:sz w:val="20"/>
          <w:szCs w:val="20"/>
          <w:color w:val="auto"/>
        </w:rPr>
      </w:pPr>
    </w:p>
    <w:p>
      <w:pPr>
        <w:ind w:left="200" w:right="80" w:hanging="192"/>
        <w:spacing w:after="0" w:line="227" w:lineRule="auto"/>
        <w:tabs>
          <w:tab w:leader="none" w:pos="200" w:val="left"/>
        </w:tabs>
        <w:numPr>
          <w:ilvl w:val="0"/>
          <w:numId w:val="268"/>
        </w:numPr>
        <w:rPr>
          <w:rFonts w:ascii="Arial" w:cs="Arial" w:eastAsia="Arial" w:hAnsi="Arial"/>
          <w:sz w:val="16"/>
          <w:szCs w:val="16"/>
          <w:color w:val="auto"/>
          <w:vertAlign w:val="superscript"/>
        </w:rPr>
      </w:pPr>
      <w:r>
        <w:rPr>
          <w:rFonts w:ascii="Arial" w:cs="Arial" w:eastAsia="Arial" w:hAnsi="Arial"/>
          <w:sz w:val="13"/>
          <w:szCs w:val="13"/>
          <w:color w:val="auto"/>
        </w:rPr>
        <w:t>There were no stock or option awards granted and vested in the same reporting year, and no stock or option awards granted in prior years failed to meet the applicable vesting conditions during any of the reporting years. No exercise prices of option awards have been amended or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198120</wp:posOffset>
            </wp:positionV>
            <wp:extent cx="27432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71  </w:t>
      </w:r>
      <w:r>
        <w:rPr>
          <w:sz w:val="1"/>
          <w:szCs w:val="1"/>
          <w:color w:val="auto"/>
        </w:rPr>
        <w:drawing>
          <wp:inline distT="0" distB="0" distL="0" distR="0">
            <wp:extent cx="2203450" cy="154305"/>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5400"/>
        <w:spacing w:after="0"/>
        <w:rPr>
          <w:sz w:val="20"/>
          <w:szCs w:val="20"/>
          <w:color w:val="auto"/>
        </w:rPr>
      </w:pPr>
      <w:r>
        <w:rPr>
          <w:rFonts w:ascii="Arial" w:cs="Arial" w:eastAsia="Arial" w:hAnsi="Arial"/>
          <w:sz w:val="16"/>
          <w:szCs w:val="16"/>
          <w:color w:val="074A75"/>
        </w:rPr>
        <w:t xml:space="preserve">PAY VERSUS PERFORMANCE DISCLOSURE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RELATIONSHIPS BETWEEN EXECUTIVE CAP AND THE FIRM'S FINANCIAL PERFORMANCE MEASURES</w:t>
      </w:r>
    </w:p>
    <w:p>
      <w:pPr>
        <w:spacing w:after="0" w:line="1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charts and narrative below are based on the information presented in the Pay versus Performance table, to illustrate and describe the relationships between the Firm’s PEO CAP and the average of the Firm’s non-PEO NEO CAPs with the following three measures of financial performance, against the four covered fiscal years:</w:t>
      </w:r>
    </w:p>
    <w:p>
      <w:pPr>
        <w:spacing w:after="0" w:line="63" w:lineRule="exact"/>
        <w:rPr>
          <w:sz w:val="20"/>
          <w:szCs w:val="20"/>
          <w:color w:val="auto"/>
        </w:rPr>
      </w:pPr>
    </w:p>
    <w:p>
      <w:pPr>
        <w:ind w:left="200" w:hanging="192"/>
        <w:spacing w:after="0"/>
        <w:tabs>
          <w:tab w:leader="none" w:pos="200" w:val="left"/>
        </w:tabs>
        <w:numPr>
          <w:ilvl w:val="0"/>
          <w:numId w:val="269"/>
        </w:numPr>
        <w:rPr>
          <w:rFonts w:ascii="Arial" w:cs="Arial" w:eastAsia="Arial" w:hAnsi="Arial"/>
          <w:sz w:val="18"/>
          <w:szCs w:val="18"/>
          <w:color w:val="074A75"/>
        </w:rPr>
      </w:pPr>
      <w:r>
        <w:rPr>
          <w:rFonts w:ascii="Arial" w:cs="Arial" w:eastAsia="Arial" w:hAnsi="Arial"/>
          <w:sz w:val="18"/>
          <w:szCs w:val="18"/>
          <w:color w:val="auto"/>
        </w:rPr>
        <w:t>The cumulative TSR of the Firm</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269"/>
        </w:numPr>
        <w:rPr>
          <w:rFonts w:ascii="Arial" w:cs="Arial" w:eastAsia="Arial" w:hAnsi="Arial"/>
          <w:sz w:val="18"/>
          <w:szCs w:val="18"/>
          <w:color w:val="074A75"/>
        </w:rPr>
      </w:pPr>
      <w:r>
        <w:rPr>
          <w:rFonts w:ascii="Arial" w:cs="Arial" w:eastAsia="Arial" w:hAnsi="Arial"/>
          <w:sz w:val="18"/>
          <w:szCs w:val="18"/>
          <w:color w:val="auto"/>
        </w:rPr>
        <w:t>The net income of the Firm</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269"/>
        </w:numPr>
        <w:rPr>
          <w:rFonts w:ascii="Arial" w:cs="Arial" w:eastAsia="Arial" w:hAnsi="Arial"/>
          <w:sz w:val="18"/>
          <w:szCs w:val="18"/>
          <w:color w:val="074A75"/>
        </w:rPr>
      </w:pPr>
      <w:r>
        <w:rPr>
          <w:rFonts w:ascii="Arial" w:cs="Arial" w:eastAsia="Arial" w:hAnsi="Arial"/>
          <w:sz w:val="18"/>
          <w:szCs w:val="18"/>
          <w:color w:val="auto"/>
        </w:rPr>
        <w:t>The Firm’s company-selected measure (ROTCE)</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first chart also illustrates the relationship between the Firm’s TSR and our selected peer group's TSR, as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66040</wp:posOffset>
            </wp:positionV>
            <wp:extent cx="6643370" cy="129413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64337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2021, PEO CAP and non-PEO NEO average CAP were sharply higher than in 2020 as they included one-time special awards in the form of Stock Appreciation Rights (SARs) granted to Mr. Dimon in July 2021 and Mr. Pinto in December 2021. In 2022, both PEO CAP and non-PEO NEO average CAP decreased significantly from 2021, due to a decrease in the Firm’s stock price as of year-end 2022, consistent with the broader market decline. The largest impact of the change in the stock price was on Messrs. Dimon and Pinto's outstanding SARs awards, both of which were out of the money as of the end of 2022. In 2023, the increase in both PEO CAP and non-PEO NEO average CAP was attributable to an increase in the Firm's stock price as of year-end 2023, which outperformed the S&amp;P Financials Index as well as the broader market in general. Additionally, the PEO and non-PEO NEO average CAP were impacted by Messrs. Dimon and Pinto's outstanding SARs awards, both of which were in the money as of the end of 2023.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Firm's PEO CAP and non-PEO NEO average CAP reflect a general correlation with:</w:t>
      </w:r>
    </w:p>
    <w:p>
      <w:pPr>
        <w:spacing w:after="0" w:line="117" w:lineRule="exact"/>
        <w:rPr>
          <w:sz w:val="20"/>
          <w:szCs w:val="20"/>
          <w:color w:val="auto"/>
        </w:rPr>
      </w:pPr>
    </w:p>
    <w:p>
      <w:pPr>
        <w:ind w:left="200" w:hanging="192"/>
        <w:spacing w:after="0"/>
        <w:tabs>
          <w:tab w:leader="none" w:pos="200" w:val="left"/>
        </w:tabs>
        <w:numPr>
          <w:ilvl w:val="0"/>
          <w:numId w:val="270"/>
        </w:numPr>
        <w:rPr>
          <w:rFonts w:ascii="Arial" w:cs="Arial" w:eastAsia="Arial" w:hAnsi="Arial"/>
          <w:sz w:val="18"/>
          <w:szCs w:val="18"/>
          <w:color w:val="074A75"/>
        </w:rPr>
      </w:pPr>
      <w:r>
        <w:rPr>
          <w:rFonts w:ascii="Arial" w:cs="Arial" w:eastAsia="Arial" w:hAnsi="Arial"/>
          <w:sz w:val="18"/>
          <w:szCs w:val="18"/>
          <w:color w:val="auto"/>
        </w:rPr>
        <w:t>The Firm’s stock price and TSR, primarily due to a significant majority of our NEOs’ compensation being in the form of long-term equity</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270"/>
        </w:numPr>
        <w:rPr>
          <w:rFonts w:ascii="Arial" w:cs="Arial" w:eastAsia="Arial" w:hAnsi="Arial"/>
          <w:sz w:val="18"/>
          <w:szCs w:val="18"/>
          <w:color w:val="074A75"/>
        </w:rPr>
      </w:pPr>
      <w:r>
        <w:rPr>
          <w:rFonts w:ascii="Arial" w:cs="Arial" w:eastAsia="Arial" w:hAnsi="Arial"/>
          <w:sz w:val="18"/>
          <w:szCs w:val="18"/>
          <w:color w:val="auto"/>
        </w:rPr>
        <w:t>The Firm’s net income, which reflects our pay-for-performance compensation philosophy and practices</w:t>
      </w:r>
    </w:p>
    <w:p>
      <w:pPr>
        <w:spacing w:after="0" w:line="90" w:lineRule="exact"/>
        <w:rPr>
          <w:rFonts w:ascii="Arial" w:cs="Arial" w:eastAsia="Arial" w:hAnsi="Arial"/>
          <w:sz w:val="18"/>
          <w:szCs w:val="18"/>
          <w:color w:val="074A75"/>
        </w:rPr>
      </w:pPr>
    </w:p>
    <w:p>
      <w:pPr>
        <w:ind w:left="200" w:right="260" w:hanging="192"/>
        <w:spacing w:after="0" w:line="287" w:lineRule="auto"/>
        <w:tabs>
          <w:tab w:leader="none" w:pos="204" w:val="left"/>
        </w:tabs>
        <w:numPr>
          <w:ilvl w:val="0"/>
          <w:numId w:val="270"/>
        </w:numPr>
        <w:rPr>
          <w:rFonts w:ascii="Arial" w:cs="Arial" w:eastAsia="Arial" w:hAnsi="Arial"/>
          <w:sz w:val="18"/>
          <w:szCs w:val="18"/>
          <w:color w:val="074A75"/>
        </w:rPr>
      </w:pPr>
      <w:r>
        <w:rPr>
          <w:rFonts w:ascii="Arial" w:cs="Arial" w:eastAsia="Arial" w:hAnsi="Arial"/>
          <w:sz w:val="18"/>
          <w:szCs w:val="18"/>
          <w:color w:val="auto"/>
        </w:rPr>
        <w:t>The Firm’s ROTCE, which emphasizes our commitment to providing strong returns to shareholders while maintaining a fortress balance sheet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Firm’s change in TSR over the past four years reflects a general correlation with that of the broader S&amp;P Financials Index.</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UNRANKED TABULAR LIST OF THE FIRM'S MOST IMPORTANT FINANCIAL PERFORMANCE MEASURES</w:t>
      </w:r>
    </w:p>
    <w:p>
      <w:pPr>
        <w:spacing w:after="0" w:line="11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required by SEC rules, the most important financial performance measures that the Firm used to link executive compensation during the last fiscal year to company performance are listed below.</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074A75"/>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0943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Managed revenue for the Firm and the lines of business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Pre-tax income (ex. LLR) for the Firm and some lines of business, and Pre-tax income for other lines of business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for the Firm and the lines of business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ROTCE for the Firm and ROE for the lines of business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CEO pay ratio disclosure</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estimated median employee and the annual total compensation of Mr. Dimon, our Chairman and CEO.</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074A75"/>
        </w:rPr>
        <w:t>CEO PAY RATIO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2023:</w:t>
      </w:r>
    </w:p>
    <w:p>
      <w:pPr>
        <w:spacing w:after="0" w:line="115" w:lineRule="exact"/>
        <w:rPr>
          <w:sz w:val="20"/>
          <w:szCs w:val="20"/>
          <w:color w:val="auto"/>
        </w:rPr>
      </w:pPr>
    </w:p>
    <w:p>
      <w:pPr>
        <w:ind w:left="200" w:hanging="192"/>
        <w:spacing w:after="0"/>
        <w:tabs>
          <w:tab w:leader="none" w:pos="200" w:val="left"/>
        </w:tabs>
        <w:numPr>
          <w:ilvl w:val="0"/>
          <w:numId w:val="271"/>
        </w:numPr>
        <w:rPr>
          <w:rFonts w:ascii="Arial" w:cs="Arial" w:eastAsia="Arial" w:hAnsi="Arial"/>
          <w:sz w:val="18"/>
          <w:szCs w:val="18"/>
          <w:color w:val="074A75"/>
        </w:rPr>
      </w:pPr>
      <w:r>
        <w:rPr>
          <w:rFonts w:ascii="Arial" w:cs="Arial" w:eastAsia="Arial" w:hAnsi="Arial"/>
          <w:sz w:val="18"/>
          <w:szCs w:val="18"/>
          <w:color w:val="auto"/>
        </w:rPr>
        <w:t>The annual total compensation of Mr. Dimon was $35,103,035</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including Firm-paid employee benefits</w:t>
      </w:r>
    </w:p>
    <w:p>
      <w:pPr>
        <w:spacing w:after="0" w:line="39" w:lineRule="exact"/>
        <w:rPr>
          <w:rFonts w:ascii="Arial" w:cs="Arial" w:eastAsia="Arial" w:hAnsi="Arial"/>
          <w:sz w:val="18"/>
          <w:szCs w:val="18"/>
          <w:color w:val="074A75"/>
        </w:rPr>
      </w:pPr>
    </w:p>
    <w:p>
      <w:pPr>
        <w:ind w:left="200" w:hanging="192"/>
        <w:spacing w:after="0"/>
        <w:tabs>
          <w:tab w:leader="none" w:pos="200" w:val="left"/>
        </w:tabs>
        <w:numPr>
          <w:ilvl w:val="0"/>
          <w:numId w:val="271"/>
        </w:numPr>
        <w:rPr>
          <w:rFonts w:ascii="Arial" w:cs="Arial" w:eastAsia="Arial" w:hAnsi="Arial"/>
          <w:sz w:val="18"/>
          <w:szCs w:val="18"/>
          <w:color w:val="074A75"/>
        </w:rPr>
      </w:pPr>
      <w:r>
        <w:rPr>
          <w:rFonts w:ascii="Arial" w:cs="Arial" w:eastAsia="Arial" w:hAnsi="Arial"/>
          <w:sz w:val="18"/>
          <w:szCs w:val="18"/>
          <w:color w:val="auto"/>
        </w:rPr>
        <w:t>The annual total compensation of our estimated median employee was $95,988</w:t>
      </w:r>
      <w:r>
        <w:rPr>
          <w:rFonts w:ascii="Arial" w:cs="Arial" w:eastAsia="Arial" w:hAnsi="Arial"/>
          <w:sz w:val="23"/>
          <w:szCs w:val="23"/>
          <w:color w:val="auto"/>
          <w:vertAlign w:val="superscript"/>
        </w:rPr>
        <w:t>2</w:t>
      </w:r>
      <w:r>
        <w:rPr>
          <w:rFonts w:ascii="Arial" w:cs="Arial" w:eastAsia="Arial" w:hAnsi="Arial"/>
          <w:sz w:val="18"/>
          <w:szCs w:val="18"/>
          <w:color w:val="auto"/>
        </w:rPr>
        <w:t>, including Firm-paid employee benefits</w:t>
      </w:r>
    </w:p>
    <w:p>
      <w:pPr>
        <w:spacing w:after="0" w:line="19" w:lineRule="exact"/>
        <w:rPr>
          <w:rFonts w:ascii="Arial" w:cs="Arial" w:eastAsia="Arial" w:hAnsi="Arial"/>
          <w:sz w:val="18"/>
          <w:szCs w:val="18"/>
          <w:color w:val="074A75"/>
        </w:rPr>
      </w:pPr>
    </w:p>
    <w:p>
      <w:pPr>
        <w:ind w:left="200" w:hanging="192"/>
        <w:spacing w:after="0"/>
        <w:tabs>
          <w:tab w:leader="none" w:pos="200" w:val="left"/>
        </w:tabs>
        <w:numPr>
          <w:ilvl w:val="0"/>
          <w:numId w:val="271"/>
        </w:numPr>
        <w:rPr>
          <w:rFonts w:ascii="Arial" w:cs="Arial" w:eastAsia="Arial" w:hAnsi="Arial"/>
          <w:sz w:val="18"/>
          <w:szCs w:val="18"/>
          <w:color w:val="074A75"/>
        </w:rPr>
      </w:pPr>
      <w:r>
        <w:rPr>
          <w:rFonts w:ascii="Arial" w:cs="Arial" w:eastAsia="Arial" w:hAnsi="Arial"/>
          <w:sz w:val="18"/>
          <w:szCs w:val="18"/>
          <w:color w:val="auto"/>
        </w:rPr>
        <w:t>This represents a ratio of 366 to 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074A75"/>
        </w:rPr>
        <w:t>IDENTIFYING OUR MEDIAN EMPLOYEE</w:t>
      </w:r>
    </w:p>
    <w:p>
      <w:pPr>
        <w:spacing w:after="0" w:line="1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believe there were no material changes in our employee population or employee compensation arrangements in 2023 that would have necessitated a change to our CEO pay ratio calculation methodology. Therefore, as permitted under SEC rules, for this year's disclosure we have used the 2023 annual total compensation of the same estimated median employee that we identified for last year's disclosure in our 2023 Proxy Statement.</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disclosure in our 2023 Proxy Statement, annual total compensation included salary as of December 31, 2022, as well as overtime pay, fixed allowance and incentive compensation, if applicable. We annualized the salary portion of the compensation for employees who were hired during 2022; however, we did not make any full-time equivalent adjustments to part-time, temporary and seasonal employees. We did not apply any cost-of-living adjustments as part of the calculation. In determining the scope of our employees (other than our CEO), we included our global workforce of full-time, part-time, temporary and seasonal employees who were employed as of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074A75"/>
        </w:rPr>
        <w:t>COMPARABILITY</w:t>
      </w:r>
    </w:p>
    <w:p>
      <w:pPr>
        <w:spacing w:after="0" w:line="11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the ratio above is a reasonable estimate, based on the methodology we have described. Given the different methodologies, exclusions, estimates and assumptions other companies may use to calculate their respective CEO pay ratios, as well as differences in employment and compensation practices between companies, the estimated ratio reported above may not be comparable to that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0" w:hanging="192"/>
        <w:spacing w:after="0" w:line="221" w:lineRule="auto"/>
        <w:tabs>
          <w:tab w:leader="none" w:pos="200" w:val="left"/>
        </w:tabs>
        <w:numPr>
          <w:ilvl w:val="0"/>
          <w:numId w:val="272"/>
        </w:numPr>
        <w:rPr>
          <w:rFonts w:ascii="Arial" w:cs="Arial" w:eastAsia="Arial" w:hAnsi="Arial"/>
          <w:sz w:val="16"/>
          <w:szCs w:val="16"/>
          <w:color w:val="auto"/>
          <w:vertAlign w:val="superscript"/>
        </w:rPr>
      </w:pPr>
      <w:r>
        <w:rPr>
          <w:rFonts w:ascii="Arial" w:cs="Arial" w:eastAsia="Arial" w:hAnsi="Arial"/>
          <w:sz w:val="13"/>
          <w:szCs w:val="13"/>
          <w:color w:val="auto"/>
        </w:rPr>
        <w:t>For purposes of the CEO pay ratio disclosure, Mr. Dimon’s annual total compensation includes the amount reported in the “Total” column of the 2023 Summary Compensation Table on page 63 which includes change in pension value, plus the value of Firm-paid employee benefits applicable to Mr. Dimon.</w:t>
      </w:r>
    </w:p>
    <w:p>
      <w:pPr>
        <w:spacing w:after="0" w:line="1" w:lineRule="exact"/>
        <w:rPr>
          <w:sz w:val="20"/>
          <w:szCs w:val="20"/>
          <w:color w:val="auto"/>
        </w:rPr>
      </w:pPr>
    </w:p>
    <w:p>
      <w:pPr>
        <w:ind w:left="200" w:right="240" w:hanging="192"/>
        <w:spacing w:after="0" w:line="218" w:lineRule="auto"/>
        <w:tabs>
          <w:tab w:leader="none" w:pos="200" w:val="left"/>
        </w:tabs>
        <w:numPr>
          <w:ilvl w:val="0"/>
          <w:numId w:val="273"/>
        </w:numPr>
        <w:rPr>
          <w:rFonts w:ascii="Arial" w:cs="Arial" w:eastAsia="Arial" w:hAnsi="Arial"/>
          <w:sz w:val="16"/>
          <w:szCs w:val="16"/>
          <w:color w:val="auto"/>
          <w:vertAlign w:val="superscript"/>
        </w:rPr>
      </w:pPr>
      <w:r>
        <w:rPr>
          <w:rFonts w:ascii="Arial" w:cs="Arial" w:eastAsia="Arial" w:hAnsi="Arial"/>
          <w:sz w:val="13"/>
          <w:szCs w:val="13"/>
          <w:color w:val="auto"/>
        </w:rPr>
        <w:t>The estimated median employee’s annual total compensation includes change in pension value, plus the value of Firm-paid employee benefits including healthcare benefits and 401(k) retirement plan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73  </w:t>
      </w:r>
      <w:r>
        <w:rPr>
          <w:sz w:val="1"/>
          <w:szCs w:val="1"/>
          <w:color w:val="auto"/>
        </w:rPr>
        <w:drawing>
          <wp:inline distT="0" distB="0" distL="0" distR="0">
            <wp:extent cx="2203450" cy="154305"/>
            <wp:effectExtent l="0" t="0" r="0" b="0"/>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SECURITY OWNERSHIP OF DIRECTORS AND EXECUTIVE OFFICERS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Security ownership of directors and executive officers</w:t>
      </w:r>
    </w:p>
    <w:p>
      <w:pPr>
        <w:sectPr>
          <w:pgSz w:w="11900" w:h="16838" w:orient="portrait"/>
          <w:cols w:equalWidth="0" w:num="1">
            <w:col w:w="11240"/>
          </w:cols>
          <w:pgMar w:left="320" w:top="157" w:right="339" w:bottom="1440" w:gutter="0" w:footer="0" w:header="0"/>
        </w:sectPr>
      </w:pPr>
    </w:p>
    <w:p>
      <w:pPr>
        <w:spacing w:after="0" w:line="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share retention policies require share ownership for directors and executive officers, as described on pages 30 and 47, respectively.</w:t>
      </w:r>
    </w:p>
    <w:p>
      <w:pPr>
        <w:spacing w:after="0" w:line="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shows the number of shares of common stock and common stock equivalents beneficially owned by each director, the current executive officers named in the SCT, and all directors and executive officers as a group as of February 29, 2024. Shares beneficially owned include shares that could have been acquired within 60 days after that date through the exercise of stock options or SARs, and additional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underlying stock units as described in Note 2 to the table. Unless otherwise indicated, each individual and member of the group has sole voting power and sole investment power with respect to shares owned. The number of shares beneficially owned, as defined by Rule 13d-3 under the Securities Exchange Act of 1934 —as of February 29, 2024, by all directors and executive officers as a group and by each director and NEO individually—is less than 1% of our outstanding common stock.</w:t>
      </w:r>
    </w:p>
    <w:p>
      <w:pPr>
        <w:spacing w:after="0" w:line="719"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rPr>
          <w:sz w:val="20"/>
          <w:szCs w:val="20"/>
          <w:color w:val="auto"/>
        </w:rPr>
      </w:pPr>
      <w:r>
        <w:rPr>
          <w:rFonts w:ascii="Arial" w:cs="Arial" w:eastAsia="Arial" w:hAnsi="Arial"/>
          <w:sz w:val="20"/>
          <w:szCs w:val="20"/>
          <w:color w:val="074A75"/>
        </w:rPr>
        <w:t>SECURITY OWNERSHIP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00" w:type="dxa"/>
            <w:vAlign w:val="bottom"/>
          </w:tcPr>
          <w:p>
            <w:pPr>
              <w:spacing w:after="0"/>
              <w:rPr>
                <w:sz w:val="19"/>
                <w:szCs w:val="19"/>
                <w:color w:val="auto"/>
              </w:rPr>
            </w:pPr>
          </w:p>
        </w:tc>
        <w:tc>
          <w:tcPr>
            <w:tcW w:w="40" w:type="dxa"/>
            <w:vAlign w:val="bottom"/>
            <w:tcBorders>
              <w:bottom w:val="single" w:sz="8" w:color="454545"/>
            </w:tcBorders>
          </w:tcPr>
          <w:p>
            <w:pPr>
              <w:spacing w:after="0"/>
              <w:rPr>
                <w:sz w:val="19"/>
                <w:szCs w:val="19"/>
                <w:color w:val="auto"/>
              </w:rPr>
            </w:pPr>
          </w:p>
        </w:tc>
        <w:tc>
          <w:tcPr>
            <w:tcW w:w="1100" w:type="dxa"/>
            <w:vAlign w:val="bottom"/>
            <w:tcBorders>
              <w:bottom w:val="single" w:sz="8" w:color="454545"/>
            </w:tcBorders>
          </w:tcPr>
          <w:p>
            <w:pPr>
              <w:spacing w:after="0"/>
              <w:rPr>
                <w:sz w:val="19"/>
                <w:szCs w:val="19"/>
                <w:color w:val="auto"/>
              </w:rPr>
            </w:pPr>
          </w:p>
        </w:tc>
        <w:tc>
          <w:tcPr>
            <w:tcW w:w="1640" w:type="dxa"/>
            <w:vAlign w:val="bottom"/>
            <w:tcBorders>
              <w:bottom w:val="single" w:sz="8" w:color="454545"/>
            </w:tcBorders>
            <w:gridSpan w:val="2"/>
          </w:tcPr>
          <w:p>
            <w:pPr>
              <w:ind w:left="120"/>
              <w:spacing w:after="0"/>
              <w:rPr>
                <w:sz w:val="20"/>
                <w:szCs w:val="20"/>
                <w:color w:val="auto"/>
              </w:rPr>
            </w:pPr>
            <w:r>
              <w:rPr>
                <w:rFonts w:ascii="Arial" w:cs="Arial" w:eastAsia="Arial" w:hAnsi="Arial"/>
                <w:sz w:val="16"/>
                <w:szCs w:val="16"/>
                <w:color w:val="auto"/>
              </w:rPr>
              <w:t>Beneficial ownership</w:t>
            </w:r>
          </w:p>
        </w:tc>
        <w:tc>
          <w:tcPr>
            <w:tcW w:w="1260" w:type="dxa"/>
            <w:vAlign w:val="bottom"/>
            <w:tcBorders>
              <w:bottom w:val="single" w:sz="8" w:color="454545"/>
            </w:tcBorders>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2"/>
        </w:trPr>
        <w:tc>
          <w:tcPr>
            <w:tcW w:w="4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color w:val="074A75"/>
              </w:rPr>
              <w:t>SARs/Options</w:t>
            </w:r>
          </w:p>
        </w:tc>
        <w:tc>
          <w:tcPr>
            <w:tcW w:w="12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074A75"/>
              </w:rPr>
              <w:t>Additional</w:t>
            </w:r>
          </w:p>
        </w:tc>
        <w:tc>
          <w:tcPr>
            <w:tcW w:w="1100" w:type="dxa"/>
            <w:vAlign w:val="bottom"/>
          </w:tcPr>
          <w:p>
            <w:pPr>
              <w:spacing w:after="0"/>
              <w:rPr>
                <w:sz w:val="17"/>
                <w:szCs w:val="17"/>
                <w:color w:val="auto"/>
              </w:rPr>
            </w:pPr>
          </w:p>
        </w:tc>
      </w:tr>
      <w:tr>
        <w:trPr>
          <w:trHeight w:val="189"/>
        </w:trPr>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074A75"/>
              </w:rPr>
              <w:t>Common</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074A75"/>
              </w:rPr>
              <w:t>exercisable within</w:t>
            </w:r>
          </w:p>
        </w:tc>
        <w:tc>
          <w:tcPr>
            <w:tcW w:w="1260" w:type="dxa"/>
            <w:vAlign w:val="bottom"/>
          </w:tcPr>
          <w:p>
            <w:pPr>
              <w:jc w:val="right"/>
              <w:ind w:right="79"/>
              <w:spacing w:after="0"/>
              <w:rPr>
                <w:sz w:val="20"/>
                <w:szCs w:val="20"/>
                <w:color w:val="auto"/>
              </w:rPr>
            </w:pPr>
            <w:r>
              <w:rPr>
                <w:rFonts w:ascii="Arial" w:cs="Arial" w:eastAsia="Arial" w:hAnsi="Arial"/>
                <w:sz w:val="16"/>
                <w:szCs w:val="16"/>
                <w:color w:val="074A75"/>
              </w:rPr>
              <w:t>Total beneficial</w:t>
            </w:r>
          </w:p>
        </w:tc>
        <w:tc>
          <w:tcPr>
            <w:tcW w:w="1400" w:type="dxa"/>
            <w:vAlign w:val="bottom"/>
          </w:tcPr>
          <w:p>
            <w:pPr>
              <w:jc w:val="center"/>
              <w:spacing w:after="0"/>
              <w:rPr>
                <w:sz w:val="20"/>
                <w:szCs w:val="20"/>
                <w:color w:val="auto"/>
              </w:rPr>
            </w:pPr>
            <w:r>
              <w:rPr>
                <w:rFonts w:ascii="Arial" w:cs="Arial" w:eastAsia="Arial" w:hAnsi="Arial"/>
                <w:sz w:val="16"/>
                <w:szCs w:val="16"/>
                <w:color w:val="074A75"/>
              </w:rPr>
              <w:t>underlying stock</w:t>
            </w:r>
          </w:p>
        </w:tc>
        <w:tc>
          <w:tcPr>
            <w:tcW w:w="1100" w:type="dxa"/>
            <w:vAlign w:val="bottom"/>
          </w:tcPr>
          <w:p>
            <w:pPr>
              <w:spacing w:after="0"/>
              <w:rPr>
                <w:sz w:val="16"/>
                <w:szCs w:val="16"/>
                <w:color w:val="auto"/>
              </w:rPr>
            </w:pPr>
          </w:p>
        </w:tc>
      </w:tr>
      <w:tr>
        <w:trPr>
          <w:trHeight w:val="244"/>
        </w:trPr>
        <w:tc>
          <w:tcPr>
            <w:tcW w:w="4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074A75"/>
              </w:rPr>
              <w:t>Name</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074A75"/>
              </w:rPr>
              <w:t>Stock (#)</w:t>
            </w:r>
            <w:r>
              <w:rPr>
                <w:rFonts w:ascii="Arial" w:cs="Arial" w:eastAsia="Arial" w:hAnsi="Arial"/>
                <w:sz w:val="21"/>
                <w:szCs w:val="21"/>
                <w:color w:val="074A75"/>
                <w:vertAlign w:val="superscript"/>
              </w:rPr>
              <w:t>1</w:t>
            </w:r>
          </w:p>
        </w:tc>
        <w:tc>
          <w:tcPr>
            <w:tcW w:w="16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color w:val="074A75"/>
                <w:w w:val="99"/>
              </w:rPr>
              <w:t>60 days (#)</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074A75"/>
              </w:rPr>
              <w:t>ownership (#)</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74A75"/>
                <w:w w:val="97"/>
              </w:rPr>
              <w:t>units (#)</w:t>
            </w:r>
            <w:r>
              <w:rPr>
                <w:rFonts w:ascii="Arial" w:cs="Arial" w:eastAsia="Arial" w:hAnsi="Arial"/>
                <w:sz w:val="21"/>
                <w:szCs w:val="21"/>
                <w:color w:val="074A75"/>
                <w:w w:val="97"/>
                <w:vertAlign w:val="superscript"/>
              </w:rPr>
              <w:t>2</w:t>
            </w: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074A75"/>
              </w:rPr>
              <w:t>Total (#)</w:t>
            </w:r>
          </w:p>
        </w:tc>
      </w:tr>
      <w:tr>
        <w:trPr>
          <w:trHeight w:val="233"/>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Stephen B. Burke</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107,334</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107,334</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144,796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252,130</w:t>
            </w:r>
          </w:p>
        </w:tc>
      </w:tr>
      <w:tr>
        <w:trPr>
          <w:trHeight w:val="237"/>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Linda B. Bammann</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65,986</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65,986</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33,543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99,529</w:t>
            </w:r>
          </w:p>
        </w:tc>
      </w:tr>
      <w:tr>
        <w:trPr>
          <w:trHeight w:val="237"/>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Jeremy Barnum</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34,744</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34,744</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128,640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163,384</w:t>
            </w:r>
          </w:p>
        </w:tc>
      </w:tr>
      <w:tr>
        <w:trPr>
          <w:trHeight w:val="237"/>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Todd A. Combs</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13,016</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13,016</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18,315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31,331</w:t>
            </w:r>
          </w:p>
        </w:tc>
      </w:tr>
      <w:tr>
        <w:trPr>
          <w:trHeight w:val="237"/>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Alicia Boler Davis</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285</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1,595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w:t>
            </w:r>
          </w:p>
        </w:tc>
      </w:tr>
      <w:tr>
        <w:trPr>
          <w:trHeight w:val="281"/>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James Dimon</w:t>
            </w:r>
            <w:r>
              <w:rPr>
                <w:rFonts w:ascii="Arial" w:cs="Arial" w:eastAsia="Arial" w:hAnsi="Arial"/>
                <w:sz w:val="21"/>
                <w:szCs w:val="21"/>
                <w:b w:val="1"/>
                <w:bCs w:val="1"/>
                <w:color w:val="auto"/>
                <w:vertAlign w:val="superscript"/>
              </w:rPr>
              <w:t>3</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7,700,806</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7,700,806</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780,153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8,480,959</w:t>
            </w:r>
          </w:p>
        </w:tc>
      </w:tr>
      <w:tr>
        <w:trPr>
          <w:trHeight w:val="277"/>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Mary Callahan Erdoes</w:t>
            </w:r>
            <w:r>
              <w:rPr>
                <w:rFonts w:ascii="Arial" w:cs="Arial" w:eastAsia="Arial" w:hAnsi="Arial"/>
                <w:sz w:val="21"/>
                <w:szCs w:val="21"/>
                <w:b w:val="1"/>
                <w:bCs w:val="1"/>
                <w:color w:val="auto"/>
                <w:vertAlign w:val="superscript"/>
              </w:rPr>
              <w:t>4</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570,003</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570,003</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309,795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879,798</w:t>
            </w:r>
          </w:p>
        </w:tc>
      </w:tr>
      <w:tr>
        <w:trPr>
          <w:trHeight w:val="233"/>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Timothy P. Flynn</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10,000</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60,134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70,134</w:t>
            </w:r>
          </w:p>
        </w:tc>
      </w:tr>
      <w:tr>
        <w:trPr>
          <w:trHeight w:val="237"/>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Alex Gorsky</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4,336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4,424</w:t>
            </w:r>
          </w:p>
        </w:tc>
      </w:tr>
      <w:tr>
        <w:trPr>
          <w:trHeight w:val="236"/>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Mellody Hobson</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129,574</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129,574</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19,765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149,339</w:t>
            </w:r>
          </w:p>
        </w:tc>
      </w:tr>
      <w:tr>
        <w:trPr>
          <w:trHeight w:val="237"/>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Marianne Lake</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209,296</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209,296</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219,809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429,105</w:t>
            </w:r>
          </w:p>
        </w:tc>
      </w:tr>
      <w:tr>
        <w:trPr>
          <w:trHeight w:val="236"/>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Michael A. Neal</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9,050</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9,050</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47,885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56,935</w:t>
            </w:r>
          </w:p>
        </w:tc>
      </w:tr>
      <w:tr>
        <w:trPr>
          <w:trHeight w:val="237"/>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Phebe N. Novakovic</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9,153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9,653</w:t>
            </w:r>
          </w:p>
        </w:tc>
      </w:tr>
      <w:tr>
        <w:trPr>
          <w:trHeight w:val="236"/>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Jennifer Piepszak</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32,819</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32,819</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211,147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243,966</w:t>
            </w:r>
          </w:p>
        </w:tc>
      </w:tr>
      <w:tr>
        <w:trPr>
          <w:trHeight w:val="237"/>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Daniel Pinto</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595,732</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595,732</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862,263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1,457,995</w:t>
            </w:r>
          </w:p>
        </w:tc>
      </w:tr>
      <w:tr>
        <w:trPr>
          <w:trHeight w:val="237"/>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Virginia M. Rometty</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280</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10,783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11,063</w:t>
            </w:r>
          </w:p>
        </w:tc>
      </w:tr>
      <w:tr>
        <w:trPr>
          <w:trHeight w:val="236"/>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Mark A. Weinberger</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1,595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r>
      <w:tr>
        <w:trPr>
          <w:trHeight w:val="229"/>
        </w:trPr>
        <w:tc>
          <w:tcPr>
            <w:tcW w:w="47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All directors and current executive officers</w:t>
            </w:r>
          </w:p>
        </w:tc>
        <w:tc>
          <w:tcPr>
            <w:tcW w:w="110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100" w:type="dxa"/>
            <w:vAlign w:val="bottom"/>
          </w:tcPr>
          <w:p>
            <w:pPr>
              <w:spacing w:after="0"/>
              <w:rPr>
                <w:sz w:val="19"/>
                <w:szCs w:val="19"/>
                <w:color w:val="auto"/>
              </w:rPr>
            </w:pPr>
          </w:p>
        </w:tc>
      </w:tr>
      <w:tr>
        <w:trPr>
          <w:trHeight w:val="267"/>
        </w:trPr>
        <w:tc>
          <w:tcPr>
            <w:tcW w:w="4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 a group (22 persons)</w:t>
            </w:r>
            <w:r>
              <w:rPr>
                <w:rFonts w:ascii="Arial" w:cs="Arial" w:eastAsia="Arial" w:hAnsi="Arial"/>
                <w:sz w:val="21"/>
                <w:szCs w:val="21"/>
                <w:b w:val="1"/>
                <w:bCs w:val="1"/>
                <w:color w:val="auto"/>
                <w:vertAlign w:val="superscript"/>
              </w:rPr>
              <w:t>3,4</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10,045,317</w:t>
            </w:r>
          </w:p>
        </w:tc>
        <w:tc>
          <w:tcPr>
            <w:tcW w:w="15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10,045,317</w:t>
            </w:r>
          </w:p>
        </w:tc>
        <w:tc>
          <w:tcPr>
            <w:tcW w:w="1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3,722,493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13,767,810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right="60" w:hanging="192"/>
        <w:spacing w:after="0" w:line="221" w:lineRule="auto"/>
        <w:tabs>
          <w:tab w:leader="none" w:pos="200" w:val="left"/>
        </w:tabs>
        <w:numPr>
          <w:ilvl w:val="0"/>
          <w:numId w:val="274"/>
        </w:numPr>
        <w:rPr>
          <w:rFonts w:ascii="Arial" w:cs="Arial" w:eastAsia="Arial" w:hAnsi="Arial"/>
          <w:sz w:val="16"/>
          <w:szCs w:val="16"/>
          <w:color w:val="auto"/>
          <w:vertAlign w:val="superscript"/>
        </w:rPr>
      </w:pPr>
      <w:r>
        <w:rPr>
          <w:rFonts w:ascii="Arial" w:cs="Arial" w:eastAsia="Arial" w:hAnsi="Arial"/>
          <w:sz w:val="13"/>
          <w:szCs w:val="13"/>
          <w:color w:val="auto"/>
        </w:rPr>
        <w:t>Shares owned outright, except as otherwise noted. Directors agree to retain all shares of common stock of JPMorgan Chase purchased on the open market or received pursuant to their service as a Board member for as long as they serve on the Board.</w:t>
      </w:r>
    </w:p>
    <w:p>
      <w:pPr>
        <w:spacing w:after="0" w:line="3" w:lineRule="exact"/>
        <w:rPr>
          <w:sz w:val="20"/>
          <w:szCs w:val="20"/>
          <w:color w:val="auto"/>
        </w:rPr>
      </w:pPr>
    </w:p>
    <w:p>
      <w:pPr>
        <w:ind w:left="200" w:right="20" w:hanging="192"/>
        <w:spacing w:after="0" w:line="238" w:lineRule="auto"/>
        <w:tabs>
          <w:tab w:leader="none" w:pos="200" w:val="left"/>
        </w:tabs>
        <w:numPr>
          <w:ilvl w:val="0"/>
          <w:numId w:val="275"/>
        </w:numPr>
        <w:rPr>
          <w:rFonts w:ascii="Arial" w:cs="Arial" w:eastAsia="Arial" w:hAnsi="Arial"/>
          <w:sz w:val="15"/>
          <w:szCs w:val="15"/>
          <w:color w:val="auto"/>
          <w:vertAlign w:val="superscript"/>
        </w:rPr>
      </w:pPr>
      <w:r>
        <w:rPr>
          <w:rFonts w:ascii="Arial" w:cs="Arial" w:eastAsia="Arial" w:hAnsi="Arial"/>
          <w:sz w:val="12"/>
          <w:szCs w:val="12"/>
          <w:color w:val="auto"/>
        </w:rPr>
        <w:t>Amounts include for directors and executive officers, shares or deferred stock units, receipt of which has been deferred under deferred compensation plan arrangements. For executive officers, amounts also include unvested RSUs and unvested PSUs (including accumulated reinvested dividend equivalent shares), as well as share equivalents attributable under the JPMorgan Chase 401(k)</w:t>
      </w:r>
    </w:p>
    <w:p>
      <w:pPr>
        <w:spacing w:after="0" w:line="1" w:lineRule="exact"/>
        <w:rPr>
          <w:sz w:val="20"/>
          <w:szCs w:val="20"/>
          <w:color w:val="auto"/>
        </w:rPr>
      </w:pPr>
    </w:p>
    <w:p>
      <w:pPr>
        <w:ind w:left="200" w:right="60"/>
        <w:spacing w:after="0" w:line="237" w:lineRule="auto"/>
        <w:rPr>
          <w:sz w:val="20"/>
          <w:szCs w:val="20"/>
          <w:color w:val="auto"/>
        </w:rPr>
      </w:pPr>
      <w:r>
        <w:rPr>
          <w:rFonts w:ascii="Arial" w:cs="Arial" w:eastAsia="Arial" w:hAnsi="Arial"/>
          <w:sz w:val="13"/>
          <w:szCs w:val="13"/>
          <w:color w:val="auto"/>
        </w:rPr>
        <w:t>Savings Plan. The ultimate number of PSUs earned at vesting is determined by a pre-established formula set at the time of the award based on the Firm’s absolute and relative ROTCE performance over the subsequent three years, with potential payout value ranging from 0% to 150%. Additional details on the PSU program are provided on pages 44-46.</w:t>
      </w:r>
    </w:p>
    <w:p>
      <w:pPr>
        <w:ind w:left="200" w:hanging="192"/>
        <w:spacing w:after="0" w:line="195" w:lineRule="auto"/>
        <w:tabs>
          <w:tab w:leader="none" w:pos="200" w:val="left"/>
        </w:tabs>
        <w:numPr>
          <w:ilvl w:val="0"/>
          <w:numId w:val="276"/>
        </w:numPr>
        <w:rPr>
          <w:rFonts w:ascii="Arial" w:cs="Arial" w:eastAsia="Arial" w:hAnsi="Arial"/>
          <w:sz w:val="16"/>
          <w:szCs w:val="16"/>
          <w:color w:val="auto"/>
          <w:vertAlign w:val="superscript"/>
        </w:rPr>
      </w:pPr>
      <w:r>
        <w:rPr>
          <w:rFonts w:ascii="Arial" w:cs="Arial" w:eastAsia="Arial" w:hAnsi="Arial"/>
          <w:sz w:val="13"/>
          <w:szCs w:val="13"/>
          <w:color w:val="auto"/>
        </w:rPr>
        <w:t>Includes 152,940 shares owned by entities as to which Mr. Dimon disclaims beneficial ownership, except to the extent of his pecuniary interest therein.</w:t>
      </w:r>
    </w:p>
    <w:p>
      <w:pPr>
        <w:ind w:left="200" w:right="440" w:hanging="192"/>
        <w:spacing w:after="0" w:line="227" w:lineRule="auto"/>
        <w:tabs>
          <w:tab w:leader="none" w:pos="200" w:val="left"/>
        </w:tabs>
        <w:numPr>
          <w:ilvl w:val="0"/>
          <w:numId w:val="277"/>
        </w:numPr>
        <w:rPr>
          <w:rFonts w:ascii="Arial" w:cs="Arial" w:eastAsia="Arial" w:hAnsi="Arial"/>
          <w:sz w:val="16"/>
          <w:szCs w:val="16"/>
          <w:color w:val="auto"/>
          <w:vertAlign w:val="superscript"/>
        </w:rPr>
      </w:pPr>
      <w:r>
        <w:rPr>
          <w:rFonts w:ascii="Arial" w:cs="Arial" w:eastAsia="Arial" w:hAnsi="Arial"/>
          <w:sz w:val="13"/>
          <w:szCs w:val="13"/>
          <w:color w:val="auto"/>
        </w:rPr>
        <w:t>As of February 29, 2024, Ms. Erdoes held 51,000 depositary shares, each representing a one-tenth interest in a share of JPMorgan Chase’s Fixed-to-Floating Rate Non-Cumulative Perpetual Preferred Stock, Series HH (“Series HH Preferred”). Ms. Erdoes is the only director or executive officer who owns shares of the Series HH Preferred.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Pursuant to SEC filings, the companies included in the table below were the beneficial owners of more than 5% of our outstanding common stock as of December 31,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074A75"/>
              </w:rPr>
              <w:t>Common stock</w:t>
            </w:r>
          </w:p>
        </w:tc>
        <w:tc>
          <w:tcPr>
            <w:tcW w:w="1020" w:type="dxa"/>
            <w:vAlign w:val="bottom"/>
          </w:tcPr>
          <w:p>
            <w:pPr>
              <w:jc w:val="right"/>
              <w:ind w:right="159"/>
              <w:spacing w:after="0"/>
              <w:rPr>
                <w:sz w:val="20"/>
                <w:szCs w:val="20"/>
                <w:color w:val="auto"/>
              </w:rPr>
            </w:pPr>
            <w:r>
              <w:rPr>
                <w:rFonts w:ascii="Arial" w:cs="Arial" w:eastAsia="Arial" w:hAnsi="Arial"/>
                <w:sz w:val="16"/>
                <w:szCs w:val="16"/>
                <w:color w:val="074A75"/>
              </w:rPr>
              <w:t>Percent</w:t>
            </w:r>
          </w:p>
        </w:tc>
      </w:tr>
      <w:tr>
        <w:trPr>
          <w:trHeight w:val="237"/>
        </w:trPr>
        <w:tc>
          <w:tcPr>
            <w:tcW w:w="420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 of beneficial owner</w:t>
            </w:r>
          </w:p>
        </w:tc>
        <w:tc>
          <w:tcPr>
            <w:tcW w:w="46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074A75"/>
              </w:rPr>
              <w:t>Address of beneficial owner</w:t>
            </w:r>
          </w:p>
        </w:tc>
        <w:tc>
          <w:tcPr>
            <w:tcW w:w="1360" w:type="dxa"/>
            <w:vAlign w:val="bottom"/>
            <w:tcBorders>
              <w:bottom w:val="single" w:sz="8" w:color="454545"/>
            </w:tcBorders>
          </w:tcPr>
          <w:p>
            <w:pPr>
              <w:jc w:val="right"/>
              <w:ind w:right="299"/>
              <w:spacing w:after="0"/>
              <w:rPr>
                <w:sz w:val="20"/>
                <w:szCs w:val="20"/>
                <w:color w:val="auto"/>
              </w:rPr>
            </w:pPr>
            <w:r>
              <w:rPr>
                <w:rFonts w:ascii="Arial" w:cs="Arial" w:eastAsia="Arial" w:hAnsi="Arial"/>
                <w:sz w:val="16"/>
                <w:szCs w:val="16"/>
                <w:color w:val="074A75"/>
              </w:rPr>
              <w:t>owned (#)</w:t>
            </w:r>
          </w:p>
        </w:tc>
        <w:tc>
          <w:tcPr>
            <w:tcW w:w="102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074A75"/>
              </w:rPr>
              <w:t>owned (%)</w:t>
            </w:r>
          </w:p>
        </w:tc>
      </w:tr>
      <w:tr>
        <w:trPr>
          <w:trHeight w:val="202"/>
        </w:trPr>
        <w:tc>
          <w:tcPr>
            <w:tcW w:w="4200" w:type="dxa"/>
            <w:vAlign w:val="bottom"/>
          </w:tcPr>
          <w:p>
            <w:pPr>
              <w:ind w:left="20"/>
              <w:spacing w:after="0" w:line="202" w:lineRule="exact"/>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1</w:t>
            </w:r>
          </w:p>
        </w:tc>
        <w:tc>
          <w:tcPr>
            <w:tcW w:w="4660" w:type="dxa"/>
            <w:vAlign w:val="bottom"/>
          </w:tcPr>
          <w:p>
            <w:pPr>
              <w:jc w:val="right"/>
              <w:ind w:right="19"/>
              <w:spacing w:after="0"/>
              <w:rPr>
                <w:sz w:val="20"/>
                <w:szCs w:val="20"/>
                <w:color w:val="auto"/>
              </w:rPr>
            </w:pPr>
            <w:r>
              <w:rPr>
                <w:rFonts w:ascii="Arial" w:cs="Arial" w:eastAsia="Arial" w:hAnsi="Arial"/>
                <w:sz w:val="16"/>
                <w:szCs w:val="16"/>
                <w:color w:val="auto"/>
              </w:rPr>
              <w:t>100 Vanguard Blvd.</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4200" w:type="dxa"/>
            <w:vAlign w:val="bottom"/>
            <w:tcBorders>
              <w:bottom w:val="single" w:sz="8" w:color="454545"/>
            </w:tcBorders>
          </w:tcPr>
          <w:p>
            <w:pPr>
              <w:spacing w:after="0"/>
              <w:rPr>
                <w:sz w:val="20"/>
                <w:szCs w:val="20"/>
                <w:color w:val="auto"/>
              </w:rPr>
            </w:pPr>
          </w:p>
        </w:tc>
        <w:tc>
          <w:tcPr>
            <w:tcW w:w="466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Malvern, PA 19355</w:t>
            </w:r>
          </w:p>
        </w:tc>
        <w:tc>
          <w:tcPr>
            <w:tcW w:w="136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272,410,990</w:t>
            </w:r>
          </w:p>
        </w:tc>
        <w:tc>
          <w:tcPr>
            <w:tcW w:w="10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9.42</w:t>
            </w:r>
          </w:p>
        </w:tc>
      </w:tr>
      <w:tr>
        <w:trPr>
          <w:trHeight w:val="202"/>
        </w:trPr>
        <w:tc>
          <w:tcPr>
            <w:tcW w:w="4200" w:type="dxa"/>
            <w:vAlign w:val="bottom"/>
          </w:tcPr>
          <w:p>
            <w:pPr>
              <w:ind w:left="20"/>
              <w:spacing w:after="0" w:line="202" w:lineRule="exact"/>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2</w:t>
            </w:r>
          </w:p>
        </w:tc>
        <w:tc>
          <w:tcPr>
            <w:tcW w:w="4660" w:type="dxa"/>
            <w:vAlign w:val="bottom"/>
          </w:tcPr>
          <w:p>
            <w:pPr>
              <w:jc w:val="right"/>
              <w:ind w:right="19"/>
              <w:spacing w:after="0"/>
              <w:rPr>
                <w:sz w:val="20"/>
                <w:szCs w:val="20"/>
                <w:color w:val="auto"/>
              </w:rPr>
            </w:pPr>
            <w:r>
              <w:rPr>
                <w:rFonts w:ascii="Arial" w:cs="Arial" w:eastAsia="Arial" w:hAnsi="Arial"/>
                <w:sz w:val="16"/>
                <w:szCs w:val="16"/>
                <w:color w:val="auto"/>
              </w:rPr>
              <w:t>50 Hudson Yards</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4200" w:type="dxa"/>
            <w:vAlign w:val="bottom"/>
            <w:tcBorders>
              <w:bottom w:val="single" w:sz="8" w:color="454545"/>
            </w:tcBorders>
          </w:tcPr>
          <w:p>
            <w:pPr>
              <w:spacing w:after="0"/>
              <w:rPr>
                <w:sz w:val="20"/>
                <w:szCs w:val="20"/>
                <w:color w:val="auto"/>
              </w:rPr>
            </w:pPr>
          </w:p>
        </w:tc>
        <w:tc>
          <w:tcPr>
            <w:tcW w:w="466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New York, NY 10001</w:t>
            </w:r>
          </w:p>
        </w:tc>
        <w:tc>
          <w:tcPr>
            <w:tcW w:w="136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192,831,104</w:t>
            </w:r>
          </w:p>
        </w:tc>
        <w:tc>
          <w:tcPr>
            <w:tcW w:w="10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right="60" w:hanging="192"/>
        <w:spacing w:after="0" w:line="227" w:lineRule="auto"/>
        <w:tabs>
          <w:tab w:leader="none" w:pos="200" w:val="left"/>
        </w:tabs>
        <w:numPr>
          <w:ilvl w:val="0"/>
          <w:numId w:val="278"/>
        </w:numPr>
        <w:rPr>
          <w:rFonts w:ascii="Arial" w:cs="Arial" w:eastAsia="Arial" w:hAnsi="Arial"/>
          <w:sz w:val="16"/>
          <w:szCs w:val="16"/>
          <w:color w:val="auto"/>
          <w:vertAlign w:val="superscript"/>
        </w:rPr>
      </w:pPr>
      <w:r>
        <w:rPr>
          <w:rFonts w:ascii="Arial" w:cs="Arial" w:eastAsia="Arial" w:hAnsi="Arial"/>
          <w:sz w:val="13"/>
          <w:szCs w:val="13"/>
          <w:color w:val="auto"/>
        </w:rPr>
        <w:t>The Vanguard Group owns the above holdings in its capacity as an investment advisor in accordance with SEC Rule 13d-1(b)(1)(ii)(E). According to the Schedule 13G dated February 13, 2024, filed with the SEC, in the aggregate, Vanguard (including the affiliated entities identified in the Schedule 13G) has sole dispositive power over 259,678,951 shares, shared dispositive power over 12,732,039 shares, sole voting power over 0 shares and shared voting power over 3,623,542 shares of our common stock.</w:t>
      </w:r>
    </w:p>
    <w:p>
      <w:pPr>
        <w:ind w:left="200" w:right="80" w:hanging="192"/>
        <w:spacing w:after="0" w:line="231" w:lineRule="auto"/>
        <w:tabs>
          <w:tab w:leader="none" w:pos="200" w:val="left"/>
        </w:tabs>
        <w:numPr>
          <w:ilvl w:val="0"/>
          <w:numId w:val="279"/>
        </w:numPr>
        <w:rPr>
          <w:rFonts w:ascii="Arial" w:cs="Arial" w:eastAsia="Arial" w:hAnsi="Arial"/>
          <w:sz w:val="16"/>
          <w:szCs w:val="16"/>
          <w:color w:val="auto"/>
          <w:vertAlign w:val="superscript"/>
        </w:rPr>
      </w:pPr>
      <w:r>
        <w:rPr>
          <w:rFonts w:ascii="Arial" w:cs="Arial" w:eastAsia="Arial" w:hAnsi="Arial"/>
          <w:sz w:val="13"/>
          <w:szCs w:val="13"/>
          <w:color w:val="auto"/>
        </w:rPr>
        <w:t>BlackRock, Inc. owns the above holdings in its capacity as a parent holding company or control person in accordance with SEC Rule 13d-1(b)(1)(ii)(G). According to the Schedule 13G dated February 7, 2024, filed with the SEC, in the aggregate, BlackRock (including the affiliated entities identified in the Schedule 13G) has sole dispositive power over 192,831,104 shares and sole voting power over 173,083,182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197485</wp:posOffset>
            </wp:positionV>
            <wp:extent cx="27432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75  </w:t>
      </w:r>
      <w:r>
        <w:rPr>
          <w:sz w:val="1"/>
          <w:szCs w:val="1"/>
          <w:color w:val="auto"/>
        </w:rPr>
        <w:drawing>
          <wp:inline distT="0" distB="0" distL="0" distR="0">
            <wp:extent cx="2203450" cy="154305"/>
            <wp:effectExtent l="0" t="0" r="0"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APPROVAL OF AMENDED AND RESTATED LONG-TERM INCENTIVE PLAN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60"/>
        <w:spacing w:after="0" w:line="276" w:lineRule="auto"/>
        <w:rPr>
          <w:sz w:val="20"/>
          <w:szCs w:val="20"/>
          <w:color w:val="auto"/>
        </w:rPr>
      </w:pPr>
      <w:r>
        <w:rPr>
          <w:rFonts w:ascii="Arial" w:cs="Arial" w:eastAsia="Arial" w:hAnsi="Arial"/>
          <w:sz w:val="29"/>
          <w:szCs w:val="29"/>
          <w:color w:val="074A75"/>
        </w:rPr>
        <w:t>Proposal 3: Approval of amended and restated long-term incentive plan effective May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-11430</wp:posOffset>
            </wp:positionV>
            <wp:extent cx="2837180" cy="27686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837180" cy="276860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97" w:lineRule="exact"/>
        <w:rPr>
          <w:sz w:val="20"/>
          <w:szCs w:val="20"/>
          <w:color w:val="auto"/>
        </w:rPr>
      </w:pPr>
    </w:p>
    <w:p>
      <w:pPr>
        <w:ind w:left="20" w:right="200"/>
        <w:spacing w:after="0" w:line="253" w:lineRule="auto"/>
        <w:rPr>
          <w:sz w:val="20"/>
          <w:szCs w:val="20"/>
          <w:color w:val="auto"/>
        </w:rPr>
      </w:pPr>
      <w:r>
        <w:rPr>
          <w:rFonts w:ascii="Arial" w:cs="Arial" w:eastAsia="Arial" w:hAnsi="Arial"/>
          <w:sz w:val="18"/>
          <w:szCs w:val="18"/>
          <w:color w:val="auto"/>
        </w:rPr>
        <w:t>We are seeking approval of our Amended and Restated Long-Term Incentive Plan (the “2024 Plan”), to renew the term of the 2021 Plan to a term date of May 31, 2028, and to authorize approximately 38.2 million additional shares, bringing the total number of shares authorized for awards under the 2024 Plan to 81 million shares (which is less than the total number of shares authorized under the 2021 Plan by 4 million shares). During our semi-annual shareholder outreach program and discussion of our equity compensation practices, our shareholders continued to indicate a preference for more frequent requests for approval of a smaller quantity of shares. As a result, the Compensation &amp; Management Development Committee and the Board considered this feedback in determining the number of shares to request for authorization under the 2024 Plan.</w:t>
      </w:r>
    </w:p>
    <w:p>
      <w:pPr>
        <w:spacing w:after="0" w:line="82" w:lineRule="exact"/>
        <w:rPr>
          <w:sz w:val="20"/>
          <w:szCs w:val="20"/>
          <w:color w:val="auto"/>
        </w:rPr>
      </w:pPr>
    </w:p>
    <w:p>
      <w:pPr>
        <w:ind w:left="20" w:right="200"/>
        <w:spacing w:after="0" w:line="262" w:lineRule="auto"/>
        <w:rPr>
          <w:sz w:val="20"/>
          <w:szCs w:val="20"/>
          <w:color w:val="auto"/>
        </w:rPr>
      </w:pPr>
      <w:r>
        <w:rPr>
          <w:rFonts w:ascii="Arial" w:cs="Arial" w:eastAsia="Arial" w:hAnsi="Arial"/>
          <w:sz w:val="18"/>
          <w:szCs w:val="18"/>
          <w:color w:val="auto"/>
        </w:rPr>
        <w:t>The 2024 Plan would also continue to incorporate our compensation program for non-employee directors, with certain established retainers (both cash and equity) and certain limitations on future changes to those retainers.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RECOMMENDATION:</w:t>
      </w:r>
    </w:p>
    <w:p>
      <w:pPr>
        <w:spacing w:after="0" w:line="33" w:lineRule="exact"/>
        <w:rPr>
          <w:sz w:val="20"/>
          <w:szCs w:val="20"/>
          <w:color w:val="auto"/>
        </w:rPr>
      </w:pPr>
    </w:p>
    <w:p>
      <w:pPr>
        <w:ind w:right="320"/>
        <w:spacing w:after="0" w:line="253" w:lineRule="auto"/>
        <w:rPr>
          <w:sz w:val="20"/>
          <w:szCs w:val="20"/>
          <w:color w:val="auto"/>
        </w:rPr>
      </w:pPr>
      <w:r>
        <w:rPr>
          <w:rFonts w:ascii="Arial" w:cs="Arial" w:eastAsia="Arial" w:hAnsi="Arial"/>
          <w:sz w:val="20"/>
          <w:szCs w:val="20"/>
          <w:color w:val="FFFFFF"/>
        </w:rPr>
        <w:t xml:space="preserve">Vote </w:t>
      </w:r>
      <w:r>
        <w:rPr>
          <w:rFonts w:ascii="Arial" w:cs="Arial" w:eastAsia="Arial" w:hAnsi="Arial"/>
          <w:sz w:val="20"/>
          <w:szCs w:val="20"/>
          <w:b w:val="1"/>
          <w:bCs w:val="1"/>
          <w:color w:val="FFFFFF"/>
        </w:rPr>
        <w:t>FOR</w:t>
      </w:r>
      <w:r>
        <w:rPr>
          <w:rFonts w:ascii="Arial" w:cs="Arial" w:eastAsia="Arial" w:hAnsi="Arial"/>
          <w:sz w:val="20"/>
          <w:szCs w:val="20"/>
          <w:color w:val="FFFFFF"/>
        </w:rPr>
        <w:t xml:space="preserve"> approval of amended and restated long-term incentive plan</w:t>
      </w:r>
    </w:p>
    <w:p>
      <w:pPr>
        <w:spacing w:after="0" w:line="1332" w:lineRule="exact"/>
        <w:rPr>
          <w:sz w:val="20"/>
          <w:szCs w:val="20"/>
          <w:color w:val="auto"/>
        </w:rPr>
      </w:pPr>
    </w:p>
    <w:p>
      <w:pPr>
        <w:sectPr>
          <w:pgSz w:w="11900" w:h="16838" w:orient="portrait"/>
          <w:cols w:equalWidth="0" w:num="2">
            <w:col w:w="6260" w:space="720"/>
            <w:col w:w="4260"/>
          </w:cols>
          <w:pgMar w:left="320" w:top="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APPROVAL OF AMENDED AND RESTATED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ind w:right="340"/>
        <w:spacing w:after="0" w:line="281" w:lineRule="auto"/>
        <w:rPr>
          <w:sz w:val="20"/>
          <w:szCs w:val="20"/>
          <w:color w:val="auto"/>
        </w:rPr>
      </w:pPr>
      <w:r>
        <w:rPr>
          <w:rFonts w:ascii="Arial" w:cs="Arial" w:eastAsia="Arial" w:hAnsi="Arial"/>
          <w:sz w:val="29"/>
          <w:szCs w:val="29"/>
          <w:color w:val="074A75"/>
        </w:rPr>
        <w:t>Proposal 3: Approval of amended and restated long-term incentive plan effective May 21, 2024</w:t>
      </w:r>
    </w:p>
    <w:p>
      <w:pPr>
        <w:sectPr>
          <w:pgSz w:w="11900" w:h="16838" w:orient="portrait"/>
          <w:cols w:equalWidth="0" w:num="1">
            <w:col w:w="11220"/>
          </w:cols>
          <w:pgMar w:left="320" w:top="157" w:right="35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JPMorgan Chase’s Long-Term Incentive Plan was last approved by shareholders on May 18, 2021 (the “2021 Plan”), to a term date of May 31, 2025. On March 19, 2024, the Compensation &amp; Management Development Committee (“CMDC”) adopted, subject to shareholder approval, the Amended and Restated JPMorgan Chase Long-Term Incentive Plan (the “2024 Plan”). The 2024 Plan would supersede the 2021 Plan and apply to awards granted on or after May 21, 2024.</w:t>
      </w:r>
    </w:p>
    <w:p>
      <w:pPr>
        <w:spacing w:after="0" w:line="7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submitting this proposal to our shareholders in response to feedback we received about our equity compensation practices during our semi-annual shareholder outreach program. Our shareholders indicated a preference for more frequent requests for approval of a smaller quantity of shares, as opposed to requesting larger quantities less frequently. As a result, the CMDC and the Board considered this feedback in determining the number of shares to request for authorization under the 2024 Plan.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primary purpose of the 2024 Plan is to:</w:t>
      </w:r>
    </w:p>
    <w:p>
      <w:pPr>
        <w:spacing w:after="0" w:line="117" w:lineRule="exact"/>
        <w:rPr>
          <w:sz w:val="20"/>
          <w:szCs w:val="20"/>
          <w:color w:val="auto"/>
        </w:rPr>
      </w:pPr>
    </w:p>
    <w:p>
      <w:pPr>
        <w:ind w:left="200" w:hanging="192"/>
        <w:spacing w:after="0"/>
        <w:tabs>
          <w:tab w:leader="none" w:pos="200" w:val="left"/>
        </w:tabs>
        <w:numPr>
          <w:ilvl w:val="0"/>
          <w:numId w:val="280"/>
        </w:numPr>
        <w:rPr>
          <w:rFonts w:ascii="Arial" w:cs="Arial" w:eastAsia="Arial" w:hAnsi="Arial"/>
          <w:sz w:val="17"/>
          <w:szCs w:val="17"/>
          <w:color w:val="074A75"/>
        </w:rPr>
      </w:pPr>
      <w:r>
        <w:rPr>
          <w:rFonts w:ascii="Arial" w:cs="Arial" w:eastAsia="Arial" w:hAnsi="Arial"/>
          <w:sz w:val="17"/>
          <w:szCs w:val="17"/>
          <w:color w:val="auto"/>
        </w:rPr>
        <w:t>Renew the term of the 2021 Plan to a term date of May 31, 2028;</w:t>
      </w:r>
    </w:p>
    <w:p>
      <w:pPr>
        <w:spacing w:after="0" w:line="101" w:lineRule="exact"/>
        <w:rPr>
          <w:rFonts w:ascii="Arial" w:cs="Arial" w:eastAsia="Arial" w:hAnsi="Arial"/>
          <w:sz w:val="17"/>
          <w:szCs w:val="17"/>
          <w:color w:val="074A75"/>
        </w:rPr>
      </w:pPr>
    </w:p>
    <w:p>
      <w:pPr>
        <w:ind w:left="200" w:right="40" w:hanging="192"/>
        <w:spacing w:after="0" w:line="262" w:lineRule="auto"/>
        <w:tabs>
          <w:tab w:leader="none" w:pos="204" w:val="left"/>
        </w:tabs>
        <w:numPr>
          <w:ilvl w:val="0"/>
          <w:numId w:val="280"/>
        </w:numPr>
        <w:rPr>
          <w:rFonts w:ascii="Arial" w:cs="Arial" w:eastAsia="Arial" w:hAnsi="Arial"/>
          <w:sz w:val="18"/>
          <w:szCs w:val="18"/>
          <w:color w:val="074A75"/>
        </w:rPr>
      </w:pPr>
      <w:r>
        <w:rPr>
          <w:rFonts w:ascii="Arial" w:cs="Arial" w:eastAsia="Arial" w:hAnsi="Arial"/>
          <w:sz w:val="18"/>
          <w:szCs w:val="18"/>
          <w:color w:val="auto"/>
        </w:rPr>
        <w:t>Authorize an additional approximately 38.2 million shares, bringing the total number of authorized shares for new awards to 81 million, which is 4 million shares lower than that approved by shareholders under the 2021 Plan; and</w:t>
      </w:r>
    </w:p>
    <w:p>
      <w:pPr>
        <w:spacing w:after="0" w:line="27" w:lineRule="exact"/>
        <w:rPr>
          <w:rFonts w:ascii="Arial" w:cs="Arial" w:eastAsia="Arial" w:hAnsi="Arial"/>
          <w:sz w:val="18"/>
          <w:szCs w:val="18"/>
          <w:color w:val="074A75"/>
        </w:rPr>
      </w:pPr>
    </w:p>
    <w:p>
      <w:pPr>
        <w:ind w:left="200" w:right="1160" w:hanging="192"/>
        <w:spacing w:after="0" w:line="287" w:lineRule="auto"/>
        <w:tabs>
          <w:tab w:leader="none" w:pos="204" w:val="left"/>
        </w:tabs>
        <w:numPr>
          <w:ilvl w:val="0"/>
          <w:numId w:val="280"/>
        </w:numPr>
        <w:rPr>
          <w:rFonts w:ascii="Arial" w:cs="Arial" w:eastAsia="Arial" w:hAnsi="Arial"/>
          <w:sz w:val="18"/>
          <w:szCs w:val="18"/>
          <w:color w:val="074A75"/>
        </w:rPr>
      </w:pPr>
      <w:r>
        <w:rPr>
          <w:rFonts w:ascii="Arial" w:cs="Arial" w:eastAsia="Arial" w:hAnsi="Arial"/>
          <w:sz w:val="18"/>
          <w:szCs w:val="18"/>
          <w:color w:val="auto"/>
        </w:rPr>
        <w:t>Continue to incorporate our non-employee director compensation program, including:</w:t>
      </w:r>
    </w:p>
    <w:p>
      <w:pPr>
        <w:spacing w:after="0" w:line="4" w:lineRule="exact"/>
        <w:rPr>
          <w:rFonts w:ascii="Arial" w:cs="Arial" w:eastAsia="Arial" w:hAnsi="Arial"/>
          <w:sz w:val="18"/>
          <w:szCs w:val="18"/>
          <w:color w:val="074A75"/>
        </w:rPr>
      </w:pPr>
    </w:p>
    <w:p>
      <w:pPr>
        <w:ind w:left="460" w:right="40" w:hanging="194"/>
        <w:spacing w:after="0" w:line="256" w:lineRule="auto"/>
        <w:rPr>
          <w:rFonts w:ascii="Arial" w:cs="Arial" w:eastAsia="Arial" w:hAnsi="Arial"/>
          <w:sz w:val="18"/>
          <w:szCs w:val="18"/>
          <w:color w:val="074A75"/>
        </w:rPr>
      </w:pPr>
      <w:r>
        <w:rPr>
          <w:rFonts w:ascii="Arial" w:cs="Arial" w:eastAsia="Arial" w:hAnsi="Arial"/>
          <w:sz w:val="18"/>
          <w:szCs w:val="18"/>
          <w:color w:val="auto"/>
        </w:rPr>
        <w:t>– Annual cash retainer of $110,000 and, if the non-employee director is on the Board at the time when annual performance year equity awards are granted, an annual grant of deferred stock units valued at $265,000. The Board is authorized in its discretion to increase the cash retainer and/or the equity award by a combined total of up to $25,000, to decrease them, or to change their form;</w:t>
      </w:r>
    </w:p>
    <w:p>
      <w:pPr>
        <w:spacing w:after="0" w:line="47" w:lineRule="exact"/>
        <w:rPr>
          <w:rFonts w:ascii="Arial" w:cs="Arial" w:eastAsia="Arial" w:hAnsi="Arial"/>
          <w:sz w:val="18"/>
          <w:szCs w:val="18"/>
          <w:color w:val="074A75"/>
        </w:rPr>
      </w:pPr>
    </w:p>
    <w:p>
      <w:pPr>
        <w:ind w:left="460" w:right="140" w:hanging="194"/>
        <w:spacing w:after="0" w:line="275" w:lineRule="auto"/>
        <w:rPr>
          <w:rFonts w:ascii="Arial" w:cs="Arial" w:eastAsia="Arial" w:hAnsi="Arial"/>
          <w:sz w:val="18"/>
          <w:szCs w:val="18"/>
          <w:color w:val="074A75"/>
        </w:rPr>
      </w:pPr>
      <w:r>
        <w:rPr>
          <w:rFonts w:ascii="Arial" w:cs="Arial" w:eastAsia="Arial" w:hAnsi="Arial"/>
          <w:sz w:val="17"/>
          <w:szCs w:val="17"/>
          <w:color w:val="auto"/>
        </w:rPr>
        <w:t>– Designated role cash retainers of: (i) $35,000 for serving as the Lead Independent Director; (ii) $30,000 for chairing the JPMorgan Chase Bank, N.A. (“Bank”) board, Audit Committee or Risk Committee; and (iii) $20,000 for chairing any other principal standing committee or for serving on any of the Bank board, Audit Committee or Risk Committee; and</w:t>
      </w:r>
    </w:p>
    <w:p>
      <w:pPr>
        <w:spacing w:after="0" w:line="19" w:lineRule="exact"/>
        <w:rPr>
          <w:rFonts w:ascii="Arial" w:cs="Arial" w:eastAsia="Arial" w:hAnsi="Arial"/>
          <w:sz w:val="18"/>
          <w:szCs w:val="18"/>
          <w:color w:val="074A75"/>
        </w:rPr>
      </w:pPr>
    </w:p>
    <w:p>
      <w:pPr>
        <w:ind w:left="460" w:hanging="194"/>
        <w:spacing w:after="0" w:line="257" w:lineRule="auto"/>
        <w:rPr>
          <w:rFonts w:ascii="Arial" w:cs="Arial" w:eastAsia="Arial" w:hAnsi="Arial"/>
          <w:sz w:val="18"/>
          <w:szCs w:val="18"/>
          <w:color w:val="074A75"/>
        </w:rPr>
      </w:pPr>
      <w:r>
        <w:rPr>
          <w:rFonts w:ascii="Arial" w:cs="Arial" w:eastAsia="Arial" w:hAnsi="Arial"/>
          <w:sz w:val="18"/>
          <w:szCs w:val="18"/>
          <w:color w:val="auto"/>
        </w:rPr>
        <w:t>– The Board is authorized in its discretion to increase the cash retainer for serving as the Lead Independent Director by up to $65,000, which is an increase of $60,000 from the 2021 Plan. Additionally, the Board is authorized in its discretion to increase the cash retainers described in (ii) and (iii) by up to $5,000 (unchanged from the 2021 Plan). The Board is</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Arial" w:cs="Arial" w:eastAsia="Arial" w:hAnsi="Arial"/>
          <w:sz w:val="18"/>
          <w:szCs w:val="18"/>
          <w:color w:val="auto"/>
        </w:rPr>
        <w:t>authorized to decrease retainers, or to change their form.</w:t>
      </w:r>
    </w:p>
    <w:p>
      <w:pPr>
        <w:spacing w:after="0" w:line="117" w:lineRule="exact"/>
        <w:rPr>
          <w:sz w:val="20"/>
          <w:szCs w:val="20"/>
          <w:color w:val="auto"/>
        </w:rPr>
      </w:pPr>
    </w:p>
    <w:p>
      <w:pPr>
        <w:ind w:right="420"/>
        <w:spacing w:after="0" w:line="296" w:lineRule="auto"/>
        <w:rPr>
          <w:sz w:val="20"/>
          <w:szCs w:val="20"/>
          <w:color w:val="auto"/>
        </w:rPr>
      </w:pPr>
      <w:r>
        <w:rPr>
          <w:rFonts w:ascii="Arial" w:cs="Arial" w:eastAsia="Arial" w:hAnsi="Arial"/>
          <w:sz w:val="18"/>
          <w:szCs w:val="18"/>
          <w:b w:val="1"/>
          <w:bCs w:val="1"/>
          <w:color w:val="auto"/>
        </w:rPr>
        <w:t>The 2024 Plan maintains many of the governance practices and features of the 2021 Plan, including:</w:t>
      </w:r>
    </w:p>
    <w:p>
      <w:pPr>
        <w:spacing w:after="0" w:line="29" w:lineRule="exact"/>
        <w:rPr>
          <w:sz w:val="20"/>
          <w:szCs w:val="20"/>
          <w:color w:val="auto"/>
        </w:rPr>
      </w:pPr>
    </w:p>
    <w:p>
      <w:pPr>
        <w:ind w:left="200" w:right="660" w:hanging="196"/>
        <w:spacing w:after="0" w:line="287" w:lineRule="auto"/>
        <w:tabs>
          <w:tab w:leader="none" w:pos="204" w:val="left"/>
        </w:tabs>
        <w:numPr>
          <w:ilvl w:val="0"/>
          <w:numId w:val="281"/>
        </w:numPr>
        <w:rPr>
          <w:rFonts w:ascii="Arial" w:cs="Arial" w:eastAsia="Arial" w:hAnsi="Arial"/>
          <w:sz w:val="18"/>
          <w:szCs w:val="18"/>
          <w:color w:val="074A75"/>
        </w:rPr>
      </w:pPr>
      <w:r>
        <w:rPr>
          <w:rFonts w:ascii="Arial" w:cs="Arial" w:eastAsia="Arial" w:hAnsi="Arial"/>
          <w:sz w:val="18"/>
          <w:szCs w:val="18"/>
          <w:color w:val="auto"/>
        </w:rPr>
        <w:t>The exclusion of our stock option/stock appreciation rights (“SARs”) recycling feature;</w:t>
      </w:r>
    </w:p>
    <w:p>
      <w:pPr>
        <w:spacing w:after="0" w:line="4" w:lineRule="exact"/>
        <w:rPr>
          <w:rFonts w:ascii="Arial" w:cs="Arial" w:eastAsia="Arial" w:hAnsi="Arial"/>
          <w:sz w:val="18"/>
          <w:szCs w:val="18"/>
          <w:color w:val="074A75"/>
        </w:rPr>
      </w:pPr>
    </w:p>
    <w:p>
      <w:pPr>
        <w:ind w:left="200" w:right="140" w:hanging="196"/>
        <w:spacing w:after="0" w:line="268" w:lineRule="auto"/>
        <w:tabs>
          <w:tab w:leader="none" w:pos="204" w:val="left"/>
        </w:tabs>
        <w:numPr>
          <w:ilvl w:val="0"/>
          <w:numId w:val="281"/>
        </w:numPr>
        <w:rPr>
          <w:rFonts w:ascii="Arial" w:cs="Arial" w:eastAsia="Arial" w:hAnsi="Arial"/>
          <w:sz w:val="18"/>
          <w:szCs w:val="18"/>
          <w:color w:val="074A75"/>
        </w:rPr>
      </w:pPr>
      <w:r>
        <w:rPr>
          <w:rFonts w:ascii="Arial" w:cs="Arial" w:eastAsia="Arial" w:hAnsi="Arial"/>
          <w:sz w:val="18"/>
          <w:szCs w:val="18"/>
          <w:color w:val="auto"/>
        </w:rPr>
        <w:t>The inclusion of a one-year minimum vesting requirement on the 5% of shares that are exempt from the minimum three-year vesting;</w:t>
      </w:r>
    </w:p>
    <w:p>
      <w:pPr>
        <w:spacing w:after="0" w:line="22" w:lineRule="exact"/>
        <w:rPr>
          <w:rFonts w:ascii="Arial" w:cs="Arial" w:eastAsia="Arial" w:hAnsi="Arial"/>
          <w:sz w:val="18"/>
          <w:szCs w:val="18"/>
          <w:color w:val="074A75"/>
        </w:rPr>
      </w:pPr>
    </w:p>
    <w:p>
      <w:pPr>
        <w:ind w:left="200" w:right="320" w:hanging="196"/>
        <w:spacing w:after="0" w:line="268" w:lineRule="auto"/>
        <w:tabs>
          <w:tab w:leader="none" w:pos="204" w:val="left"/>
        </w:tabs>
        <w:numPr>
          <w:ilvl w:val="0"/>
          <w:numId w:val="281"/>
        </w:numPr>
        <w:rPr>
          <w:rFonts w:ascii="Arial" w:cs="Arial" w:eastAsia="Arial" w:hAnsi="Arial"/>
          <w:sz w:val="18"/>
          <w:szCs w:val="18"/>
          <w:color w:val="074A75"/>
        </w:rPr>
      </w:pPr>
      <w:r>
        <w:rPr>
          <w:rFonts w:ascii="Arial" w:cs="Arial" w:eastAsia="Arial" w:hAnsi="Arial"/>
          <w:sz w:val="18"/>
          <w:szCs w:val="18"/>
          <w:color w:val="auto"/>
        </w:rPr>
        <w:t>The reduction of the maximum number of shares that can be granted as Incentive Stock Options from 20 million to 7 million; and</w:t>
      </w:r>
    </w:p>
    <w:p>
      <w:pPr>
        <w:spacing w:after="0" w:line="35" w:lineRule="exact"/>
        <w:rPr>
          <w:rFonts w:ascii="Arial" w:cs="Arial" w:eastAsia="Arial" w:hAnsi="Arial"/>
          <w:sz w:val="18"/>
          <w:szCs w:val="18"/>
          <w:color w:val="074A75"/>
        </w:rPr>
      </w:pPr>
    </w:p>
    <w:p>
      <w:pPr>
        <w:ind w:left="200" w:hanging="196"/>
        <w:spacing w:after="0"/>
        <w:tabs>
          <w:tab w:leader="none" w:pos="200" w:val="left"/>
        </w:tabs>
        <w:numPr>
          <w:ilvl w:val="0"/>
          <w:numId w:val="281"/>
        </w:numPr>
        <w:rPr>
          <w:rFonts w:ascii="Arial" w:cs="Arial" w:eastAsia="Arial" w:hAnsi="Arial"/>
          <w:sz w:val="18"/>
          <w:szCs w:val="18"/>
          <w:color w:val="074A75"/>
        </w:rPr>
      </w:pPr>
      <w:r>
        <w:rPr>
          <w:rFonts w:ascii="Arial" w:cs="Arial" w:eastAsia="Arial" w:hAnsi="Arial"/>
          <w:sz w:val="18"/>
          <w:szCs w:val="18"/>
          <w:color w:val="auto"/>
        </w:rPr>
        <w:t>The standard of review for actions under the 2024 Plan.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Why shareholders should approve the 2024 Plan</w:t>
      </w:r>
    </w:p>
    <w:p>
      <w:pPr>
        <w:spacing w:after="0" w:line="11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believe that voting in favor of the 2024 Plan is important, as a well-designed equity program serves to strengthen the alignment of employees’ long-term economic interests with those of shareholders while not causing unreasonable dilution to shareholders. Without shareholder approval, the Firm will lose a critical shareholder alignment feature of our compensation framework. The Firm is seeking shareholder approval one year before the 2025 expiration of the 2021 Plan to ensure that our compensation program continues to be aligned with the interests of our shareholders.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074A75"/>
        </w:rPr>
        <w:t>Summary of the 2024 Plan</w:t>
      </w:r>
    </w:p>
    <w:p>
      <w:pPr>
        <w:spacing w:after="0" w:line="12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summary of the 2024 Plan sets forth its material terms. It is, however, a summary and is qualified in its entirety by reference to the complete text of the 2024 Plan, a copy of which is attached as an Appendix.</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Participation</w:t>
      </w:r>
    </w:p>
    <w:p>
      <w:pPr>
        <w:spacing w:after="0" w:line="11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2024 Plan is designed to encourage employees and non-employee members of the Board to acquire a proprietary and vested interest in the long-term growth and performance of JPMorgan Chase and its subsidiaries. The 2024 Plan also serves to attract and retain individuals of exceptional talent. All of our approximately 310,000 employees are eligible to participate in the 2024 Plan, as are our 9 non-employee Directors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1148080</wp:posOffset>
            </wp:positionV>
            <wp:extent cx="27432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631"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77  </w:t>
      </w:r>
      <w:r>
        <w:rPr>
          <w:sz w:val="1"/>
          <w:szCs w:val="1"/>
          <w:color w:val="auto"/>
        </w:rPr>
        <w:drawing>
          <wp:inline distT="0" distB="0" distL="0" distR="0">
            <wp:extent cx="2203450" cy="154305"/>
            <wp:effectExtent l="0" t="0"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APPROVAL OF AMENDED AND RESTATED LONG-TERM INCENTIVE PLAN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Unless otherwise determined by the Board of Directors, the 2024 Plan is administered by the Compensation &amp; Management Development Committee of the Board. Subject to the provisions of the 2024 Plan, the CMDC has complete control over the administration of the 2024 Plan and has the authority in its sole discretion to:</w:t>
      </w:r>
    </w:p>
    <w:p>
      <w:pPr>
        <w:spacing w:after="0" w:line="74" w:lineRule="exact"/>
        <w:rPr>
          <w:sz w:val="20"/>
          <w:szCs w:val="20"/>
          <w:color w:val="auto"/>
        </w:rPr>
      </w:pPr>
    </w:p>
    <w:p>
      <w:pPr>
        <w:ind w:left="200" w:right="160" w:hanging="192"/>
        <w:spacing w:after="0" w:line="287" w:lineRule="auto"/>
        <w:tabs>
          <w:tab w:leader="none" w:pos="204" w:val="left"/>
        </w:tabs>
        <w:numPr>
          <w:ilvl w:val="0"/>
          <w:numId w:val="282"/>
        </w:numPr>
        <w:rPr>
          <w:rFonts w:ascii="Arial" w:cs="Arial" w:eastAsia="Arial" w:hAnsi="Arial"/>
          <w:sz w:val="18"/>
          <w:szCs w:val="18"/>
          <w:color w:val="074A75"/>
        </w:rPr>
      </w:pPr>
      <w:r>
        <w:rPr>
          <w:rFonts w:ascii="Arial" w:cs="Arial" w:eastAsia="Arial" w:hAnsi="Arial"/>
          <w:sz w:val="18"/>
          <w:szCs w:val="18"/>
          <w:color w:val="auto"/>
        </w:rPr>
        <w:t>Construe, interpret and implement the 2024 Plan and all award agreements;</w:t>
      </w:r>
    </w:p>
    <w:p>
      <w:pPr>
        <w:spacing w:after="0" w:line="4" w:lineRule="exact"/>
        <w:rPr>
          <w:rFonts w:ascii="Arial" w:cs="Arial" w:eastAsia="Arial" w:hAnsi="Arial"/>
          <w:sz w:val="18"/>
          <w:szCs w:val="18"/>
          <w:color w:val="074A75"/>
        </w:rPr>
      </w:pPr>
    </w:p>
    <w:p>
      <w:pPr>
        <w:ind w:left="200" w:right="100" w:hanging="192"/>
        <w:spacing w:after="0" w:line="287" w:lineRule="auto"/>
        <w:tabs>
          <w:tab w:leader="none" w:pos="204" w:val="left"/>
        </w:tabs>
        <w:numPr>
          <w:ilvl w:val="0"/>
          <w:numId w:val="282"/>
        </w:numPr>
        <w:rPr>
          <w:rFonts w:ascii="Arial" w:cs="Arial" w:eastAsia="Arial" w:hAnsi="Arial"/>
          <w:sz w:val="18"/>
          <w:szCs w:val="18"/>
          <w:color w:val="074A75"/>
        </w:rPr>
      </w:pPr>
      <w:r>
        <w:rPr>
          <w:rFonts w:ascii="Arial" w:cs="Arial" w:eastAsia="Arial" w:hAnsi="Arial"/>
          <w:sz w:val="18"/>
          <w:szCs w:val="18"/>
          <w:color w:val="auto"/>
        </w:rPr>
        <w:t>Establish, amend and rescind any rules and regulations relating to the 2024 Plan;</w:t>
      </w:r>
    </w:p>
    <w:p>
      <w:pPr>
        <w:spacing w:after="0" w:line="17" w:lineRule="exact"/>
        <w:rPr>
          <w:rFonts w:ascii="Arial" w:cs="Arial" w:eastAsia="Arial" w:hAnsi="Arial"/>
          <w:sz w:val="18"/>
          <w:szCs w:val="18"/>
          <w:color w:val="074A75"/>
        </w:rPr>
      </w:pPr>
    </w:p>
    <w:p>
      <w:pPr>
        <w:ind w:left="200" w:hanging="192"/>
        <w:spacing w:after="0"/>
        <w:tabs>
          <w:tab w:leader="none" w:pos="200" w:val="left"/>
        </w:tabs>
        <w:numPr>
          <w:ilvl w:val="0"/>
          <w:numId w:val="282"/>
        </w:numPr>
        <w:rPr>
          <w:rFonts w:ascii="Arial" w:cs="Arial" w:eastAsia="Arial" w:hAnsi="Arial"/>
          <w:sz w:val="18"/>
          <w:szCs w:val="18"/>
          <w:color w:val="074A75"/>
        </w:rPr>
      </w:pPr>
      <w:r>
        <w:rPr>
          <w:rFonts w:ascii="Arial" w:cs="Arial" w:eastAsia="Arial" w:hAnsi="Arial"/>
          <w:sz w:val="18"/>
          <w:szCs w:val="18"/>
          <w:color w:val="auto"/>
        </w:rPr>
        <w:t>Grant awards under the 2024 Plan;</w:t>
      </w:r>
    </w:p>
    <w:p>
      <w:pPr>
        <w:spacing w:after="0" w:line="76" w:lineRule="exact"/>
        <w:rPr>
          <w:rFonts w:ascii="Arial" w:cs="Arial" w:eastAsia="Arial" w:hAnsi="Arial"/>
          <w:sz w:val="18"/>
          <w:szCs w:val="18"/>
          <w:color w:val="074A75"/>
        </w:rPr>
      </w:pPr>
    </w:p>
    <w:p>
      <w:pPr>
        <w:ind w:left="200" w:hanging="192"/>
        <w:spacing w:after="0" w:line="287" w:lineRule="auto"/>
        <w:tabs>
          <w:tab w:leader="none" w:pos="204" w:val="left"/>
        </w:tabs>
        <w:numPr>
          <w:ilvl w:val="0"/>
          <w:numId w:val="282"/>
        </w:numPr>
        <w:rPr>
          <w:rFonts w:ascii="Arial" w:cs="Arial" w:eastAsia="Arial" w:hAnsi="Arial"/>
          <w:sz w:val="18"/>
          <w:szCs w:val="18"/>
          <w:color w:val="074A75"/>
        </w:rPr>
      </w:pPr>
      <w:r>
        <w:rPr>
          <w:rFonts w:ascii="Arial" w:cs="Arial" w:eastAsia="Arial" w:hAnsi="Arial"/>
          <w:sz w:val="18"/>
          <w:szCs w:val="18"/>
          <w:color w:val="auto"/>
        </w:rPr>
        <w:t>Determine who shall receive awards, when such awards shall be made and the terms and provisions of award agreements;</w:t>
      </w:r>
    </w:p>
    <w:p>
      <w:pPr>
        <w:spacing w:after="0" w:line="4" w:lineRule="exact"/>
        <w:rPr>
          <w:rFonts w:ascii="Arial" w:cs="Arial" w:eastAsia="Arial" w:hAnsi="Arial"/>
          <w:sz w:val="18"/>
          <w:szCs w:val="18"/>
          <w:color w:val="074A75"/>
        </w:rPr>
      </w:pPr>
    </w:p>
    <w:p>
      <w:pPr>
        <w:ind w:left="200" w:right="740" w:hanging="192"/>
        <w:spacing w:after="0" w:line="314" w:lineRule="auto"/>
        <w:tabs>
          <w:tab w:leader="none" w:pos="204" w:val="left"/>
        </w:tabs>
        <w:numPr>
          <w:ilvl w:val="0"/>
          <w:numId w:val="282"/>
        </w:numPr>
        <w:rPr>
          <w:rFonts w:ascii="Arial" w:cs="Arial" w:eastAsia="Arial" w:hAnsi="Arial"/>
          <w:sz w:val="17"/>
          <w:szCs w:val="17"/>
          <w:color w:val="074A75"/>
        </w:rPr>
      </w:pPr>
      <w:r>
        <w:rPr>
          <w:rFonts w:ascii="Arial" w:cs="Arial" w:eastAsia="Arial" w:hAnsi="Arial"/>
          <w:sz w:val="17"/>
          <w:szCs w:val="17"/>
          <w:color w:val="auto"/>
        </w:rPr>
        <w:t>Establish plans supplemental to the 2024 Plan covering employees residing outside of the United States;</w:t>
      </w:r>
    </w:p>
    <w:p>
      <w:pPr>
        <w:spacing w:after="0" w:line="1" w:lineRule="exact"/>
        <w:rPr>
          <w:rFonts w:ascii="Arial" w:cs="Arial" w:eastAsia="Arial" w:hAnsi="Arial"/>
          <w:sz w:val="17"/>
          <w:szCs w:val="17"/>
          <w:color w:val="074A75"/>
        </w:rPr>
      </w:pPr>
    </w:p>
    <w:p>
      <w:pPr>
        <w:ind w:left="200" w:hanging="192"/>
        <w:spacing w:after="0" w:line="287" w:lineRule="auto"/>
        <w:tabs>
          <w:tab w:leader="none" w:pos="204" w:val="left"/>
        </w:tabs>
        <w:numPr>
          <w:ilvl w:val="0"/>
          <w:numId w:val="282"/>
        </w:numPr>
        <w:rPr>
          <w:rFonts w:ascii="Arial" w:cs="Arial" w:eastAsia="Arial" w:hAnsi="Arial"/>
          <w:sz w:val="18"/>
          <w:szCs w:val="18"/>
          <w:color w:val="074A75"/>
        </w:rPr>
      </w:pPr>
      <w:r>
        <w:rPr>
          <w:rFonts w:ascii="Arial" w:cs="Arial" w:eastAsia="Arial" w:hAnsi="Arial"/>
          <w:sz w:val="18"/>
          <w:szCs w:val="18"/>
          <w:color w:val="auto"/>
        </w:rPr>
        <w:t>Provide for mandatory or voluntary deferrals of awards under the 2024 Plan; and</w:t>
      </w:r>
    </w:p>
    <w:p>
      <w:pPr>
        <w:spacing w:after="0" w:line="4" w:lineRule="exact"/>
        <w:rPr>
          <w:rFonts w:ascii="Arial" w:cs="Arial" w:eastAsia="Arial" w:hAnsi="Arial"/>
          <w:sz w:val="18"/>
          <w:szCs w:val="18"/>
          <w:color w:val="074A75"/>
        </w:rPr>
      </w:pPr>
    </w:p>
    <w:p>
      <w:pPr>
        <w:jc w:val="both"/>
        <w:ind w:left="200" w:right="180" w:hanging="192"/>
        <w:spacing w:after="0" w:line="306" w:lineRule="auto"/>
        <w:tabs>
          <w:tab w:leader="none" w:pos="204" w:val="left"/>
        </w:tabs>
        <w:numPr>
          <w:ilvl w:val="0"/>
          <w:numId w:val="282"/>
        </w:numPr>
        <w:rPr>
          <w:rFonts w:ascii="Arial" w:cs="Arial" w:eastAsia="Arial" w:hAnsi="Arial"/>
          <w:sz w:val="17"/>
          <w:szCs w:val="17"/>
          <w:color w:val="074A75"/>
        </w:rPr>
      </w:pPr>
      <w:r>
        <w:rPr>
          <w:rFonts w:ascii="Arial" w:cs="Arial" w:eastAsia="Arial" w:hAnsi="Arial"/>
          <w:sz w:val="17"/>
          <w:szCs w:val="17"/>
          <w:color w:val="auto"/>
        </w:rPr>
        <w:t>Make all other determinations in its discretion that it may deem necessary or advisable for the administration of the 2024 Plan.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CMDC may delegate to officers of JPMorgan Chase responsibility for awards to officers and employees of our Firm not subject to Section 16 of the Securities Exchange Act of 1934. The CMDC’s determinations in the administration of the 2024 Plan will be final, and the Board and the CMDC will have no liability for any action taken under the 2024 Plan in good faith (including any action taken relating to awards to our non-employee directors).</w:t>
      </w:r>
    </w:p>
    <w:p>
      <w:pPr>
        <w:spacing w:after="0" w:line="7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Governance Committee is responsible for reviewing and making recommendations to the Board regarding awards to our non-employee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w:t>
      </w:r>
    </w:p>
    <w:p>
      <w:pPr>
        <w:spacing w:after="0" w:line="11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If this proposal is approved, a total of 81 million shares will be authorized for issuance for new awards under the 2024 Plan, including approximately 42.8 million remaining shares from the 2021 Plan.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forms of the awards that may be granted under the 2024 Plan are:</w:t>
      </w:r>
    </w:p>
    <w:p>
      <w:pPr>
        <w:spacing w:after="0" w:line="45" w:lineRule="exact"/>
        <w:rPr>
          <w:sz w:val="20"/>
          <w:szCs w:val="20"/>
          <w:color w:val="auto"/>
        </w:rPr>
      </w:pPr>
    </w:p>
    <w:p>
      <w:pPr>
        <w:ind w:left="200" w:hanging="192"/>
        <w:spacing w:after="0" w:line="255" w:lineRule="auto"/>
        <w:tabs>
          <w:tab w:leader="none" w:pos="204" w:val="left"/>
        </w:tabs>
        <w:numPr>
          <w:ilvl w:val="0"/>
          <w:numId w:val="283"/>
        </w:numPr>
        <w:rPr>
          <w:rFonts w:ascii="Arial" w:cs="Arial" w:eastAsia="Arial" w:hAnsi="Arial"/>
          <w:sz w:val="18"/>
          <w:szCs w:val="18"/>
          <w:color w:val="074A75"/>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May be awarded in the form of an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or a nonqualified stock option. Stock options may not be exercisable later than 10 years after their date of grant. The CMDC will establish the option exercise price at the time the option is granted, provided that the exercise price may not be less than 100% of the fair market value of a share of common stock on the date of grant. The exercise price shall be paid in full at the time of such exercise, with the method and form of such payment determined by the CMDC from time to time.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96" w:right="120" w:hanging="196"/>
        <w:spacing w:after="0" w:line="252" w:lineRule="auto"/>
        <w:tabs>
          <w:tab w:leader="none" w:pos="200" w:val="left"/>
        </w:tabs>
        <w:numPr>
          <w:ilvl w:val="0"/>
          <w:numId w:val="284"/>
        </w:numPr>
        <w:rPr>
          <w:rFonts w:ascii="Arial" w:cs="Arial" w:eastAsia="Arial" w:hAnsi="Arial"/>
          <w:sz w:val="18"/>
          <w:szCs w:val="18"/>
          <w:color w:val="074A75"/>
        </w:rPr>
      </w:pPr>
      <w:r>
        <w:rPr>
          <w:rFonts w:ascii="Arial" w:cs="Arial" w:eastAsia="Arial" w:hAnsi="Arial"/>
          <w:sz w:val="18"/>
          <w:szCs w:val="18"/>
          <w:i w:val="1"/>
          <w:iCs w:val="1"/>
          <w:color w:val="auto"/>
        </w:rPr>
        <w:t>SARs</w:t>
      </w:r>
      <w:r>
        <w:rPr>
          <w:rFonts w:ascii="Arial" w:cs="Arial" w:eastAsia="Arial" w:hAnsi="Arial"/>
          <w:sz w:val="18"/>
          <w:szCs w:val="18"/>
          <w:color w:val="auto"/>
        </w:rPr>
        <w:t>. The CMDC may award SARs. Upon exercise, a SAR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entitles a participant to receive an amount equal to the positive difference between the fair market value of a share of common stock on the date the SAR is exercised and the per share exercise price of the SAR, multiplied by the number of shares of common stock with respect to which the SAR is exercised. SARs may not be exercisable later than 10 years after the date they are granted. The exercise price per share of common stock covered by a SAR is determined by the CMDC at the time each SAR is granted; provided, however, that the exercise price may not be less than 100% of the fair market value of a share of common stock on the date of grant. SARs may be granted independently of any award of stock options or in conjunction with all or any part of a stock options award, either at the same time the award of stock options is granted or at any later time during the term of such options. If a SAR is granted in tandem with a stock option, the exercise price of the SAR will not be less than 100% of the fair market value of a share of common stock on the date of grant. A SAR or applicable portion thereof allocated to a stock option shall terminate and no longer be exercisable upon the termination or exercise of any related stock option. The CMDC will determine at the date of grant whether the SAR shall be settled in cash, common stock or a combination of cash and common stock.</w:t>
      </w:r>
    </w:p>
    <w:p>
      <w:pPr>
        <w:spacing w:after="0" w:line="35" w:lineRule="exact"/>
        <w:rPr>
          <w:rFonts w:ascii="Arial" w:cs="Arial" w:eastAsia="Arial" w:hAnsi="Arial"/>
          <w:sz w:val="18"/>
          <w:szCs w:val="18"/>
          <w:color w:val="074A75"/>
        </w:rPr>
      </w:pPr>
    </w:p>
    <w:p>
      <w:pPr>
        <w:ind w:left="196" w:right="140" w:hanging="196"/>
        <w:spacing w:after="0" w:line="252" w:lineRule="auto"/>
        <w:tabs>
          <w:tab w:leader="none" w:pos="200" w:val="left"/>
        </w:tabs>
        <w:numPr>
          <w:ilvl w:val="0"/>
          <w:numId w:val="284"/>
        </w:numPr>
        <w:rPr>
          <w:rFonts w:ascii="Arial" w:cs="Arial" w:eastAsia="Arial" w:hAnsi="Arial"/>
          <w:sz w:val="18"/>
          <w:szCs w:val="18"/>
          <w:color w:val="074A75"/>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CMDC may grant awards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other awards that are valued in whole or in part by reference to, or otherwise based on the fair market value of common stock (“Other Stock-Based Awards”). Other Stock-Based Awards include, without limitation: (i) shares of common stock; (ii) shares of common stock subject to restrictions on transfer until the completion of a specified period of service, the occurrence of an event or the attainment of performance objectives (each as specified by the CMDC); (iii) shares of common stock issuable upon the completion of a specified period of service; (iv) restricted stock units distributed in the form of shares of common stock after the restrictions lapse; and (v) conditioning the right to an award upon the occurrence of an event or the attainment of one or more performance objectives. The CMDC shall determine at the time of grant whether Other Stock-Based Awards shall be settled in cash, common stock or a combination of cash and common stock.</w:t>
      </w:r>
    </w:p>
    <w:p>
      <w:pPr>
        <w:spacing w:after="0" w:line="58" w:lineRule="exact"/>
        <w:rPr>
          <w:rFonts w:ascii="Arial" w:cs="Arial" w:eastAsia="Arial" w:hAnsi="Arial"/>
          <w:sz w:val="18"/>
          <w:szCs w:val="18"/>
          <w:color w:val="074A75"/>
        </w:rPr>
      </w:pPr>
    </w:p>
    <w:p>
      <w:pPr>
        <w:ind w:left="196" w:right="140" w:hanging="196"/>
        <w:spacing w:after="0" w:line="253" w:lineRule="auto"/>
        <w:tabs>
          <w:tab w:leader="none" w:pos="200" w:val="left"/>
        </w:tabs>
        <w:numPr>
          <w:ilvl w:val="0"/>
          <w:numId w:val="284"/>
        </w:numPr>
        <w:rPr>
          <w:rFonts w:ascii="Arial" w:cs="Arial" w:eastAsia="Arial" w:hAnsi="Arial"/>
          <w:sz w:val="18"/>
          <w:szCs w:val="18"/>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2024 Plan provides that the CMDC</w:t>
      </w:r>
      <w:r>
        <w:rPr>
          <w:rFonts w:ascii="Arial" w:cs="Arial" w:eastAsia="Arial" w:hAnsi="Arial"/>
          <w:sz w:val="18"/>
          <w:szCs w:val="18"/>
          <w:i w:val="1"/>
          <w:iCs w:val="1"/>
          <w:color w:val="auto"/>
        </w:rPr>
        <w:t xml:space="preserve"> </w:t>
      </w:r>
      <w:r>
        <w:rPr>
          <w:rFonts w:ascii="Arial" w:cs="Arial" w:eastAsia="Arial" w:hAnsi="Arial"/>
          <w:sz w:val="18"/>
          <w:szCs w:val="18"/>
          <w:color w:val="auto"/>
        </w:rPr>
        <w:t>may specify performance criteria or standards with respect to an award based upon one or more of the following criteria: stock price, shareholder value added, earnings per share, income before or after taxes (including income before interest, taxes, depreciation and amortization), return on common equity including return on tangible common equity, revenue growth, efficiency ratio, expense management, return on investment, ratio of non-performing assets to performing assets, return on assets, profitability or performance of identifiable business units, credit quality, or any other criteria as determined by the CMDC in its sole discretion. In addition, where relevant,</w:t>
      </w:r>
    </w:p>
    <w:p>
      <w:pPr>
        <w:spacing w:after="0" w:line="200" w:lineRule="exact"/>
        <w:rPr>
          <w:sz w:val="20"/>
          <w:szCs w:val="20"/>
          <w:color w:val="auto"/>
        </w:rPr>
      </w:pPr>
    </w:p>
    <w:p>
      <w:pPr>
        <w:sectPr>
          <w:pgSz w:w="11900" w:h="16838" w:orient="portrait"/>
          <w:cols w:equalWidth="0" w:num="2">
            <w:col w:w="5360" w:space="384"/>
            <w:col w:w="5496"/>
          </w:cols>
          <w:pgMar w:left="320" w:top="157" w:right="339" w:bottom="1440" w:gutter="0" w:footer="0" w:header="0"/>
          <w:type w:val="continuous"/>
        </w:sectPr>
      </w:pP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APPROVAL OF AMENDED AND RESTATED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5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the foregoing targets may be applied to JPMorgan Chase, one or more of its subsidiaries or one or more of JPMorgan Chase’s divisions or business units. The CMDC will determine whether, with respect to a performance period, the applicable performance goals have been met with respect to a given participant and, if they have, to ascertain the amount of the applicable performance award. The amount of the performance award actually paid to a given participant may be less than the amount determined by the applicable performance goal formula, at the discretion of the CMDC, and the amount determined by the CMDC for a performance period shall be paid to the participant at such time as determined by the CMDC in its sole discretion after the end of such performance period.</w:t>
      </w:r>
    </w:p>
    <w:p>
      <w:pPr>
        <w:spacing w:after="0" w:line="52" w:lineRule="exact"/>
        <w:rPr>
          <w:sz w:val="20"/>
          <w:szCs w:val="20"/>
          <w:color w:val="auto"/>
        </w:rPr>
      </w:pPr>
    </w:p>
    <w:p>
      <w:pPr>
        <w:ind w:left="200" w:hanging="192"/>
        <w:spacing w:after="0" w:line="254" w:lineRule="auto"/>
        <w:tabs>
          <w:tab w:leader="none" w:pos="204"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 xml:space="preserve">Dividends/Dividend Equivalents. </w:t>
      </w:r>
      <w:r>
        <w:rPr>
          <w:rFonts w:ascii="Arial" w:cs="Arial" w:eastAsia="Arial" w:hAnsi="Arial"/>
          <w:sz w:val="18"/>
          <w:szCs w:val="18"/>
          <w:color w:val="auto"/>
        </w:rPr>
        <w:t>The terms and conditions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Stock-Based Awards of restricted stock and restricted stock units may provide the participant with dividends or dividend equivalents payable prior to vesting; and awards of Other Stock-Based Awards of restricted stock may provide for voting rights prior to vesting. Notwithstanding the foregoing, with respect to awards of restricted stock and restricted stock units specifically designated in the award agreement as performance-based, dividends or dividend equivalents shall be accumulated and shall be paid to the participants only in an amount based on the number of shares, if any, that vest under the terms of the award.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Compensation to non-employee directors under the 2024 Plan includes:</w:t>
      </w:r>
    </w:p>
    <w:p>
      <w:pPr>
        <w:spacing w:after="0" w:line="45" w:lineRule="exact"/>
        <w:rPr>
          <w:sz w:val="20"/>
          <w:szCs w:val="20"/>
          <w:color w:val="auto"/>
        </w:rPr>
      </w:pPr>
    </w:p>
    <w:p>
      <w:pPr>
        <w:ind w:left="400" w:hanging="198"/>
        <w:spacing w:after="0" w:line="255" w:lineRule="auto"/>
        <w:tabs>
          <w:tab w:leader="none" w:pos="404" w:val="left"/>
        </w:tabs>
        <w:numPr>
          <w:ilvl w:val="0"/>
          <w:numId w:val="286"/>
        </w:numPr>
        <w:rPr>
          <w:rFonts w:ascii="Arial" w:cs="Arial" w:eastAsia="Arial" w:hAnsi="Arial"/>
          <w:sz w:val="18"/>
          <w:szCs w:val="18"/>
          <w:color w:val="074A75"/>
        </w:rPr>
      </w:pPr>
      <w:r>
        <w:rPr>
          <w:rFonts w:ascii="Arial" w:cs="Arial" w:eastAsia="Arial" w:hAnsi="Arial"/>
          <w:sz w:val="18"/>
          <w:szCs w:val="18"/>
          <w:i w:val="1"/>
          <w:iCs w:val="1"/>
          <w:color w:val="auto"/>
        </w:rPr>
        <w:t xml:space="preserve">Annual cash retainer and equity award. </w:t>
      </w:r>
      <w:r>
        <w:rPr>
          <w:rFonts w:ascii="Arial" w:cs="Arial" w:eastAsia="Arial" w:hAnsi="Arial"/>
          <w:sz w:val="18"/>
          <w:szCs w:val="18"/>
          <w:color w:val="auto"/>
        </w:rPr>
        <w:t>For each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year for service on the Board, each Director shall receive a cash retainer of $110,000 and, if the Director is on the Board at the time when annual performance year equity awards are granted, an annual grant of deferred stock units valued at $265,000. During the 2024 Plan term, the Board is authorized in its discretion to increase the cash retainer and/or the equity award by a combined total of up to $25,000, to decrease them, or to change their form.</w:t>
      </w:r>
    </w:p>
    <w:p>
      <w:pPr>
        <w:spacing w:after="0" w:line="32" w:lineRule="exact"/>
        <w:rPr>
          <w:rFonts w:ascii="Arial" w:cs="Arial" w:eastAsia="Arial" w:hAnsi="Arial"/>
          <w:sz w:val="18"/>
          <w:szCs w:val="18"/>
          <w:color w:val="074A75"/>
        </w:rPr>
      </w:pPr>
    </w:p>
    <w:p>
      <w:pPr>
        <w:ind w:left="400" w:right="100" w:hanging="198"/>
        <w:spacing w:after="0" w:line="253" w:lineRule="auto"/>
        <w:tabs>
          <w:tab w:leader="none" w:pos="404" w:val="left"/>
        </w:tabs>
        <w:numPr>
          <w:ilvl w:val="0"/>
          <w:numId w:val="286"/>
        </w:numPr>
        <w:rPr>
          <w:rFonts w:ascii="Arial" w:cs="Arial" w:eastAsia="Arial" w:hAnsi="Arial"/>
          <w:sz w:val="18"/>
          <w:szCs w:val="18"/>
          <w:color w:val="auto"/>
        </w:rPr>
      </w:pPr>
      <w:r>
        <w:rPr>
          <w:rFonts w:ascii="Arial" w:cs="Arial" w:eastAsia="Arial" w:hAnsi="Arial"/>
          <w:sz w:val="18"/>
          <w:szCs w:val="18"/>
          <w:i w:val="1"/>
          <w:iCs w:val="1"/>
          <w:color w:val="auto"/>
        </w:rPr>
        <w:t xml:space="preserve">Designated role retainers. </w:t>
      </w:r>
      <w:r>
        <w:rPr>
          <w:rFonts w:ascii="Arial" w:cs="Arial" w:eastAsia="Arial" w:hAnsi="Arial"/>
          <w:sz w:val="18"/>
          <w:szCs w:val="18"/>
          <w:color w:val="auto"/>
        </w:rPr>
        <w:t>For each calendar year, each</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who serves in the following designated roles shall receive an annual cash retainer of: (i) $35,000 for serving as the Lead Independent Director; (ii) $30,000 for chairing the Bank board, Audit Committee or Risk Committee; and (iii) $20,000 for chairing any other principal standing committee and for serving on any of the Bank board, Audit Committee or Risk Committee. During the 2024 Plan term, the Board is authorized in its discretion to increase the cash retainer described in (i) for serving as the Lead Independent Director by up to $65,000, and the retainers described in (ii) or (iii) by up to $5,000. The Board is authorized to decrease retainers, or to change their form.</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400" w:right="100" w:hanging="202"/>
        <w:spacing w:after="0" w:line="259" w:lineRule="auto"/>
        <w:tabs>
          <w:tab w:leader="none" w:pos="404" w:val="left"/>
        </w:tabs>
        <w:numPr>
          <w:ilvl w:val="0"/>
          <w:numId w:val="287"/>
        </w:numPr>
        <w:rPr>
          <w:rFonts w:ascii="Arial" w:cs="Arial" w:eastAsia="Arial" w:hAnsi="Arial"/>
          <w:sz w:val="18"/>
          <w:szCs w:val="18"/>
          <w:color w:val="074A75"/>
        </w:rPr>
      </w:pPr>
      <w:r>
        <w:rPr>
          <w:rFonts w:ascii="Arial" w:cs="Arial" w:eastAsia="Arial" w:hAnsi="Arial"/>
          <w:sz w:val="18"/>
          <w:szCs w:val="18"/>
          <w:i w:val="1"/>
          <w:iCs w:val="1"/>
          <w:color w:val="auto"/>
        </w:rPr>
        <w:t xml:space="preserve">Additional fees or retainers. </w:t>
      </w:r>
      <w:r>
        <w:rPr>
          <w:rFonts w:ascii="Arial" w:cs="Arial" w:eastAsia="Arial" w:hAnsi="Arial"/>
          <w:sz w:val="18"/>
          <w:szCs w:val="18"/>
          <w:color w:val="auto"/>
        </w:rPr>
        <w:t>The Board may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any Director with a retainer or other fee in addition to that provided for the aforementioned, including for service on a specific purpose committee or for any other special service, in each case determined in the discretion of the Board.</w:t>
      </w:r>
    </w:p>
    <w:p>
      <w:pPr>
        <w:spacing w:after="0" w:line="44" w:lineRule="exact"/>
        <w:rPr>
          <w:rFonts w:ascii="Arial" w:cs="Arial" w:eastAsia="Arial" w:hAnsi="Arial"/>
          <w:sz w:val="18"/>
          <w:szCs w:val="18"/>
          <w:color w:val="074A75"/>
        </w:rPr>
      </w:pPr>
    </w:p>
    <w:p>
      <w:pPr>
        <w:ind w:left="400" w:right="160" w:hanging="202"/>
        <w:spacing w:after="0" w:line="259" w:lineRule="auto"/>
        <w:tabs>
          <w:tab w:leader="none" w:pos="404" w:val="left"/>
        </w:tabs>
        <w:numPr>
          <w:ilvl w:val="0"/>
          <w:numId w:val="287"/>
        </w:numPr>
        <w:rPr>
          <w:rFonts w:ascii="Arial" w:cs="Arial" w:eastAsia="Arial" w:hAnsi="Arial"/>
          <w:sz w:val="18"/>
          <w:szCs w:val="18"/>
          <w:color w:val="074A75"/>
        </w:rPr>
      </w:pPr>
      <w:r>
        <w:rPr>
          <w:rFonts w:ascii="Arial" w:cs="Arial" w:eastAsia="Arial" w:hAnsi="Arial"/>
          <w:sz w:val="18"/>
          <w:szCs w:val="18"/>
          <w:i w:val="1"/>
          <w:iCs w:val="1"/>
          <w:color w:val="auto"/>
        </w:rPr>
        <w:t xml:space="preserve">Form of Director compensation. </w:t>
      </w:r>
      <w:r>
        <w:rPr>
          <w:rFonts w:ascii="Arial" w:cs="Arial" w:eastAsia="Arial" w:hAnsi="Arial"/>
          <w:sz w:val="18"/>
          <w:szCs w:val="18"/>
          <w:color w:val="auto"/>
        </w:rPr>
        <w:t>Any retainer or fee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be payable in the form of cash, an Other Stock-Based Award or any combination, as determined in the discretion of the Board, and shall have such terms and conditions as the Board may specify.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vesting periods</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Other than awards to Directors, awards settled in shares of common stock under the 2024 Plan have a minimum vesting/exercise schedule of ratably over three years, except that the CMDC may grant awards of up to 5% of shares authorized under the 2024 Plan with a shorter vesting or exercise period (but not less than a one-year period). However, these minimum vesting and exercise periods do not apply to awards that vest or become exercisable earlier due to (i) circumstances such as death, retirement or involuntary termination of employment, (ii) the achievement of performance objectives over a period of at least one year, (iii) standard vest date occurring within 10 days of the grant date anniversary or (iv) if the Firm determines for regulatory or other considerations to provide an equity award in excess of that which would have been awarded to the individual under the cash equity policy in effect for the performance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Termination</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Board of Directors may amend, suspend or terminate the 2024 Plan or any portion thereof at any time without shareholder approval, except to the extent otherwise required by the Securities Exchange Act of 1934 or New York Stock Exchange listing requirements. Notwithstanding the foregoing, except in the case of an adjustment in connection with a capital structure change (as described below under “Adjustments”), any amendment by the Board of Directors shall be conditioned on shareholder consent if it increases (i) the number of shares authorized for grant under the 2024 Plan, (ii) the number of shares authorized for grant to individual participants under any form of award, or (iii) if such amendment eliminates restrictions applicable to the reduction of the exercise price of an option or SAR, or the surrender of an option and SAR in consideration for a new award with a lower exercise price.</w:t>
      </w:r>
    </w:p>
    <w:p>
      <w:pPr>
        <w:spacing w:after="0" w:line="7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No awards may be made under the 2024 Plan after May 31, 2028, or after the date the Board terminates the 2024 Plan, if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760730</wp:posOffset>
            </wp:positionV>
            <wp:extent cx="27432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097"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79  </w:t>
      </w:r>
      <w:r>
        <w:rPr>
          <w:sz w:val="1"/>
          <w:szCs w:val="1"/>
          <w:color w:val="auto"/>
        </w:rPr>
        <w:drawing>
          <wp:inline distT="0" distB="0" distL="0" distR="0">
            <wp:extent cx="2203450" cy="154305"/>
            <wp:effectExtent l="0" t="0" r="0"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APPROVAL OF AMENDED AND RESTATED LONG-TERM INCENTIVE PLAN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event there is a change in the outstanding shares of common stock by reason of any stock dividend or split, recapitalization, issuance of a new class of common stock, merger, consolidation, spin-off, combination or exchange of shares or other similar corporate change, or any distributions to shareholders of common stock other than regular cash dividends, the CMDC will make such substitution or adjustment, if any, as it deems equitable, as to the number or kind of shares of common stock or other securities issued or reserved for issuance pursuant to the 2024 Plan, including, but not limited to, adjustments to the number of shares of common stock in the aggregate with respect to which awards may be granted under the 2024 Plan or the number of awards granted to any participant and to make appropriate adjustments (including the number of shares and the exercise price) to any outstanding awards.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discussion summarizes the Federal income tax consequences to participants who may receive awards under the 2024 Plan and to JPMorgan Chase arising out of the granting of such awards. The discussion is based upon interpretations of the Internal Revenue Code in effect as of March 2024 and regulations promulgated thereunder as of such date.</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discussion is not intended to, and does not, provide or supplement tax advice to recipients of awards, and participants are advised to consult with their own personal independent tax advisors with respect to the specific tax consequences that, in light of their particular circumstances, might arise in connection with their receipt of awards under the 2024 Plan, including, but not limited to, any state, local or foreign tax consequences and the effect, if any, of gift, estate and inheritance taxes.</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Nonqualified Stock Option/Stock Appreciation Rights. </w:t>
      </w:r>
      <w:r>
        <w:rPr>
          <w:rFonts w:ascii="Arial" w:cs="Arial" w:eastAsia="Arial" w:hAnsi="Arial"/>
          <w:sz w:val="18"/>
          <w:szCs w:val="18"/>
          <w:color w:val="auto"/>
        </w:rPr>
        <w:t>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a nonqualified stock option or SAR, a participant will not be in receipt of taxable income. Upon exercise of either a nonqualified stock option or a SAR, a participant will be in receipt of ordinary income in an amount equal to the excess of the fair market value of the acquired shares of common stock (and/or cash) over the exercise price, and will be subject to FICA (Social Security and Medicare) tax in respect of such amounts. Gain or loss upon a subsequent sale of any common stock would be taxed to the participant as long- or short-term capital gain or loss depending on the holding period.</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A participant will not be in receipt of</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income upon the grant or exercise of an incentive stock option (“ISO”). Upon the exercise of an ISO, the amount by which the fair market value of the stock received on exercise exceeds the exercise price is generally a tax preference adjustment for the purpose of the alternative minimum tax. If the participant holds the shares acquired on the exercise of an ISO for the requisite ISO holding period set forth in the Internal Revenue Code, the participant generally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will recognize a long-term capital gain or loss upon their subsequent sale or exchange measured by the difference between the sale price and the exercise price of the ISO. If a participant does not hold the shares acquired on the exercise of an ISO for the requisite holding period, the participant may be in receipt of ordinary income based upon a formula set forth in the Internal Revenue Code, generally the lesser of (i) the difference between the fair market value of the common stock on the date of exercise of the ISO over the exercise price of the ISO and (ii) the amount realized upon the disposition of the common stock acquired by the ISO over the exercise price of the ISO. To the extent that the amount realized on such sale or exchange exceeds the fair market value of the common stock on the date of the ISO exercise, the participant will generally recognize capital gains.</w:t>
      </w:r>
    </w:p>
    <w:p>
      <w:pPr>
        <w:spacing w:after="0" w:line="7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income tax consequences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Stock-Based Awards will depend on how such awards are structured. In the case of the grant of a restricted stock unit (whether time-vested or subject to achievement of performance goals), a participant will not be in receipt of taxable income. On delivery, a participant will be in receipt of ordinary income in an amount equal to the fair market value of the acquired shares of common stock (and/or cash). The participant will be subject to FICA (Social Security and Medicare) tax at the time any portion of a restricted stock unit is deemed vested for tax purposes. The fair market value of any acquired shares (if any) on the delivery date will be the participant’s tax basis for purposes of determining any subsequent gain or loss from the sale of the shares, and the participant’s holding period with respect to the shares will begin at the delivery date.</w:t>
      </w:r>
    </w:p>
    <w:p>
      <w:pPr>
        <w:spacing w:after="0" w:line="7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i w:val="1"/>
          <w:iCs w:val="1"/>
          <w:color w:val="auto"/>
        </w:rPr>
        <w:t>Deduction</w:t>
      </w:r>
      <w:r>
        <w:rPr>
          <w:rFonts w:ascii="Arial" w:cs="Arial" w:eastAsia="Arial" w:hAnsi="Arial"/>
          <w:sz w:val="18"/>
          <w:szCs w:val="18"/>
          <w:color w:val="auto"/>
        </w:rPr>
        <w:t>. Generally, JPMorgan Chase will be entitled to a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equal to the amount recognized as ordinary income (including on the exercise of a stock option or SAR or on delivery pursuant to a restricted stock unit). However, we will generally not be entitled to a tax deduction with respect to any amount that represents compensation in excess of $1 million paid to covered employees (other than awards pursuant to contracts entered into prior to the repeal of the exemption for qualified performance-based compensation under Section 162(m) of the Code that may remain eligible for such exemption). For this purpose, a “covered employee” means our chief executive officer, our chief financial officer and our three highest compensated employees other than the chief executive officer and the chief financial officer (based on compensation reported to our shareholders), and any individual who was previously a covered employee at any time on or after January 1, 2017. The American Rescue Plan Act of 2021 includes provisions to expand the applicability of Section 162(m), beginning on or after January 1, 2027, to also include the next 5 highest compensated employees, so that the total number of covered employees subject to the $1 million deduction limitation will be at least 10. For the avoidance of doubt, we will not be entitled to any tax deduction with respect to an ISO, if the participant holds the shares acquired on the exercise of an ISO for the requisite ISO holding period.</w:t>
      </w:r>
    </w:p>
    <w:p>
      <w:pPr>
        <w:spacing w:after="0" w:line="203"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APPROVAL OF AMENDED AND RESTATED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7" w:lineRule="exact"/>
        <w:rPr>
          <w:sz w:val="20"/>
          <w:szCs w:val="20"/>
          <w:color w:val="auto"/>
        </w:rPr>
      </w:pPr>
    </w:p>
    <w:p>
      <w:pPr>
        <w:ind w:right="400"/>
        <w:spacing w:after="0" w:line="286" w:lineRule="auto"/>
        <w:rPr>
          <w:sz w:val="20"/>
          <w:szCs w:val="20"/>
          <w:color w:val="auto"/>
        </w:rPr>
      </w:pPr>
      <w:r>
        <w:rPr>
          <w:rFonts w:ascii="Arial" w:cs="Arial" w:eastAsia="Arial" w:hAnsi="Arial"/>
          <w:sz w:val="20"/>
          <w:szCs w:val="20"/>
          <w:color w:val="074A75"/>
        </w:rPr>
        <w:t>Our equity compensation program promotes shareholder interests</w:t>
      </w:r>
    </w:p>
    <w:p>
      <w:pPr>
        <w:spacing w:after="0" w:line="3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our long-term incentive compensation program serves a fundamental role in motivating our employees to deliver sustained shareholder value by driving individual, line of business and Firmwide results.</w:t>
      </w:r>
    </w:p>
    <w:p>
      <w:pPr>
        <w:spacing w:after="0" w:line="68"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addition, our equity program was designed to attract and retain top talent, foster a shared success culture and be consistent with best practices, as set forth below:</w:t>
      </w:r>
    </w:p>
    <w:p>
      <w:pPr>
        <w:spacing w:after="0" w:line="63" w:lineRule="exact"/>
        <w:rPr>
          <w:sz w:val="20"/>
          <w:szCs w:val="20"/>
          <w:color w:val="auto"/>
        </w:rPr>
      </w:pPr>
    </w:p>
    <w:p>
      <w:pPr>
        <w:ind w:left="200" w:right="80" w:hanging="192"/>
        <w:spacing w:after="0" w:line="262" w:lineRule="auto"/>
        <w:tabs>
          <w:tab w:leader="none" w:pos="204" w:val="left"/>
        </w:tabs>
        <w:numPr>
          <w:ilvl w:val="0"/>
          <w:numId w:val="288"/>
        </w:numPr>
        <w:rPr>
          <w:rFonts w:ascii="Arial" w:cs="Arial" w:eastAsia="Arial" w:hAnsi="Arial"/>
          <w:sz w:val="18"/>
          <w:szCs w:val="18"/>
          <w:color w:val="074A75"/>
        </w:rPr>
      </w:pPr>
      <w:r>
        <w:rPr>
          <w:rFonts w:ascii="Arial" w:cs="Arial" w:eastAsia="Arial" w:hAnsi="Arial"/>
          <w:sz w:val="18"/>
          <w:szCs w:val="18"/>
          <w:color w:val="auto"/>
        </w:rPr>
        <w:t>Strong share holding requirements – Operating Committee members are required to retain significant portions of net shares received from awards, which increases their share ownership over the long term</w:t>
      </w:r>
    </w:p>
    <w:p>
      <w:pPr>
        <w:spacing w:after="0" w:line="41" w:lineRule="exact"/>
        <w:rPr>
          <w:rFonts w:ascii="Arial" w:cs="Arial" w:eastAsia="Arial" w:hAnsi="Arial"/>
          <w:sz w:val="18"/>
          <w:szCs w:val="18"/>
          <w:color w:val="074A75"/>
        </w:rPr>
      </w:pPr>
    </w:p>
    <w:p>
      <w:pPr>
        <w:ind w:left="200" w:right="40" w:hanging="192"/>
        <w:spacing w:after="0" w:line="259" w:lineRule="auto"/>
        <w:tabs>
          <w:tab w:leader="none" w:pos="204" w:val="left"/>
        </w:tabs>
        <w:numPr>
          <w:ilvl w:val="0"/>
          <w:numId w:val="288"/>
        </w:numPr>
        <w:rPr>
          <w:rFonts w:ascii="Arial" w:cs="Arial" w:eastAsia="Arial" w:hAnsi="Arial"/>
          <w:sz w:val="18"/>
          <w:szCs w:val="18"/>
          <w:color w:val="074A75"/>
        </w:rPr>
      </w:pPr>
      <w:r>
        <w:rPr>
          <w:rFonts w:ascii="Arial" w:cs="Arial" w:eastAsia="Arial" w:hAnsi="Arial"/>
          <w:sz w:val="18"/>
          <w:szCs w:val="18"/>
          <w:color w:val="auto"/>
        </w:rPr>
        <w:t>Prudent evaluation of the use of SARs – Since 2014 the CMDC has eliminated the use of SARs from our broad based annual compensation program, resulting in less dilution to shareholders; however, the CMDC retains the discretion to award SARs in the future</w:t>
      </w:r>
    </w:p>
    <w:p>
      <w:pPr>
        <w:spacing w:after="0" w:line="30" w:lineRule="exact"/>
        <w:rPr>
          <w:rFonts w:ascii="Arial" w:cs="Arial" w:eastAsia="Arial" w:hAnsi="Arial"/>
          <w:sz w:val="18"/>
          <w:szCs w:val="18"/>
          <w:color w:val="074A75"/>
        </w:rPr>
      </w:pPr>
    </w:p>
    <w:p>
      <w:pPr>
        <w:ind w:left="200" w:right="340" w:hanging="192"/>
        <w:spacing w:after="0" w:line="287" w:lineRule="auto"/>
        <w:tabs>
          <w:tab w:leader="none" w:pos="204" w:val="left"/>
        </w:tabs>
        <w:numPr>
          <w:ilvl w:val="0"/>
          <w:numId w:val="288"/>
        </w:numPr>
        <w:rPr>
          <w:rFonts w:ascii="Arial" w:cs="Arial" w:eastAsia="Arial" w:hAnsi="Arial"/>
          <w:sz w:val="18"/>
          <w:szCs w:val="18"/>
          <w:color w:val="074A75"/>
        </w:rPr>
      </w:pPr>
      <w:r>
        <w:rPr>
          <w:rFonts w:ascii="Arial" w:cs="Arial" w:eastAsia="Arial" w:hAnsi="Arial"/>
          <w:sz w:val="18"/>
          <w:szCs w:val="18"/>
          <w:color w:val="auto"/>
        </w:rPr>
        <w:t>Multi-year vesting – Equity awards generally cannot vest any sooner than three years (ratably) from the grant date</w:t>
      </w:r>
    </w:p>
    <w:p>
      <w:pPr>
        <w:spacing w:after="0" w:line="4" w:lineRule="exact"/>
        <w:rPr>
          <w:rFonts w:ascii="Arial" w:cs="Arial" w:eastAsia="Arial" w:hAnsi="Arial"/>
          <w:sz w:val="18"/>
          <w:szCs w:val="18"/>
          <w:color w:val="074A75"/>
        </w:rPr>
      </w:pPr>
    </w:p>
    <w:p>
      <w:pPr>
        <w:ind w:left="200" w:right="80" w:hanging="192"/>
        <w:spacing w:after="0" w:line="262" w:lineRule="auto"/>
        <w:tabs>
          <w:tab w:leader="none" w:pos="204" w:val="left"/>
        </w:tabs>
        <w:numPr>
          <w:ilvl w:val="0"/>
          <w:numId w:val="288"/>
        </w:numPr>
        <w:rPr>
          <w:rFonts w:ascii="Arial" w:cs="Arial" w:eastAsia="Arial" w:hAnsi="Arial"/>
          <w:sz w:val="18"/>
          <w:szCs w:val="18"/>
          <w:color w:val="205A85"/>
        </w:rPr>
      </w:pPr>
      <w:r>
        <w:rPr>
          <w:rFonts w:ascii="Arial" w:cs="Arial" w:eastAsia="Arial" w:hAnsi="Arial"/>
          <w:sz w:val="18"/>
          <w:szCs w:val="18"/>
          <w:color w:val="auto"/>
        </w:rPr>
        <w:t>Anti-hedging/Anti-pledging policy – All employees are prohibited from hedging or pledging unvested RSUs, PSUs, unexercised options or SARs; Operating Committee members and directors may not hedge or pledge any shares</w:t>
      </w:r>
    </w:p>
    <w:p>
      <w:pPr>
        <w:spacing w:after="0" w:line="41" w:lineRule="exact"/>
        <w:rPr>
          <w:rFonts w:ascii="Arial" w:cs="Arial" w:eastAsia="Arial" w:hAnsi="Arial"/>
          <w:sz w:val="18"/>
          <w:szCs w:val="18"/>
          <w:color w:val="205A85"/>
        </w:rPr>
      </w:pPr>
    </w:p>
    <w:p>
      <w:pPr>
        <w:ind w:left="200" w:right="240" w:hanging="192"/>
        <w:spacing w:after="0" w:line="287" w:lineRule="auto"/>
        <w:tabs>
          <w:tab w:leader="none" w:pos="204" w:val="left"/>
        </w:tabs>
        <w:numPr>
          <w:ilvl w:val="0"/>
          <w:numId w:val="288"/>
        </w:numPr>
        <w:rPr>
          <w:rFonts w:ascii="Arial" w:cs="Arial" w:eastAsia="Arial" w:hAnsi="Arial"/>
          <w:sz w:val="18"/>
          <w:szCs w:val="18"/>
          <w:color w:val="074A75"/>
        </w:rPr>
      </w:pPr>
      <w:r>
        <w:rPr>
          <w:rFonts w:ascii="Arial" w:cs="Arial" w:eastAsia="Arial" w:hAnsi="Arial"/>
          <w:sz w:val="18"/>
          <w:szCs w:val="18"/>
          <w:color w:val="auto"/>
        </w:rPr>
        <w:t>Award limits – The 2024 Plan contains limits on the number of shares that may be granted to any individual employee</w:t>
      </w:r>
    </w:p>
    <w:p>
      <w:pPr>
        <w:spacing w:after="0" w:line="4" w:lineRule="exact"/>
        <w:rPr>
          <w:rFonts w:ascii="Arial" w:cs="Arial" w:eastAsia="Arial" w:hAnsi="Arial"/>
          <w:sz w:val="18"/>
          <w:szCs w:val="18"/>
          <w:color w:val="074A75"/>
        </w:rPr>
      </w:pPr>
    </w:p>
    <w:p>
      <w:pPr>
        <w:ind w:left="200" w:hanging="192"/>
        <w:spacing w:after="0" w:line="262" w:lineRule="auto"/>
        <w:tabs>
          <w:tab w:leader="none" w:pos="204" w:val="left"/>
        </w:tabs>
        <w:numPr>
          <w:ilvl w:val="0"/>
          <w:numId w:val="288"/>
        </w:numPr>
        <w:rPr>
          <w:rFonts w:ascii="Arial" w:cs="Arial" w:eastAsia="Arial" w:hAnsi="Arial"/>
          <w:sz w:val="18"/>
          <w:szCs w:val="18"/>
          <w:color w:val="074A75"/>
        </w:rPr>
      </w:pPr>
      <w:r>
        <w:rPr>
          <w:rFonts w:ascii="Arial" w:cs="Arial" w:eastAsia="Arial" w:hAnsi="Arial"/>
          <w:sz w:val="18"/>
          <w:szCs w:val="18"/>
          <w:color w:val="auto"/>
        </w:rPr>
        <w:t>Non-employee director pay limits – The 2024 Plan contains limits on the annual cash retainer and equity award as well as designated role retainers that may be granted to non-employee directors</w:t>
      </w:r>
    </w:p>
    <w:p>
      <w:pPr>
        <w:spacing w:after="0" w:line="27" w:lineRule="exact"/>
        <w:rPr>
          <w:rFonts w:ascii="Arial" w:cs="Arial" w:eastAsia="Arial" w:hAnsi="Arial"/>
          <w:sz w:val="18"/>
          <w:szCs w:val="18"/>
          <w:color w:val="074A75"/>
        </w:rPr>
      </w:pPr>
    </w:p>
    <w:p>
      <w:pPr>
        <w:ind w:left="200" w:right="180" w:hanging="192"/>
        <w:spacing w:after="0" w:line="268" w:lineRule="auto"/>
        <w:tabs>
          <w:tab w:leader="none" w:pos="204" w:val="left"/>
        </w:tabs>
        <w:numPr>
          <w:ilvl w:val="0"/>
          <w:numId w:val="288"/>
        </w:numPr>
        <w:rPr>
          <w:rFonts w:ascii="Arial" w:cs="Arial" w:eastAsia="Arial" w:hAnsi="Arial"/>
          <w:sz w:val="18"/>
          <w:szCs w:val="18"/>
          <w:color w:val="074A75"/>
        </w:rPr>
      </w:pPr>
      <w:r>
        <w:rPr>
          <w:rFonts w:ascii="Arial" w:cs="Arial" w:eastAsia="Arial" w:hAnsi="Arial"/>
          <w:sz w:val="18"/>
          <w:szCs w:val="18"/>
          <w:color w:val="auto"/>
        </w:rPr>
        <w:t>No dividends paid on unearned performance share units – The terms of our 2024 Plan prohibit the payment of dividends on unearned PSUs</w:t>
      </w:r>
    </w:p>
    <w:p>
      <w:pPr>
        <w:spacing w:after="0" w:line="22" w:lineRule="exact"/>
        <w:rPr>
          <w:rFonts w:ascii="Arial" w:cs="Arial" w:eastAsia="Arial" w:hAnsi="Arial"/>
          <w:sz w:val="18"/>
          <w:szCs w:val="18"/>
          <w:color w:val="074A75"/>
        </w:rPr>
      </w:pPr>
    </w:p>
    <w:p>
      <w:pPr>
        <w:jc w:val="both"/>
        <w:ind w:left="200" w:hanging="192"/>
        <w:spacing w:after="0" w:line="268" w:lineRule="auto"/>
        <w:tabs>
          <w:tab w:leader="none" w:pos="204" w:val="left"/>
        </w:tabs>
        <w:numPr>
          <w:ilvl w:val="0"/>
          <w:numId w:val="288"/>
        </w:numPr>
        <w:rPr>
          <w:rFonts w:ascii="Arial" w:cs="Arial" w:eastAsia="Arial" w:hAnsi="Arial"/>
          <w:sz w:val="18"/>
          <w:szCs w:val="18"/>
          <w:color w:val="205A85"/>
        </w:rPr>
      </w:pPr>
      <w:r>
        <w:rPr>
          <w:rFonts w:ascii="Arial" w:cs="Arial" w:eastAsia="Arial" w:hAnsi="Arial"/>
          <w:sz w:val="18"/>
          <w:szCs w:val="18"/>
          <w:color w:val="auto"/>
        </w:rPr>
        <w:t>No stock option/SAR reloads – Consistent with best practice, the 2024 Plan does not provide for the automatic reload of options or SARs</w:t>
      </w:r>
    </w:p>
    <w:p>
      <w:pPr>
        <w:spacing w:after="0" w:line="35" w:lineRule="exact"/>
        <w:rPr>
          <w:rFonts w:ascii="Arial" w:cs="Arial" w:eastAsia="Arial" w:hAnsi="Arial"/>
          <w:sz w:val="18"/>
          <w:szCs w:val="18"/>
          <w:color w:val="205A85"/>
        </w:rPr>
      </w:pPr>
    </w:p>
    <w:p>
      <w:pPr>
        <w:ind w:left="200" w:right="300" w:hanging="192"/>
        <w:spacing w:after="0" w:line="287" w:lineRule="auto"/>
        <w:tabs>
          <w:tab w:leader="none" w:pos="204" w:val="left"/>
        </w:tabs>
        <w:numPr>
          <w:ilvl w:val="0"/>
          <w:numId w:val="288"/>
        </w:numPr>
        <w:rPr>
          <w:rFonts w:ascii="Arial" w:cs="Arial" w:eastAsia="Arial" w:hAnsi="Arial"/>
          <w:sz w:val="18"/>
          <w:szCs w:val="18"/>
          <w:color w:val="074A75"/>
        </w:rPr>
      </w:pPr>
      <w:r>
        <w:rPr>
          <w:rFonts w:ascii="Arial" w:cs="Arial" w:eastAsia="Arial" w:hAnsi="Arial"/>
          <w:sz w:val="18"/>
          <w:szCs w:val="18"/>
          <w:color w:val="auto"/>
        </w:rPr>
        <w:t>No repricing on stock option/SAR – We expressly prohibit the repricing of both stock options and SARs</w:t>
      </w:r>
    </w:p>
    <w:p>
      <w:pPr>
        <w:spacing w:after="0" w:line="4" w:lineRule="exact"/>
        <w:rPr>
          <w:rFonts w:ascii="Arial" w:cs="Arial" w:eastAsia="Arial" w:hAnsi="Arial"/>
          <w:sz w:val="18"/>
          <w:szCs w:val="18"/>
          <w:color w:val="074A75"/>
        </w:rPr>
      </w:pPr>
    </w:p>
    <w:p>
      <w:pPr>
        <w:ind w:left="200" w:right="20" w:hanging="192"/>
        <w:spacing w:after="0" w:line="268" w:lineRule="auto"/>
        <w:tabs>
          <w:tab w:leader="none" w:pos="204" w:val="left"/>
        </w:tabs>
        <w:numPr>
          <w:ilvl w:val="0"/>
          <w:numId w:val="288"/>
        </w:numPr>
        <w:rPr>
          <w:rFonts w:ascii="Arial" w:cs="Arial" w:eastAsia="Arial" w:hAnsi="Arial"/>
          <w:sz w:val="18"/>
          <w:szCs w:val="18"/>
          <w:color w:val="074A75"/>
        </w:rPr>
      </w:pPr>
      <w:r>
        <w:rPr>
          <w:rFonts w:ascii="Arial" w:cs="Arial" w:eastAsia="Arial" w:hAnsi="Arial"/>
          <w:sz w:val="18"/>
          <w:szCs w:val="18"/>
          <w:color w:val="auto"/>
        </w:rPr>
        <w:t>No golden parachute agreements – We do not provide additional payments or equity acceleration as a result of a change-in-control</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560"/>
        <w:spacing w:after="0" w:line="286" w:lineRule="auto"/>
        <w:rPr>
          <w:sz w:val="20"/>
          <w:szCs w:val="20"/>
          <w:color w:val="auto"/>
        </w:rPr>
      </w:pPr>
      <w:r>
        <w:rPr>
          <w:rFonts w:ascii="Arial" w:cs="Arial" w:eastAsia="Arial" w:hAnsi="Arial"/>
          <w:sz w:val="20"/>
          <w:szCs w:val="20"/>
          <w:color w:val="074A75"/>
        </w:rPr>
        <w:t>Our equity compensation program reinforces individual accountability</w:t>
      </w:r>
    </w:p>
    <w:p>
      <w:pPr>
        <w:spacing w:after="0" w:line="3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compensation program, including the 2024 Plan, is designed to hold individuals responsible for taking risks inconsistent with the Firm's risk appetite and to discourage future imprudent behavior. The Firm has policies and procedures that enable it to take timely and proportionate actions with respect to accountable individuals, including:</w:t>
      </w:r>
    </w:p>
    <w:p>
      <w:pPr>
        <w:spacing w:after="0" w:line="74" w:lineRule="exact"/>
        <w:rPr>
          <w:sz w:val="20"/>
          <w:szCs w:val="20"/>
          <w:color w:val="auto"/>
        </w:rPr>
      </w:pPr>
    </w:p>
    <w:p>
      <w:pPr>
        <w:ind w:left="260" w:hanging="256"/>
        <w:spacing w:after="0"/>
        <w:tabs>
          <w:tab w:leader="none" w:pos="2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Reduce or altogether eliminate annual incentive compensation;</w:t>
      </w:r>
    </w:p>
    <w:p>
      <w:pPr>
        <w:spacing w:after="0" w:line="90" w:lineRule="exact"/>
        <w:rPr>
          <w:rFonts w:ascii="Arial" w:cs="Arial" w:eastAsia="Arial" w:hAnsi="Arial"/>
          <w:sz w:val="18"/>
          <w:szCs w:val="18"/>
          <w:color w:val="auto"/>
        </w:rPr>
      </w:pPr>
    </w:p>
    <w:p>
      <w:pPr>
        <w:ind w:left="260" w:hanging="256"/>
        <w:spacing w:after="0"/>
        <w:tabs>
          <w:tab w:leader="none" w:pos="2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Cancel unvested awards (in full or in part);</w:t>
      </w:r>
    </w:p>
    <w:p>
      <w:pPr>
        <w:spacing w:after="0" w:line="76" w:lineRule="exact"/>
        <w:rPr>
          <w:rFonts w:ascii="Arial" w:cs="Arial" w:eastAsia="Arial" w:hAnsi="Arial"/>
          <w:sz w:val="18"/>
          <w:szCs w:val="18"/>
          <w:color w:val="auto"/>
        </w:rPr>
      </w:pPr>
    </w:p>
    <w:p>
      <w:pPr>
        <w:ind w:left="260" w:right="540" w:hanging="256"/>
        <w:spacing w:after="0" w:line="287" w:lineRule="auto"/>
        <w:tabs>
          <w:tab w:leader="none" w:pos="25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Clawback/Recover previously paid incentive compensation (cash and/or equity);</w:t>
      </w:r>
    </w:p>
    <w:p>
      <w:pPr>
        <w:spacing w:after="0" w:line="4" w:lineRule="exact"/>
        <w:rPr>
          <w:rFonts w:ascii="Arial" w:cs="Arial" w:eastAsia="Arial" w:hAnsi="Arial"/>
          <w:sz w:val="18"/>
          <w:szCs w:val="18"/>
          <w:color w:val="auto"/>
        </w:rPr>
      </w:pPr>
    </w:p>
    <w:p>
      <w:pPr>
        <w:ind w:left="260" w:right="480" w:hanging="256"/>
        <w:spacing w:after="0" w:line="287" w:lineRule="auto"/>
        <w:tabs>
          <w:tab w:leader="none" w:pos="25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Demotion, negative performance rating or other appropriate employment actions; and</w:t>
      </w:r>
    </w:p>
    <w:p>
      <w:pPr>
        <w:spacing w:after="0" w:line="17" w:lineRule="exact"/>
        <w:rPr>
          <w:rFonts w:ascii="Arial" w:cs="Arial" w:eastAsia="Arial" w:hAnsi="Arial"/>
          <w:sz w:val="18"/>
          <w:szCs w:val="18"/>
          <w:color w:val="auto"/>
        </w:rPr>
      </w:pPr>
    </w:p>
    <w:p>
      <w:pPr>
        <w:ind w:left="260" w:hanging="256"/>
        <w:spacing w:after="0"/>
        <w:tabs>
          <w:tab w:leader="none" w:pos="2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Termination of employment.</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additional information about our control forums and how they promote accountability, please see “Holding Individuals Accountable” and “Risk, Controls and Conduct Review Process” on page 48 of this proxy statement.</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Clawback/recovery provisions</w:t>
      </w:r>
    </w:p>
    <w:p>
      <w:pPr>
        <w:spacing w:after="0" w:line="11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maintain clawback/recovery provisions on both cash incentives and equity awards which enable us to reduce or cancel unvested awards and recover previously paid compensation in certain situations. While equity incentive awards are intended and expected to vest according to their terms, the Firm's strong recovery provisions permit recovery of incentive compensation awards in appropriate circumstances.</w:t>
      </w:r>
    </w:p>
    <w:p>
      <w:pPr>
        <w:spacing w:after="0" w:line="7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provides a summary of the extensive clawback provisions that apply to all employees, including our Operating Committee members.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Summary of Reasons for Cancellation &amp; Clawbacks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20" w:type="dxa"/>
            <w:vAlign w:val="bottom"/>
            <w:tcBorders>
              <w:bottom w:val="single" w:sz="8" w:color="494949"/>
            </w:tcBorders>
          </w:tcPr>
          <w:p>
            <w:pPr>
              <w:ind w:left="20"/>
              <w:spacing w:after="0"/>
              <w:rPr>
                <w:sz w:val="20"/>
                <w:szCs w:val="20"/>
                <w:color w:val="auto"/>
              </w:rPr>
            </w:pPr>
            <w:r>
              <w:rPr>
                <w:rFonts w:ascii="Arial" w:cs="Arial" w:eastAsia="Arial" w:hAnsi="Arial"/>
                <w:sz w:val="16"/>
                <w:szCs w:val="16"/>
                <w:b w:val="1"/>
                <w:bCs w:val="1"/>
                <w:color w:val="074A75"/>
              </w:rPr>
              <w:t>Trigger</w:t>
            </w:r>
          </w:p>
        </w:tc>
        <w:tc>
          <w:tcPr>
            <w:tcW w:w="1840" w:type="dxa"/>
            <w:vAlign w:val="bottom"/>
            <w:tcBorders>
              <w:bottom w:val="single" w:sz="8" w:color="494949"/>
            </w:tcBorders>
          </w:tcPr>
          <w:p>
            <w:pPr>
              <w:jc w:val="center"/>
              <w:ind w:left="812"/>
              <w:spacing w:after="0"/>
              <w:rPr>
                <w:sz w:val="20"/>
                <w:szCs w:val="20"/>
                <w:color w:val="auto"/>
              </w:rPr>
            </w:pPr>
            <w:r>
              <w:rPr>
                <w:rFonts w:ascii="Arial" w:cs="Arial" w:eastAsia="Arial" w:hAnsi="Arial"/>
                <w:sz w:val="16"/>
                <w:szCs w:val="16"/>
                <w:b w:val="1"/>
                <w:bCs w:val="1"/>
                <w:color w:val="074A75"/>
              </w:rPr>
              <w:t>Vested</w:t>
            </w:r>
          </w:p>
        </w:tc>
        <w:tc>
          <w:tcPr>
            <w:tcW w:w="1120" w:type="dxa"/>
            <w:vAlign w:val="bottom"/>
            <w:tcBorders>
              <w:bottom w:val="single" w:sz="8" w:color="494949"/>
            </w:tcBorders>
          </w:tcPr>
          <w:p>
            <w:pPr>
              <w:jc w:val="center"/>
              <w:spacing w:after="0"/>
              <w:rPr>
                <w:sz w:val="20"/>
                <w:szCs w:val="20"/>
                <w:color w:val="auto"/>
              </w:rPr>
            </w:pPr>
            <w:r>
              <w:rPr>
                <w:rFonts w:ascii="Arial" w:cs="Arial" w:eastAsia="Arial" w:hAnsi="Arial"/>
                <w:sz w:val="16"/>
                <w:szCs w:val="16"/>
                <w:b w:val="1"/>
                <w:bCs w:val="1"/>
                <w:color w:val="074A75"/>
                <w:w w:val="99"/>
              </w:rPr>
              <w:t>Unvested</w:t>
            </w:r>
          </w:p>
        </w:tc>
      </w:tr>
      <w:tr>
        <w:trPr>
          <w:trHeight w:val="267"/>
        </w:trPr>
        <w:tc>
          <w:tcPr>
            <w:tcW w:w="2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Restatement</w:t>
            </w:r>
          </w:p>
        </w:tc>
        <w:tc>
          <w:tcPr>
            <w:tcW w:w="1840" w:type="dxa"/>
            <w:vAlign w:val="bottom"/>
            <w:shd w:val="clear" w:color="auto" w:fill="E7E7E8"/>
          </w:tcPr>
          <w:p>
            <w:pPr>
              <w:jc w:val="center"/>
              <w:ind w:left="812"/>
              <w:spacing w:after="0"/>
              <w:rPr>
                <w:sz w:val="20"/>
                <w:szCs w:val="20"/>
                <w:color w:val="auto"/>
              </w:rPr>
            </w:pPr>
            <w:r>
              <w:rPr>
                <w:rFonts w:ascii="Wingdings" w:cs="Wingdings" w:eastAsia="Wingdings" w:hAnsi="Wingdings"/>
                <w:sz w:val="18"/>
                <w:szCs w:val="18"/>
                <w:b w:val="1"/>
                <w:bCs w:val="1"/>
                <w:color w:val="3E693D"/>
              </w:rPr>
              <w:t>ü</w:t>
            </w:r>
          </w:p>
        </w:tc>
        <w:tc>
          <w:tcPr>
            <w:tcW w:w="1120" w:type="dxa"/>
            <w:vAlign w:val="bottom"/>
            <w:shd w:val="clear" w:color="auto" w:fill="E7E7E8"/>
          </w:tcPr>
          <w:p>
            <w:pPr>
              <w:jc w:val="center"/>
              <w:spacing w:after="0"/>
              <w:rPr>
                <w:sz w:val="20"/>
                <w:szCs w:val="20"/>
                <w:color w:val="auto"/>
              </w:rPr>
            </w:pPr>
            <w:r>
              <w:rPr>
                <w:rFonts w:ascii="Wingdings" w:cs="Wingdings" w:eastAsia="Wingdings" w:hAnsi="Wingdings"/>
                <w:sz w:val="18"/>
                <w:szCs w:val="18"/>
                <w:b w:val="1"/>
                <w:bCs w:val="1"/>
                <w:color w:val="3E693D"/>
              </w:rPr>
              <w:t>ü</w:t>
            </w:r>
          </w:p>
        </w:tc>
      </w:tr>
      <w:tr>
        <w:trPr>
          <w:trHeight w:val="262"/>
        </w:trPr>
        <w:tc>
          <w:tcPr>
            <w:tcW w:w="2420" w:type="dxa"/>
            <w:vAlign w:val="bottom"/>
          </w:tcPr>
          <w:p>
            <w:pPr>
              <w:ind w:left="20"/>
              <w:spacing w:after="0"/>
              <w:rPr>
                <w:sz w:val="20"/>
                <w:szCs w:val="20"/>
                <w:color w:val="auto"/>
              </w:rPr>
            </w:pPr>
            <w:r>
              <w:rPr>
                <w:rFonts w:ascii="Arial" w:cs="Arial" w:eastAsia="Arial" w:hAnsi="Arial"/>
                <w:sz w:val="16"/>
                <w:szCs w:val="16"/>
                <w:color w:val="auto"/>
              </w:rPr>
              <w:t>Misconduct</w:t>
            </w:r>
          </w:p>
        </w:tc>
        <w:tc>
          <w:tcPr>
            <w:tcW w:w="1840" w:type="dxa"/>
            <w:vAlign w:val="bottom"/>
          </w:tcPr>
          <w:p>
            <w:pPr>
              <w:jc w:val="center"/>
              <w:ind w:left="812"/>
              <w:spacing w:after="0"/>
              <w:rPr>
                <w:sz w:val="20"/>
                <w:szCs w:val="20"/>
                <w:color w:val="auto"/>
              </w:rPr>
            </w:pPr>
            <w:r>
              <w:rPr>
                <w:rFonts w:ascii="Wingdings" w:cs="Wingdings" w:eastAsia="Wingdings" w:hAnsi="Wingdings"/>
                <w:sz w:val="18"/>
                <w:szCs w:val="18"/>
                <w:b w:val="1"/>
                <w:bCs w:val="1"/>
                <w:color w:val="3E693D"/>
              </w:rPr>
              <w:t>ü</w:t>
            </w:r>
          </w:p>
        </w:tc>
        <w:tc>
          <w:tcPr>
            <w:tcW w:w="1120" w:type="dxa"/>
            <w:vAlign w:val="bottom"/>
          </w:tcPr>
          <w:p>
            <w:pPr>
              <w:jc w:val="center"/>
              <w:spacing w:after="0"/>
              <w:rPr>
                <w:sz w:val="20"/>
                <w:szCs w:val="20"/>
                <w:color w:val="auto"/>
              </w:rPr>
            </w:pPr>
            <w:r>
              <w:rPr>
                <w:rFonts w:ascii="Wingdings" w:cs="Wingdings" w:eastAsia="Wingdings" w:hAnsi="Wingdings"/>
                <w:sz w:val="18"/>
                <w:szCs w:val="18"/>
                <w:b w:val="1"/>
                <w:bCs w:val="1"/>
                <w:color w:val="3E693D"/>
              </w:rPr>
              <w:t>ü</w:t>
            </w:r>
          </w:p>
        </w:tc>
      </w:tr>
      <w:tr>
        <w:trPr>
          <w:trHeight w:val="278"/>
        </w:trPr>
        <w:tc>
          <w:tcPr>
            <w:tcW w:w="2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Risk-related</w:t>
            </w:r>
            <w:r>
              <w:rPr>
                <w:rFonts w:ascii="Arial" w:cs="Arial" w:eastAsia="Arial" w:hAnsi="Arial"/>
                <w:sz w:val="21"/>
                <w:szCs w:val="21"/>
                <w:color w:val="auto"/>
                <w:vertAlign w:val="superscript"/>
              </w:rPr>
              <w:t>1</w:t>
            </w:r>
          </w:p>
        </w:tc>
        <w:tc>
          <w:tcPr>
            <w:tcW w:w="1840" w:type="dxa"/>
            <w:vAlign w:val="bottom"/>
            <w:shd w:val="clear" w:color="auto" w:fill="E7E7E8"/>
          </w:tcPr>
          <w:p>
            <w:pPr>
              <w:jc w:val="center"/>
              <w:ind w:left="812"/>
              <w:spacing w:after="0"/>
              <w:rPr>
                <w:sz w:val="20"/>
                <w:szCs w:val="20"/>
                <w:color w:val="auto"/>
              </w:rPr>
            </w:pPr>
            <w:r>
              <w:rPr>
                <w:rFonts w:ascii="Wingdings" w:cs="Wingdings" w:eastAsia="Wingdings" w:hAnsi="Wingdings"/>
                <w:sz w:val="18"/>
                <w:szCs w:val="18"/>
                <w:b w:val="1"/>
                <w:bCs w:val="1"/>
                <w:color w:val="3E693D"/>
              </w:rPr>
              <w:t>ü</w:t>
            </w:r>
          </w:p>
        </w:tc>
        <w:tc>
          <w:tcPr>
            <w:tcW w:w="1120" w:type="dxa"/>
            <w:vAlign w:val="bottom"/>
            <w:shd w:val="clear" w:color="auto" w:fill="E7E7E8"/>
          </w:tcPr>
          <w:p>
            <w:pPr>
              <w:jc w:val="center"/>
              <w:spacing w:after="0"/>
              <w:rPr>
                <w:sz w:val="20"/>
                <w:szCs w:val="20"/>
                <w:color w:val="auto"/>
              </w:rPr>
            </w:pPr>
            <w:r>
              <w:rPr>
                <w:rFonts w:ascii="Wingdings" w:cs="Wingdings" w:eastAsia="Wingdings" w:hAnsi="Wingdings"/>
                <w:sz w:val="18"/>
                <w:szCs w:val="18"/>
                <w:b w:val="1"/>
                <w:bCs w:val="1"/>
                <w:color w:val="3E693D"/>
              </w:rPr>
              <w:t>ü</w:t>
            </w:r>
          </w:p>
        </w:tc>
      </w:tr>
      <w:tr>
        <w:trPr>
          <w:trHeight w:val="325"/>
        </w:trPr>
        <w:tc>
          <w:tcPr>
            <w:tcW w:w="2420" w:type="dxa"/>
            <w:vAlign w:val="bottom"/>
          </w:tcPr>
          <w:p>
            <w:pPr>
              <w:ind w:left="20"/>
              <w:spacing w:after="0"/>
              <w:rPr>
                <w:sz w:val="20"/>
                <w:szCs w:val="20"/>
                <w:color w:val="auto"/>
              </w:rPr>
            </w:pPr>
            <w:r>
              <w:rPr>
                <w:rFonts w:ascii="Arial" w:cs="Arial" w:eastAsia="Arial" w:hAnsi="Arial"/>
                <w:sz w:val="16"/>
                <w:szCs w:val="16"/>
                <w:color w:val="auto"/>
              </w:rPr>
              <w:t>Protection-based</w:t>
            </w:r>
            <w:r>
              <w:rPr>
                <w:rFonts w:ascii="Arial" w:cs="Arial" w:eastAsia="Arial" w:hAnsi="Arial"/>
                <w:sz w:val="21"/>
                <w:szCs w:val="21"/>
                <w:color w:val="auto"/>
                <w:vertAlign w:val="superscript"/>
              </w:rPr>
              <w:t>1</w:t>
            </w:r>
          </w:p>
        </w:tc>
        <w:tc>
          <w:tcPr>
            <w:tcW w:w="18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Wingdings" w:cs="Wingdings" w:eastAsia="Wingdings" w:hAnsi="Wingdings"/>
                <w:sz w:val="18"/>
                <w:szCs w:val="18"/>
                <w:b w:val="1"/>
                <w:bCs w:val="1"/>
                <w:color w:val="3E693D"/>
              </w:rPr>
              <w:t>ü</w:t>
            </w:r>
          </w:p>
        </w:tc>
      </w:tr>
    </w:tbl>
    <w:p>
      <w:pPr>
        <w:spacing w:after="0" w:line="129" w:lineRule="exact"/>
        <w:rPr>
          <w:sz w:val="20"/>
          <w:szCs w:val="20"/>
          <w:color w:val="auto"/>
        </w:rPr>
      </w:pPr>
    </w:p>
    <w:p>
      <w:pPr>
        <w:ind w:left="200" w:right="520" w:hanging="196"/>
        <w:spacing w:after="0" w:line="230" w:lineRule="auto"/>
        <w:tabs>
          <w:tab w:leader="none" w:pos="200" w:val="left"/>
        </w:tabs>
        <w:numPr>
          <w:ilvl w:val="0"/>
          <w:numId w:val="290"/>
        </w:numPr>
        <w:rPr>
          <w:rFonts w:ascii="Arial" w:cs="Arial" w:eastAsia="Arial" w:hAnsi="Arial"/>
          <w:sz w:val="16"/>
          <w:szCs w:val="16"/>
          <w:color w:val="auto"/>
          <w:vertAlign w:val="superscript"/>
        </w:rPr>
      </w:pPr>
      <w:r>
        <w:rPr>
          <w:rFonts w:ascii="Arial" w:cs="Arial" w:eastAsia="Arial" w:hAnsi="Arial"/>
          <w:sz w:val="13"/>
          <w:szCs w:val="13"/>
          <w:color w:val="auto"/>
        </w:rPr>
        <w:t>Certain risk-related and protection-based clawback provisions apply only to Operating Committee members and Designated Employees. See page 49 for more details on clawbacks.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266065</wp:posOffset>
            </wp:positionV>
            <wp:extent cx="27432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81  </w:t>
      </w:r>
      <w:r>
        <w:rPr>
          <w:sz w:val="1"/>
          <w:szCs w:val="1"/>
          <w:color w:val="auto"/>
        </w:rPr>
        <w:drawing>
          <wp:inline distT="0" distB="0" distL="0" distR="0">
            <wp:extent cx="2203450" cy="154305"/>
            <wp:effectExtent l="0" t="0" r="0"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APPROVAL OF AMENDED AND RESTATED LONG-TERM INCENTIVE PLAN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074A75"/>
        </w:rPr>
        <w:t>Key data about our grant practices</w:t>
      </w:r>
    </w:p>
    <w:p>
      <w:pPr>
        <w:spacing w:after="0" w:line="124"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We have historically demonstrated prudence in our use of shares for equity compensation, and have maintained both our annual share usage (“Burn Rate”) and potential dilution levels under the Long-Term Incentive Plan in recent years. Furthermore, the Firm has demonstrated the value to shareholders of a disciplined compensation approach with one of the lowest compensation expense ratios amongst our primary financial services peers. For a description of our primary financial services peers, please see “Evaluating Market Practices” on page 42 of this proxy statement.</w:t>
      </w:r>
    </w:p>
    <w:p>
      <w:pPr>
        <w:spacing w:after="0" w:line="229" w:lineRule="exact"/>
        <w:rPr>
          <w:sz w:val="20"/>
          <w:szCs w:val="20"/>
          <w:color w:val="auto"/>
        </w:rPr>
      </w:pPr>
    </w:p>
    <w:p>
      <w:pPr>
        <w:ind w:left="960"/>
        <w:spacing w:after="0"/>
        <w:tabs>
          <w:tab w:leader="none" w:pos="5720" w:val="left"/>
        </w:tabs>
        <w:rPr>
          <w:sz w:val="20"/>
          <w:szCs w:val="20"/>
          <w:color w:val="auto"/>
        </w:rPr>
      </w:pPr>
      <w:r>
        <w:rPr>
          <w:rFonts w:ascii="Arial" w:cs="Arial" w:eastAsia="Arial" w:hAnsi="Arial"/>
          <w:sz w:val="18"/>
          <w:szCs w:val="18"/>
          <w:b w:val="1"/>
          <w:bCs w:val="1"/>
          <w:color w:val="auto"/>
        </w:rPr>
        <w:t>Historical Burn Rate</w:t>
      </w:r>
      <w:r>
        <w:rPr>
          <w:rFonts w:ascii="Arial" w:cs="Arial" w:eastAsia="Arial" w:hAnsi="Arial"/>
          <w:sz w:val="23"/>
          <w:szCs w:val="23"/>
          <w:b w:val="1"/>
          <w:bCs w:val="1"/>
          <w:color w:val="auto"/>
          <w:vertAlign w:val="superscript"/>
        </w:rPr>
        <w:t>1</w:t>
      </w:r>
      <w:r>
        <w:rPr>
          <w:sz w:val="20"/>
          <w:szCs w:val="20"/>
          <w:color w:val="auto"/>
        </w:rPr>
        <w:tab/>
      </w:r>
      <w:r>
        <w:rPr>
          <w:rFonts w:ascii="Arial" w:cs="Arial" w:eastAsia="Arial" w:hAnsi="Arial"/>
          <w:sz w:val="17"/>
          <w:szCs w:val="17"/>
          <w:b w:val="1"/>
          <w:bCs w:val="1"/>
          <w:color w:val="auto"/>
        </w:rPr>
        <w:t>Historical Total Potential Dilution</w:t>
      </w:r>
      <w:r>
        <w:rPr>
          <w:rFonts w:ascii="Arial" w:cs="Arial" w:eastAsia="Arial" w:hAnsi="Arial"/>
          <w:sz w:val="22"/>
          <w:szCs w:val="22"/>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138430</wp:posOffset>
            </wp:positionV>
            <wp:extent cx="5674995" cy="13798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67499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hanging="192"/>
        <w:spacing w:after="0"/>
        <w:tabs>
          <w:tab w:leader="none" w:pos="200" w:val="left"/>
        </w:tabs>
        <w:numPr>
          <w:ilvl w:val="0"/>
          <w:numId w:val="291"/>
        </w:numPr>
        <w:rPr>
          <w:rFonts w:ascii="Arial" w:cs="Arial" w:eastAsia="Arial" w:hAnsi="Arial"/>
          <w:sz w:val="16"/>
          <w:szCs w:val="16"/>
          <w:color w:val="auto"/>
          <w:vertAlign w:val="superscript"/>
        </w:rPr>
      </w:pPr>
      <w:r>
        <w:rPr>
          <w:rFonts w:ascii="Arial" w:cs="Arial" w:eastAsia="Arial" w:hAnsi="Arial"/>
          <w:sz w:val="13"/>
          <w:szCs w:val="13"/>
          <w:color w:val="auto"/>
        </w:rPr>
        <w:t>Burn Rate reflects the number of shares (including RSUs, PSUs and SARs) granted to employees and directors in a calendar year divided by the weighted average diluted shares outstanding.</w:t>
      </w:r>
    </w:p>
    <w:p>
      <w:pPr>
        <w:jc w:val="both"/>
        <w:ind w:left="200" w:right="80" w:hanging="192"/>
        <w:spacing w:after="0" w:line="231" w:lineRule="auto"/>
        <w:tabs>
          <w:tab w:leader="none" w:pos="200" w:val="left"/>
        </w:tabs>
        <w:numPr>
          <w:ilvl w:val="0"/>
          <w:numId w:val="292"/>
        </w:numPr>
        <w:rPr>
          <w:rFonts w:ascii="Arial" w:cs="Arial" w:eastAsia="Arial" w:hAnsi="Arial"/>
          <w:sz w:val="16"/>
          <w:szCs w:val="16"/>
          <w:color w:val="auto"/>
          <w:vertAlign w:val="superscript"/>
        </w:rPr>
      </w:pPr>
      <w:r>
        <w:rPr>
          <w:rFonts w:ascii="Arial" w:cs="Arial" w:eastAsia="Arial" w:hAnsi="Arial"/>
          <w:sz w:val="13"/>
          <w:szCs w:val="13"/>
          <w:color w:val="auto"/>
        </w:rPr>
        <w:t>Total Potential Dilution reflects the number of employee and director shares outstanding (including RSUs, PSUs and SARs) plus the shares remaining under the applicable Long-Term Incentive Plan divided by the number of common shares outstanding at year end. Total Potential Dilution includes the cumulative impact of share repurchases since 2019 which, if excluded, would result in 4.0% in 2019, 3.5% in 2020, 4.0% in 2021, 3.6% in 2022, and 3.2% in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Compensation Expense Ratio</w:t>
      </w:r>
      <w:r>
        <w:rPr>
          <w:rFonts w:ascii="Arial" w:cs="Arial" w:eastAsia="Arial" w:hAnsi="Arial"/>
          <w:sz w:val="23"/>
          <w:szCs w:val="23"/>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52705</wp:posOffset>
            </wp:positionV>
            <wp:extent cx="5966460" cy="127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96646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hanging="192"/>
        <w:spacing w:after="0"/>
        <w:tabs>
          <w:tab w:leader="none" w:pos="200" w:val="left"/>
        </w:tabs>
        <w:numPr>
          <w:ilvl w:val="0"/>
          <w:numId w:val="293"/>
        </w:numPr>
        <w:rPr>
          <w:rFonts w:ascii="Arial" w:cs="Arial" w:eastAsia="Arial" w:hAnsi="Arial"/>
          <w:sz w:val="16"/>
          <w:szCs w:val="16"/>
          <w:color w:val="auto"/>
          <w:vertAlign w:val="superscript"/>
        </w:rPr>
      </w:pPr>
      <w:r>
        <w:rPr>
          <w:rFonts w:ascii="Arial" w:cs="Arial" w:eastAsia="Arial" w:hAnsi="Arial"/>
          <w:sz w:val="13"/>
          <w:szCs w:val="13"/>
          <w:color w:val="auto"/>
        </w:rPr>
        <w:t>Compensation Expense Ratio reflects Compensation &amp; Benefits expenses divided by total net revenue for each company. Source: Form 10-K filings.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103505</wp:posOffset>
            </wp:positionV>
            <wp:extent cx="2202815" cy="16459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202815" cy="1645920"/>
                    </a:xfrm>
                    <a:prstGeom prst="rect">
                      <a:avLst/>
                    </a:prstGeom>
                    <a:noFill/>
                  </pic:spPr>
                </pic:pic>
              </a:graphicData>
            </a:graphic>
          </wp:anchor>
        </w:drawing>
      </w:r>
    </w:p>
    <w:p>
      <w:pPr>
        <w:spacing w:after="0" w:line="151" w:lineRule="exact"/>
        <w:rPr>
          <w:sz w:val="20"/>
          <w:szCs w:val="20"/>
          <w:color w:val="auto"/>
        </w:rPr>
      </w:pPr>
    </w:p>
    <w:p>
      <w:pPr>
        <w:ind w:left="20" w:right="5860"/>
        <w:spacing w:after="0" w:line="256" w:lineRule="auto"/>
        <w:rPr>
          <w:sz w:val="20"/>
          <w:szCs w:val="20"/>
          <w:color w:val="auto"/>
        </w:rPr>
      </w:pPr>
      <w:r>
        <w:rPr>
          <w:rFonts w:ascii="Arial" w:cs="Arial" w:eastAsia="Arial" w:hAnsi="Arial"/>
          <w:sz w:val="18"/>
          <w:szCs w:val="18"/>
          <w:color w:val="auto"/>
        </w:rPr>
        <w:t>Since 2020, the Firm's headcount increased by nearly 55,000 employees, reflecting our continuous investments in areas such as our front office, operations and technology. The total number of shares authorized under the 2024 LTIP of 81 million shares continues to demonstrate the Firm's responsible use of equity while maintaining an important shareholder alignment feature of our compensation program.</w:t>
      </w:r>
    </w:p>
    <w:p>
      <w:pPr>
        <w:spacing w:after="0" w:line="75" w:lineRule="exact"/>
        <w:rPr>
          <w:sz w:val="20"/>
          <w:szCs w:val="20"/>
          <w:color w:val="auto"/>
        </w:rPr>
      </w:pPr>
    </w:p>
    <w:p>
      <w:pPr>
        <w:ind w:left="20" w:right="5900"/>
        <w:spacing w:after="0" w:line="274" w:lineRule="auto"/>
        <w:rPr>
          <w:sz w:val="20"/>
          <w:szCs w:val="20"/>
          <w:color w:val="auto"/>
        </w:rPr>
      </w:pPr>
      <w:r>
        <w:rPr>
          <w:rFonts w:ascii="Arial" w:cs="Arial" w:eastAsia="Arial" w:hAnsi="Arial"/>
          <w:sz w:val="18"/>
          <w:szCs w:val="18"/>
          <w:color w:val="auto"/>
        </w:rPr>
        <w:t>As illustrated by the chart to the right, the total authorized shares per employee decreased from approximately 333 shares under the 2021 LTIP to 261 shares under the 2024 LTIP</w:t>
      </w:r>
      <w:r>
        <w:rPr>
          <w:rFonts w:ascii="Arial" w:cs="Arial" w:eastAsia="Arial" w:hAnsi="Arial"/>
          <w:sz w:val="23"/>
          <w:szCs w:val="23"/>
          <w:b w:val="1"/>
          <w:bCs w:val="1"/>
          <w:color w:val="auto"/>
          <w:vertAlign w:val="superscript"/>
        </w:rPr>
        <w:t>4,5</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hanging="192"/>
        <w:spacing w:after="0"/>
        <w:tabs>
          <w:tab w:leader="none" w:pos="200" w:val="left"/>
        </w:tabs>
        <w:numPr>
          <w:ilvl w:val="0"/>
          <w:numId w:val="294"/>
        </w:numPr>
        <w:rPr>
          <w:rFonts w:ascii="Arial" w:cs="Arial" w:eastAsia="Arial" w:hAnsi="Arial"/>
          <w:sz w:val="16"/>
          <w:szCs w:val="16"/>
          <w:color w:val="auto"/>
          <w:vertAlign w:val="superscript"/>
        </w:rPr>
      </w:pPr>
      <w:r>
        <w:rPr>
          <w:rFonts w:ascii="Arial" w:cs="Arial" w:eastAsia="Arial" w:hAnsi="Arial"/>
          <w:sz w:val="13"/>
          <w:szCs w:val="13"/>
          <w:color w:val="auto"/>
        </w:rPr>
        <w:t>Employees as of December 31, 2020 and December 31, 2023, respectively.</w:t>
      </w:r>
    </w:p>
    <w:p>
      <w:pPr>
        <w:spacing w:after="0" w:line="2" w:lineRule="exact"/>
        <w:rPr>
          <w:sz w:val="20"/>
          <w:szCs w:val="20"/>
          <w:color w:val="auto"/>
        </w:rPr>
      </w:pPr>
    </w:p>
    <w:p>
      <w:pPr>
        <w:ind w:left="200" w:right="160" w:hanging="192"/>
        <w:spacing w:after="0" w:line="226" w:lineRule="auto"/>
        <w:tabs>
          <w:tab w:leader="none" w:pos="200" w:val="left"/>
        </w:tabs>
        <w:numPr>
          <w:ilvl w:val="0"/>
          <w:numId w:val="295"/>
        </w:numPr>
        <w:rPr>
          <w:rFonts w:ascii="Arial" w:cs="Arial" w:eastAsia="Arial" w:hAnsi="Arial"/>
          <w:sz w:val="16"/>
          <w:szCs w:val="16"/>
          <w:color w:val="auto"/>
          <w:vertAlign w:val="superscript"/>
        </w:rPr>
      </w:pPr>
      <w:r>
        <w:rPr>
          <w:rFonts w:ascii="Arial" w:cs="Arial" w:eastAsia="Arial" w:hAnsi="Arial"/>
          <w:sz w:val="13"/>
          <w:szCs w:val="13"/>
          <w:color w:val="auto"/>
        </w:rPr>
        <w:t>Reflect the total authorized shares of 85 million under the 2021 Plan divided by employees as of December 31, 2020, and the total authorized shares of 81 million as proposed under the 2024 Plan divided by employees as of December 31, 2023, respectively.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APPROVAL OF AMENDED AND RESTATED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exhibit below provides additional information regarding the number of RSUs, PSUs, and Options/SARs outstanding, as well as the number of shares available for grant under the 2021 Plan, as of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0</wp:posOffset>
            </wp:positionV>
            <wp:extent cx="51435" cy="5657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1435" cy="56578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0</wp:posOffset>
            </wp:positionV>
            <wp:extent cx="51435" cy="56578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1435" cy="56578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0</wp:posOffset>
            </wp:positionV>
            <wp:extent cx="51435" cy="56578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1435" cy="5657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7"/>
        </w:trPr>
        <w:tc>
          <w:tcPr>
            <w:tcW w:w="1620" w:type="dxa"/>
            <w:vAlign w:val="bottom"/>
            <w:tcBorders>
              <w:bottom w:val="single" w:sz="8" w:color="074A75"/>
            </w:tcBorders>
            <w:vMerge w:val="restart"/>
            <w:shd w:val="clear" w:color="auto" w:fill="074A75"/>
          </w:tcPr>
          <w:p>
            <w:pPr>
              <w:jc w:val="center"/>
              <w:spacing w:after="0"/>
              <w:rPr>
                <w:sz w:val="20"/>
                <w:szCs w:val="20"/>
                <w:color w:val="auto"/>
              </w:rPr>
            </w:pPr>
            <w:r>
              <w:rPr>
                <w:rFonts w:ascii="Arial" w:cs="Arial" w:eastAsia="Arial" w:hAnsi="Arial"/>
                <w:sz w:val="16"/>
                <w:szCs w:val="16"/>
                <w:color w:val="FFFFFF"/>
                <w:w w:val="99"/>
              </w:rPr>
              <w:t>Number of</w:t>
            </w:r>
          </w:p>
        </w:tc>
        <w:tc>
          <w:tcPr>
            <w:tcW w:w="2140" w:type="dxa"/>
            <w:vAlign w:val="bottom"/>
            <w:tcBorders>
              <w:bottom w:val="single" w:sz="8" w:color="074A75"/>
            </w:tcBorders>
            <w:shd w:val="clear" w:color="auto" w:fill="074A75"/>
          </w:tcPr>
          <w:p>
            <w:pPr>
              <w:spacing w:after="0"/>
              <w:rPr>
                <w:sz w:val="20"/>
                <w:szCs w:val="20"/>
                <w:color w:val="auto"/>
              </w:rPr>
            </w:pPr>
          </w:p>
        </w:tc>
        <w:tc>
          <w:tcPr>
            <w:tcW w:w="2040" w:type="dxa"/>
            <w:vAlign w:val="bottom"/>
            <w:tcBorders>
              <w:bottom w:val="single" w:sz="8" w:color="074A75"/>
            </w:tcBorders>
            <w:shd w:val="clear" w:color="auto" w:fill="074A75"/>
          </w:tcPr>
          <w:p>
            <w:pPr>
              <w:jc w:val="center"/>
              <w:spacing w:after="0"/>
              <w:rPr>
                <w:sz w:val="20"/>
                <w:szCs w:val="20"/>
                <w:color w:val="auto"/>
              </w:rPr>
            </w:pPr>
            <w:r>
              <w:rPr>
                <w:rFonts w:ascii="Arial" w:cs="Arial" w:eastAsia="Arial" w:hAnsi="Arial"/>
                <w:sz w:val="16"/>
                <w:szCs w:val="16"/>
                <w:color w:val="FFFFFF"/>
              </w:rPr>
              <w:t>Options/SARs</w:t>
            </w:r>
          </w:p>
        </w:tc>
        <w:tc>
          <w:tcPr>
            <w:tcW w:w="2200" w:type="dxa"/>
            <w:vAlign w:val="bottom"/>
            <w:tcBorders>
              <w:bottom w:val="single" w:sz="8" w:color="074A75"/>
            </w:tcBorders>
            <w:shd w:val="clear" w:color="auto" w:fill="074A75"/>
          </w:tcPr>
          <w:p>
            <w:pPr>
              <w:spacing w:after="0"/>
              <w:rPr>
                <w:sz w:val="20"/>
                <w:szCs w:val="20"/>
                <w:color w:val="auto"/>
              </w:rPr>
            </w:pPr>
          </w:p>
        </w:tc>
        <w:tc>
          <w:tcPr>
            <w:tcW w:w="460" w:type="dxa"/>
            <w:vAlign w:val="bottom"/>
            <w:tcBorders>
              <w:bottom w:val="single" w:sz="8" w:color="074A75"/>
            </w:tcBorders>
            <w:shd w:val="clear" w:color="auto" w:fill="074A75"/>
          </w:tcPr>
          <w:p>
            <w:pPr>
              <w:spacing w:after="0"/>
              <w:rPr>
                <w:sz w:val="20"/>
                <w:szCs w:val="20"/>
                <w:color w:val="auto"/>
              </w:rPr>
            </w:pPr>
          </w:p>
        </w:tc>
        <w:tc>
          <w:tcPr>
            <w:tcW w:w="60" w:type="dxa"/>
            <w:vAlign w:val="bottom"/>
            <w:tcBorders>
              <w:bottom w:val="single" w:sz="8" w:color="074A75"/>
            </w:tcBorders>
            <w:shd w:val="clear" w:color="auto" w:fill="074A75"/>
          </w:tcPr>
          <w:p>
            <w:pPr>
              <w:spacing w:after="0"/>
              <w:rPr>
                <w:sz w:val="20"/>
                <w:szCs w:val="20"/>
                <w:color w:val="auto"/>
              </w:rPr>
            </w:pPr>
          </w:p>
        </w:tc>
        <w:tc>
          <w:tcPr>
            <w:tcW w:w="40" w:type="dxa"/>
            <w:vAlign w:val="bottom"/>
            <w:tcBorders>
              <w:bottom w:val="single" w:sz="8" w:color="074A75"/>
            </w:tcBorders>
            <w:shd w:val="clear" w:color="auto" w:fill="074A75"/>
          </w:tcPr>
          <w:p>
            <w:pPr>
              <w:spacing w:after="0"/>
              <w:rPr>
                <w:sz w:val="20"/>
                <w:szCs w:val="20"/>
                <w:color w:val="auto"/>
              </w:rPr>
            </w:pPr>
          </w:p>
        </w:tc>
        <w:tc>
          <w:tcPr>
            <w:tcW w:w="500" w:type="dxa"/>
            <w:vAlign w:val="bottom"/>
            <w:tcBorders>
              <w:bottom w:val="single" w:sz="8" w:color="074A75"/>
            </w:tcBorders>
            <w:gridSpan w:val="2"/>
            <w:vMerge w:val="restart"/>
            <w:shd w:val="clear" w:color="auto" w:fill="074A75"/>
          </w:tcPr>
          <w:p>
            <w:pPr>
              <w:jc w:val="center"/>
              <w:spacing w:after="0"/>
              <w:rPr>
                <w:sz w:val="20"/>
                <w:szCs w:val="20"/>
                <w:color w:val="auto"/>
              </w:rPr>
            </w:pPr>
            <w:r>
              <w:rPr>
                <w:rFonts w:ascii="Arial" w:cs="Arial" w:eastAsia="Arial" w:hAnsi="Arial"/>
                <w:sz w:val="16"/>
                <w:szCs w:val="16"/>
                <w:color w:val="FFFFFF"/>
                <w:w w:val="98"/>
                <w:shd w:val="clear" w:color="auto" w:fill="074A75"/>
              </w:rPr>
              <w:t>Shares</w:t>
            </w:r>
          </w:p>
        </w:tc>
        <w:tc>
          <w:tcPr>
            <w:tcW w:w="100" w:type="dxa"/>
            <w:vAlign w:val="bottom"/>
            <w:tcBorders>
              <w:bottom w:val="single" w:sz="8" w:color="074A75"/>
            </w:tcBorders>
            <w:shd w:val="clear" w:color="auto" w:fill="074A75"/>
          </w:tcPr>
          <w:p>
            <w:pPr>
              <w:spacing w:after="0"/>
              <w:rPr>
                <w:sz w:val="20"/>
                <w:szCs w:val="20"/>
                <w:color w:val="auto"/>
              </w:rPr>
            </w:pPr>
          </w:p>
        </w:tc>
        <w:tc>
          <w:tcPr>
            <w:tcW w:w="360" w:type="dxa"/>
            <w:vAlign w:val="bottom"/>
            <w:tcBorders>
              <w:bottom w:val="single" w:sz="8" w:color="074A75"/>
            </w:tcBorders>
            <w:shd w:val="clear" w:color="auto" w:fill="074A75"/>
          </w:tcPr>
          <w:p>
            <w:pPr>
              <w:spacing w:after="0"/>
              <w:rPr>
                <w:sz w:val="20"/>
                <w:szCs w:val="20"/>
                <w:color w:val="auto"/>
              </w:rPr>
            </w:pPr>
          </w:p>
        </w:tc>
        <w:tc>
          <w:tcPr>
            <w:tcW w:w="1720" w:type="dxa"/>
            <w:vAlign w:val="bottom"/>
            <w:tcBorders>
              <w:bottom w:val="single" w:sz="8" w:color="074A75"/>
            </w:tcBorders>
            <w:vMerge w:val="restart"/>
            <w:shd w:val="clear" w:color="auto" w:fill="074A75"/>
          </w:tcPr>
          <w:p>
            <w:pPr>
              <w:jc w:val="center"/>
              <w:ind w:left="59"/>
              <w:spacing w:after="0"/>
              <w:rPr>
                <w:sz w:val="20"/>
                <w:szCs w:val="20"/>
                <w:color w:val="auto"/>
              </w:rPr>
            </w:pPr>
            <w:r>
              <w:rPr>
                <w:rFonts w:ascii="Arial" w:cs="Arial" w:eastAsia="Arial" w:hAnsi="Arial"/>
                <w:sz w:val="16"/>
                <w:szCs w:val="16"/>
                <w:color w:val="FFFFFF"/>
              </w:rPr>
              <w:t>Common Shares</w:t>
            </w:r>
          </w:p>
        </w:tc>
        <w:tc>
          <w:tcPr>
            <w:tcW w:w="0" w:type="dxa"/>
            <w:vAlign w:val="bottom"/>
          </w:tcPr>
          <w:p>
            <w:pPr>
              <w:spacing w:after="0"/>
              <w:rPr>
                <w:sz w:val="1"/>
                <w:szCs w:val="1"/>
                <w:color w:val="auto"/>
              </w:rPr>
            </w:pPr>
          </w:p>
        </w:tc>
      </w:tr>
      <w:tr>
        <w:trPr>
          <w:trHeight w:val="81"/>
        </w:trPr>
        <w:tc>
          <w:tcPr>
            <w:tcW w:w="1620" w:type="dxa"/>
            <w:vAlign w:val="bottom"/>
            <w:vMerge w:val="continue"/>
            <w:shd w:val="clear" w:color="auto" w:fill="074A75"/>
          </w:tcPr>
          <w:p>
            <w:pPr>
              <w:spacing w:after="0"/>
              <w:rPr>
                <w:sz w:val="7"/>
                <w:szCs w:val="7"/>
                <w:color w:val="auto"/>
              </w:rPr>
            </w:pPr>
          </w:p>
        </w:tc>
        <w:tc>
          <w:tcPr>
            <w:tcW w:w="2140" w:type="dxa"/>
            <w:vAlign w:val="bottom"/>
            <w:shd w:val="clear" w:color="auto" w:fill="EEEFEF"/>
          </w:tcPr>
          <w:p>
            <w:pPr>
              <w:spacing w:after="0"/>
              <w:rPr>
                <w:sz w:val="7"/>
                <w:szCs w:val="7"/>
                <w:color w:val="auto"/>
              </w:rPr>
            </w:pPr>
          </w:p>
        </w:tc>
        <w:tc>
          <w:tcPr>
            <w:tcW w:w="2040" w:type="dxa"/>
            <w:vAlign w:val="bottom"/>
            <w:shd w:val="clear" w:color="auto" w:fill="EEEFEF"/>
          </w:tcPr>
          <w:p>
            <w:pPr>
              <w:spacing w:after="0"/>
              <w:rPr>
                <w:sz w:val="7"/>
                <w:szCs w:val="7"/>
                <w:color w:val="auto"/>
              </w:rPr>
            </w:pPr>
          </w:p>
        </w:tc>
        <w:tc>
          <w:tcPr>
            <w:tcW w:w="2200" w:type="dxa"/>
            <w:vAlign w:val="bottom"/>
            <w:vMerge w:val="restart"/>
            <w:shd w:val="clear" w:color="auto" w:fill="EEEFEF"/>
          </w:tcPr>
          <w:p>
            <w:pPr>
              <w:jc w:val="center"/>
              <w:spacing w:after="0" w:line="175" w:lineRule="exact"/>
              <w:rPr>
                <w:sz w:val="20"/>
                <w:szCs w:val="20"/>
                <w:color w:val="auto"/>
              </w:rPr>
            </w:pPr>
            <w:r>
              <w:rPr>
                <w:rFonts w:ascii="Arial" w:cs="Arial" w:eastAsia="Arial" w:hAnsi="Arial"/>
                <w:sz w:val="16"/>
                <w:szCs w:val="16"/>
                <w:color w:val="auto"/>
              </w:rPr>
              <w:t>Weighted-average</w:t>
            </w:r>
          </w:p>
        </w:tc>
        <w:tc>
          <w:tcPr>
            <w:tcW w:w="460" w:type="dxa"/>
            <w:vAlign w:val="bottom"/>
            <w:shd w:val="clear" w:color="auto" w:fill="074A75"/>
          </w:tcPr>
          <w:p>
            <w:pPr>
              <w:spacing w:after="0"/>
              <w:rPr>
                <w:sz w:val="7"/>
                <w:szCs w:val="7"/>
                <w:color w:val="auto"/>
              </w:rPr>
            </w:pPr>
          </w:p>
        </w:tc>
        <w:tc>
          <w:tcPr>
            <w:tcW w:w="60" w:type="dxa"/>
            <w:vAlign w:val="bottom"/>
            <w:shd w:val="clear" w:color="auto" w:fill="074A75"/>
          </w:tcPr>
          <w:p>
            <w:pPr>
              <w:spacing w:after="0"/>
              <w:rPr>
                <w:sz w:val="7"/>
                <w:szCs w:val="7"/>
                <w:color w:val="auto"/>
              </w:rPr>
            </w:pPr>
          </w:p>
        </w:tc>
        <w:tc>
          <w:tcPr>
            <w:tcW w:w="40" w:type="dxa"/>
            <w:vAlign w:val="bottom"/>
            <w:shd w:val="clear" w:color="auto" w:fill="074A75"/>
          </w:tcPr>
          <w:p>
            <w:pPr>
              <w:spacing w:after="0"/>
              <w:rPr>
                <w:sz w:val="7"/>
                <w:szCs w:val="7"/>
                <w:color w:val="auto"/>
              </w:rPr>
            </w:pPr>
          </w:p>
        </w:tc>
        <w:tc>
          <w:tcPr>
            <w:tcW w:w="500" w:type="dxa"/>
            <w:vAlign w:val="bottom"/>
            <w:gridSpan w:val="2"/>
            <w:vMerge w:val="continue"/>
            <w:shd w:val="clear" w:color="auto" w:fill="074A75"/>
          </w:tcPr>
          <w:p>
            <w:pPr>
              <w:spacing w:after="0"/>
              <w:rPr>
                <w:sz w:val="7"/>
                <w:szCs w:val="7"/>
                <w:color w:val="auto"/>
              </w:rPr>
            </w:pPr>
          </w:p>
        </w:tc>
        <w:tc>
          <w:tcPr>
            <w:tcW w:w="100" w:type="dxa"/>
            <w:vAlign w:val="bottom"/>
            <w:shd w:val="clear" w:color="auto" w:fill="074A75"/>
          </w:tcPr>
          <w:p>
            <w:pPr>
              <w:spacing w:after="0"/>
              <w:rPr>
                <w:sz w:val="7"/>
                <w:szCs w:val="7"/>
                <w:color w:val="auto"/>
              </w:rPr>
            </w:pPr>
          </w:p>
        </w:tc>
        <w:tc>
          <w:tcPr>
            <w:tcW w:w="360" w:type="dxa"/>
            <w:vAlign w:val="bottom"/>
            <w:shd w:val="clear" w:color="auto" w:fill="074A75"/>
          </w:tcPr>
          <w:p>
            <w:pPr>
              <w:spacing w:after="0"/>
              <w:rPr>
                <w:sz w:val="7"/>
                <w:szCs w:val="7"/>
                <w:color w:val="auto"/>
              </w:rPr>
            </w:pPr>
          </w:p>
        </w:tc>
        <w:tc>
          <w:tcPr>
            <w:tcW w:w="1720" w:type="dxa"/>
            <w:vAlign w:val="bottom"/>
            <w:vMerge w:val="continue"/>
            <w:shd w:val="clear" w:color="auto" w:fill="074A75"/>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620" w:type="dxa"/>
            <w:vAlign w:val="bottom"/>
            <w:vMerge w:val="restart"/>
            <w:shd w:val="clear" w:color="auto" w:fill="074A75"/>
          </w:tcPr>
          <w:p>
            <w:pPr>
              <w:jc w:val="center"/>
              <w:spacing w:after="0"/>
              <w:rPr>
                <w:sz w:val="20"/>
                <w:szCs w:val="20"/>
                <w:color w:val="auto"/>
              </w:rPr>
            </w:pPr>
            <w:r>
              <w:rPr>
                <w:rFonts w:ascii="Arial" w:cs="Arial" w:eastAsia="Arial" w:hAnsi="Arial"/>
                <w:sz w:val="16"/>
                <w:szCs w:val="16"/>
                <w:color w:val="FFFFFF"/>
                <w:w w:val="99"/>
              </w:rPr>
              <w:t>RSUs and PSUs</w:t>
            </w:r>
          </w:p>
        </w:tc>
        <w:tc>
          <w:tcPr>
            <w:tcW w:w="2140" w:type="dxa"/>
            <w:vAlign w:val="bottom"/>
            <w:vMerge w:val="restart"/>
            <w:shd w:val="clear" w:color="auto" w:fill="EEEFEF"/>
          </w:tcPr>
          <w:p>
            <w:pPr>
              <w:jc w:val="center"/>
              <w:spacing w:after="0"/>
              <w:rPr>
                <w:sz w:val="20"/>
                <w:szCs w:val="20"/>
                <w:color w:val="auto"/>
              </w:rPr>
            </w:pPr>
            <w:r>
              <w:rPr>
                <w:rFonts w:ascii="Arial" w:cs="Arial" w:eastAsia="Arial" w:hAnsi="Arial"/>
                <w:sz w:val="16"/>
                <w:szCs w:val="16"/>
                <w:color w:val="auto"/>
              </w:rPr>
              <w:t>Number of Awards</w:t>
            </w:r>
          </w:p>
        </w:tc>
        <w:tc>
          <w:tcPr>
            <w:tcW w:w="2040" w:type="dxa"/>
            <w:vAlign w:val="bottom"/>
            <w:vMerge w:val="restart"/>
            <w:shd w:val="clear" w:color="auto" w:fill="EEEFEF"/>
          </w:tcPr>
          <w:p>
            <w:pPr>
              <w:jc w:val="center"/>
              <w:spacing w:after="0"/>
              <w:rPr>
                <w:sz w:val="20"/>
                <w:szCs w:val="20"/>
                <w:color w:val="auto"/>
              </w:rPr>
            </w:pPr>
            <w:r>
              <w:rPr>
                <w:rFonts w:ascii="Arial" w:cs="Arial" w:eastAsia="Arial" w:hAnsi="Arial"/>
                <w:sz w:val="16"/>
                <w:szCs w:val="16"/>
                <w:color w:val="auto"/>
              </w:rPr>
              <w:t>Weighted-average</w:t>
            </w:r>
          </w:p>
        </w:tc>
        <w:tc>
          <w:tcPr>
            <w:tcW w:w="2200" w:type="dxa"/>
            <w:vAlign w:val="bottom"/>
            <w:vMerge w:val="continue"/>
            <w:shd w:val="clear" w:color="auto" w:fill="EEEFEF"/>
          </w:tcPr>
          <w:p>
            <w:pPr>
              <w:spacing w:after="0"/>
              <w:rPr>
                <w:sz w:val="8"/>
                <w:szCs w:val="8"/>
                <w:color w:val="auto"/>
              </w:rPr>
            </w:pPr>
          </w:p>
        </w:tc>
        <w:tc>
          <w:tcPr>
            <w:tcW w:w="460" w:type="dxa"/>
            <w:vAlign w:val="bottom"/>
            <w:shd w:val="clear" w:color="auto" w:fill="074A75"/>
          </w:tcPr>
          <w:p>
            <w:pPr>
              <w:spacing w:after="0"/>
              <w:rPr>
                <w:sz w:val="8"/>
                <w:szCs w:val="8"/>
                <w:color w:val="auto"/>
              </w:rPr>
            </w:pPr>
          </w:p>
        </w:tc>
        <w:tc>
          <w:tcPr>
            <w:tcW w:w="700" w:type="dxa"/>
            <w:vAlign w:val="bottom"/>
            <w:gridSpan w:val="5"/>
            <w:vMerge w:val="restart"/>
            <w:shd w:val="clear" w:color="auto" w:fill="074A75"/>
          </w:tcPr>
          <w:p>
            <w:pPr>
              <w:jc w:val="center"/>
              <w:spacing w:after="0"/>
              <w:rPr>
                <w:sz w:val="20"/>
                <w:szCs w:val="20"/>
                <w:color w:val="auto"/>
              </w:rPr>
            </w:pPr>
            <w:r>
              <w:rPr>
                <w:rFonts w:ascii="Arial" w:cs="Arial" w:eastAsia="Arial" w:hAnsi="Arial"/>
                <w:sz w:val="16"/>
                <w:szCs w:val="16"/>
                <w:color w:val="FFFFFF"/>
                <w:w w:val="99"/>
                <w:shd w:val="clear" w:color="auto" w:fill="074A75"/>
              </w:rPr>
              <w:t>remaining</w:t>
            </w:r>
          </w:p>
        </w:tc>
        <w:tc>
          <w:tcPr>
            <w:tcW w:w="360" w:type="dxa"/>
            <w:vAlign w:val="bottom"/>
            <w:shd w:val="clear" w:color="auto" w:fill="074A75"/>
          </w:tcPr>
          <w:p>
            <w:pPr>
              <w:spacing w:after="0"/>
              <w:rPr>
                <w:sz w:val="8"/>
                <w:szCs w:val="8"/>
                <w:color w:val="auto"/>
              </w:rPr>
            </w:pPr>
          </w:p>
        </w:tc>
        <w:tc>
          <w:tcPr>
            <w:tcW w:w="1720" w:type="dxa"/>
            <w:vAlign w:val="bottom"/>
            <w:vMerge w:val="continue"/>
            <w:shd w:val="clear" w:color="auto" w:fill="074A75"/>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620" w:type="dxa"/>
            <w:vAlign w:val="bottom"/>
            <w:vMerge w:val="continue"/>
            <w:shd w:val="clear" w:color="auto" w:fill="074A75"/>
          </w:tcPr>
          <w:p>
            <w:pPr>
              <w:spacing w:after="0"/>
              <w:rPr>
                <w:sz w:val="8"/>
                <w:szCs w:val="8"/>
                <w:color w:val="auto"/>
              </w:rPr>
            </w:pPr>
          </w:p>
        </w:tc>
        <w:tc>
          <w:tcPr>
            <w:tcW w:w="2140" w:type="dxa"/>
            <w:vAlign w:val="bottom"/>
            <w:vMerge w:val="continue"/>
            <w:shd w:val="clear" w:color="auto" w:fill="EEEFEF"/>
          </w:tcPr>
          <w:p>
            <w:pPr>
              <w:spacing w:after="0"/>
              <w:rPr>
                <w:sz w:val="8"/>
                <w:szCs w:val="8"/>
                <w:color w:val="auto"/>
              </w:rPr>
            </w:pPr>
          </w:p>
        </w:tc>
        <w:tc>
          <w:tcPr>
            <w:tcW w:w="2040" w:type="dxa"/>
            <w:vAlign w:val="bottom"/>
            <w:vMerge w:val="continue"/>
            <w:shd w:val="clear" w:color="auto" w:fill="EEEFEF"/>
          </w:tcPr>
          <w:p>
            <w:pPr>
              <w:spacing w:after="0"/>
              <w:rPr>
                <w:sz w:val="8"/>
                <w:szCs w:val="8"/>
                <w:color w:val="auto"/>
              </w:rPr>
            </w:pPr>
          </w:p>
        </w:tc>
        <w:tc>
          <w:tcPr>
            <w:tcW w:w="2200" w:type="dxa"/>
            <w:vAlign w:val="bottom"/>
            <w:vMerge w:val="restart"/>
            <w:shd w:val="clear" w:color="auto" w:fill="EEEFEF"/>
          </w:tcPr>
          <w:p>
            <w:pPr>
              <w:jc w:val="center"/>
              <w:spacing w:after="0"/>
              <w:rPr>
                <w:sz w:val="20"/>
                <w:szCs w:val="20"/>
                <w:color w:val="auto"/>
              </w:rPr>
            </w:pPr>
            <w:r>
              <w:rPr>
                <w:rFonts w:ascii="Arial" w:cs="Arial" w:eastAsia="Arial" w:hAnsi="Arial"/>
                <w:sz w:val="16"/>
                <w:szCs w:val="16"/>
                <w:color w:val="auto"/>
              </w:rPr>
              <w:t>remaining contractual</w:t>
            </w:r>
          </w:p>
        </w:tc>
        <w:tc>
          <w:tcPr>
            <w:tcW w:w="460" w:type="dxa"/>
            <w:vAlign w:val="bottom"/>
            <w:shd w:val="clear" w:color="auto" w:fill="074A75"/>
          </w:tcPr>
          <w:p>
            <w:pPr>
              <w:spacing w:after="0"/>
              <w:rPr>
                <w:sz w:val="8"/>
                <w:szCs w:val="8"/>
                <w:color w:val="auto"/>
              </w:rPr>
            </w:pPr>
          </w:p>
        </w:tc>
        <w:tc>
          <w:tcPr>
            <w:tcW w:w="700" w:type="dxa"/>
            <w:vAlign w:val="bottom"/>
            <w:gridSpan w:val="5"/>
            <w:vMerge w:val="continue"/>
            <w:shd w:val="clear" w:color="auto" w:fill="074A75"/>
          </w:tcPr>
          <w:p>
            <w:pPr>
              <w:spacing w:after="0"/>
              <w:rPr>
                <w:sz w:val="8"/>
                <w:szCs w:val="8"/>
                <w:color w:val="auto"/>
              </w:rPr>
            </w:pPr>
          </w:p>
        </w:tc>
        <w:tc>
          <w:tcPr>
            <w:tcW w:w="360" w:type="dxa"/>
            <w:vAlign w:val="bottom"/>
            <w:shd w:val="clear" w:color="auto" w:fill="074A75"/>
          </w:tcPr>
          <w:p>
            <w:pPr>
              <w:spacing w:after="0"/>
              <w:rPr>
                <w:sz w:val="8"/>
                <w:szCs w:val="8"/>
                <w:color w:val="auto"/>
              </w:rPr>
            </w:pPr>
          </w:p>
        </w:tc>
        <w:tc>
          <w:tcPr>
            <w:tcW w:w="1720" w:type="dxa"/>
            <w:vAlign w:val="bottom"/>
            <w:vMerge w:val="restart"/>
            <w:shd w:val="clear" w:color="auto" w:fill="074A75"/>
          </w:tcPr>
          <w:p>
            <w:pPr>
              <w:jc w:val="center"/>
              <w:ind w:left="59"/>
              <w:spacing w:after="0"/>
              <w:rPr>
                <w:sz w:val="20"/>
                <w:szCs w:val="20"/>
                <w:color w:val="auto"/>
              </w:rPr>
            </w:pPr>
            <w:r>
              <w:rPr>
                <w:rFonts w:ascii="Arial" w:cs="Arial" w:eastAsia="Arial" w:hAnsi="Arial"/>
                <w:sz w:val="16"/>
                <w:szCs w:val="16"/>
                <w:color w:val="FFFFFF"/>
                <w:w w:val="99"/>
              </w:rPr>
              <w:t>Outstanding</w:t>
            </w:r>
          </w:p>
        </w:tc>
        <w:tc>
          <w:tcPr>
            <w:tcW w:w="0" w:type="dxa"/>
            <w:vAlign w:val="bottom"/>
          </w:tcPr>
          <w:p>
            <w:pPr>
              <w:spacing w:after="0"/>
              <w:rPr>
                <w:sz w:val="1"/>
                <w:szCs w:val="1"/>
                <w:color w:val="auto"/>
              </w:rPr>
            </w:pPr>
          </w:p>
        </w:tc>
      </w:tr>
      <w:tr>
        <w:trPr>
          <w:trHeight w:val="120"/>
        </w:trPr>
        <w:tc>
          <w:tcPr>
            <w:tcW w:w="1620" w:type="dxa"/>
            <w:vAlign w:val="bottom"/>
            <w:vMerge w:val="restart"/>
            <w:shd w:val="clear" w:color="auto" w:fill="074A75"/>
          </w:tcPr>
          <w:p>
            <w:pPr>
              <w:jc w:val="center"/>
              <w:spacing w:after="0"/>
              <w:rPr>
                <w:sz w:val="20"/>
                <w:szCs w:val="20"/>
                <w:color w:val="auto"/>
              </w:rPr>
            </w:pPr>
            <w:r>
              <w:rPr>
                <w:rFonts w:ascii="Arial" w:cs="Arial" w:eastAsia="Arial" w:hAnsi="Arial"/>
                <w:sz w:val="16"/>
                <w:szCs w:val="16"/>
                <w:color w:val="FFFFFF"/>
                <w:w w:val="99"/>
              </w:rPr>
              <w:t>Outstanding</w:t>
            </w:r>
          </w:p>
        </w:tc>
        <w:tc>
          <w:tcPr>
            <w:tcW w:w="2140" w:type="dxa"/>
            <w:vAlign w:val="bottom"/>
            <w:vMerge w:val="restart"/>
            <w:shd w:val="clear" w:color="auto" w:fill="EEEFEF"/>
          </w:tcPr>
          <w:p>
            <w:pPr>
              <w:jc w:val="center"/>
              <w:spacing w:after="0"/>
              <w:rPr>
                <w:sz w:val="20"/>
                <w:szCs w:val="20"/>
                <w:color w:val="auto"/>
              </w:rPr>
            </w:pPr>
            <w:r>
              <w:rPr>
                <w:rFonts w:ascii="Arial" w:cs="Arial" w:eastAsia="Arial" w:hAnsi="Arial"/>
                <w:sz w:val="16"/>
                <w:szCs w:val="16"/>
                <w:color w:val="auto"/>
              </w:rPr>
              <w:t>Outstanding</w:t>
            </w:r>
          </w:p>
        </w:tc>
        <w:tc>
          <w:tcPr>
            <w:tcW w:w="2040" w:type="dxa"/>
            <w:vAlign w:val="bottom"/>
            <w:vMerge w:val="restart"/>
            <w:shd w:val="clear" w:color="auto" w:fill="EEEFEF"/>
          </w:tcPr>
          <w:p>
            <w:pPr>
              <w:jc w:val="center"/>
              <w:spacing w:after="0"/>
              <w:rPr>
                <w:sz w:val="20"/>
                <w:szCs w:val="20"/>
                <w:color w:val="auto"/>
              </w:rPr>
            </w:pPr>
            <w:r>
              <w:rPr>
                <w:rFonts w:ascii="Arial" w:cs="Arial" w:eastAsia="Arial" w:hAnsi="Arial"/>
                <w:sz w:val="16"/>
                <w:szCs w:val="16"/>
                <w:color w:val="auto"/>
              </w:rPr>
              <w:t>exercise price</w:t>
            </w:r>
          </w:p>
        </w:tc>
        <w:tc>
          <w:tcPr>
            <w:tcW w:w="2200" w:type="dxa"/>
            <w:vAlign w:val="bottom"/>
            <w:vMerge w:val="continue"/>
            <w:shd w:val="clear" w:color="auto" w:fill="EEEFEF"/>
          </w:tcPr>
          <w:p>
            <w:pPr>
              <w:spacing w:after="0"/>
              <w:rPr>
                <w:sz w:val="10"/>
                <w:szCs w:val="10"/>
                <w:color w:val="auto"/>
              </w:rPr>
            </w:pPr>
          </w:p>
        </w:tc>
        <w:tc>
          <w:tcPr>
            <w:tcW w:w="460" w:type="dxa"/>
            <w:vAlign w:val="bottom"/>
            <w:shd w:val="clear" w:color="auto" w:fill="074A75"/>
          </w:tcPr>
          <w:p>
            <w:pPr>
              <w:spacing w:after="0"/>
              <w:rPr>
                <w:sz w:val="10"/>
                <w:szCs w:val="10"/>
                <w:color w:val="auto"/>
              </w:rPr>
            </w:pPr>
          </w:p>
        </w:tc>
        <w:tc>
          <w:tcPr>
            <w:tcW w:w="60" w:type="dxa"/>
            <w:vAlign w:val="bottom"/>
            <w:shd w:val="clear" w:color="auto" w:fill="074A75"/>
          </w:tcPr>
          <w:p>
            <w:pPr>
              <w:spacing w:after="0"/>
              <w:rPr>
                <w:sz w:val="10"/>
                <w:szCs w:val="10"/>
                <w:color w:val="auto"/>
              </w:rPr>
            </w:pPr>
          </w:p>
        </w:tc>
        <w:tc>
          <w:tcPr>
            <w:tcW w:w="500" w:type="dxa"/>
            <w:vAlign w:val="bottom"/>
            <w:gridSpan w:val="2"/>
            <w:vMerge w:val="restart"/>
            <w:shd w:val="clear" w:color="auto" w:fill="074A75"/>
          </w:tcPr>
          <w:p>
            <w:pPr>
              <w:ind w:left="20"/>
              <w:spacing w:after="0"/>
              <w:rPr>
                <w:sz w:val="20"/>
                <w:szCs w:val="20"/>
                <w:color w:val="auto"/>
              </w:rPr>
            </w:pPr>
            <w:r>
              <w:rPr>
                <w:rFonts w:ascii="Arial" w:cs="Arial" w:eastAsia="Arial" w:hAnsi="Arial"/>
                <w:sz w:val="16"/>
                <w:szCs w:val="16"/>
                <w:color w:val="FFFFFF"/>
                <w:w w:val="93"/>
                <w:shd w:val="clear" w:color="auto" w:fill="074A75"/>
              </w:rPr>
              <w:t>in Plan</w:t>
            </w:r>
          </w:p>
        </w:tc>
        <w:tc>
          <w:tcPr>
            <w:tcW w:w="500" w:type="dxa"/>
            <w:vAlign w:val="bottom"/>
            <w:gridSpan w:val="3"/>
            <w:vMerge w:val="restart"/>
            <w:shd w:val="clear" w:color="auto" w:fill="074A75"/>
          </w:tcPr>
          <w:p>
            <w:pPr>
              <w:jc w:val="right"/>
              <w:ind w:right="440"/>
              <w:spacing w:after="0"/>
              <w:rPr>
                <w:sz w:val="20"/>
                <w:szCs w:val="20"/>
                <w:color w:val="auto"/>
              </w:rPr>
            </w:pPr>
            <w:r>
              <w:rPr>
                <w:rFonts w:ascii="Arial" w:cs="Arial" w:eastAsia="Arial" w:hAnsi="Arial"/>
                <w:sz w:val="9"/>
                <w:szCs w:val="9"/>
                <w:color w:val="FFFFFF"/>
                <w:w w:val="78"/>
              </w:rPr>
              <w:t>1</w:t>
            </w:r>
          </w:p>
        </w:tc>
        <w:tc>
          <w:tcPr>
            <w:tcW w:w="1720" w:type="dxa"/>
            <w:vAlign w:val="bottom"/>
            <w:vMerge w:val="continue"/>
            <w:shd w:val="clear" w:color="auto" w:fill="074A75"/>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620" w:type="dxa"/>
            <w:vAlign w:val="bottom"/>
            <w:vMerge w:val="continue"/>
            <w:shd w:val="clear" w:color="auto" w:fill="074A75"/>
          </w:tcPr>
          <w:p>
            <w:pPr>
              <w:spacing w:after="0"/>
              <w:rPr>
                <w:sz w:val="5"/>
                <w:szCs w:val="5"/>
                <w:color w:val="auto"/>
              </w:rPr>
            </w:pPr>
          </w:p>
        </w:tc>
        <w:tc>
          <w:tcPr>
            <w:tcW w:w="2140" w:type="dxa"/>
            <w:vAlign w:val="bottom"/>
            <w:vMerge w:val="continue"/>
            <w:shd w:val="clear" w:color="auto" w:fill="EEEFEF"/>
          </w:tcPr>
          <w:p>
            <w:pPr>
              <w:spacing w:after="0"/>
              <w:rPr>
                <w:sz w:val="5"/>
                <w:szCs w:val="5"/>
                <w:color w:val="auto"/>
              </w:rPr>
            </w:pPr>
          </w:p>
        </w:tc>
        <w:tc>
          <w:tcPr>
            <w:tcW w:w="2040" w:type="dxa"/>
            <w:vAlign w:val="bottom"/>
            <w:vMerge w:val="continue"/>
            <w:shd w:val="clear" w:color="auto" w:fill="EEEFEF"/>
          </w:tcPr>
          <w:p>
            <w:pPr>
              <w:spacing w:after="0"/>
              <w:rPr>
                <w:sz w:val="5"/>
                <w:szCs w:val="5"/>
                <w:color w:val="auto"/>
              </w:rPr>
            </w:pPr>
          </w:p>
        </w:tc>
        <w:tc>
          <w:tcPr>
            <w:tcW w:w="2200" w:type="dxa"/>
            <w:vAlign w:val="bottom"/>
            <w:vMerge w:val="continue"/>
            <w:shd w:val="clear" w:color="auto" w:fill="EEEFEF"/>
          </w:tcPr>
          <w:p>
            <w:pPr>
              <w:spacing w:after="0"/>
              <w:rPr>
                <w:sz w:val="5"/>
                <w:szCs w:val="5"/>
                <w:color w:val="auto"/>
              </w:rPr>
            </w:pPr>
          </w:p>
        </w:tc>
        <w:tc>
          <w:tcPr>
            <w:tcW w:w="460" w:type="dxa"/>
            <w:vAlign w:val="bottom"/>
            <w:shd w:val="clear" w:color="auto" w:fill="074A75"/>
          </w:tcPr>
          <w:p>
            <w:pPr>
              <w:spacing w:after="0"/>
              <w:rPr>
                <w:sz w:val="5"/>
                <w:szCs w:val="5"/>
                <w:color w:val="auto"/>
              </w:rPr>
            </w:pPr>
          </w:p>
        </w:tc>
        <w:tc>
          <w:tcPr>
            <w:tcW w:w="60" w:type="dxa"/>
            <w:vAlign w:val="bottom"/>
            <w:shd w:val="clear" w:color="auto" w:fill="074A75"/>
          </w:tcPr>
          <w:p>
            <w:pPr>
              <w:spacing w:after="0"/>
              <w:rPr>
                <w:sz w:val="5"/>
                <w:szCs w:val="5"/>
                <w:color w:val="auto"/>
              </w:rPr>
            </w:pPr>
          </w:p>
        </w:tc>
        <w:tc>
          <w:tcPr>
            <w:tcW w:w="500" w:type="dxa"/>
            <w:vAlign w:val="bottom"/>
            <w:gridSpan w:val="2"/>
            <w:vMerge w:val="continue"/>
            <w:shd w:val="clear" w:color="auto" w:fill="074A75"/>
          </w:tcPr>
          <w:p>
            <w:pPr>
              <w:spacing w:after="0"/>
              <w:rPr>
                <w:sz w:val="5"/>
                <w:szCs w:val="5"/>
                <w:color w:val="auto"/>
              </w:rPr>
            </w:pPr>
          </w:p>
        </w:tc>
        <w:tc>
          <w:tcPr>
            <w:tcW w:w="500" w:type="dxa"/>
            <w:vAlign w:val="bottom"/>
            <w:gridSpan w:val="3"/>
            <w:vMerge w:val="continue"/>
            <w:shd w:val="clear" w:color="auto" w:fill="074A75"/>
          </w:tcPr>
          <w:p>
            <w:pPr>
              <w:spacing w:after="0"/>
              <w:rPr>
                <w:sz w:val="5"/>
                <w:szCs w:val="5"/>
                <w:color w:val="auto"/>
              </w:rPr>
            </w:pPr>
          </w:p>
        </w:tc>
        <w:tc>
          <w:tcPr>
            <w:tcW w:w="1720" w:type="dxa"/>
            <w:vAlign w:val="bottom"/>
            <w:shd w:val="clear" w:color="auto" w:fill="074A75"/>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20" w:type="dxa"/>
            <w:vAlign w:val="bottom"/>
            <w:shd w:val="clear" w:color="auto" w:fill="074A75"/>
          </w:tcPr>
          <w:p>
            <w:pPr>
              <w:spacing w:after="0"/>
              <w:rPr>
                <w:sz w:val="15"/>
                <w:szCs w:val="15"/>
                <w:color w:val="auto"/>
              </w:rPr>
            </w:pPr>
          </w:p>
        </w:tc>
        <w:tc>
          <w:tcPr>
            <w:tcW w:w="2140" w:type="dxa"/>
            <w:vAlign w:val="bottom"/>
            <w:shd w:val="clear" w:color="auto" w:fill="EEEFEF"/>
          </w:tcPr>
          <w:p>
            <w:pPr>
              <w:spacing w:after="0"/>
              <w:rPr>
                <w:sz w:val="15"/>
                <w:szCs w:val="15"/>
                <w:color w:val="auto"/>
              </w:rPr>
            </w:pPr>
          </w:p>
        </w:tc>
        <w:tc>
          <w:tcPr>
            <w:tcW w:w="2040" w:type="dxa"/>
            <w:vAlign w:val="bottom"/>
            <w:shd w:val="clear" w:color="auto" w:fill="EEEFEF"/>
          </w:tcPr>
          <w:p>
            <w:pPr>
              <w:spacing w:after="0"/>
              <w:rPr>
                <w:sz w:val="15"/>
                <w:szCs w:val="15"/>
                <w:color w:val="auto"/>
              </w:rPr>
            </w:pPr>
          </w:p>
        </w:tc>
        <w:tc>
          <w:tcPr>
            <w:tcW w:w="2200" w:type="dxa"/>
            <w:vAlign w:val="bottom"/>
            <w:shd w:val="clear" w:color="auto" w:fill="EEEFEF"/>
          </w:tcPr>
          <w:p>
            <w:pPr>
              <w:jc w:val="center"/>
              <w:spacing w:after="0" w:line="175" w:lineRule="exact"/>
              <w:rPr>
                <w:sz w:val="20"/>
                <w:szCs w:val="20"/>
                <w:color w:val="auto"/>
              </w:rPr>
            </w:pPr>
            <w:r>
              <w:rPr>
                <w:rFonts w:ascii="Arial" w:cs="Arial" w:eastAsia="Arial" w:hAnsi="Arial"/>
                <w:sz w:val="16"/>
                <w:szCs w:val="16"/>
                <w:color w:val="auto"/>
              </w:rPr>
              <w:t>life (in years)</w:t>
            </w:r>
          </w:p>
        </w:tc>
        <w:tc>
          <w:tcPr>
            <w:tcW w:w="460" w:type="dxa"/>
            <w:vAlign w:val="bottom"/>
            <w:shd w:val="clear" w:color="auto" w:fill="074A75"/>
          </w:tcPr>
          <w:p>
            <w:pPr>
              <w:spacing w:after="0"/>
              <w:rPr>
                <w:sz w:val="15"/>
                <w:szCs w:val="15"/>
                <w:color w:val="auto"/>
              </w:rPr>
            </w:pPr>
          </w:p>
        </w:tc>
        <w:tc>
          <w:tcPr>
            <w:tcW w:w="60" w:type="dxa"/>
            <w:vAlign w:val="bottom"/>
            <w:shd w:val="clear" w:color="auto" w:fill="074A75"/>
          </w:tcPr>
          <w:p>
            <w:pPr>
              <w:spacing w:after="0"/>
              <w:rPr>
                <w:sz w:val="15"/>
                <w:szCs w:val="15"/>
                <w:color w:val="auto"/>
              </w:rPr>
            </w:pPr>
          </w:p>
        </w:tc>
        <w:tc>
          <w:tcPr>
            <w:tcW w:w="40" w:type="dxa"/>
            <w:vAlign w:val="bottom"/>
            <w:shd w:val="clear" w:color="auto" w:fill="074A75"/>
          </w:tcPr>
          <w:p>
            <w:pPr>
              <w:spacing w:after="0"/>
              <w:rPr>
                <w:sz w:val="15"/>
                <w:szCs w:val="15"/>
                <w:color w:val="auto"/>
              </w:rPr>
            </w:pPr>
          </w:p>
        </w:tc>
        <w:tc>
          <w:tcPr>
            <w:tcW w:w="460" w:type="dxa"/>
            <w:vAlign w:val="bottom"/>
            <w:shd w:val="clear" w:color="auto" w:fill="074A75"/>
          </w:tcPr>
          <w:p>
            <w:pPr>
              <w:spacing w:after="0"/>
              <w:rPr>
                <w:sz w:val="15"/>
                <w:szCs w:val="15"/>
                <w:color w:val="auto"/>
              </w:rPr>
            </w:pPr>
          </w:p>
        </w:tc>
        <w:tc>
          <w:tcPr>
            <w:tcW w:w="40" w:type="dxa"/>
            <w:vAlign w:val="bottom"/>
            <w:shd w:val="clear" w:color="auto" w:fill="074A75"/>
          </w:tcPr>
          <w:p>
            <w:pPr>
              <w:spacing w:after="0"/>
              <w:rPr>
                <w:sz w:val="15"/>
                <w:szCs w:val="15"/>
                <w:color w:val="auto"/>
              </w:rPr>
            </w:pPr>
          </w:p>
        </w:tc>
        <w:tc>
          <w:tcPr>
            <w:tcW w:w="100" w:type="dxa"/>
            <w:vAlign w:val="bottom"/>
            <w:shd w:val="clear" w:color="auto" w:fill="074A75"/>
          </w:tcPr>
          <w:p>
            <w:pPr>
              <w:spacing w:after="0"/>
              <w:rPr>
                <w:sz w:val="15"/>
                <w:szCs w:val="15"/>
                <w:color w:val="auto"/>
              </w:rPr>
            </w:pPr>
          </w:p>
        </w:tc>
        <w:tc>
          <w:tcPr>
            <w:tcW w:w="360" w:type="dxa"/>
            <w:vAlign w:val="bottom"/>
            <w:shd w:val="clear" w:color="auto" w:fill="074A75"/>
          </w:tcPr>
          <w:p>
            <w:pPr>
              <w:spacing w:after="0"/>
              <w:rPr>
                <w:sz w:val="15"/>
                <w:szCs w:val="15"/>
                <w:color w:val="auto"/>
              </w:rPr>
            </w:pPr>
          </w:p>
        </w:tc>
        <w:tc>
          <w:tcPr>
            <w:tcW w:w="1720" w:type="dxa"/>
            <w:vAlign w:val="bottom"/>
            <w:shd w:val="clear" w:color="auto" w:fill="074A75"/>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620" w:type="dxa"/>
            <w:vAlign w:val="bottom"/>
          </w:tcPr>
          <w:p>
            <w:pPr>
              <w:jc w:val="center"/>
              <w:spacing w:after="0"/>
              <w:rPr>
                <w:sz w:val="20"/>
                <w:szCs w:val="20"/>
                <w:color w:val="auto"/>
              </w:rPr>
            </w:pPr>
            <w:r>
              <w:rPr>
                <w:rFonts w:ascii="Arial" w:cs="Arial" w:eastAsia="Arial" w:hAnsi="Arial"/>
                <w:sz w:val="16"/>
                <w:szCs w:val="16"/>
                <w:color w:val="auto"/>
              </w:rPr>
              <w:t>55,414,679</w:t>
            </w:r>
          </w:p>
        </w:tc>
        <w:tc>
          <w:tcPr>
            <w:tcW w:w="2140" w:type="dxa"/>
            <w:vAlign w:val="bottom"/>
          </w:tcPr>
          <w:p>
            <w:pPr>
              <w:jc w:val="center"/>
              <w:spacing w:after="0"/>
              <w:rPr>
                <w:sz w:val="20"/>
                <w:szCs w:val="20"/>
                <w:color w:val="auto"/>
              </w:rPr>
            </w:pPr>
            <w:r>
              <w:rPr>
                <w:rFonts w:ascii="Arial" w:cs="Arial" w:eastAsia="Arial" w:hAnsi="Arial"/>
                <w:sz w:val="16"/>
                <w:szCs w:val="16"/>
                <w:color w:val="auto"/>
              </w:rPr>
              <w:t>2,250,000</w:t>
            </w:r>
          </w:p>
        </w:tc>
        <w:tc>
          <w:tcPr>
            <w:tcW w:w="2040" w:type="dxa"/>
            <w:vAlign w:val="bottom"/>
          </w:tcPr>
          <w:p>
            <w:pPr>
              <w:jc w:val="center"/>
              <w:spacing w:after="0"/>
              <w:rPr>
                <w:sz w:val="20"/>
                <w:szCs w:val="20"/>
                <w:color w:val="auto"/>
              </w:rPr>
            </w:pPr>
            <w:r>
              <w:rPr>
                <w:rFonts w:ascii="Arial" w:cs="Arial" w:eastAsia="Arial" w:hAnsi="Arial"/>
                <w:sz w:val="16"/>
                <w:szCs w:val="16"/>
                <w:color w:val="auto"/>
              </w:rPr>
              <w:t>$152.19</w:t>
            </w:r>
          </w:p>
        </w:tc>
        <w:tc>
          <w:tcPr>
            <w:tcW w:w="2200" w:type="dxa"/>
            <w:vAlign w:val="bottom"/>
          </w:tcPr>
          <w:p>
            <w:pPr>
              <w:jc w:val="center"/>
              <w:spacing w:after="0"/>
              <w:rPr>
                <w:sz w:val="20"/>
                <w:szCs w:val="20"/>
                <w:color w:val="auto"/>
              </w:rPr>
            </w:pPr>
            <w:r>
              <w:rPr>
                <w:rFonts w:ascii="Arial" w:cs="Arial" w:eastAsia="Arial" w:hAnsi="Arial"/>
                <w:sz w:val="16"/>
                <w:szCs w:val="16"/>
                <w:color w:val="auto"/>
              </w:rPr>
              <w:t>7.52</w:t>
            </w:r>
          </w:p>
        </w:tc>
        <w:tc>
          <w:tcPr>
            <w:tcW w:w="1520" w:type="dxa"/>
            <w:vAlign w:val="bottom"/>
            <w:gridSpan w:val="7"/>
          </w:tcPr>
          <w:p>
            <w:pPr>
              <w:jc w:val="center"/>
              <w:ind w:left="19"/>
              <w:spacing w:after="0"/>
              <w:rPr>
                <w:sz w:val="20"/>
                <w:szCs w:val="20"/>
                <w:color w:val="auto"/>
              </w:rPr>
            </w:pPr>
            <w:r>
              <w:rPr>
                <w:rFonts w:ascii="Arial" w:cs="Arial" w:eastAsia="Arial" w:hAnsi="Arial"/>
                <w:sz w:val="16"/>
                <w:szCs w:val="16"/>
                <w:color w:val="auto"/>
              </w:rPr>
              <w:t>42,793,562</w:t>
            </w:r>
          </w:p>
        </w:tc>
        <w:tc>
          <w:tcPr>
            <w:tcW w:w="1720" w:type="dxa"/>
            <w:vAlign w:val="bottom"/>
          </w:tcPr>
          <w:p>
            <w:pPr>
              <w:jc w:val="center"/>
              <w:ind w:left="19"/>
              <w:spacing w:after="0"/>
              <w:rPr>
                <w:sz w:val="20"/>
                <w:szCs w:val="20"/>
                <w:color w:val="auto"/>
              </w:rPr>
            </w:pPr>
            <w:r>
              <w:rPr>
                <w:rFonts w:ascii="Arial" w:cs="Arial" w:eastAsia="Arial" w:hAnsi="Arial"/>
                <w:sz w:val="16"/>
                <w:szCs w:val="16"/>
                <w:color w:val="auto"/>
                <w:w w:val="99"/>
              </w:rPr>
              <w:t>2,875,956,540</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00" w:hanging="192"/>
        <w:spacing w:after="0"/>
        <w:tabs>
          <w:tab w:leader="none" w:pos="200" w:val="left"/>
        </w:tabs>
        <w:numPr>
          <w:ilvl w:val="0"/>
          <w:numId w:val="296"/>
        </w:numPr>
        <w:rPr>
          <w:rFonts w:ascii="Arial" w:cs="Arial" w:eastAsia="Arial" w:hAnsi="Arial"/>
          <w:sz w:val="16"/>
          <w:szCs w:val="16"/>
          <w:color w:val="auto"/>
          <w:vertAlign w:val="superscript"/>
        </w:rPr>
      </w:pPr>
      <w:r>
        <w:rPr>
          <w:rFonts w:ascii="Arial" w:cs="Arial" w:eastAsia="Arial" w:hAnsi="Arial"/>
          <w:sz w:val="13"/>
          <w:szCs w:val="13"/>
          <w:color w:val="auto"/>
        </w:rPr>
        <w:t>Represents shares available for future issuance under the shareholder-approved 2021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closing price of our common stock on March 22, 2024, on the New York Stock Exchange was $196.62.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2024 Plan Awards</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Awards granted under the 2024 Plan will be determined in the CMDC’s discretion. As of the date of this proxy statement, the CMDC has not determined future awards or who might receive them. As a result, the benefits that will be awarded or paid under the 2024 Plan are not currently determinable.</w:t>
      </w:r>
    </w:p>
    <w:p>
      <w:pPr>
        <w:spacing w:after="0" w:line="6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awards granted for the 2023 performance year would not have changed if the 2024 Plan had been in place and are set forth in the following table, as of February 29,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 and Position</w:t>
            </w:r>
          </w:p>
        </w:tc>
        <w:tc>
          <w:tcPr>
            <w:tcW w:w="2340" w:type="dxa"/>
            <w:vAlign w:val="bottom"/>
            <w:tcBorders>
              <w:bottom w:val="single" w:sz="8" w:color="454545"/>
            </w:tcBorders>
          </w:tcPr>
          <w:p>
            <w:pPr>
              <w:jc w:val="right"/>
              <w:ind w:right="139"/>
              <w:spacing w:after="0"/>
              <w:rPr>
                <w:sz w:val="20"/>
                <w:szCs w:val="20"/>
                <w:color w:val="auto"/>
              </w:rPr>
            </w:pPr>
            <w:r>
              <w:rPr>
                <w:rFonts w:ascii="Arial" w:cs="Arial" w:eastAsia="Arial" w:hAnsi="Arial"/>
                <w:sz w:val="16"/>
                <w:szCs w:val="16"/>
                <w:color w:val="074A75"/>
              </w:rPr>
              <w:t>Number of Units</w:t>
            </w:r>
            <w:r>
              <w:rPr>
                <w:rFonts w:ascii="Arial" w:cs="Arial" w:eastAsia="Arial" w:hAnsi="Arial"/>
                <w:sz w:val="21"/>
                <w:szCs w:val="21"/>
                <w:color w:val="074A75"/>
                <w:vertAlign w:val="superscript"/>
              </w:rPr>
              <w:t>2</w:t>
            </w:r>
          </w:p>
        </w:tc>
        <w:tc>
          <w:tcPr>
            <w:tcW w:w="560" w:type="dxa"/>
            <w:vAlign w:val="bottom"/>
            <w:tcBorders>
              <w:bottom w:val="single" w:sz="8" w:color="454545"/>
            </w:tcBorders>
          </w:tcPr>
          <w:p>
            <w:pPr>
              <w:spacing w:after="0"/>
              <w:rPr>
                <w:sz w:val="21"/>
                <w:szCs w:val="21"/>
                <w:color w:val="auto"/>
              </w:rPr>
            </w:pPr>
          </w:p>
        </w:tc>
        <w:tc>
          <w:tcPr>
            <w:tcW w:w="13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074A75"/>
              </w:rPr>
              <w:t>Dollar Value</w:t>
            </w:r>
          </w:p>
        </w:tc>
      </w:tr>
      <w:tr>
        <w:trPr>
          <w:trHeight w:val="221"/>
        </w:trPr>
        <w:tc>
          <w:tcPr>
            <w:tcW w:w="6980" w:type="dxa"/>
            <w:vAlign w:val="bottom"/>
          </w:tcPr>
          <w:p>
            <w:pPr>
              <w:ind w:left="20"/>
              <w:spacing w:after="0"/>
              <w:rPr>
                <w:sz w:val="20"/>
                <w:szCs w:val="20"/>
                <w:color w:val="auto"/>
              </w:rPr>
            </w:pPr>
            <w:r>
              <w:rPr>
                <w:rFonts w:ascii="Arial" w:cs="Arial" w:eastAsia="Arial" w:hAnsi="Arial"/>
                <w:sz w:val="16"/>
                <w:szCs w:val="16"/>
                <w:color w:val="auto"/>
              </w:rPr>
              <w:t>James Dimon, Chairman and CEO</w:t>
            </w:r>
          </w:p>
        </w:tc>
        <w:tc>
          <w:tcPr>
            <w:tcW w:w="2340" w:type="dxa"/>
            <w:vAlign w:val="bottom"/>
          </w:tcPr>
          <w:p>
            <w:pPr>
              <w:jc w:val="right"/>
              <w:ind w:right="199"/>
              <w:spacing w:after="0"/>
              <w:rPr>
                <w:sz w:val="20"/>
                <w:szCs w:val="20"/>
                <w:color w:val="auto"/>
              </w:rPr>
            </w:pPr>
            <w:r>
              <w:rPr>
                <w:rFonts w:ascii="Arial" w:cs="Arial" w:eastAsia="Arial" w:hAnsi="Arial"/>
                <w:sz w:val="16"/>
                <w:szCs w:val="16"/>
                <w:color w:val="auto"/>
              </w:rPr>
              <w:t>177,503</w:t>
            </w: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29,500,000</w:t>
            </w:r>
          </w:p>
        </w:tc>
      </w:tr>
      <w:tr>
        <w:trPr>
          <w:trHeight w:val="243"/>
        </w:trPr>
        <w:tc>
          <w:tcPr>
            <w:tcW w:w="6980" w:type="dxa"/>
            <w:vAlign w:val="bottom"/>
          </w:tcPr>
          <w:p>
            <w:pPr>
              <w:ind w:left="20"/>
              <w:spacing w:after="0"/>
              <w:rPr>
                <w:sz w:val="20"/>
                <w:szCs w:val="20"/>
                <w:color w:val="auto"/>
              </w:rPr>
            </w:pPr>
            <w:r>
              <w:rPr>
                <w:rFonts w:ascii="Arial" w:cs="Arial" w:eastAsia="Arial" w:hAnsi="Arial"/>
                <w:sz w:val="16"/>
                <w:szCs w:val="16"/>
                <w:color w:val="auto"/>
              </w:rPr>
              <w:t>Daniel Pinto, President &amp; Chief Operating Officer; Former CEO, CIB</w:t>
            </w:r>
          </w:p>
        </w:tc>
        <w:tc>
          <w:tcPr>
            <w:tcW w:w="2340" w:type="dxa"/>
            <w:vAlign w:val="bottom"/>
          </w:tcPr>
          <w:p>
            <w:pPr>
              <w:jc w:val="right"/>
              <w:ind w:right="199"/>
              <w:spacing w:after="0"/>
              <w:rPr>
                <w:sz w:val="20"/>
                <w:szCs w:val="20"/>
                <w:color w:val="auto"/>
              </w:rPr>
            </w:pPr>
            <w:r>
              <w:rPr>
                <w:rFonts w:ascii="Arial" w:cs="Arial" w:eastAsia="Arial" w:hAnsi="Arial"/>
                <w:sz w:val="16"/>
                <w:szCs w:val="16"/>
                <w:color w:val="auto"/>
              </w:rPr>
              <w:t>141,401</w:t>
            </w:r>
          </w:p>
        </w:tc>
        <w:tc>
          <w:tcPr>
            <w:tcW w:w="5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23,500,000</w:t>
            </w:r>
          </w:p>
        </w:tc>
      </w:tr>
      <w:tr>
        <w:trPr>
          <w:trHeight w:val="243"/>
        </w:trPr>
        <w:tc>
          <w:tcPr>
            <w:tcW w:w="6980" w:type="dxa"/>
            <w:vAlign w:val="bottom"/>
          </w:tcPr>
          <w:p>
            <w:pPr>
              <w:ind w:left="20"/>
              <w:spacing w:after="0"/>
              <w:rPr>
                <w:sz w:val="20"/>
                <w:szCs w:val="20"/>
                <w:color w:val="auto"/>
              </w:rPr>
            </w:pPr>
            <w:r>
              <w:rPr>
                <w:rFonts w:ascii="Arial" w:cs="Arial" w:eastAsia="Arial" w:hAnsi="Arial"/>
                <w:sz w:val="16"/>
                <w:szCs w:val="16"/>
                <w:color w:val="auto"/>
              </w:rPr>
              <w:t>Mary Callahan Erdoes, CEO, AWM</w:t>
            </w:r>
          </w:p>
        </w:tc>
        <w:tc>
          <w:tcPr>
            <w:tcW w:w="2340" w:type="dxa"/>
            <w:vAlign w:val="bottom"/>
          </w:tcPr>
          <w:p>
            <w:pPr>
              <w:jc w:val="right"/>
              <w:ind w:right="199"/>
              <w:spacing w:after="0"/>
              <w:rPr>
                <w:sz w:val="20"/>
                <w:szCs w:val="20"/>
                <w:color w:val="auto"/>
              </w:rPr>
            </w:pPr>
            <w:r>
              <w:rPr>
                <w:rFonts w:ascii="Arial" w:cs="Arial" w:eastAsia="Arial" w:hAnsi="Arial"/>
                <w:sz w:val="16"/>
                <w:szCs w:val="16"/>
                <w:color w:val="auto"/>
              </w:rPr>
              <w:t>94,770</w:t>
            </w:r>
          </w:p>
        </w:tc>
        <w:tc>
          <w:tcPr>
            <w:tcW w:w="5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15,750,000</w:t>
            </w:r>
          </w:p>
        </w:tc>
      </w:tr>
      <w:tr>
        <w:trPr>
          <w:trHeight w:val="243"/>
        </w:trPr>
        <w:tc>
          <w:tcPr>
            <w:tcW w:w="6980" w:type="dxa"/>
            <w:vAlign w:val="bottom"/>
          </w:tcPr>
          <w:p>
            <w:pPr>
              <w:ind w:left="20"/>
              <w:spacing w:after="0"/>
              <w:rPr>
                <w:sz w:val="20"/>
                <w:szCs w:val="20"/>
                <w:color w:val="auto"/>
              </w:rPr>
            </w:pPr>
            <w:r>
              <w:rPr>
                <w:rFonts w:ascii="Arial" w:cs="Arial" w:eastAsia="Arial" w:hAnsi="Arial"/>
                <w:sz w:val="16"/>
                <w:szCs w:val="16"/>
                <w:color w:val="auto"/>
              </w:rPr>
              <w:t>Marianne Lake, CEO, Consumer &amp; Community Banking; Former Co-CEO, CCB</w:t>
            </w:r>
          </w:p>
        </w:tc>
        <w:tc>
          <w:tcPr>
            <w:tcW w:w="2340" w:type="dxa"/>
            <w:vAlign w:val="bottom"/>
          </w:tcPr>
          <w:p>
            <w:pPr>
              <w:jc w:val="right"/>
              <w:ind w:right="199"/>
              <w:spacing w:after="0"/>
              <w:rPr>
                <w:sz w:val="20"/>
                <w:szCs w:val="20"/>
                <w:color w:val="auto"/>
              </w:rPr>
            </w:pPr>
            <w:r>
              <w:rPr>
                <w:rFonts w:ascii="Arial" w:cs="Arial" w:eastAsia="Arial" w:hAnsi="Arial"/>
                <w:sz w:val="16"/>
                <w:szCs w:val="16"/>
                <w:color w:val="auto"/>
              </w:rPr>
              <w:t>64,082</w:t>
            </w:r>
          </w:p>
        </w:tc>
        <w:tc>
          <w:tcPr>
            <w:tcW w:w="5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10,650,000</w:t>
            </w:r>
          </w:p>
        </w:tc>
      </w:tr>
      <w:tr>
        <w:trPr>
          <w:trHeight w:val="243"/>
        </w:trPr>
        <w:tc>
          <w:tcPr>
            <w:tcW w:w="6980" w:type="dxa"/>
            <w:vAlign w:val="bottom"/>
          </w:tcPr>
          <w:p>
            <w:pPr>
              <w:ind w:left="20"/>
              <w:spacing w:after="0"/>
              <w:rPr>
                <w:sz w:val="20"/>
                <w:szCs w:val="20"/>
                <w:color w:val="auto"/>
              </w:rPr>
            </w:pPr>
            <w:r>
              <w:rPr>
                <w:rFonts w:ascii="Arial" w:cs="Arial" w:eastAsia="Arial" w:hAnsi="Arial"/>
                <w:sz w:val="16"/>
                <w:szCs w:val="16"/>
                <w:color w:val="auto"/>
              </w:rPr>
              <w:t>Jennifer Piepszak, Co-CEO, Commercial &amp; Investment Bank; Former Co-CEO, CCB</w:t>
            </w:r>
          </w:p>
        </w:tc>
        <w:tc>
          <w:tcPr>
            <w:tcW w:w="2340" w:type="dxa"/>
            <w:vAlign w:val="bottom"/>
          </w:tcPr>
          <w:p>
            <w:pPr>
              <w:jc w:val="right"/>
              <w:ind w:right="199"/>
              <w:spacing w:after="0"/>
              <w:rPr>
                <w:sz w:val="20"/>
                <w:szCs w:val="20"/>
                <w:color w:val="auto"/>
              </w:rPr>
            </w:pPr>
            <w:r>
              <w:rPr>
                <w:rFonts w:ascii="Arial" w:cs="Arial" w:eastAsia="Arial" w:hAnsi="Arial"/>
                <w:sz w:val="16"/>
                <w:szCs w:val="16"/>
                <w:color w:val="auto"/>
              </w:rPr>
              <w:t>64,082</w:t>
            </w:r>
          </w:p>
        </w:tc>
        <w:tc>
          <w:tcPr>
            <w:tcW w:w="5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10,650,000</w:t>
            </w:r>
          </w:p>
        </w:tc>
      </w:tr>
      <w:tr>
        <w:trPr>
          <w:trHeight w:val="252"/>
        </w:trPr>
        <w:tc>
          <w:tcPr>
            <w:tcW w:w="69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Jeremy Barnum, CFO</w:t>
            </w:r>
          </w:p>
        </w:tc>
        <w:tc>
          <w:tcPr>
            <w:tcW w:w="2340" w:type="dxa"/>
            <w:vAlign w:val="bottom"/>
            <w:tcBorders>
              <w:bottom w:val="single" w:sz="8" w:color="454545"/>
            </w:tcBorders>
          </w:tcPr>
          <w:p>
            <w:pPr>
              <w:jc w:val="right"/>
              <w:ind w:right="199"/>
              <w:spacing w:after="0"/>
              <w:rPr>
                <w:sz w:val="20"/>
                <w:szCs w:val="20"/>
                <w:color w:val="auto"/>
              </w:rPr>
            </w:pPr>
            <w:r>
              <w:rPr>
                <w:rFonts w:ascii="Arial" w:cs="Arial" w:eastAsia="Arial" w:hAnsi="Arial"/>
                <w:sz w:val="16"/>
                <w:szCs w:val="16"/>
                <w:color w:val="auto"/>
              </w:rPr>
              <w:t>51,446</w:t>
            </w:r>
          </w:p>
        </w:tc>
        <w:tc>
          <w:tcPr>
            <w:tcW w:w="560" w:type="dxa"/>
            <w:vAlign w:val="bottom"/>
            <w:tcBorders>
              <w:bottom w:val="single" w:sz="8" w:color="454545"/>
            </w:tcBorders>
          </w:tcPr>
          <w:p>
            <w:pPr>
              <w:spacing w:after="0"/>
              <w:rPr>
                <w:sz w:val="21"/>
                <w:szCs w:val="21"/>
                <w:color w:val="auto"/>
              </w:rPr>
            </w:pPr>
          </w:p>
        </w:tc>
        <w:tc>
          <w:tcPr>
            <w:tcW w:w="13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8,550,000</w:t>
            </w:r>
          </w:p>
        </w:tc>
      </w:tr>
      <w:tr>
        <w:trPr>
          <w:trHeight w:val="269"/>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Current executive officers as a group (including NEOs)</w:t>
            </w:r>
            <w:r>
              <w:rPr>
                <w:rFonts w:ascii="Arial" w:cs="Arial" w:eastAsia="Arial" w:hAnsi="Arial"/>
                <w:sz w:val="21"/>
                <w:szCs w:val="21"/>
                <w:color w:val="auto"/>
                <w:vertAlign w:val="superscript"/>
              </w:rPr>
              <w:t>3</w:t>
            </w:r>
          </w:p>
        </w:tc>
        <w:tc>
          <w:tcPr>
            <w:tcW w:w="2340" w:type="dxa"/>
            <w:vAlign w:val="bottom"/>
          </w:tcPr>
          <w:p>
            <w:pPr>
              <w:jc w:val="right"/>
              <w:ind w:right="199"/>
              <w:spacing w:after="0"/>
              <w:rPr>
                <w:sz w:val="20"/>
                <w:szCs w:val="20"/>
                <w:color w:val="auto"/>
              </w:rPr>
            </w:pPr>
            <w:r>
              <w:rPr>
                <w:rFonts w:ascii="Arial" w:cs="Arial" w:eastAsia="Arial" w:hAnsi="Arial"/>
                <w:sz w:val="16"/>
                <w:szCs w:val="16"/>
                <w:b w:val="1"/>
                <w:bCs w:val="1"/>
                <w:color w:val="auto"/>
              </w:rPr>
              <w:t>853,226</w:t>
            </w:r>
          </w:p>
        </w:tc>
        <w:tc>
          <w:tcPr>
            <w:tcW w:w="5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141,801,895</w:t>
            </w:r>
          </w:p>
        </w:tc>
      </w:tr>
      <w:tr>
        <w:trPr>
          <w:trHeight w:val="270"/>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Current non-employee directors as a group</w:t>
            </w:r>
            <w:r>
              <w:rPr>
                <w:rFonts w:ascii="Arial" w:cs="Arial" w:eastAsia="Arial" w:hAnsi="Arial"/>
                <w:sz w:val="21"/>
                <w:szCs w:val="21"/>
                <w:color w:val="auto"/>
                <w:vertAlign w:val="superscript"/>
              </w:rPr>
              <w:t>4</w:t>
            </w:r>
          </w:p>
        </w:tc>
        <w:tc>
          <w:tcPr>
            <w:tcW w:w="2340" w:type="dxa"/>
            <w:vAlign w:val="bottom"/>
          </w:tcPr>
          <w:p>
            <w:pPr>
              <w:jc w:val="right"/>
              <w:ind w:right="199"/>
              <w:spacing w:after="0"/>
              <w:rPr>
                <w:sz w:val="20"/>
                <w:szCs w:val="20"/>
                <w:color w:val="auto"/>
              </w:rPr>
            </w:pPr>
            <w:r>
              <w:rPr>
                <w:rFonts w:ascii="Arial" w:cs="Arial" w:eastAsia="Arial" w:hAnsi="Arial"/>
                <w:sz w:val="16"/>
                <w:szCs w:val="16"/>
                <w:b w:val="1"/>
                <w:bCs w:val="1"/>
                <w:color w:val="auto"/>
              </w:rPr>
              <w:t>17,540</w:t>
            </w:r>
          </w:p>
        </w:tc>
        <w:tc>
          <w:tcPr>
            <w:tcW w:w="5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2,915,000</w:t>
            </w:r>
          </w:p>
        </w:tc>
      </w:tr>
      <w:tr>
        <w:trPr>
          <w:trHeight w:val="223"/>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Employees other than current executive officers as a group</w:t>
            </w:r>
          </w:p>
        </w:tc>
        <w:tc>
          <w:tcPr>
            <w:tcW w:w="2340" w:type="dxa"/>
            <w:vAlign w:val="bottom"/>
          </w:tcPr>
          <w:p>
            <w:pPr>
              <w:jc w:val="right"/>
              <w:ind w:right="199"/>
              <w:spacing w:after="0"/>
              <w:rPr>
                <w:sz w:val="20"/>
                <w:szCs w:val="20"/>
                <w:color w:val="auto"/>
              </w:rPr>
            </w:pPr>
            <w:r>
              <w:rPr>
                <w:rFonts w:ascii="Arial" w:cs="Arial" w:eastAsia="Arial" w:hAnsi="Arial"/>
                <w:sz w:val="16"/>
                <w:szCs w:val="16"/>
                <w:b w:val="1"/>
                <w:bCs w:val="1"/>
                <w:color w:val="auto"/>
              </w:rPr>
              <w:t>16,872,715</w:t>
            </w:r>
          </w:p>
        </w:tc>
        <w:tc>
          <w:tcPr>
            <w:tcW w:w="5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2,773,553,955</w:t>
            </w:r>
          </w:p>
        </w:tc>
      </w:tr>
    </w:tbl>
    <w:p>
      <w:pPr>
        <w:spacing w:after="0" w:line="127" w:lineRule="exact"/>
        <w:rPr>
          <w:sz w:val="20"/>
          <w:szCs w:val="20"/>
          <w:color w:val="auto"/>
        </w:rPr>
      </w:pPr>
    </w:p>
    <w:p>
      <w:pPr>
        <w:ind w:left="200" w:hanging="192"/>
        <w:spacing w:after="0"/>
        <w:tabs>
          <w:tab w:leader="none" w:pos="200" w:val="left"/>
        </w:tabs>
        <w:numPr>
          <w:ilvl w:val="0"/>
          <w:numId w:val="297"/>
        </w:numPr>
        <w:rPr>
          <w:rFonts w:ascii="Arial" w:cs="Arial" w:eastAsia="Arial" w:hAnsi="Arial"/>
          <w:sz w:val="16"/>
          <w:szCs w:val="16"/>
          <w:color w:val="auto"/>
          <w:vertAlign w:val="superscript"/>
        </w:rPr>
      </w:pPr>
      <w:r>
        <w:rPr>
          <w:rFonts w:ascii="Arial" w:cs="Arial" w:eastAsia="Arial" w:hAnsi="Arial"/>
          <w:sz w:val="13"/>
          <w:szCs w:val="13"/>
          <w:color w:val="auto"/>
        </w:rPr>
        <w:t>For participants other than non-employee directors, includes RSUs and PSUs granted in 2024 for 2023 performance.</w:t>
      </w:r>
    </w:p>
    <w:p>
      <w:pPr>
        <w:ind w:left="200" w:hanging="192"/>
        <w:spacing w:after="0" w:line="193" w:lineRule="auto"/>
        <w:tabs>
          <w:tab w:leader="none" w:pos="200" w:val="left"/>
        </w:tabs>
        <w:numPr>
          <w:ilvl w:val="0"/>
          <w:numId w:val="298"/>
        </w:numPr>
        <w:rPr>
          <w:rFonts w:ascii="Arial" w:cs="Arial" w:eastAsia="Arial" w:hAnsi="Arial"/>
          <w:sz w:val="16"/>
          <w:szCs w:val="16"/>
          <w:color w:val="auto"/>
          <w:vertAlign w:val="superscript"/>
        </w:rPr>
      </w:pPr>
      <w:r>
        <w:rPr>
          <w:rFonts w:ascii="Arial" w:cs="Arial" w:eastAsia="Arial" w:hAnsi="Arial"/>
          <w:sz w:val="13"/>
          <w:szCs w:val="13"/>
          <w:color w:val="auto"/>
        </w:rPr>
        <w:t>Represents executive officers as of the January 17, 2024 grant date of the 2023 performance year awards.</w:t>
      </w:r>
    </w:p>
    <w:p>
      <w:pPr>
        <w:ind w:left="200" w:hanging="192"/>
        <w:spacing w:after="0" w:line="202" w:lineRule="auto"/>
        <w:tabs>
          <w:tab w:leader="none" w:pos="200" w:val="left"/>
        </w:tabs>
        <w:numPr>
          <w:ilvl w:val="0"/>
          <w:numId w:val="299"/>
        </w:numPr>
        <w:rPr>
          <w:rFonts w:ascii="Arial" w:cs="Arial" w:eastAsia="Arial" w:hAnsi="Arial"/>
          <w:sz w:val="16"/>
          <w:szCs w:val="16"/>
          <w:color w:val="auto"/>
          <w:vertAlign w:val="superscript"/>
        </w:rPr>
      </w:pPr>
      <w:r>
        <w:rPr>
          <w:rFonts w:ascii="Arial" w:cs="Arial" w:eastAsia="Arial" w:hAnsi="Arial"/>
          <w:sz w:val="13"/>
          <w:szCs w:val="13"/>
          <w:color w:val="auto"/>
        </w:rPr>
        <w:t>Non-employee directors, who were on the Board at the time when annual performance year equity awards are granted, were each awarded $265,000 in deferred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83  </w:t>
      </w:r>
      <w:r>
        <w:rPr>
          <w:sz w:val="1"/>
          <w:szCs w:val="1"/>
          <w:color w:val="auto"/>
        </w:rPr>
        <w:drawing>
          <wp:inline distT="0" distB="0" distL="0" distR="0">
            <wp:extent cx="2203450" cy="154305"/>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43"/>
          <w:szCs w:val="43"/>
          <w:color w:val="074A75"/>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9"/>
          <w:szCs w:val="29"/>
          <w:color w:val="074A75"/>
        </w:rPr>
        <w:t>Proposal 4: Ratification of independent registered public accounting firm</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760" w:type="dxa"/>
            <w:vAlign w:val="bottom"/>
          </w:tcPr>
          <w:p>
            <w:pPr>
              <w:spacing w:after="0"/>
              <w:rPr>
                <w:sz w:val="20"/>
                <w:szCs w:val="20"/>
                <w:color w:val="auto"/>
              </w:rPr>
            </w:pPr>
            <w:r>
              <w:rPr>
                <w:rFonts w:ascii="Arial" w:cs="Arial" w:eastAsia="Arial" w:hAnsi="Arial"/>
                <w:sz w:val="18"/>
                <w:szCs w:val="18"/>
                <w:color w:val="auto"/>
              </w:rPr>
              <w:t>The Audit Committee has appointed PwC as the Firm’s independent</w:t>
            </w:r>
          </w:p>
        </w:tc>
        <w:tc>
          <w:tcPr>
            <w:tcW w:w="4460" w:type="dxa"/>
            <w:vAlign w:val="bottom"/>
            <w:shd w:val="clear" w:color="auto" w:fill="074A75"/>
          </w:tcPr>
          <w:p>
            <w:pPr>
              <w:spacing w:after="0"/>
              <w:rPr>
                <w:sz w:val="19"/>
                <w:szCs w:val="19"/>
                <w:color w:val="auto"/>
              </w:rPr>
            </w:pPr>
          </w:p>
        </w:tc>
      </w:tr>
      <w:tr>
        <w:trPr>
          <w:trHeight w:val="221"/>
        </w:trPr>
        <w:tc>
          <w:tcPr>
            <w:tcW w:w="6760" w:type="dxa"/>
            <w:vAlign w:val="bottom"/>
          </w:tcPr>
          <w:p>
            <w:pPr>
              <w:spacing w:after="0"/>
              <w:rPr>
                <w:sz w:val="20"/>
                <w:szCs w:val="20"/>
                <w:color w:val="auto"/>
              </w:rPr>
            </w:pPr>
            <w:r>
              <w:rPr>
                <w:rFonts w:ascii="Arial" w:cs="Arial" w:eastAsia="Arial" w:hAnsi="Arial"/>
                <w:sz w:val="18"/>
                <w:szCs w:val="18"/>
                <w:color w:val="auto"/>
              </w:rPr>
              <w:t>registered public accounting firm for the year ending December 31,</w:t>
            </w:r>
          </w:p>
        </w:tc>
        <w:tc>
          <w:tcPr>
            <w:tcW w:w="4460" w:type="dxa"/>
            <w:vAlign w:val="bottom"/>
            <w:shd w:val="clear" w:color="auto" w:fill="074A75"/>
          </w:tcPr>
          <w:p>
            <w:pPr>
              <w:ind w:left="200"/>
              <w:spacing w:after="0" w:line="222" w:lineRule="exact"/>
              <w:rPr>
                <w:sz w:val="20"/>
                <w:szCs w:val="20"/>
                <w:color w:val="auto"/>
              </w:rPr>
            </w:pPr>
            <w:r>
              <w:rPr>
                <w:rFonts w:ascii="Arial" w:cs="Arial" w:eastAsia="Arial" w:hAnsi="Arial"/>
                <w:sz w:val="20"/>
                <w:szCs w:val="20"/>
                <w:b w:val="1"/>
                <w:bCs w:val="1"/>
                <w:color w:val="FFFFFF"/>
              </w:rPr>
              <w:t>RECOMMENDATION:</w:t>
            </w:r>
          </w:p>
        </w:tc>
      </w:tr>
      <w:tr>
        <w:trPr>
          <w:trHeight w:val="317"/>
        </w:trPr>
        <w:tc>
          <w:tcPr>
            <w:tcW w:w="6760" w:type="dxa"/>
            <w:vAlign w:val="bottom"/>
          </w:tcPr>
          <w:p>
            <w:pPr>
              <w:spacing w:after="0"/>
              <w:rPr>
                <w:sz w:val="20"/>
                <w:szCs w:val="20"/>
                <w:color w:val="auto"/>
              </w:rPr>
            </w:pPr>
            <w:r>
              <w:rPr>
                <w:rFonts w:ascii="Arial" w:cs="Arial" w:eastAsia="Arial" w:hAnsi="Arial"/>
                <w:sz w:val="18"/>
                <w:szCs w:val="18"/>
                <w:color w:val="auto"/>
              </w:rPr>
              <w:t>2024.</w:t>
            </w:r>
          </w:p>
        </w:tc>
        <w:tc>
          <w:tcPr>
            <w:tcW w:w="4460" w:type="dxa"/>
            <w:vAlign w:val="bottom"/>
            <w:shd w:val="clear" w:color="auto" w:fill="074A75"/>
          </w:tcPr>
          <w:p>
            <w:pPr>
              <w:ind w:left="200"/>
              <w:spacing w:after="0"/>
              <w:rPr>
                <w:sz w:val="20"/>
                <w:szCs w:val="20"/>
                <w:color w:val="auto"/>
              </w:rPr>
            </w:pPr>
            <w:r>
              <w:rPr>
                <w:rFonts w:ascii="Arial" w:cs="Arial" w:eastAsia="Arial" w:hAnsi="Arial"/>
                <w:sz w:val="20"/>
                <w:szCs w:val="20"/>
                <w:color w:val="FFFFFF"/>
              </w:rPr>
              <w:t xml:space="preserve">Vote </w:t>
            </w:r>
            <w:r>
              <w:rPr>
                <w:rFonts w:ascii="Arial" w:cs="Arial" w:eastAsia="Arial" w:hAnsi="Arial"/>
                <w:sz w:val="20"/>
                <w:szCs w:val="20"/>
                <w:b w:val="1"/>
                <w:bCs w:val="1"/>
                <w:color w:val="FFFFFF"/>
              </w:rPr>
              <w:t>FOR</w:t>
            </w:r>
            <w:r>
              <w:rPr>
                <w:rFonts w:ascii="Arial" w:cs="Arial" w:eastAsia="Arial" w:hAnsi="Arial"/>
                <w:sz w:val="20"/>
                <w:szCs w:val="20"/>
                <w:color w:val="FFFFFF"/>
              </w:rPr>
              <w:t xml:space="preserve"> ratification of PwC</w:t>
            </w:r>
          </w:p>
        </w:tc>
      </w:tr>
      <w:tr>
        <w:trPr>
          <w:trHeight w:val="250"/>
        </w:trPr>
        <w:tc>
          <w:tcPr>
            <w:tcW w:w="6760" w:type="dxa"/>
            <w:vAlign w:val="bottom"/>
          </w:tcPr>
          <w:p>
            <w:pPr>
              <w:spacing w:after="0"/>
              <w:rPr>
                <w:sz w:val="21"/>
                <w:szCs w:val="21"/>
                <w:color w:val="auto"/>
              </w:rPr>
            </w:pPr>
          </w:p>
        </w:tc>
        <w:tc>
          <w:tcPr>
            <w:tcW w:w="4460" w:type="dxa"/>
            <w:vAlign w:val="bottom"/>
            <w:shd w:val="clear" w:color="auto" w:fill="074A75"/>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13232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-419735</wp:posOffset>
            </wp:positionV>
            <wp:extent cx="137160" cy="13716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-196215</wp:posOffset>
            </wp:positionV>
            <wp:extent cx="26479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64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AUDIT MATTERS | </w:t>
      </w:r>
      <w:r>
        <w:rPr>
          <w:rFonts w:ascii="Arial" w:cs="Arial" w:eastAsia="Arial" w:hAnsi="Arial"/>
          <w:sz w:val="16"/>
          <w:szCs w:val="16"/>
          <w:color w:val="074A75"/>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9"/>
          <w:szCs w:val="29"/>
          <w:color w:val="074A75"/>
        </w:rPr>
        <w:t>Overview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responsible for the appointment, retention,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compensation, evaluation and oversight of the Firm’s independent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registered public accounting firm. It is also responsible for assisting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in its oversight of the Firm’s Internal Audit function and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management’s responsibilities to assure that there is an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 of controls in place reasonably designed to safeguard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and income of the Firm, assure the integrity of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maintain compliance with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ethical standards and with laws and regulations. The Report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on these matters can be found on pages 88-89.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 appointed PwC as the Firm’s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 to audit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of JPMorgan Chase and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for the year ending December 31, 2024. A resolution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be presented to our shareholders at the annual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them to ratify PwC’s appointment. For more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this resolution, see page 86. If the shareholders do not ratify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PwC, the Audit Committee will consider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another independent registered public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271780</wp:posOffset>
            </wp:positionV>
            <wp:extent cx="27432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85  </w:t>
      </w:r>
      <w:r>
        <w:rPr>
          <w:sz w:val="1"/>
          <w:szCs w:val="1"/>
          <w:color w:val="auto"/>
        </w:rPr>
        <w:drawing>
          <wp:inline distT="0" distB="0" distL="0" distR="0">
            <wp:extent cx="2203450" cy="154305"/>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RATIFICATION OF INDEPENDENT REGISTERED PUBLIC ACCOUNTING FIRM </w:t>
      </w:r>
      <w:r>
        <w:rPr>
          <w:rFonts w:ascii="Arial" w:cs="Arial" w:eastAsia="Arial" w:hAnsi="Arial"/>
          <w:sz w:val="16"/>
          <w:szCs w:val="16"/>
          <w:b w:val="1"/>
          <w:bCs w:val="1"/>
          <w:color w:val="074A75"/>
        </w:rPr>
        <w:t>|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color w:val="074A75"/>
        </w:rPr>
        <w:t>Proposal 4 — Ratification of independent registered public accounting firm</w:t>
      </w:r>
    </w:p>
    <w:p>
      <w:pPr>
        <w:sectPr>
          <w:pgSz w:w="11900" w:h="16838" w:orient="portrait"/>
          <w:cols w:equalWidth="0" w:num="1">
            <w:col w:w="11240"/>
          </w:cols>
          <w:pgMar w:left="320" w:top="157" w:right="339" w:bottom="1440" w:gutter="0" w:footer="0" w:header="0"/>
        </w:sectPr>
      </w:pPr>
    </w:p>
    <w:p>
      <w:pPr>
        <w:spacing w:after="0" w:line="136"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074A75"/>
        </w:rPr>
        <w:t>ENGAGEMENT OF INDEPENDENT REGISTERED PUBLIC ACCOUNTING FIRM</w:t>
      </w:r>
    </w:p>
    <w:p>
      <w:pPr>
        <w:spacing w:after="0" w:line="6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Audit Committee is responsible for the appointment, retention, compensation, evaluation and oversight of the Firm’s independent registered public accounting firm.</w:t>
      </w:r>
    </w:p>
    <w:p>
      <w:pPr>
        <w:spacing w:after="0" w:line="6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Audit Committee has appointed PwC as the Firm’s independent registered public accounting firm to audit the Consolidated Financial Statements of JPMorgan Chase and its subsidiaries for the year ending December 31, 2024.</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Audit Committee annually reviews PwC’s qualifications, performance and independence in connection with its determination as to whether to retain PwC. For information on the factors reviewed by the Audit Committee, see the Audit Committee Report on pages 88-89.</w:t>
      </w:r>
    </w:p>
    <w:p>
      <w:pPr>
        <w:spacing w:after="0" w:line="7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The members of the Audit Committee and the Board believe that continued retention of PwC as the Firm’s independent external auditor is in the best interests of JPMorgan Chase and its shareholders. PwC and its predecessors have acted as our independent registered public accounting firm since 1965. The Board believes the Firm receives significant benefits from the extensive history PwC has with the Firm. These benefits include:</w:t>
      </w:r>
    </w:p>
    <w:p>
      <w:pPr>
        <w:spacing w:after="0" w:line="58" w:lineRule="exact"/>
        <w:rPr>
          <w:sz w:val="20"/>
          <w:szCs w:val="20"/>
          <w:color w:val="auto"/>
        </w:rPr>
      </w:pPr>
    </w:p>
    <w:p>
      <w:pPr>
        <w:ind w:left="200" w:right="60" w:hanging="192"/>
        <w:spacing w:after="0" w:line="262" w:lineRule="auto"/>
        <w:tabs>
          <w:tab w:leader="none" w:pos="204" w:val="left"/>
        </w:tabs>
        <w:numPr>
          <w:ilvl w:val="0"/>
          <w:numId w:val="300"/>
        </w:numPr>
        <w:rPr>
          <w:rFonts w:ascii="Arial" w:cs="Arial" w:eastAsia="Arial" w:hAnsi="Arial"/>
          <w:sz w:val="18"/>
          <w:szCs w:val="18"/>
          <w:color w:val="074A75"/>
        </w:rPr>
      </w:pPr>
      <w:r>
        <w:rPr>
          <w:rFonts w:ascii="Arial" w:cs="Arial" w:eastAsia="Arial" w:hAnsi="Arial"/>
          <w:sz w:val="18"/>
          <w:szCs w:val="18"/>
          <w:color w:val="auto"/>
        </w:rPr>
        <w:t>the high quality of its audit work and accounting advice, as a result of their institutional knowledge of our businesses, global operations, key risks, accounting policies, financial systems and internal control framework;</w:t>
      </w:r>
    </w:p>
    <w:p>
      <w:pPr>
        <w:spacing w:after="0" w:line="27" w:lineRule="exact"/>
        <w:rPr>
          <w:rFonts w:ascii="Arial" w:cs="Arial" w:eastAsia="Arial" w:hAnsi="Arial"/>
          <w:sz w:val="18"/>
          <w:szCs w:val="18"/>
          <w:color w:val="074A75"/>
        </w:rPr>
      </w:pPr>
    </w:p>
    <w:p>
      <w:pPr>
        <w:jc w:val="both"/>
        <w:ind w:left="200" w:right="20" w:hanging="192"/>
        <w:spacing w:after="0" w:line="314" w:lineRule="auto"/>
        <w:tabs>
          <w:tab w:leader="none" w:pos="204" w:val="left"/>
        </w:tabs>
        <w:numPr>
          <w:ilvl w:val="0"/>
          <w:numId w:val="300"/>
        </w:numPr>
        <w:rPr>
          <w:rFonts w:ascii="Arial" w:cs="Arial" w:eastAsia="Arial" w:hAnsi="Arial"/>
          <w:sz w:val="17"/>
          <w:szCs w:val="17"/>
          <w:color w:val="074A75"/>
        </w:rPr>
      </w:pPr>
      <w:r>
        <w:rPr>
          <w:rFonts w:ascii="Arial" w:cs="Arial" w:eastAsia="Arial" w:hAnsi="Arial"/>
          <w:sz w:val="17"/>
          <w:szCs w:val="17"/>
          <w:color w:val="auto"/>
        </w:rPr>
        <w:t>its audit efficiency and effectiveness, which results in a lower fee structure due to their history and familiarity with our businesses;</w:t>
      </w:r>
    </w:p>
    <w:p>
      <w:pPr>
        <w:spacing w:after="0" w:line="1" w:lineRule="exact"/>
        <w:rPr>
          <w:rFonts w:ascii="Arial" w:cs="Arial" w:eastAsia="Arial" w:hAnsi="Arial"/>
          <w:sz w:val="17"/>
          <w:szCs w:val="17"/>
          <w:color w:val="074A75"/>
        </w:rPr>
      </w:pPr>
    </w:p>
    <w:p>
      <w:pPr>
        <w:ind w:left="200" w:right="280" w:hanging="192"/>
        <w:spacing w:after="0" w:line="306" w:lineRule="auto"/>
        <w:tabs>
          <w:tab w:leader="none" w:pos="204" w:val="left"/>
        </w:tabs>
        <w:numPr>
          <w:ilvl w:val="0"/>
          <w:numId w:val="300"/>
        </w:numPr>
        <w:rPr>
          <w:rFonts w:ascii="Arial" w:cs="Arial" w:eastAsia="Arial" w:hAnsi="Arial"/>
          <w:sz w:val="17"/>
          <w:szCs w:val="17"/>
          <w:color w:val="074A75"/>
        </w:rPr>
      </w:pPr>
      <w:r>
        <w:rPr>
          <w:rFonts w:ascii="Arial" w:cs="Arial" w:eastAsia="Arial" w:hAnsi="Arial"/>
          <w:sz w:val="17"/>
          <w:szCs w:val="17"/>
          <w:color w:val="auto"/>
        </w:rPr>
        <w:t>the time and expense that would be avoided by management and staff in order to onboard a new auditor; and</w:t>
      </w:r>
    </w:p>
    <w:p>
      <w:pPr>
        <w:spacing w:after="0" w:line="1" w:lineRule="exact"/>
        <w:rPr>
          <w:rFonts w:ascii="Arial" w:cs="Arial" w:eastAsia="Arial" w:hAnsi="Arial"/>
          <w:sz w:val="17"/>
          <w:szCs w:val="17"/>
          <w:color w:val="074A75"/>
        </w:rPr>
      </w:pPr>
    </w:p>
    <w:p>
      <w:pPr>
        <w:ind w:left="200" w:hanging="192"/>
        <w:spacing w:after="0"/>
        <w:tabs>
          <w:tab w:leader="none" w:pos="200" w:val="left"/>
        </w:tabs>
        <w:numPr>
          <w:ilvl w:val="0"/>
          <w:numId w:val="300"/>
        </w:numPr>
        <w:rPr>
          <w:rFonts w:ascii="Arial" w:cs="Arial" w:eastAsia="Arial" w:hAnsi="Arial"/>
          <w:sz w:val="18"/>
          <w:szCs w:val="18"/>
          <w:color w:val="074A75"/>
        </w:rPr>
      </w:pPr>
      <w:r>
        <w:rPr>
          <w:rFonts w:ascii="Arial" w:cs="Arial" w:eastAsia="Arial" w:hAnsi="Arial"/>
          <w:sz w:val="18"/>
          <w:szCs w:val="18"/>
          <w:color w:val="auto"/>
        </w:rPr>
        <w:t>its commitment to maintaining their independence from the Firm.</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 member of PwC will be present at the annual meeting and will have the opportunity to make a statement and respond to appropriate questions from shareholders.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BOARD OVERSIGHT OF PWC</w:t>
      </w:r>
    </w:p>
    <w:p>
      <w:pPr>
        <w:spacing w:after="0" w:line="11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Audit Committee held eight private sessions with PwC during 2023.</w:t>
      </w:r>
    </w:p>
    <w:p>
      <w:pPr>
        <w:spacing w:after="0" w:line="4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Audit Committee assesses PwC’s independence throughout the year. This includes reviewing with PwC its practices for maintaining its independence. The Audit Committee has also established policies and procedures for approving services provided by PwC. It is JPMorgan Chase’s policy to use PwC only for audit and audit-related services, and tax services in certain circumstances. For more information, see Audit Committee Approval Policies and Procedures on page 87.</w:t>
      </w:r>
    </w:p>
    <w:p>
      <w:pPr>
        <w:spacing w:after="0" w:line="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No member of PwC’s audit team may be hired by the Firm for a period of one year after such person transferred from the Firm’s audit engagement to another role at PwC, or has terminated employment with PwC. Further, no former PwC employee who was a manager or partner may be hired by the Firm as the CFO, Principal Accounting Officer, General Auditor, Treasurer, Director of Tax or CFO or Controller of a LOB or Corporate function for a period of two years following his or her termination of employment with PwC.</w:t>
      </w:r>
    </w:p>
    <w:p>
      <w:pPr>
        <w:spacing w:after="0" w:line="7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accordance with SEC rules and PwC policies, audit partners are subject to rotation requirements to limit the number of consecutive years of service an individual partner may provide audit services to the Firm. The lead audit partner and quality review partner may provide services to our Firm for a maximum of five consecutive years. As a result of the rotation requirements, the Audit Committee approved the selection of the current lead audit partner beginning with the 2021 audit engagement. The lead audit partner is expected to serve in this capacity through the end of the 2025 audit.</w:t>
      </w:r>
    </w:p>
    <w:p>
      <w:pPr>
        <w:spacing w:after="0" w:line="200" w:lineRule="exact"/>
        <w:rPr>
          <w:sz w:val="20"/>
          <w:szCs w:val="20"/>
          <w:color w:val="auto"/>
        </w:rPr>
      </w:pPr>
    </w:p>
    <w:p>
      <w:pPr>
        <w:sectPr>
          <w:pgSz w:w="11900" w:h="16838" w:orient="portrait"/>
          <w:cols w:equalWidth="0" w:num="2">
            <w:col w:w="5340" w:space="400"/>
            <w:col w:w="5500"/>
          </w:cols>
          <w:pgMar w:left="320" w:top="157" w:right="339" w:bottom="1440" w:gutter="0" w:footer="0" w:header="0"/>
          <w:type w:val="continuous"/>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AUDIT MATTERS | </w:t>
      </w:r>
      <w:r>
        <w:rPr>
          <w:rFonts w:ascii="Arial" w:cs="Arial" w:eastAsia="Arial" w:hAnsi="Arial"/>
          <w:sz w:val="16"/>
          <w:szCs w:val="16"/>
          <w:color w:val="074A75"/>
        </w:rPr>
        <w:t>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074A75"/>
        </w:rPr>
        <w:t>FEES PAID TO PRICEWATERHOUSECOOPERS LLP</w:t>
      </w:r>
    </w:p>
    <w:p>
      <w:pPr>
        <w:spacing w:after="0" w:line="12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Audit Committee is responsible for negotiating the terms and fees associated with the Firm’s retention of PwC, including the annual integrated audit of the Firm’s Consolidated Financial Statements.</w:t>
      </w:r>
    </w:p>
    <w:p>
      <w:pPr>
        <w:spacing w:after="0" w:line="6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Aggregate fees for professional services rendered by PwC for JPMorgan Chase and its subsidiaries for the years ended December 31, 2023 and 2022, were: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ind w:left="20"/>
              <w:spacing w:after="0"/>
              <w:rPr>
                <w:sz w:val="20"/>
                <w:szCs w:val="20"/>
                <w:color w:val="auto"/>
              </w:rPr>
            </w:pPr>
            <w:r>
              <w:rPr>
                <w:rFonts w:ascii="Arial" w:cs="Arial" w:eastAsia="Arial" w:hAnsi="Arial"/>
                <w:sz w:val="16"/>
                <w:szCs w:val="16"/>
                <w:color w:val="074A75"/>
              </w:rPr>
              <w:t>Year ended December 31,</w:t>
            </w: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074A75"/>
              </w:rPr>
              <w:t>($ in millions)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74A75"/>
              </w:rPr>
              <w:t>2023</w:t>
            </w: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74A75"/>
              </w:rPr>
              <w:t>2022</w:t>
            </w:r>
          </w:p>
        </w:tc>
      </w:tr>
      <w:tr>
        <w:trPr>
          <w:trHeight w:val="208"/>
        </w:trPr>
        <w:tc>
          <w:tcPr>
            <w:tcW w:w="2940" w:type="dxa"/>
            <w:vAlign w:val="bottom"/>
          </w:tcPr>
          <w:p>
            <w:pPr>
              <w:ind w:left="20"/>
              <w:spacing w:after="0"/>
              <w:rPr>
                <w:sz w:val="20"/>
                <w:szCs w:val="20"/>
                <w:color w:val="auto"/>
              </w:rPr>
            </w:pPr>
            <w:r>
              <w:rPr>
                <w:rFonts w:ascii="Arial" w:cs="Arial" w:eastAsia="Arial" w:hAnsi="Arial"/>
                <w:sz w:val="14"/>
                <w:szCs w:val="14"/>
                <w:color w:val="auto"/>
              </w:rPr>
              <w:t>Audit</w:t>
            </w:r>
          </w:p>
        </w:tc>
        <w:tc>
          <w:tcPr>
            <w:tcW w:w="1720" w:type="dxa"/>
            <w:vAlign w:val="bottom"/>
          </w:tcPr>
          <w:p>
            <w:pPr>
              <w:jc w:val="right"/>
              <w:ind w:right="6"/>
              <w:spacing w:after="0"/>
              <w:rPr>
                <w:sz w:val="20"/>
                <w:szCs w:val="20"/>
                <w:color w:val="auto"/>
              </w:rPr>
            </w:pPr>
            <w:r>
              <w:rPr>
                <w:rFonts w:ascii="Arial" w:cs="Arial" w:eastAsia="Arial" w:hAnsi="Arial"/>
                <w:sz w:val="14"/>
                <w:szCs w:val="14"/>
                <w:color w:val="auto"/>
              </w:rPr>
              <w:t>$   77.5</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71.0</w:t>
            </w:r>
          </w:p>
        </w:tc>
      </w:tr>
      <w:tr>
        <w:trPr>
          <w:trHeight w:val="229"/>
        </w:trPr>
        <w:tc>
          <w:tcPr>
            <w:tcW w:w="2940" w:type="dxa"/>
            <w:vAlign w:val="bottom"/>
          </w:tcPr>
          <w:p>
            <w:pPr>
              <w:ind w:left="20"/>
              <w:spacing w:after="0"/>
              <w:rPr>
                <w:sz w:val="20"/>
                <w:szCs w:val="20"/>
                <w:color w:val="auto"/>
              </w:rPr>
            </w:pPr>
            <w:r>
              <w:rPr>
                <w:rFonts w:ascii="Arial" w:cs="Arial" w:eastAsia="Arial" w:hAnsi="Arial"/>
                <w:sz w:val="14"/>
                <w:szCs w:val="14"/>
                <w:color w:val="auto"/>
              </w:rPr>
              <w:t>Audit-related</w:t>
            </w:r>
          </w:p>
        </w:tc>
        <w:tc>
          <w:tcPr>
            <w:tcW w:w="1720" w:type="dxa"/>
            <w:vAlign w:val="bottom"/>
          </w:tcPr>
          <w:p>
            <w:pPr>
              <w:jc w:val="right"/>
              <w:ind w:right="6"/>
              <w:spacing w:after="0"/>
              <w:rPr>
                <w:sz w:val="20"/>
                <w:szCs w:val="20"/>
                <w:color w:val="auto"/>
              </w:rPr>
            </w:pPr>
            <w:r>
              <w:rPr>
                <w:rFonts w:ascii="Arial" w:cs="Arial" w:eastAsia="Arial" w:hAnsi="Arial"/>
                <w:sz w:val="14"/>
                <w:szCs w:val="14"/>
                <w:color w:val="auto"/>
              </w:rPr>
              <w:t>31.0</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229"/>
        </w:trPr>
        <w:tc>
          <w:tcPr>
            <w:tcW w:w="2940" w:type="dxa"/>
            <w:vAlign w:val="bottom"/>
          </w:tcPr>
          <w:p>
            <w:pPr>
              <w:ind w:left="20"/>
              <w:spacing w:after="0"/>
              <w:rPr>
                <w:sz w:val="20"/>
                <w:szCs w:val="20"/>
                <w:color w:val="auto"/>
              </w:rPr>
            </w:pPr>
            <w:r>
              <w:rPr>
                <w:rFonts w:ascii="Arial" w:cs="Arial" w:eastAsia="Arial" w:hAnsi="Arial"/>
                <w:sz w:val="14"/>
                <w:szCs w:val="14"/>
                <w:color w:val="auto"/>
              </w:rPr>
              <w:t>Tax</w:t>
            </w:r>
          </w:p>
        </w:tc>
        <w:tc>
          <w:tcPr>
            <w:tcW w:w="1720" w:type="dxa"/>
            <w:vAlign w:val="bottom"/>
          </w:tcPr>
          <w:p>
            <w:pPr>
              <w:jc w:val="right"/>
              <w:ind w:right="6"/>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074A75"/>
        </w:rPr>
        <w:t>Audit-related fees</w:t>
      </w:r>
    </w:p>
    <w:p>
      <w:pPr>
        <w:spacing w:after="0" w:line="11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Audit-related fees comprise assurance and related services that are traditionally performed by the independent registered public accounting firm. These services include attestation and agreed-upon procedures which address accounting, reporting and control matters relating to fiduciary, transaction processing, investment management, servicing activities and ESG initiatives; reviews related to investment and lending processes, and technology systems; and due diligence reviews related to acquisitions and divestitures. These services are normally provided in connection with the recurring audit engagement. The increase in audit-related fees is primarily driven by services rendered during the calendar year for complying with internal control reporting requirements as well as new engagements due to continued business growth.</w:t>
      </w:r>
    </w:p>
    <w:p>
      <w:pPr>
        <w:spacing w:after="0" w:line="91"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ind w:left="20"/>
              <w:spacing w:after="0"/>
              <w:rPr>
                <w:sz w:val="20"/>
                <w:szCs w:val="20"/>
                <w:color w:val="auto"/>
              </w:rPr>
            </w:pPr>
            <w:r>
              <w:rPr>
                <w:rFonts w:ascii="Arial" w:cs="Arial" w:eastAsia="Arial" w:hAnsi="Arial"/>
                <w:sz w:val="14"/>
                <w:szCs w:val="14"/>
                <w:color w:val="auto"/>
              </w:rPr>
              <w:t>Total</w:t>
            </w:r>
          </w:p>
        </w:tc>
        <w:tc>
          <w:tcPr>
            <w:tcW w:w="2480" w:type="dxa"/>
            <w:vAlign w:val="bottom"/>
          </w:tcPr>
          <w:p>
            <w:pPr>
              <w:jc w:val="right"/>
              <w:spacing w:after="0"/>
              <w:rPr>
                <w:sz w:val="20"/>
                <w:szCs w:val="20"/>
                <w:color w:val="auto"/>
              </w:rPr>
            </w:pPr>
            <w:r>
              <w:rPr>
                <w:rFonts w:ascii="Arial" w:cs="Arial" w:eastAsia="Arial" w:hAnsi="Arial"/>
                <w:sz w:val="14"/>
                <w:szCs w:val="14"/>
                <w:color w:val="auto"/>
              </w:rPr>
              <w:t>$  112.4</w:t>
            </w:r>
          </w:p>
        </w:tc>
        <w:tc>
          <w:tcPr>
            <w:tcW w:w="740" w:type="dxa"/>
            <w:vAlign w:val="bottom"/>
          </w:tcPr>
          <w:p>
            <w:pPr>
              <w:jc w:val="right"/>
              <w:spacing w:after="0"/>
              <w:rPr>
                <w:sz w:val="20"/>
                <w:szCs w:val="20"/>
                <w:color w:val="auto"/>
              </w:rPr>
            </w:pPr>
            <w:r>
              <w:rPr>
                <w:rFonts w:ascii="Arial" w:cs="Arial" w:eastAsia="Arial" w:hAnsi="Arial"/>
                <w:sz w:val="14"/>
                <w:szCs w:val="14"/>
                <w:color w:val="auto"/>
              </w:rPr>
              <w:t>$  102.6</w:t>
            </w:r>
          </w:p>
        </w:tc>
      </w:tr>
      <w:tr>
        <w:trPr>
          <w:trHeight w:val="22"/>
        </w:trPr>
        <w:tc>
          <w:tcPr>
            <w:tcW w:w="2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341185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amounts reported in the table above exclude all fees paid to PwC by investment companies and asset management funds (e.g., private equity, mutual and exchange-traded funds, and collective investment funds), and special purpose vehicles that are sponsored, managed or advised by subsidiaries of JPMorgan Chase but are not consolidated with the Firm.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074A75"/>
        </w:rPr>
        <w:t>Audit fees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years ended December 31, 2023 and 2022, fees for the annual integrated audit of the Firm’s Consolidated Financial Statements and of the Firm’s internal control over financial reporting, and quarterly reviews of the Firm’s Consolidated Financial Statements, were $51.7 million and $45.1 million, respectively. Fees for services related to statutory/subsidiary audits, attestation reports required by statute or regulation, and comfort letters and consents related to SEC filings and other similar filings with non-U.S. authorities were $25.8 million and $25.9 million, respectively. The increase in Audit fees with PwC is primarily driven by the First Republic Bank acquisition, inflation and continued business growth.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074A75"/>
        </w:rPr>
        <w:t>Tax fees</w:t>
      </w:r>
    </w:p>
    <w:p>
      <w:pPr>
        <w:spacing w:after="0" w:line="1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Fees for the years ended December 31, 2023 and 2022, for tax compliance and tax return preparation services were $3.7 million and $4.9 million, respectively. Fees for other tax services, including tax advisory and consultation on tax matters, were $0.2 million and $0.1 million, respectively.</w:t>
      </w:r>
    </w:p>
    <w:p>
      <w:pPr>
        <w:spacing w:after="0" w:line="68" w:lineRule="exact"/>
        <w:rPr>
          <w:sz w:val="20"/>
          <w:szCs w:val="20"/>
          <w:color w:val="auto"/>
        </w:rPr>
      </w:pPr>
    </w:p>
    <w:p>
      <w:pPr>
        <w:ind w:right="1560"/>
        <w:spacing w:after="0" w:line="286" w:lineRule="auto"/>
        <w:rPr>
          <w:sz w:val="20"/>
          <w:szCs w:val="20"/>
          <w:color w:val="auto"/>
        </w:rPr>
      </w:pPr>
      <w:r>
        <w:rPr>
          <w:rFonts w:ascii="Arial" w:cs="Arial" w:eastAsia="Arial" w:hAnsi="Arial"/>
          <w:sz w:val="20"/>
          <w:szCs w:val="20"/>
          <w:color w:val="074A75"/>
        </w:rPr>
        <w:t>AUDIT COMMITTEE APPROVAL POLICIES AND PROCEDURES</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Audit Committee’s policies and procedures require the Audit Committee to pre-approve a list of specified audit, audit-related and tax services, and review and approve the terms and fees for the annual integrated audit of the Consolidated Financial Statements. All requests for audit, audit-related and tax services that are not on the pre-approved list of specified services must be approved by the Audit Committee. JPMorgan Chase’s pre-approval policy does not provide for a de minimis exception under which the pre-approval requirement may be waived.</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Pre-approved services to be performed by PwC with estimated costs in excess of $250,000 are approved by the Chair of the Audit Committee; and pre-approved services with estimated costs less than or equal to $ 250,000 are delegated to the Firmwide Controller’s office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254635</wp:posOffset>
            </wp:positionV>
            <wp:extent cx="27432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87  </w:t>
      </w:r>
      <w:r>
        <w:rPr>
          <w:sz w:val="1"/>
          <w:szCs w:val="1"/>
          <w:color w:val="auto"/>
        </w:rPr>
        <w:drawing>
          <wp:inline distT="0" distB="0" distL="0" distR="0">
            <wp:extent cx="2203450" cy="154305"/>
            <wp:effectExtent l="0" t="0" r="0" b="0"/>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AUDIT COMMITTEE REPORT </w:t>
      </w:r>
      <w:r>
        <w:rPr>
          <w:rFonts w:ascii="Arial" w:cs="Arial" w:eastAsia="Arial" w:hAnsi="Arial"/>
          <w:sz w:val="16"/>
          <w:szCs w:val="16"/>
          <w:b w:val="1"/>
          <w:bCs w:val="1"/>
          <w:color w:val="074A75"/>
        </w:rPr>
        <w:t>|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29"/>
          <w:szCs w:val="29"/>
          <w:color w:val="074A75"/>
        </w:rPr>
        <w:t>Audit Committee report</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Audit Committee of the Board of Directors of JPMorgan Chase is comprised of four non-management directors. The Board has determined that each member of our committee has no material relationship with the Firm under the Board’s director independence standards and that each member is independent under the listing standards of the NYSE, where the Firm’s securities are listed, and under the SEC’s standards relating to the independence of audit committees. The Board has also determined that each member is financially literate and is an audit committee financial expert as defined by the SEC.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Details of the fees paid to PwC for its services, as well as the Audit Committee’s “pre-approval policy” for such services, can be found on page 87.</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ASSESSMENT OF PWC</w:t>
      </w:r>
    </w:p>
    <w:p>
      <w:pPr>
        <w:spacing w:after="0" w:line="124"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The Audit Committee annually reviews PwC’s qualifications, performance and independence in connection with its determination as to whether to retain PwC. In conducting our review we considered, among other things:</w:t>
      </w:r>
    </w:p>
    <w:p>
      <w:pPr>
        <w:spacing w:after="0" w:line="68" w:lineRule="exact"/>
        <w:rPr>
          <w:sz w:val="20"/>
          <w:szCs w:val="20"/>
          <w:color w:val="auto"/>
        </w:rPr>
      </w:pPr>
    </w:p>
    <w:p>
      <w:pPr>
        <w:ind w:left="200" w:right="220" w:hanging="196"/>
        <w:spacing w:after="0" w:line="256" w:lineRule="auto"/>
        <w:tabs>
          <w:tab w:leader="none" w:pos="204" w:val="left"/>
        </w:tabs>
        <w:numPr>
          <w:ilvl w:val="0"/>
          <w:numId w:val="301"/>
        </w:numPr>
        <w:rPr>
          <w:rFonts w:ascii="Arial" w:cs="Arial" w:eastAsia="Arial" w:hAnsi="Arial"/>
          <w:sz w:val="18"/>
          <w:szCs w:val="18"/>
          <w:color w:val="074A75"/>
        </w:rPr>
      </w:pPr>
      <w:r>
        <w:rPr>
          <w:rFonts w:ascii="Arial" w:cs="Arial" w:eastAsia="Arial" w:hAnsi="Arial"/>
          <w:sz w:val="18"/>
          <w:szCs w:val="18"/>
          <w:color w:val="auto"/>
        </w:rPr>
        <w:t>the professional qualifications of PwC, and that of the lead audit partner, quality review partner and other key engagement partners;</w:t>
      </w:r>
    </w:p>
    <w:p>
      <w:pPr>
        <w:spacing w:after="0" w:line="1" w:lineRule="exact"/>
        <w:rPr>
          <w:sz w:val="20"/>
          <w:szCs w:val="20"/>
          <w:color w:val="auto"/>
        </w:rPr>
      </w:pPr>
    </w:p>
    <w:p>
      <w:pPr>
        <w:sectPr>
          <w:pgSz w:w="11900" w:h="16838" w:orient="portrait"/>
          <w:cols w:equalWidth="0" w:num="2">
            <w:col w:w="5340" w:space="400"/>
            <w:col w:w="5500"/>
          </w:cols>
          <w:pgMar w:left="320" w:top="157" w:right="339" w:bottom="1440" w:gutter="0" w:footer="0" w:header="0"/>
          <w:type w:val="continuous"/>
        </w:sectPr>
      </w:pPr>
    </w:p>
    <w:p>
      <w:pPr>
        <w:spacing w:after="0"/>
        <w:rPr>
          <w:sz w:val="20"/>
          <w:szCs w:val="20"/>
          <w:color w:val="auto"/>
        </w:rPr>
      </w:pPr>
      <w:r>
        <w:rPr>
          <w:rFonts w:ascii="Arial" w:cs="Arial" w:eastAsia="Arial" w:hAnsi="Arial"/>
          <w:sz w:val="20"/>
          <w:szCs w:val="20"/>
          <w:color w:val="074A75"/>
        </w:rPr>
        <w:t>CHARTER</w:t>
      </w:r>
    </w:p>
    <w:p>
      <w:pPr>
        <w:spacing w:after="0" w:line="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Audit Committee operates under a written charter adopted by the Board, which is available on our website at jpmorganchase.com/about/governance/board-committees/audit-committee. We annually review our charter and our practices. We have determined that our charter and practices are consistent with the listing standards of the NYSE and the provisions of the Sarbanes-Oxley Act of 2002. The purpose of the Audit Committee is to assist the Board in its oversight of:</w:t>
      </w:r>
    </w:p>
    <w:p>
      <w:pPr>
        <w:spacing w:after="0" w:line="77" w:lineRule="exact"/>
        <w:rPr>
          <w:sz w:val="20"/>
          <w:szCs w:val="20"/>
          <w:color w:val="auto"/>
        </w:rPr>
      </w:pPr>
    </w:p>
    <w:p>
      <w:pPr>
        <w:ind w:left="200" w:hanging="192"/>
        <w:spacing w:after="0" w:line="287" w:lineRule="auto"/>
        <w:tabs>
          <w:tab w:leader="none" w:pos="204" w:val="left"/>
        </w:tabs>
        <w:numPr>
          <w:ilvl w:val="0"/>
          <w:numId w:val="302"/>
        </w:numPr>
        <w:rPr>
          <w:rFonts w:ascii="Arial" w:cs="Arial" w:eastAsia="Arial" w:hAnsi="Arial"/>
          <w:sz w:val="18"/>
          <w:szCs w:val="18"/>
          <w:color w:val="074A75"/>
        </w:rPr>
      </w:pPr>
      <w:r>
        <w:rPr>
          <w:rFonts w:ascii="Arial" w:cs="Arial" w:eastAsia="Arial" w:hAnsi="Arial"/>
          <w:sz w:val="18"/>
          <w:szCs w:val="18"/>
          <w:color w:val="auto"/>
        </w:rPr>
        <w:t>the independent registered public accounting firm’s qualifications and independence,</w:t>
      </w:r>
    </w:p>
    <w:p>
      <w:pPr>
        <w:spacing w:after="0" w:line="17" w:lineRule="exact"/>
        <w:rPr>
          <w:rFonts w:ascii="Arial" w:cs="Arial" w:eastAsia="Arial" w:hAnsi="Arial"/>
          <w:sz w:val="18"/>
          <w:szCs w:val="18"/>
          <w:color w:val="074A75"/>
        </w:rPr>
      </w:pPr>
    </w:p>
    <w:p>
      <w:pPr>
        <w:ind w:left="200" w:right="400" w:hanging="192"/>
        <w:spacing w:after="0" w:line="287" w:lineRule="auto"/>
        <w:tabs>
          <w:tab w:leader="none" w:pos="204" w:val="left"/>
        </w:tabs>
        <w:numPr>
          <w:ilvl w:val="0"/>
          <w:numId w:val="302"/>
        </w:numPr>
        <w:rPr>
          <w:rFonts w:ascii="Arial" w:cs="Arial" w:eastAsia="Arial" w:hAnsi="Arial"/>
          <w:sz w:val="18"/>
          <w:szCs w:val="18"/>
          <w:color w:val="074A75"/>
        </w:rPr>
      </w:pPr>
      <w:r>
        <w:rPr>
          <w:rFonts w:ascii="Arial" w:cs="Arial" w:eastAsia="Arial" w:hAnsi="Arial"/>
          <w:sz w:val="18"/>
          <w:szCs w:val="18"/>
          <w:color w:val="auto"/>
        </w:rPr>
        <w:t>the performance of the Firm's internal audit function and the independent registered public accounting firm, and</w:t>
      </w:r>
    </w:p>
    <w:p>
      <w:pPr>
        <w:spacing w:after="0" w:line="4" w:lineRule="exact"/>
        <w:rPr>
          <w:rFonts w:ascii="Arial" w:cs="Arial" w:eastAsia="Arial" w:hAnsi="Arial"/>
          <w:sz w:val="18"/>
          <w:szCs w:val="18"/>
          <w:color w:val="074A75"/>
        </w:rPr>
      </w:pPr>
    </w:p>
    <w:p>
      <w:pPr>
        <w:ind w:left="200" w:right="40" w:hanging="192"/>
        <w:spacing w:after="0" w:line="257" w:lineRule="auto"/>
        <w:tabs>
          <w:tab w:leader="none" w:pos="204" w:val="left"/>
        </w:tabs>
        <w:numPr>
          <w:ilvl w:val="0"/>
          <w:numId w:val="302"/>
        </w:numPr>
        <w:rPr>
          <w:rFonts w:ascii="Arial" w:cs="Arial" w:eastAsia="Arial" w:hAnsi="Arial"/>
          <w:sz w:val="18"/>
          <w:szCs w:val="18"/>
          <w:color w:val="074A75"/>
        </w:rPr>
      </w:pPr>
      <w:r>
        <w:rPr>
          <w:rFonts w:ascii="Arial" w:cs="Arial" w:eastAsia="Arial" w:hAnsi="Arial"/>
          <w:sz w:val="18"/>
          <w:szCs w:val="18"/>
          <w:color w:val="auto"/>
        </w:rPr>
        <w:t>management’s responsibilities to assure that there is in place an effective system of controls reasonably designed to safeguard the assets and income of the Firm; assure the integrity of the Firm’s financial statements; and maintain compliance with the Firm’s ethical standards, policies, plans and procedures, and with laws and regulations.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074A75"/>
        </w:rPr>
        <w:t>AUDIT COMMUNICATIONS AND FEES</w:t>
      </w:r>
    </w:p>
    <w:p>
      <w:pPr>
        <w:spacing w:after="0" w:line="1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discussed with PwC the matters required to be discussed by Public Company Accounting Oversight Board (“PCAOB”)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including PwC’s overall audit scope and audit approach as set forth in the terms of their engagement letter; PwC’s overall audit strategy for significant audit risks identified by them; and the nature and extent of the specialized skills necessary to perform the planned audit. We have established procedures to receive and track the handling of issues regarding accounting and reporting, internal control and auditing matters. In addition, we monitor the audit, audit-related and tax services provided by PwC. The Audit Committee has also evaluated and concluded that audit-related and tax services provided by PwC do not impair PwC’s independence.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196" w:right="380" w:hanging="196"/>
        <w:spacing w:after="0" w:line="268" w:lineRule="auto"/>
        <w:tabs>
          <w:tab w:leader="none" w:pos="200" w:val="left"/>
        </w:tabs>
        <w:numPr>
          <w:ilvl w:val="0"/>
          <w:numId w:val="303"/>
        </w:numPr>
        <w:rPr>
          <w:rFonts w:ascii="Arial" w:cs="Arial" w:eastAsia="Arial" w:hAnsi="Arial"/>
          <w:sz w:val="18"/>
          <w:szCs w:val="18"/>
          <w:color w:val="074A75"/>
        </w:rPr>
      </w:pPr>
      <w:r>
        <w:rPr>
          <w:rFonts w:ascii="Arial" w:cs="Arial" w:eastAsia="Arial" w:hAnsi="Arial"/>
          <w:sz w:val="18"/>
          <w:szCs w:val="18"/>
          <w:color w:val="auto"/>
        </w:rPr>
        <w:t>PwC’s current and historical performance on the Firm’s audit, including the extent and quality of its communications with the Audit Committee and the Firm’s management;</w:t>
      </w:r>
    </w:p>
    <w:p>
      <w:pPr>
        <w:spacing w:after="0" w:line="22" w:lineRule="exact"/>
        <w:rPr>
          <w:rFonts w:ascii="Arial" w:cs="Arial" w:eastAsia="Arial" w:hAnsi="Arial"/>
          <w:sz w:val="18"/>
          <w:szCs w:val="18"/>
          <w:color w:val="074A75"/>
        </w:rPr>
      </w:pPr>
    </w:p>
    <w:p>
      <w:pPr>
        <w:ind w:left="196" w:right="180" w:hanging="196"/>
        <w:spacing w:after="0" w:line="259" w:lineRule="auto"/>
        <w:tabs>
          <w:tab w:leader="none" w:pos="200" w:val="left"/>
        </w:tabs>
        <w:numPr>
          <w:ilvl w:val="0"/>
          <w:numId w:val="303"/>
        </w:numPr>
        <w:rPr>
          <w:rFonts w:ascii="Arial" w:cs="Arial" w:eastAsia="Arial" w:hAnsi="Arial"/>
          <w:sz w:val="18"/>
          <w:szCs w:val="18"/>
          <w:color w:val="074A75"/>
        </w:rPr>
      </w:pPr>
      <w:r>
        <w:rPr>
          <w:rFonts w:ascii="Arial" w:cs="Arial" w:eastAsia="Arial" w:hAnsi="Arial"/>
          <w:sz w:val="18"/>
          <w:szCs w:val="18"/>
          <w:color w:val="auto"/>
        </w:rPr>
        <w:t>PwC’s demonstrated professional skepticism and objectivity, including fresh perspectives brought through the required periodic rotation of the lead audit partner, the quality review partner and other partners who play a significant role in the audit engagement;</w:t>
      </w:r>
    </w:p>
    <w:p>
      <w:pPr>
        <w:spacing w:after="0" w:line="44" w:lineRule="exact"/>
        <w:rPr>
          <w:rFonts w:ascii="Arial" w:cs="Arial" w:eastAsia="Arial" w:hAnsi="Arial"/>
          <w:sz w:val="18"/>
          <w:szCs w:val="18"/>
          <w:color w:val="074A75"/>
        </w:rPr>
      </w:pPr>
    </w:p>
    <w:p>
      <w:pPr>
        <w:ind w:left="196" w:right="180" w:hanging="196"/>
        <w:spacing w:after="0" w:line="262" w:lineRule="auto"/>
        <w:tabs>
          <w:tab w:leader="none" w:pos="200" w:val="left"/>
        </w:tabs>
        <w:numPr>
          <w:ilvl w:val="0"/>
          <w:numId w:val="303"/>
        </w:numPr>
        <w:rPr>
          <w:rFonts w:ascii="Arial" w:cs="Arial" w:eastAsia="Arial" w:hAnsi="Arial"/>
          <w:sz w:val="18"/>
          <w:szCs w:val="18"/>
          <w:color w:val="074A75"/>
        </w:rPr>
      </w:pPr>
      <w:r>
        <w:rPr>
          <w:rFonts w:ascii="Arial" w:cs="Arial" w:eastAsia="Arial" w:hAnsi="Arial"/>
          <w:sz w:val="18"/>
          <w:szCs w:val="18"/>
          <w:color w:val="auto"/>
        </w:rPr>
        <w:t>PwC’s demonstrated capability, expertise and efficiency in which it handles the breadth and complexity of the Firm’s global operations, including the use of technology, specialists, and subject matter experts;</w:t>
      </w:r>
    </w:p>
    <w:p>
      <w:pPr>
        <w:spacing w:after="0" w:line="27" w:lineRule="exact"/>
        <w:rPr>
          <w:rFonts w:ascii="Arial" w:cs="Arial" w:eastAsia="Arial" w:hAnsi="Arial"/>
          <w:sz w:val="18"/>
          <w:szCs w:val="18"/>
          <w:color w:val="074A75"/>
        </w:rPr>
      </w:pPr>
    </w:p>
    <w:p>
      <w:pPr>
        <w:ind w:left="196" w:right="160" w:hanging="196"/>
        <w:spacing w:after="0" w:line="256" w:lineRule="auto"/>
        <w:tabs>
          <w:tab w:leader="none" w:pos="200" w:val="left"/>
        </w:tabs>
        <w:numPr>
          <w:ilvl w:val="0"/>
          <w:numId w:val="303"/>
        </w:numPr>
        <w:rPr>
          <w:rFonts w:ascii="Arial" w:cs="Arial" w:eastAsia="Arial" w:hAnsi="Arial"/>
          <w:sz w:val="18"/>
          <w:szCs w:val="18"/>
          <w:color w:val="074A75"/>
        </w:rPr>
      </w:pPr>
      <w:r>
        <w:rPr>
          <w:rFonts w:ascii="Arial" w:cs="Arial" w:eastAsia="Arial" w:hAnsi="Arial"/>
          <w:sz w:val="18"/>
          <w:szCs w:val="18"/>
          <w:color w:val="auto"/>
        </w:rPr>
        <w:t>PwC’s depth of institutional knowledge and understanding of the Firm’s global businesses, operations and systems, the financial services industry, including the global regulatory environment, U.S. and international accounting standards, the potential effect on the financial statements of the significant risks and exposures facing the Firm, and the Firm’s internal control over financial reporting;</w:t>
      </w:r>
    </w:p>
    <w:p>
      <w:pPr>
        <w:spacing w:after="0" w:line="34" w:lineRule="exact"/>
        <w:rPr>
          <w:rFonts w:ascii="Arial" w:cs="Arial" w:eastAsia="Arial" w:hAnsi="Arial"/>
          <w:sz w:val="18"/>
          <w:szCs w:val="18"/>
          <w:color w:val="074A75"/>
        </w:rPr>
      </w:pPr>
    </w:p>
    <w:p>
      <w:pPr>
        <w:ind w:left="196" w:right="260" w:hanging="196"/>
        <w:spacing w:after="0" w:line="262" w:lineRule="auto"/>
        <w:tabs>
          <w:tab w:leader="none" w:pos="200" w:val="left"/>
        </w:tabs>
        <w:numPr>
          <w:ilvl w:val="0"/>
          <w:numId w:val="303"/>
        </w:numPr>
        <w:rPr>
          <w:rFonts w:ascii="Arial" w:cs="Arial" w:eastAsia="Arial" w:hAnsi="Arial"/>
          <w:sz w:val="18"/>
          <w:szCs w:val="18"/>
          <w:color w:val="074A75"/>
        </w:rPr>
      </w:pPr>
      <w:r>
        <w:rPr>
          <w:rFonts w:ascii="Arial" w:cs="Arial" w:eastAsia="Arial" w:hAnsi="Arial"/>
          <w:sz w:val="18"/>
          <w:szCs w:val="18"/>
          <w:color w:val="auto"/>
        </w:rPr>
        <w:t>external data relating to PwC’s audit quality and performance, including recent PCAOB reports on PwC (including its global network of firms), and the results of peer review and self-review examinations;</w:t>
      </w:r>
    </w:p>
    <w:p>
      <w:pPr>
        <w:spacing w:after="0" w:line="41" w:lineRule="exact"/>
        <w:rPr>
          <w:rFonts w:ascii="Arial" w:cs="Arial" w:eastAsia="Arial" w:hAnsi="Arial"/>
          <w:sz w:val="18"/>
          <w:szCs w:val="18"/>
          <w:color w:val="074A75"/>
        </w:rPr>
      </w:pPr>
    </w:p>
    <w:p>
      <w:pPr>
        <w:ind w:left="196" w:right="180" w:hanging="196"/>
        <w:spacing w:after="0" w:line="268" w:lineRule="auto"/>
        <w:tabs>
          <w:tab w:leader="none" w:pos="200" w:val="left"/>
        </w:tabs>
        <w:numPr>
          <w:ilvl w:val="0"/>
          <w:numId w:val="303"/>
        </w:numPr>
        <w:rPr>
          <w:rFonts w:ascii="Arial" w:cs="Arial" w:eastAsia="Arial" w:hAnsi="Arial"/>
          <w:sz w:val="18"/>
          <w:szCs w:val="18"/>
          <w:color w:val="074A75"/>
        </w:rPr>
      </w:pPr>
      <w:r>
        <w:rPr>
          <w:rFonts w:ascii="Arial" w:cs="Arial" w:eastAsia="Arial" w:hAnsi="Arial"/>
          <w:sz w:val="18"/>
          <w:szCs w:val="18"/>
          <w:color w:val="auto"/>
        </w:rPr>
        <w:t>an analysis of PwC’s known legal risks and significant proceedings that could impair PwC’s ability to perform the Firm’s annual audit;</w:t>
      </w:r>
    </w:p>
    <w:p>
      <w:pPr>
        <w:spacing w:after="0" w:line="22" w:lineRule="exact"/>
        <w:rPr>
          <w:rFonts w:ascii="Arial" w:cs="Arial" w:eastAsia="Arial" w:hAnsi="Arial"/>
          <w:sz w:val="18"/>
          <w:szCs w:val="18"/>
          <w:color w:val="074A75"/>
        </w:rPr>
      </w:pPr>
    </w:p>
    <w:p>
      <w:pPr>
        <w:ind w:left="196" w:hanging="196"/>
        <w:spacing w:after="0"/>
        <w:tabs>
          <w:tab w:leader="none" w:pos="196" w:val="left"/>
        </w:tabs>
        <w:numPr>
          <w:ilvl w:val="0"/>
          <w:numId w:val="303"/>
        </w:numPr>
        <w:rPr>
          <w:rFonts w:ascii="Arial" w:cs="Arial" w:eastAsia="Arial" w:hAnsi="Arial"/>
          <w:sz w:val="18"/>
          <w:szCs w:val="18"/>
          <w:color w:val="074A75"/>
        </w:rPr>
      </w:pPr>
      <w:r>
        <w:rPr>
          <w:rFonts w:ascii="Arial" w:cs="Arial" w:eastAsia="Arial" w:hAnsi="Arial"/>
          <w:sz w:val="18"/>
          <w:szCs w:val="18"/>
          <w:color w:val="auto"/>
        </w:rPr>
        <w:t>PwC’s tenure as the Firm’s independent auditor;</w:t>
      </w:r>
    </w:p>
    <w:p>
      <w:pPr>
        <w:spacing w:after="0" w:line="76" w:lineRule="exact"/>
        <w:rPr>
          <w:rFonts w:ascii="Arial" w:cs="Arial" w:eastAsia="Arial" w:hAnsi="Arial"/>
          <w:sz w:val="18"/>
          <w:szCs w:val="18"/>
          <w:color w:val="074A75"/>
        </w:rPr>
      </w:pPr>
    </w:p>
    <w:p>
      <w:pPr>
        <w:jc w:val="both"/>
        <w:ind w:left="196" w:right="360" w:hanging="196"/>
        <w:spacing w:after="0" w:line="268" w:lineRule="auto"/>
        <w:tabs>
          <w:tab w:leader="none" w:pos="200" w:val="left"/>
        </w:tabs>
        <w:numPr>
          <w:ilvl w:val="0"/>
          <w:numId w:val="303"/>
        </w:numPr>
        <w:rPr>
          <w:rFonts w:ascii="Arial" w:cs="Arial" w:eastAsia="Arial" w:hAnsi="Arial"/>
          <w:sz w:val="18"/>
          <w:szCs w:val="18"/>
          <w:color w:val="074A75"/>
        </w:rPr>
      </w:pPr>
      <w:r>
        <w:rPr>
          <w:rFonts w:ascii="Arial" w:cs="Arial" w:eastAsia="Arial" w:hAnsi="Arial"/>
          <w:sz w:val="18"/>
          <w:szCs w:val="18"/>
          <w:color w:val="auto"/>
        </w:rPr>
        <w:t>the appropriateness of PwC’s fees, both on an absolute basis and as compared with fees paid by certain peer banking firms; and</w:t>
      </w:r>
    </w:p>
    <w:p>
      <w:pPr>
        <w:spacing w:after="0" w:line="35" w:lineRule="exact"/>
        <w:rPr>
          <w:rFonts w:ascii="Arial" w:cs="Arial" w:eastAsia="Arial" w:hAnsi="Arial"/>
          <w:sz w:val="18"/>
          <w:szCs w:val="18"/>
          <w:color w:val="074A75"/>
        </w:rPr>
      </w:pPr>
    </w:p>
    <w:p>
      <w:pPr>
        <w:ind w:left="196" w:right="340" w:hanging="196"/>
        <w:spacing w:after="0" w:line="262" w:lineRule="auto"/>
        <w:tabs>
          <w:tab w:leader="none" w:pos="200" w:val="left"/>
        </w:tabs>
        <w:numPr>
          <w:ilvl w:val="0"/>
          <w:numId w:val="303"/>
        </w:numPr>
        <w:rPr>
          <w:rFonts w:ascii="Arial" w:cs="Arial" w:eastAsia="Arial" w:hAnsi="Arial"/>
          <w:sz w:val="18"/>
          <w:szCs w:val="18"/>
          <w:color w:val="074A75"/>
        </w:rPr>
      </w:pPr>
      <w:r>
        <w:rPr>
          <w:rFonts w:ascii="Arial" w:cs="Arial" w:eastAsia="Arial" w:hAnsi="Arial"/>
          <w:sz w:val="18"/>
          <w:szCs w:val="18"/>
          <w:color w:val="auto"/>
        </w:rPr>
        <w:t>the advisability and potential impact of selecting a different independent registered public accounting firm, including the additional costs and inefficiencies associated with hiring a new independent registered public accounting firm.</w:t>
      </w:r>
    </w:p>
    <w:p>
      <w:pPr>
        <w:spacing w:after="0" w:line="200" w:lineRule="exact"/>
        <w:rPr>
          <w:sz w:val="20"/>
          <w:szCs w:val="20"/>
          <w:color w:val="auto"/>
        </w:rPr>
      </w:pPr>
    </w:p>
    <w:p>
      <w:pPr>
        <w:sectPr>
          <w:pgSz w:w="11900" w:h="16838" w:orient="portrait"/>
          <w:cols w:equalWidth="0" w:num="2">
            <w:col w:w="5360" w:space="384"/>
            <w:col w:w="5496"/>
          </w:cols>
          <w:pgMar w:left="320" w:top="157" w:right="339" w:bottom="1440" w:gutter="0" w:footer="0" w:header="0"/>
          <w:type w:val="continuous"/>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AUDIT MATTERS | </w:t>
      </w:r>
      <w:r>
        <w:rPr>
          <w:rFonts w:ascii="Arial" w:cs="Arial" w:eastAsia="Arial" w:hAnsi="Arial"/>
          <w:sz w:val="16"/>
          <w:szCs w:val="16"/>
          <w:color w:val="074A75"/>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 xml:space="preserve">PwC provided us the written disclosures and the letter required by PCAOB’s Ethics and Independence Rule 3526, </w:t>
      </w:r>
      <w:r>
        <w:rPr>
          <w:rFonts w:ascii="Arial" w:cs="Arial" w:eastAsia="Arial" w:hAnsi="Arial"/>
          <w:sz w:val="17"/>
          <w:szCs w:val="17"/>
          <w:i w:val="1"/>
          <w:iCs w:val="1"/>
          <w:color w:val="auto"/>
        </w:rPr>
        <w:t>Communications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Audit Committees Concerning Independence, </w:t>
      </w:r>
      <w:r>
        <w:rPr>
          <w:rFonts w:ascii="Arial" w:cs="Arial" w:eastAsia="Arial" w:hAnsi="Arial"/>
          <w:sz w:val="17"/>
          <w:szCs w:val="17"/>
          <w:color w:val="auto"/>
        </w:rPr>
        <w:t>and we</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and confirmed with PwC their independence.</w:t>
      </w:r>
    </w:p>
    <w:p>
      <w:pPr>
        <w:spacing w:after="0" w:line="5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result of this evaluation, we believe PwC has the capability to provide the necessary expertise, independence and professional skepticism to continue to audit the Firm’s businesses on a global basis, and we approved the appointment of PwC as JPMorgan Chase’s independent registered public accounting firm for 2024, subject to shareholder ratification.</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is responsible for the Firm’s internal control over financial reporting, the financial reporting process and JPMorgan Chase’s Consolidated Financial Statements. PwC is responsible for performing an independent audit of JPMorgan Chase’s Consolidated Financial Statements and of the effectiveness of internal control over financial reporting in accordance with auditing standards promulgated by the PCAOB. The Firm’s Internal Audit function, under the direction of the General Auditor, is independent of the Firm’s businesses and the Independent Risk Management function. Internal Audit reports directly to the Audit Committee (and administratively to the Firm’s CEO) and is responsible for preparing an annual audit plan and conducting internal audits intended to independently test and evaluate the Firm’s governance, risk management and internal controls. The members of the Audit Committee are not professionally engaged in the practice of accounting or auditing; as noted above, the Audit Committee’s responsibility is to monitor and oversee these processes.</w:t>
      </w:r>
    </w:p>
    <w:p>
      <w:pPr>
        <w:spacing w:after="0" w:line="8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Audit Committee regularly meets and holds discussions with the Firm’s management, internal auditors and with PwC, and also holds private sessions with the General Auditor and with PwC, without members of</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management present. These discussions include issues encountered during the audit, the Firm’s quarterly earnings materials, and Quarterly and Annual Reports on Form 10-Q and Form 10-K, respectively, prior to filing with the SEC; as well as actions the Audit Committee has taken during the prior year.</w:t>
      </w:r>
    </w:p>
    <w:p>
      <w:pPr>
        <w:spacing w:after="0" w:line="7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Management represented to us that JPMorgan Chase’s Consolidated Financial Statements were prepared in accordance with accounting principles generally accepted in the United States of America (“U.S. GAAP”). We reviewed and discussed JPMorgan Chase’s Consolidated Financial Statements with management, the General Auditor and PwC. We also reviewed and discussed with PwC the quality of the Firm’s significant accounting principles, the reasonableness of critical accounting estimates and judgments, critical audit matters PwC identified during the audit, and the disclosures in JPMorgan Chase’s Consolidated Financial Statements, including disclosures relating to significant accounting policies. We relied, without independent verification, on the information provided to us and on the representations made by management, internal auditors and the independent auditor. Based on our review of the reports given to us by PwC and our discussions with the Firm’s management, internal auditors and PwC, as well as their respective representations to us, we recommended to the Board, and the Board approved, inclusion of the audited Consolidated Financial Statements in the 2023 Annual Report on Form 10-K, as filed with the SEC.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March 18,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Timothy P. Flynn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A. Neal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Phebe N. Novakovic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Weinberger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357505</wp:posOffset>
            </wp:positionV>
            <wp:extent cx="27432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89  </w:t>
      </w:r>
      <w:r>
        <w:rPr>
          <w:sz w:val="1"/>
          <w:szCs w:val="1"/>
          <w:color w:val="auto"/>
        </w:rPr>
        <w:drawing>
          <wp:inline distT="0" distB="0" distL="0" distR="0">
            <wp:extent cx="2203450" cy="154305"/>
            <wp:effectExtent l="0" t="0" r="0" b="0"/>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43"/>
          <w:szCs w:val="43"/>
          <w:color w:val="074A75"/>
        </w:rPr>
        <w:t>Shareholder Proposals</w:t>
      </w:r>
      <w:r>
        <w:rPr>
          <w:rFonts w:ascii="Arial" w:cs="Arial" w:eastAsia="Arial" w:hAnsi="Arial"/>
          <w:sz w:val="56"/>
          <w:szCs w:val="56"/>
          <w:color w:val="074A75"/>
          <w:vertAlign w:val="superscript"/>
        </w:rPr>
        <w:t>1</w:t>
      </w:r>
      <w:r>
        <w:rPr>
          <w:rFonts w:ascii="Arial" w:cs="Arial" w:eastAsia="Arial" w:hAnsi="Arial"/>
          <w:sz w:val="43"/>
          <w:szCs w:val="43"/>
          <w:color w:val="074A7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294640</wp:posOffset>
            </wp:positionV>
            <wp:extent cx="34118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5740" w:type="dxa"/>
        <w:tblCellMar>
          <w:top w:w="0" w:type="dxa"/>
          <w:left w:w="0" w:type="dxa"/>
          <w:bottom w:w="0" w:type="dxa"/>
          <w:right w:w="0" w:type="dxa"/>
        </w:tblCellMar>
      </w:tblPr>
      <w:tr>
        <w:trPr>
          <w:trHeight w:val="283"/>
        </w:trPr>
        <w:tc>
          <w:tcPr>
            <w:tcW w:w="3960" w:type="dxa"/>
            <w:vAlign w:val="bottom"/>
          </w:tcPr>
          <w:p>
            <w:pPr>
              <w:ind w:left="20"/>
              <w:spacing w:after="0"/>
              <w:rPr>
                <w:sz w:val="20"/>
                <w:szCs w:val="20"/>
                <w:color w:val="auto"/>
              </w:rPr>
            </w:pPr>
            <w:r>
              <w:rPr>
                <w:rFonts w:ascii="Arial" w:cs="Arial" w:eastAsia="Arial" w:hAnsi="Arial"/>
                <w:sz w:val="22"/>
                <w:szCs w:val="22"/>
                <w:color w:val="074A75"/>
              </w:rPr>
              <w:t>Introduction</w:t>
            </w:r>
          </w:p>
        </w:tc>
        <w:tc>
          <w:tcPr>
            <w:tcW w:w="1420" w:type="dxa"/>
            <w:vAlign w:val="bottom"/>
          </w:tcPr>
          <w:p>
            <w:pPr>
              <w:jc w:val="right"/>
              <w:spacing w:after="0"/>
              <w:rPr>
                <w:sz w:val="20"/>
                <w:szCs w:val="20"/>
                <w:color w:val="auto"/>
              </w:rPr>
            </w:pPr>
            <w:r>
              <w:rPr>
                <w:rFonts w:ascii="Arial" w:cs="Arial" w:eastAsia="Arial" w:hAnsi="Arial"/>
                <w:sz w:val="22"/>
                <w:szCs w:val="22"/>
                <w:color w:val="074A75"/>
              </w:rPr>
              <w:t>91</w:t>
            </w:r>
          </w:p>
        </w:tc>
        <w:tc>
          <w:tcPr>
            <w:tcW w:w="0" w:type="dxa"/>
            <w:vAlign w:val="bottom"/>
          </w:tcPr>
          <w:p>
            <w:pPr>
              <w:spacing w:after="0"/>
              <w:rPr>
                <w:sz w:val="1"/>
                <w:szCs w:val="1"/>
                <w:color w:val="auto"/>
              </w:rPr>
            </w:pPr>
          </w:p>
        </w:tc>
      </w:tr>
      <w:tr>
        <w:trPr>
          <w:trHeight w:val="67"/>
        </w:trPr>
        <w:tc>
          <w:tcPr>
            <w:tcW w:w="3960" w:type="dxa"/>
            <w:vAlign w:val="bottom"/>
            <w:tcBorders>
              <w:bottom w:val="single" w:sz="8" w:color="074A75"/>
            </w:tcBorders>
          </w:tcPr>
          <w:p>
            <w:pPr>
              <w:spacing w:after="0"/>
              <w:rPr>
                <w:sz w:val="5"/>
                <w:szCs w:val="5"/>
                <w:color w:val="auto"/>
              </w:rPr>
            </w:pPr>
          </w:p>
        </w:tc>
        <w:tc>
          <w:tcPr>
            <w:tcW w:w="1420" w:type="dxa"/>
            <w:vAlign w:val="bottom"/>
            <w:tcBorders>
              <w:bottom w:val="single" w:sz="8" w:color="074A75"/>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960" w:type="dxa"/>
            <w:vAlign w:val="bottom"/>
          </w:tcPr>
          <w:p>
            <w:pPr>
              <w:ind w:left="20"/>
              <w:spacing w:after="0"/>
              <w:rPr>
                <w:sz w:val="20"/>
                <w:szCs w:val="20"/>
                <w:color w:val="auto"/>
              </w:rPr>
            </w:pPr>
            <w:r>
              <w:rPr>
                <w:rFonts w:ascii="Arial" w:cs="Arial" w:eastAsia="Arial" w:hAnsi="Arial"/>
                <w:sz w:val="22"/>
                <w:szCs w:val="22"/>
                <w:color w:val="074A75"/>
              </w:rPr>
              <w:t>PROPOSAL 5:</w:t>
            </w:r>
          </w:p>
        </w:tc>
        <w:tc>
          <w:tcPr>
            <w:tcW w:w="1420" w:type="dxa"/>
            <w:vAlign w:val="bottom"/>
            <w:vMerge w:val="restart"/>
          </w:tcPr>
          <w:p>
            <w:pPr>
              <w:jc w:val="right"/>
              <w:spacing w:after="0"/>
              <w:rPr>
                <w:sz w:val="20"/>
                <w:szCs w:val="20"/>
                <w:color w:val="auto"/>
              </w:rPr>
            </w:pPr>
            <w:r>
              <w:rPr>
                <w:rFonts w:ascii="Arial" w:cs="Arial" w:eastAsia="Arial" w:hAnsi="Arial"/>
                <w:sz w:val="22"/>
                <w:szCs w:val="22"/>
                <w:color w:val="074A75"/>
              </w:rPr>
              <w:t>92</w:t>
            </w:r>
          </w:p>
        </w:tc>
        <w:tc>
          <w:tcPr>
            <w:tcW w:w="0" w:type="dxa"/>
            <w:vAlign w:val="bottom"/>
          </w:tcPr>
          <w:p>
            <w:pPr>
              <w:spacing w:after="0"/>
              <w:rPr>
                <w:sz w:val="1"/>
                <w:szCs w:val="1"/>
                <w:color w:val="auto"/>
              </w:rPr>
            </w:pPr>
          </w:p>
        </w:tc>
      </w:tr>
      <w:tr>
        <w:trPr>
          <w:trHeight w:val="283"/>
        </w:trPr>
        <w:tc>
          <w:tcPr>
            <w:tcW w:w="3960" w:type="dxa"/>
            <w:vAlign w:val="bottom"/>
          </w:tcPr>
          <w:p>
            <w:pPr>
              <w:ind w:left="20"/>
              <w:spacing w:after="0"/>
              <w:rPr>
                <w:sz w:val="20"/>
                <w:szCs w:val="20"/>
                <w:color w:val="auto"/>
              </w:rPr>
            </w:pPr>
            <w:r>
              <w:rPr>
                <w:rFonts w:ascii="Arial" w:cs="Arial" w:eastAsia="Arial" w:hAnsi="Arial"/>
                <w:sz w:val="22"/>
                <w:szCs w:val="22"/>
                <w:color w:val="074A75"/>
              </w:rPr>
              <w:t>Independent board chairman</w:t>
            </w: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33655</wp:posOffset>
            </wp:positionV>
            <wp:extent cx="34118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02" w:lineRule="exact"/>
        <w:rPr>
          <w:sz w:val="20"/>
          <w:szCs w:val="20"/>
          <w:color w:val="auto"/>
        </w:rPr>
      </w:pPr>
    </w:p>
    <w:tbl>
      <w:tblPr>
        <w:tblLayout w:type="fixed"/>
        <w:tblInd w:w="5740" w:type="dxa"/>
        <w:tblCellMar>
          <w:top w:w="0" w:type="dxa"/>
          <w:left w:w="0" w:type="dxa"/>
          <w:bottom w:w="0" w:type="dxa"/>
          <w:right w:w="0" w:type="dxa"/>
        </w:tblCellMar>
      </w:tblPr>
      <w:tr>
        <w:trPr>
          <w:trHeight w:val="270"/>
        </w:trPr>
        <w:tc>
          <w:tcPr>
            <w:tcW w:w="4880" w:type="dxa"/>
            <w:vAlign w:val="bottom"/>
          </w:tcPr>
          <w:p>
            <w:pPr>
              <w:ind w:left="20"/>
              <w:spacing w:after="0"/>
              <w:rPr>
                <w:sz w:val="20"/>
                <w:szCs w:val="20"/>
                <w:color w:val="auto"/>
              </w:rPr>
            </w:pPr>
            <w:r>
              <w:rPr>
                <w:rFonts w:ascii="Arial" w:cs="Arial" w:eastAsia="Arial" w:hAnsi="Arial"/>
                <w:sz w:val="22"/>
                <w:szCs w:val="22"/>
                <w:color w:val="074A75"/>
              </w:rPr>
              <w:t>PROPOSAL 6:</w:t>
            </w:r>
          </w:p>
        </w:tc>
        <w:tc>
          <w:tcPr>
            <w:tcW w:w="500" w:type="dxa"/>
            <w:vAlign w:val="bottom"/>
            <w:vMerge w:val="restart"/>
          </w:tcPr>
          <w:p>
            <w:pPr>
              <w:jc w:val="right"/>
              <w:spacing w:after="0"/>
              <w:rPr>
                <w:sz w:val="20"/>
                <w:szCs w:val="20"/>
                <w:color w:val="auto"/>
              </w:rPr>
            </w:pPr>
            <w:r>
              <w:rPr>
                <w:rFonts w:ascii="Arial" w:cs="Arial" w:eastAsia="Arial" w:hAnsi="Arial"/>
                <w:sz w:val="22"/>
                <w:szCs w:val="22"/>
                <w:color w:val="074A75"/>
              </w:rPr>
              <w:t>94</w:t>
            </w:r>
          </w:p>
        </w:tc>
        <w:tc>
          <w:tcPr>
            <w:tcW w:w="0" w:type="dxa"/>
            <w:vAlign w:val="bottom"/>
          </w:tcPr>
          <w:p>
            <w:pPr>
              <w:spacing w:after="0"/>
              <w:rPr>
                <w:sz w:val="1"/>
                <w:szCs w:val="1"/>
                <w:color w:val="auto"/>
              </w:rPr>
            </w:pPr>
          </w:p>
        </w:tc>
      </w:tr>
      <w:tr>
        <w:trPr>
          <w:trHeight w:val="162"/>
        </w:trPr>
        <w:tc>
          <w:tcPr>
            <w:tcW w:w="4880" w:type="dxa"/>
            <w:vAlign w:val="bottom"/>
            <w:vMerge w:val="restart"/>
          </w:tcPr>
          <w:p>
            <w:pPr>
              <w:ind w:left="20"/>
              <w:spacing w:after="0"/>
              <w:rPr>
                <w:sz w:val="20"/>
                <w:szCs w:val="20"/>
                <w:color w:val="auto"/>
              </w:rPr>
            </w:pPr>
            <w:r>
              <w:rPr>
                <w:rFonts w:ascii="Arial" w:cs="Arial" w:eastAsia="Arial" w:hAnsi="Arial"/>
                <w:sz w:val="22"/>
                <w:szCs w:val="22"/>
                <w:color w:val="074A75"/>
              </w:rPr>
              <w:t>Humanitarian risks due to climate change policies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8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880" w:type="dxa"/>
            <w:vAlign w:val="bottom"/>
            <w:tcBorders>
              <w:bottom w:val="single" w:sz="8" w:color="074A75"/>
            </w:tcBorders>
          </w:tcPr>
          <w:p>
            <w:pPr>
              <w:spacing w:after="0"/>
              <w:rPr>
                <w:sz w:val="4"/>
                <w:szCs w:val="4"/>
                <w:color w:val="auto"/>
              </w:rPr>
            </w:pPr>
          </w:p>
        </w:tc>
        <w:tc>
          <w:tcPr>
            <w:tcW w:w="500" w:type="dxa"/>
            <w:vAlign w:val="bottom"/>
            <w:tcBorders>
              <w:bottom w:val="single" w:sz="8" w:color="074A75"/>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880" w:type="dxa"/>
            <w:vAlign w:val="bottom"/>
          </w:tcPr>
          <w:p>
            <w:pPr>
              <w:ind w:left="20"/>
              <w:spacing w:after="0"/>
              <w:rPr>
                <w:sz w:val="20"/>
                <w:szCs w:val="20"/>
                <w:color w:val="auto"/>
              </w:rPr>
            </w:pPr>
            <w:r>
              <w:rPr>
                <w:rFonts w:ascii="Arial" w:cs="Arial" w:eastAsia="Arial" w:hAnsi="Arial"/>
                <w:sz w:val="22"/>
                <w:szCs w:val="22"/>
                <w:color w:val="074A75"/>
              </w:rPr>
              <w:t>PROPOSAL 7:</w:t>
            </w:r>
          </w:p>
        </w:tc>
        <w:tc>
          <w:tcPr>
            <w:tcW w:w="500" w:type="dxa"/>
            <w:vAlign w:val="bottom"/>
            <w:vMerge w:val="restart"/>
          </w:tcPr>
          <w:p>
            <w:pPr>
              <w:jc w:val="right"/>
              <w:spacing w:after="0"/>
              <w:rPr>
                <w:sz w:val="20"/>
                <w:szCs w:val="20"/>
                <w:color w:val="auto"/>
              </w:rPr>
            </w:pPr>
            <w:r>
              <w:rPr>
                <w:rFonts w:ascii="Arial" w:cs="Arial" w:eastAsia="Arial" w:hAnsi="Arial"/>
                <w:sz w:val="22"/>
                <w:szCs w:val="22"/>
                <w:color w:val="074A75"/>
              </w:rPr>
              <w:t>96</w:t>
            </w:r>
          </w:p>
        </w:tc>
        <w:tc>
          <w:tcPr>
            <w:tcW w:w="0" w:type="dxa"/>
            <w:vAlign w:val="bottom"/>
          </w:tcPr>
          <w:p>
            <w:pPr>
              <w:spacing w:after="0"/>
              <w:rPr>
                <w:sz w:val="1"/>
                <w:szCs w:val="1"/>
                <w:color w:val="auto"/>
              </w:rPr>
            </w:pPr>
          </w:p>
        </w:tc>
      </w:tr>
      <w:tr>
        <w:trPr>
          <w:trHeight w:val="162"/>
        </w:trPr>
        <w:tc>
          <w:tcPr>
            <w:tcW w:w="4880" w:type="dxa"/>
            <w:vAlign w:val="bottom"/>
            <w:vMerge w:val="restart"/>
          </w:tcPr>
          <w:p>
            <w:pPr>
              <w:ind w:left="20"/>
              <w:spacing w:after="0"/>
              <w:rPr>
                <w:sz w:val="20"/>
                <w:szCs w:val="20"/>
                <w:color w:val="auto"/>
              </w:rPr>
            </w:pPr>
            <w:r>
              <w:rPr>
                <w:rFonts w:ascii="Arial" w:cs="Arial" w:eastAsia="Arial" w:hAnsi="Arial"/>
                <w:sz w:val="22"/>
                <w:szCs w:val="22"/>
                <w:color w:val="074A75"/>
              </w:rPr>
              <w:t>Indigenous peoples' rights indicators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8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880" w:type="dxa"/>
            <w:vAlign w:val="bottom"/>
            <w:tcBorders>
              <w:bottom w:val="single" w:sz="8" w:color="074A75"/>
            </w:tcBorders>
          </w:tcPr>
          <w:p>
            <w:pPr>
              <w:spacing w:after="0"/>
              <w:rPr>
                <w:sz w:val="4"/>
                <w:szCs w:val="4"/>
                <w:color w:val="auto"/>
              </w:rPr>
            </w:pPr>
          </w:p>
        </w:tc>
        <w:tc>
          <w:tcPr>
            <w:tcW w:w="500" w:type="dxa"/>
            <w:vAlign w:val="bottom"/>
            <w:tcBorders>
              <w:bottom w:val="single" w:sz="8" w:color="074A75"/>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880" w:type="dxa"/>
            <w:vAlign w:val="bottom"/>
          </w:tcPr>
          <w:p>
            <w:pPr>
              <w:ind w:left="20"/>
              <w:spacing w:after="0"/>
              <w:rPr>
                <w:sz w:val="20"/>
                <w:szCs w:val="20"/>
                <w:color w:val="auto"/>
              </w:rPr>
            </w:pPr>
            <w:r>
              <w:rPr>
                <w:rFonts w:ascii="Arial" w:cs="Arial" w:eastAsia="Arial" w:hAnsi="Arial"/>
                <w:sz w:val="22"/>
                <w:szCs w:val="22"/>
                <w:color w:val="074A75"/>
              </w:rPr>
              <w:t>PROPOSAL 8:</w:t>
            </w:r>
          </w:p>
        </w:tc>
        <w:tc>
          <w:tcPr>
            <w:tcW w:w="500" w:type="dxa"/>
            <w:vAlign w:val="bottom"/>
            <w:vMerge w:val="restart"/>
          </w:tcPr>
          <w:p>
            <w:pPr>
              <w:jc w:val="right"/>
              <w:spacing w:after="0"/>
              <w:rPr>
                <w:sz w:val="20"/>
                <w:szCs w:val="20"/>
                <w:color w:val="auto"/>
              </w:rPr>
            </w:pPr>
            <w:r>
              <w:rPr>
                <w:rFonts w:ascii="Arial" w:cs="Arial" w:eastAsia="Arial" w:hAnsi="Arial"/>
                <w:sz w:val="22"/>
                <w:szCs w:val="22"/>
                <w:color w:val="074A75"/>
              </w:rPr>
              <w:t>97</w:t>
            </w:r>
          </w:p>
        </w:tc>
        <w:tc>
          <w:tcPr>
            <w:tcW w:w="0" w:type="dxa"/>
            <w:vAlign w:val="bottom"/>
          </w:tcPr>
          <w:p>
            <w:pPr>
              <w:spacing w:after="0"/>
              <w:rPr>
                <w:sz w:val="1"/>
                <w:szCs w:val="1"/>
                <w:color w:val="auto"/>
              </w:rPr>
            </w:pPr>
          </w:p>
        </w:tc>
      </w:tr>
      <w:tr>
        <w:trPr>
          <w:trHeight w:val="162"/>
        </w:trPr>
        <w:tc>
          <w:tcPr>
            <w:tcW w:w="4880" w:type="dxa"/>
            <w:vAlign w:val="bottom"/>
            <w:vMerge w:val="restart"/>
          </w:tcPr>
          <w:p>
            <w:pPr>
              <w:ind w:left="20"/>
              <w:spacing w:after="0"/>
              <w:rPr>
                <w:sz w:val="20"/>
                <w:szCs w:val="20"/>
                <w:color w:val="auto"/>
              </w:rPr>
            </w:pPr>
            <w:r>
              <w:rPr>
                <w:rFonts w:ascii="Arial" w:cs="Arial" w:eastAsia="Arial" w:hAnsi="Arial"/>
                <w:sz w:val="22"/>
                <w:szCs w:val="22"/>
                <w:color w:val="074A75"/>
              </w:rPr>
              <w:t>Proxy voting alignment</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8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880" w:type="dxa"/>
            <w:vAlign w:val="bottom"/>
            <w:tcBorders>
              <w:bottom w:val="single" w:sz="8" w:color="074A75"/>
            </w:tcBorders>
          </w:tcPr>
          <w:p>
            <w:pPr>
              <w:spacing w:after="0"/>
              <w:rPr>
                <w:sz w:val="4"/>
                <w:szCs w:val="4"/>
                <w:color w:val="auto"/>
              </w:rPr>
            </w:pPr>
          </w:p>
        </w:tc>
        <w:tc>
          <w:tcPr>
            <w:tcW w:w="500" w:type="dxa"/>
            <w:vAlign w:val="bottom"/>
            <w:tcBorders>
              <w:bottom w:val="single" w:sz="8" w:color="074A75"/>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880" w:type="dxa"/>
            <w:vAlign w:val="bottom"/>
          </w:tcPr>
          <w:p>
            <w:pPr>
              <w:ind w:left="20"/>
              <w:spacing w:after="0"/>
              <w:rPr>
                <w:sz w:val="20"/>
                <w:szCs w:val="20"/>
                <w:color w:val="auto"/>
              </w:rPr>
            </w:pPr>
            <w:r>
              <w:rPr>
                <w:rFonts w:ascii="Arial" w:cs="Arial" w:eastAsia="Arial" w:hAnsi="Arial"/>
                <w:sz w:val="22"/>
                <w:szCs w:val="22"/>
                <w:color w:val="074A75"/>
              </w:rPr>
              <w:t>PROPOSAL 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80" w:type="dxa"/>
            <w:vAlign w:val="bottom"/>
          </w:tcPr>
          <w:p>
            <w:pPr>
              <w:ind w:left="20"/>
              <w:spacing w:after="0"/>
              <w:rPr>
                <w:sz w:val="20"/>
                <w:szCs w:val="20"/>
                <w:color w:val="auto"/>
              </w:rPr>
            </w:pPr>
            <w:r>
              <w:rPr>
                <w:rFonts w:ascii="Arial" w:cs="Arial" w:eastAsia="Arial" w:hAnsi="Arial"/>
                <w:sz w:val="22"/>
                <w:szCs w:val="22"/>
                <w:color w:val="074A75"/>
              </w:rPr>
              <w:t>Report on due diligence in conflict-affected and</w:t>
            </w:r>
          </w:p>
        </w:tc>
        <w:tc>
          <w:tcPr>
            <w:tcW w:w="500" w:type="dxa"/>
            <w:vAlign w:val="bottom"/>
            <w:vMerge w:val="restart"/>
          </w:tcPr>
          <w:p>
            <w:pPr>
              <w:jc w:val="right"/>
              <w:spacing w:after="0"/>
              <w:rPr>
                <w:sz w:val="20"/>
                <w:szCs w:val="20"/>
                <w:color w:val="auto"/>
              </w:rPr>
            </w:pPr>
            <w:r>
              <w:rPr>
                <w:rFonts w:ascii="Arial" w:cs="Arial" w:eastAsia="Arial" w:hAnsi="Arial"/>
                <w:sz w:val="22"/>
                <w:szCs w:val="22"/>
                <w:color w:val="074A75"/>
              </w:rPr>
              <w:t>100</w:t>
            </w:r>
          </w:p>
        </w:tc>
        <w:tc>
          <w:tcPr>
            <w:tcW w:w="0" w:type="dxa"/>
            <w:vAlign w:val="bottom"/>
          </w:tcPr>
          <w:p>
            <w:pPr>
              <w:spacing w:after="0"/>
              <w:rPr>
                <w:sz w:val="1"/>
                <w:szCs w:val="1"/>
                <w:color w:val="auto"/>
              </w:rPr>
            </w:pPr>
          </w:p>
        </w:tc>
      </w:tr>
      <w:tr>
        <w:trPr>
          <w:trHeight w:val="175"/>
        </w:trPr>
        <w:tc>
          <w:tcPr>
            <w:tcW w:w="4880" w:type="dxa"/>
            <w:vAlign w:val="bottom"/>
            <w:vMerge w:val="restart"/>
          </w:tcPr>
          <w:p>
            <w:pPr>
              <w:ind w:left="20"/>
              <w:spacing w:after="0"/>
              <w:rPr>
                <w:sz w:val="20"/>
                <w:szCs w:val="20"/>
                <w:color w:val="auto"/>
              </w:rPr>
            </w:pPr>
            <w:r>
              <w:rPr>
                <w:rFonts w:ascii="Arial" w:cs="Arial" w:eastAsia="Arial" w:hAnsi="Arial"/>
                <w:sz w:val="22"/>
                <w:szCs w:val="22"/>
                <w:color w:val="074A75"/>
              </w:rPr>
              <w:t>high-risk areas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8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880" w:type="dxa"/>
            <w:vAlign w:val="bottom"/>
            <w:tcBorders>
              <w:bottom w:val="single" w:sz="8" w:color="074A75"/>
            </w:tcBorders>
          </w:tcPr>
          <w:p>
            <w:pPr>
              <w:spacing w:after="0"/>
              <w:rPr>
                <w:sz w:val="5"/>
                <w:szCs w:val="5"/>
                <w:color w:val="auto"/>
              </w:rPr>
            </w:pPr>
          </w:p>
        </w:tc>
        <w:tc>
          <w:tcPr>
            <w:tcW w:w="500" w:type="dxa"/>
            <w:vAlign w:val="bottom"/>
            <w:tcBorders>
              <w:bottom w:val="single" w:sz="8" w:color="074A75"/>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880" w:type="dxa"/>
            <w:vAlign w:val="bottom"/>
          </w:tcPr>
          <w:p>
            <w:pPr>
              <w:ind w:left="20"/>
              <w:spacing w:after="0"/>
              <w:rPr>
                <w:sz w:val="20"/>
                <w:szCs w:val="20"/>
                <w:color w:val="auto"/>
              </w:rPr>
            </w:pPr>
            <w:r>
              <w:rPr>
                <w:rFonts w:ascii="Arial" w:cs="Arial" w:eastAsia="Arial" w:hAnsi="Arial"/>
                <w:sz w:val="22"/>
                <w:szCs w:val="22"/>
                <w:color w:val="074A75"/>
              </w:rPr>
              <w:t>PROPOSAL 10: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80" w:type="dxa"/>
            <w:vAlign w:val="bottom"/>
          </w:tcPr>
          <w:p>
            <w:pPr>
              <w:ind w:left="20"/>
              <w:spacing w:after="0"/>
              <w:rPr>
                <w:sz w:val="20"/>
                <w:szCs w:val="20"/>
                <w:color w:val="auto"/>
              </w:rPr>
            </w:pPr>
            <w:r>
              <w:rPr>
                <w:rFonts w:ascii="Arial" w:cs="Arial" w:eastAsia="Arial" w:hAnsi="Arial"/>
                <w:sz w:val="22"/>
                <w:szCs w:val="22"/>
                <w:color w:val="074A75"/>
              </w:rPr>
              <w:t>Shareholder opportunity to vote on excessive</w:t>
            </w:r>
          </w:p>
        </w:tc>
        <w:tc>
          <w:tcPr>
            <w:tcW w:w="500" w:type="dxa"/>
            <w:vAlign w:val="bottom"/>
            <w:vMerge w:val="restart"/>
          </w:tcPr>
          <w:p>
            <w:pPr>
              <w:jc w:val="right"/>
              <w:spacing w:after="0"/>
              <w:rPr>
                <w:sz w:val="20"/>
                <w:szCs w:val="20"/>
                <w:color w:val="auto"/>
              </w:rPr>
            </w:pPr>
            <w:r>
              <w:rPr>
                <w:rFonts w:ascii="Arial" w:cs="Arial" w:eastAsia="Arial" w:hAnsi="Arial"/>
                <w:sz w:val="22"/>
                <w:szCs w:val="22"/>
                <w:color w:val="074A75"/>
              </w:rPr>
              <w:t>101</w:t>
            </w:r>
          </w:p>
        </w:tc>
        <w:tc>
          <w:tcPr>
            <w:tcW w:w="0" w:type="dxa"/>
            <w:vAlign w:val="bottom"/>
          </w:tcPr>
          <w:p>
            <w:pPr>
              <w:spacing w:after="0"/>
              <w:rPr>
                <w:sz w:val="1"/>
                <w:szCs w:val="1"/>
                <w:color w:val="auto"/>
              </w:rPr>
            </w:pPr>
          </w:p>
        </w:tc>
      </w:tr>
      <w:tr>
        <w:trPr>
          <w:trHeight w:val="175"/>
        </w:trPr>
        <w:tc>
          <w:tcPr>
            <w:tcW w:w="4880" w:type="dxa"/>
            <w:vAlign w:val="bottom"/>
            <w:vMerge w:val="restart"/>
          </w:tcPr>
          <w:p>
            <w:pPr>
              <w:ind w:left="20"/>
              <w:spacing w:after="0"/>
              <w:rPr>
                <w:sz w:val="20"/>
                <w:szCs w:val="20"/>
                <w:color w:val="auto"/>
              </w:rPr>
            </w:pPr>
            <w:r>
              <w:rPr>
                <w:rFonts w:ascii="Arial" w:cs="Arial" w:eastAsia="Arial" w:hAnsi="Arial"/>
                <w:sz w:val="22"/>
                <w:szCs w:val="22"/>
                <w:color w:val="074A75"/>
              </w:rPr>
              <w:t>golden parachutes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8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880" w:type="dxa"/>
            <w:vAlign w:val="bottom"/>
            <w:tcBorders>
              <w:bottom w:val="single" w:sz="8" w:color="074A75"/>
            </w:tcBorders>
          </w:tcPr>
          <w:p>
            <w:pPr>
              <w:spacing w:after="0"/>
              <w:rPr>
                <w:sz w:val="5"/>
                <w:szCs w:val="5"/>
                <w:color w:val="auto"/>
              </w:rPr>
            </w:pPr>
          </w:p>
        </w:tc>
        <w:tc>
          <w:tcPr>
            <w:tcW w:w="500" w:type="dxa"/>
            <w:vAlign w:val="bottom"/>
            <w:tcBorders>
              <w:bottom w:val="single" w:sz="8" w:color="074A75"/>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880" w:type="dxa"/>
            <w:vAlign w:val="bottom"/>
          </w:tcPr>
          <w:p>
            <w:pPr>
              <w:ind w:left="20"/>
              <w:spacing w:after="0"/>
              <w:rPr>
                <w:sz w:val="20"/>
                <w:szCs w:val="20"/>
                <w:color w:val="auto"/>
              </w:rPr>
            </w:pPr>
            <w:r>
              <w:rPr>
                <w:rFonts w:ascii="Arial" w:cs="Arial" w:eastAsia="Arial" w:hAnsi="Arial"/>
                <w:sz w:val="22"/>
                <w:szCs w:val="22"/>
                <w:color w:val="074A75"/>
              </w:rPr>
              <w:t>PROPOSAL 11:</w:t>
            </w:r>
          </w:p>
        </w:tc>
        <w:tc>
          <w:tcPr>
            <w:tcW w:w="500" w:type="dxa"/>
            <w:vAlign w:val="bottom"/>
            <w:vMerge w:val="restart"/>
          </w:tcPr>
          <w:p>
            <w:pPr>
              <w:jc w:val="right"/>
              <w:spacing w:after="0"/>
              <w:rPr>
                <w:sz w:val="20"/>
                <w:szCs w:val="20"/>
                <w:color w:val="auto"/>
              </w:rPr>
            </w:pPr>
            <w:r>
              <w:rPr>
                <w:rFonts w:ascii="Arial" w:cs="Arial" w:eastAsia="Arial" w:hAnsi="Arial"/>
                <w:sz w:val="22"/>
                <w:szCs w:val="22"/>
                <w:color w:val="074A75"/>
              </w:rPr>
              <w:t>104</w:t>
            </w:r>
          </w:p>
        </w:tc>
        <w:tc>
          <w:tcPr>
            <w:tcW w:w="0" w:type="dxa"/>
            <w:vAlign w:val="bottom"/>
          </w:tcPr>
          <w:p>
            <w:pPr>
              <w:spacing w:after="0"/>
              <w:rPr>
                <w:sz w:val="1"/>
                <w:szCs w:val="1"/>
                <w:color w:val="auto"/>
              </w:rPr>
            </w:pPr>
          </w:p>
        </w:tc>
      </w:tr>
      <w:tr>
        <w:trPr>
          <w:trHeight w:val="162"/>
        </w:trPr>
        <w:tc>
          <w:tcPr>
            <w:tcW w:w="4880" w:type="dxa"/>
            <w:vAlign w:val="bottom"/>
            <w:vMerge w:val="restart"/>
          </w:tcPr>
          <w:p>
            <w:pPr>
              <w:ind w:left="20"/>
              <w:spacing w:after="0"/>
              <w:rPr>
                <w:sz w:val="20"/>
                <w:szCs w:val="20"/>
                <w:color w:val="auto"/>
              </w:rPr>
            </w:pPr>
            <w:r>
              <w:rPr>
                <w:rFonts w:ascii="Arial" w:cs="Arial" w:eastAsia="Arial" w:hAnsi="Arial"/>
                <w:sz w:val="22"/>
                <w:szCs w:val="22"/>
                <w:color w:val="074A75"/>
              </w:rPr>
              <w:t>Report on respecting workforce civil liberties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8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880" w:type="dxa"/>
            <w:vAlign w:val="bottom"/>
            <w:tcBorders>
              <w:bottom w:val="single" w:sz="8" w:color="074A75"/>
            </w:tcBorders>
          </w:tcPr>
          <w:p>
            <w:pPr>
              <w:spacing w:after="0"/>
              <w:rPr>
                <w:sz w:val="4"/>
                <w:szCs w:val="4"/>
                <w:color w:val="auto"/>
              </w:rPr>
            </w:pPr>
          </w:p>
        </w:tc>
        <w:tc>
          <w:tcPr>
            <w:tcW w:w="500" w:type="dxa"/>
            <w:vAlign w:val="bottom"/>
            <w:tcBorders>
              <w:bottom w:val="single" w:sz="8" w:color="074A75"/>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1731645</wp:posOffset>
            </wp:positionV>
            <wp:extent cx="3111500" cy="6172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1115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-139065</wp:posOffset>
            </wp:positionV>
            <wp:extent cx="179705" cy="28257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79705" cy="282575"/>
                    </a:xfrm>
                    <a:prstGeom prst="rect">
                      <a:avLst/>
                    </a:prstGeom>
                    <a:noFill/>
                  </pic:spPr>
                </pic:pic>
              </a:graphicData>
            </a:graphic>
          </wp:anchor>
        </w:drawing>
      </w:r>
    </w:p>
    <w:p>
      <w:pPr>
        <w:spacing w:after="0" w:line="34" w:lineRule="exact"/>
        <w:rPr>
          <w:sz w:val="20"/>
          <w:szCs w:val="20"/>
          <w:color w:val="auto"/>
        </w:rPr>
      </w:pPr>
    </w:p>
    <w:p>
      <w:pPr>
        <w:jc w:val="right"/>
        <w:ind w:right="5880"/>
        <w:spacing w:after="0"/>
        <w:rPr>
          <w:sz w:val="20"/>
          <w:szCs w:val="20"/>
          <w:color w:val="auto"/>
        </w:rPr>
      </w:pPr>
      <w:r>
        <w:rPr>
          <w:rFonts w:ascii="Arial" w:cs="Arial" w:eastAsia="Arial" w:hAnsi="Arial"/>
          <w:sz w:val="20"/>
          <w:szCs w:val="20"/>
          <w:b w:val="1"/>
          <w:bCs w:val="1"/>
          <w:color w:val="FFFFFF"/>
        </w:rPr>
        <w:t>Vote AGAINST shareholder proposals, if presented</w:t>
      </w:r>
    </w:p>
    <w:p>
      <w:pPr>
        <w:spacing w:after="0" w:line="200" w:lineRule="exact"/>
        <w:rPr>
          <w:sz w:val="20"/>
          <w:szCs w:val="20"/>
          <w:color w:val="auto"/>
        </w:rPr>
      </w:pPr>
    </w:p>
    <w:p>
      <w:pPr>
        <w:spacing w:after="0" w:line="237" w:lineRule="exact"/>
        <w:rPr>
          <w:sz w:val="20"/>
          <w:szCs w:val="20"/>
          <w:color w:val="auto"/>
        </w:rPr>
      </w:pPr>
    </w:p>
    <w:p>
      <w:pPr>
        <w:ind w:left="200" w:right="5980" w:hanging="192"/>
        <w:spacing w:after="0" w:line="230" w:lineRule="auto"/>
        <w:tabs>
          <w:tab w:leader="none" w:pos="200" w:val="left"/>
        </w:tabs>
        <w:numPr>
          <w:ilvl w:val="0"/>
          <w:numId w:val="304"/>
        </w:numPr>
        <w:rPr>
          <w:rFonts w:ascii="Arial" w:cs="Arial" w:eastAsia="Arial" w:hAnsi="Arial"/>
          <w:sz w:val="16"/>
          <w:szCs w:val="16"/>
          <w:color w:val="auto"/>
          <w:vertAlign w:val="superscript"/>
        </w:rPr>
      </w:pPr>
      <w:r>
        <w:rPr>
          <w:rFonts w:ascii="Arial" w:cs="Arial" w:eastAsia="Arial" w:hAnsi="Arial"/>
          <w:sz w:val="13"/>
          <w:szCs w:val="13"/>
          <w:color w:val="auto"/>
        </w:rPr>
        <w:t>The names, addresses and beneficial holdings of the proponents and any co-sponsors to a proposal are available to shareholders upon request by writing to the Secretary at the address listed on page 111.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Introduction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Proposals 5–11 have been submitted by shareholders and will be voted on if properly presented at the 2024 Annual Meeting.</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Board and senior management spend a significant amount of time considering each shareholder proposal the Firm receives, engaging with the proponents to better understand their views, assessing the relevance of the subject matter to our business, considering the opinions of other shareholders to prioritize shareholder views and considering the potential costs and benefits of the request. The Board’s focus is on its fiduciary duty, namely, advancing the long-term financial interests of the Firm’s shareholders.</w:t>
      </w:r>
    </w:p>
    <w:p>
      <w:pPr>
        <w:spacing w:after="0" w:line="6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shareholder proposals and supporting statements appear in the form they were submitted to us. Consistent with recent trends we've observed, a number of the proposals do not explain how they promote shareholders' interests or even assert that they do. Some proposals provide no empirical evidence of financial effectiveness; some propose solutions without identifying a failure or material problem or ask the Firm to adopt practices that are not common among our peers; and still others are based on assertions about the Firm that we believe are inaccurate and misleading.</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is meaningful cost attached to the implementation of each shareholder proposal. For instance, five of the proposals request preparation of a report. The Firm already publishes numerous reports, including an ESG Report and a Climate Report, on topics that we have determined to be of interest to a broad base of shareholders and other stakeholders. Each of these reports require considerable time and resources to produce, including senior management time and attention. Creating additional and potentially duplicative reports is not a good use of resources, particularly when, based on our assessment, interest in the topic is limited.</w:t>
      </w:r>
    </w:p>
    <w:p>
      <w:pPr>
        <w:spacing w:after="0" w:line="7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After a thorough evaluation, taking into account the potential costs, benefits, and alignment with our shareholders' long-term financial interests, as well as the themes addressed in the proposals, the Board strongly recommends a vote AGAINST each of the shareholder proposals presented within this proxy statement.</w:t>
      </w:r>
    </w:p>
    <w:p>
      <w:pPr>
        <w:spacing w:after="0" w:line="6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firmly believe in the value of shareholder engagement and recognize that our shareholders hold diverse views and perspectives on various issues. While the Board recommends votes AGAINST these proposals, we remain open to continued engagement with the proponents and others who share our commitment to the long-term value of JPMorgan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248920</wp:posOffset>
            </wp:positionV>
            <wp:extent cx="27432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91  </w:t>
      </w:r>
      <w:r>
        <w:rPr>
          <w:sz w:val="1"/>
          <w:szCs w:val="1"/>
          <w:color w:val="auto"/>
        </w:rPr>
        <w:drawing>
          <wp:inline distT="0" distB="0" distL="0" distR="0">
            <wp:extent cx="2203450" cy="154305"/>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074A75"/>
        </w:rPr>
        <w:t>PROPOSAL 5 — INDEPENDENT BOARD CHAIRMAN</w:t>
      </w:r>
    </w:p>
    <w:p>
      <w:pPr>
        <w:spacing w:after="0" w:line="12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Kenneth Steiner has advised us that he intends to introduce 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854325" cy="3511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8543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Shareholders request that the Board of Directors adopt an enduring policy, and amend the governing documents as necessary in order that 2 separate people hold the office of the Chairman and the office of the CEO as follows:</w:t>
      </w:r>
    </w:p>
    <w:p>
      <w:pPr>
        <w:spacing w:after="0" w:line="62" w:lineRule="exact"/>
        <w:rPr>
          <w:sz w:val="20"/>
          <w:szCs w:val="20"/>
          <w:color w:val="auto"/>
        </w:rPr>
      </w:pPr>
    </w:p>
    <w:p>
      <w:pPr>
        <w:jc w:val="both"/>
        <w:ind w:right="380"/>
        <w:spacing w:after="0" w:line="261" w:lineRule="auto"/>
        <w:rPr>
          <w:sz w:val="20"/>
          <w:szCs w:val="20"/>
          <w:color w:val="auto"/>
        </w:rPr>
      </w:pPr>
      <w:r>
        <w:rPr>
          <w:rFonts w:ascii="Arial" w:cs="Arial" w:eastAsia="Arial" w:hAnsi="Arial"/>
          <w:sz w:val="18"/>
          <w:szCs w:val="18"/>
          <w:color w:val="auto"/>
        </w:rPr>
        <w:t>Selection of the Chairman of the Board The Board requires the separation of the offices of the Chairman of the Board and the Chief Executive Officer.</w:t>
      </w:r>
    </w:p>
    <w:p>
      <w:pPr>
        <w:spacing w:after="0" w:line="54"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Whenever possible, the Chairman of the Board shall be an Independent Director.</w:t>
      </w:r>
    </w:p>
    <w:p>
      <w:pPr>
        <w:spacing w:after="0" w:line="31"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Board has the discretion to select a Temporary Chairman of the Board who is not an Independent Director to serve while the Board is seeking an Independent Chairman of the Board on an accelerated basis.</w:t>
      </w:r>
    </w:p>
    <w:p>
      <w:pPr>
        <w:spacing w:after="0" w:line="6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It is a best practice to adopt this proposal soon. However this policy could be phased in when there is a contract renewal for our current CEO or for the next CEO transition.</w:t>
      </w:r>
    </w:p>
    <w:p>
      <w:pPr>
        <w:spacing w:after="0" w:line="5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This proposal topic won 47%-support at the 2021 JPM annual meeting. It takes much more JPM shareholder conviction of the merits of this proposal topic to vote for this shareholder proposal topic, and thereby reject the recommendation of the Board of Directors, than to simply go along with the JPM Board of Directors recommendation.</w:t>
      </w:r>
    </w:p>
    <w:p>
      <w:pPr>
        <w:spacing w:after="0" w:line="67"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There are at least 2 ways 47%-support can be considered a majority vote. This 47% vote was especially impressive because the proposal had to swim upstream against repeated glossy management special solicitations sent to the shareholders who have no an independent source for proxy voting advice.</w:t>
      </w:r>
    </w:p>
    <w:p>
      <w:pPr>
        <w:spacing w:after="0" w:line="8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47% also represented a majority vote from professional investors who had access to independent proxy voting advice. Any proposal that gets above 45% support has to get a majority vote from the most informed shares because there is an overwhelming abundance of automatic votes from the JPM shares that have no other source of proxy voting advice other than JPM management.</w:t>
      </w:r>
    </w:p>
    <w:p>
      <w:pPr>
        <w:spacing w:after="0" w:line="7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Board of Directors disingenuously put forth a laughable policy that it could always have one person fill the 2 most important jobs at JPM as long as the directors gave almost any excuse to not have an independent board chairman.</w:t>
      </w:r>
    </w:p>
    <w:p>
      <w:pPr>
        <w:spacing w:after="0" w:line="6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JPM also needs to take the role of the lead director more seriously. JPM's so-called Lead Director, Mr. Stephen Burke, violates the most important attribute of a Lead Director — independence. As director tenure goes up director independence goes down. Mr. Burke has 20-years director tenure. And Mr. Burke got the most against votes of any JPM director again in 2023 surpassing Timothy Flynn, chair of the JPM Audit Committee, and Mr. James Dimon who was again third highest in against votes.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 lead director can be given a list of duties but there is no rule that prevents the Chairman from overriding the lead director in any of the so-called lead director duties.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Please vote yes: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Board Chairman — Proposal 5</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5</w:t>
      </w:r>
    </w:p>
    <w:p>
      <w:pPr>
        <w:spacing w:after="0" w:line="110" w:lineRule="exact"/>
        <w:rPr>
          <w:sz w:val="20"/>
          <w:szCs w:val="20"/>
          <w:color w:val="auto"/>
        </w:rPr>
      </w:pPr>
    </w:p>
    <w:p>
      <w:pPr>
        <w:jc w:val="both"/>
        <w:ind w:right="116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3411855" cy="48602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411855" cy="4860290"/>
                    </a:xfrm>
                    <a:prstGeom prst="rect">
                      <a:avLst/>
                    </a:prstGeom>
                    <a:noFill/>
                  </pic:spPr>
                </pic:pic>
              </a:graphicData>
            </a:graphic>
          </wp:anchor>
        </w:drawing>
      </w:r>
    </w:p>
    <w:p>
      <w:pPr>
        <w:spacing w:after="0" w:line="80" w:lineRule="exact"/>
        <w:rPr>
          <w:sz w:val="20"/>
          <w:szCs w:val="20"/>
          <w:color w:val="auto"/>
        </w:rPr>
      </w:pPr>
    </w:p>
    <w:p>
      <w:pPr>
        <w:ind w:left="300" w:right="260" w:hanging="200"/>
        <w:spacing w:after="0" w:line="257" w:lineRule="auto"/>
        <w:tabs>
          <w:tab w:leader="none" w:pos="304" w:val="left"/>
        </w:tabs>
        <w:numPr>
          <w:ilvl w:val="0"/>
          <w:numId w:val="305"/>
        </w:numPr>
        <w:rPr>
          <w:rFonts w:ascii="Arial" w:cs="Arial" w:eastAsia="Arial" w:hAnsi="Arial"/>
          <w:sz w:val="18"/>
          <w:szCs w:val="18"/>
          <w:color w:val="104C98"/>
        </w:rPr>
      </w:pPr>
      <w:r>
        <w:rPr>
          <w:rFonts w:ascii="Arial" w:cs="Arial" w:eastAsia="Arial" w:hAnsi="Arial"/>
          <w:sz w:val="18"/>
          <w:szCs w:val="18"/>
          <w:color w:val="auto"/>
        </w:rPr>
        <w:t>The proposal’s requested policy is adverse to the interests of the Firm's shareholders because it restricts the Board’s ability to use its experience, judgment, boardroom insight and ongoing shareholder feedback to make the best-informed decision on its leadership structure based on current facts and circumstances.</w:t>
      </w:r>
    </w:p>
    <w:p>
      <w:pPr>
        <w:spacing w:after="0" w:line="33" w:lineRule="exact"/>
        <w:rPr>
          <w:rFonts w:ascii="Arial" w:cs="Arial" w:eastAsia="Arial" w:hAnsi="Arial"/>
          <w:sz w:val="18"/>
          <w:szCs w:val="18"/>
          <w:color w:val="104C98"/>
        </w:rPr>
      </w:pPr>
    </w:p>
    <w:p>
      <w:pPr>
        <w:ind w:left="300" w:right="400" w:hanging="200"/>
        <w:spacing w:after="0" w:line="282" w:lineRule="auto"/>
        <w:tabs>
          <w:tab w:leader="none" w:pos="304" w:val="left"/>
        </w:tabs>
        <w:numPr>
          <w:ilvl w:val="0"/>
          <w:numId w:val="305"/>
        </w:numPr>
        <w:rPr>
          <w:rFonts w:ascii="Arial" w:cs="Arial" w:eastAsia="Arial" w:hAnsi="Arial"/>
          <w:sz w:val="17"/>
          <w:szCs w:val="17"/>
          <w:color w:val="104C98"/>
        </w:rPr>
      </w:pPr>
      <w:r>
        <w:rPr>
          <w:rFonts w:ascii="Arial" w:cs="Arial" w:eastAsia="Arial" w:hAnsi="Arial"/>
          <w:sz w:val="17"/>
          <w:szCs w:val="17"/>
          <w:color w:val="auto"/>
        </w:rPr>
        <w:t>The Board evaluates the Firm’s leadership structure on at least an annual basis and believes that using its judgment to determine the appropriate structure is a core Board function and a key part of fulfilling its fiduciary duty to shareholders.</w:t>
      </w:r>
    </w:p>
    <w:p>
      <w:pPr>
        <w:spacing w:after="0" w:line="26" w:lineRule="exact"/>
        <w:rPr>
          <w:rFonts w:ascii="Arial" w:cs="Arial" w:eastAsia="Arial" w:hAnsi="Arial"/>
          <w:sz w:val="17"/>
          <w:szCs w:val="17"/>
          <w:color w:val="104C98"/>
        </w:rPr>
      </w:pPr>
    </w:p>
    <w:p>
      <w:pPr>
        <w:ind w:left="300" w:right="300" w:hanging="200"/>
        <w:spacing w:after="0" w:line="257" w:lineRule="auto"/>
        <w:tabs>
          <w:tab w:leader="none" w:pos="304" w:val="left"/>
        </w:tabs>
        <w:numPr>
          <w:ilvl w:val="0"/>
          <w:numId w:val="305"/>
        </w:numPr>
        <w:rPr>
          <w:rFonts w:ascii="Arial" w:cs="Arial" w:eastAsia="Arial" w:hAnsi="Arial"/>
          <w:sz w:val="18"/>
          <w:szCs w:val="18"/>
          <w:color w:val="104C98"/>
        </w:rPr>
      </w:pPr>
      <w:r>
        <w:rPr>
          <w:rFonts w:ascii="Arial" w:cs="Arial" w:eastAsia="Arial" w:hAnsi="Arial"/>
          <w:sz w:val="18"/>
          <w:szCs w:val="18"/>
          <w:color w:val="auto"/>
        </w:rPr>
        <w:t>In 2022, the Board enhanced its Corporate Governance Principles by adopting a general policy that upon the next CEO transition, the Chair and CEO positions will be separate, subject to the Board’s determination of the leadership structure that best serves the Firm and its shareholders at the time.</w:t>
      </w:r>
    </w:p>
    <w:p>
      <w:pPr>
        <w:spacing w:after="0" w:line="33" w:lineRule="exact"/>
        <w:rPr>
          <w:rFonts w:ascii="Arial" w:cs="Arial" w:eastAsia="Arial" w:hAnsi="Arial"/>
          <w:sz w:val="18"/>
          <w:szCs w:val="18"/>
          <w:color w:val="104C98"/>
        </w:rPr>
      </w:pPr>
    </w:p>
    <w:p>
      <w:pPr>
        <w:ind w:left="300" w:right="260" w:hanging="200"/>
        <w:spacing w:after="0" w:line="255" w:lineRule="auto"/>
        <w:tabs>
          <w:tab w:leader="none" w:pos="304" w:val="left"/>
        </w:tabs>
        <w:numPr>
          <w:ilvl w:val="0"/>
          <w:numId w:val="305"/>
        </w:numPr>
        <w:rPr>
          <w:rFonts w:ascii="Arial" w:cs="Arial" w:eastAsia="Arial" w:hAnsi="Arial"/>
          <w:sz w:val="18"/>
          <w:szCs w:val="18"/>
          <w:color w:val="104C98"/>
        </w:rPr>
      </w:pPr>
      <w:r>
        <w:rPr>
          <w:rFonts w:ascii="Arial" w:cs="Arial" w:eastAsia="Arial" w:hAnsi="Arial"/>
          <w:sz w:val="18"/>
          <w:szCs w:val="18"/>
          <w:color w:val="auto"/>
        </w:rPr>
        <w:t>Contrary to the proponent’s assertion, the Board determined that the current Lead Independent Director, Stephen B. Burke, is independent. His tenure has allowed him to gain invaluable institutional knowledge, making him extremely effective as Lead Independent Director. Mr. Burke has been overwhelmingly supported by shareholders, receiving more than 90% of shareholder votes for each election during his tenure.</w:t>
      </w:r>
    </w:p>
    <w:p>
      <w:pPr>
        <w:spacing w:after="0" w:line="36" w:lineRule="exact"/>
        <w:rPr>
          <w:rFonts w:ascii="Arial" w:cs="Arial" w:eastAsia="Arial" w:hAnsi="Arial"/>
          <w:sz w:val="18"/>
          <w:szCs w:val="18"/>
          <w:color w:val="104C98"/>
        </w:rPr>
      </w:pPr>
    </w:p>
    <w:p>
      <w:pPr>
        <w:ind w:left="300" w:right="220" w:hanging="200"/>
        <w:spacing w:after="0" w:line="259" w:lineRule="auto"/>
        <w:tabs>
          <w:tab w:leader="none" w:pos="304" w:val="left"/>
        </w:tabs>
        <w:numPr>
          <w:ilvl w:val="0"/>
          <w:numId w:val="305"/>
        </w:numPr>
        <w:rPr>
          <w:rFonts w:ascii="Arial" w:cs="Arial" w:eastAsia="Arial" w:hAnsi="Arial"/>
          <w:sz w:val="18"/>
          <w:szCs w:val="18"/>
          <w:color w:val="104C98"/>
        </w:rPr>
      </w:pPr>
      <w:r>
        <w:rPr>
          <w:rFonts w:ascii="Arial" w:cs="Arial" w:eastAsia="Arial" w:hAnsi="Arial"/>
          <w:sz w:val="18"/>
          <w:szCs w:val="18"/>
          <w:color w:val="auto"/>
        </w:rPr>
        <w:t>The Board empowers the Lead Independent Director role to include robust responsibilities and independent authority to provide a strong, effective counterbalance to the Chair. A Lead Independent Director is appointed when the Chair is not independent.</w:t>
      </w:r>
    </w:p>
    <w:p>
      <w:pPr>
        <w:spacing w:after="0" w:line="44" w:lineRule="exact"/>
        <w:rPr>
          <w:rFonts w:ascii="Arial" w:cs="Arial" w:eastAsia="Arial" w:hAnsi="Arial"/>
          <w:sz w:val="18"/>
          <w:szCs w:val="18"/>
          <w:color w:val="104C98"/>
        </w:rPr>
      </w:pPr>
    </w:p>
    <w:p>
      <w:pPr>
        <w:ind w:left="300" w:right="260" w:hanging="200"/>
        <w:spacing w:after="0" w:line="282" w:lineRule="auto"/>
        <w:tabs>
          <w:tab w:leader="none" w:pos="304" w:val="left"/>
        </w:tabs>
        <w:numPr>
          <w:ilvl w:val="0"/>
          <w:numId w:val="305"/>
        </w:numPr>
        <w:rPr>
          <w:rFonts w:ascii="Arial" w:cs="Arial" w:eastAsia="Arial" w:hAnsi="Arial"/>
          <w:sz w:val="17"/>
          <w:szCs w:val="17"/>
          <w:color w:val="104C98"/>
        </w:rPr>
      </w:pPr>
      <w:r>
        <w:rPr>
          <w:rFonts w:ascii="Arial" w:cs="Arial" w:eastAsia="Arial" w:hAnsi="Arial"/>
          <w:sz w:val="17"/>
          <w:szCs w:val="17"/>
          <w:color w:val="auto"/>
        </w:rPr>
        <w:t>The proponent’s assertion that mandating an independent board chairman is best practice is without basis. In any event, the Firm’s strong performance with a combined CEO and Chair is evidence to the contrary with respect to this company.</w:t>
      </w:r>
    </w:p>
    <w:p>
      <w:pPr>
        <w:spacing w:after="0" w:line="22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Board of Directors considers the determination of its leadership structure to be a core Board function and a key part of fulfilling its fiduciary duty to shareholders. The Board is committed to robust corporate governance practices that facilitate its strong independent oversight of the Firm and its management. With respect to leadership structure, shareholders benefit most when the Board is free to exercise its discretion to determine the structure that it believes is most effective in advancing the interests of the Firm.</w:t>
      </w:r>
    </w:p>
    <w:p>
      <w:pPr>
        <w:spacing w:after="0" w:line="200"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Board's retention of discretion in reviewing its leadership structure evidences its intent to give due consideration to the merits of separating the Chair and CEO positions. A proper exercise of the Board’s discretion demands careful consideration of available information. A restrictive policy such as that proposed by the proponent is not prudent, as it could prevent the Board from adopting the governance structure that it believes is best able to advance the interests of the Firm and its shareholders.</w:t>
      </w:r>
    </w:p>
    <w:p>
      <w:pPr>
        <w:spacing w:after="0" w:line="7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independent directors of the Board evaluate the Firm’s leadership structure on an annual basis. For 2024, the Board determined that its current leadership structure, with a combined CEO and Chair counterbalanced by a strong, effective Lead Independent Director will best serve the Firm and its shareholders. In determining its leadership structure, the Board considers, among other factors, the composition of the Board, the individuals serving in leadership positions, the needs and opportunities of the Firm at the time, the Firm's long-term performance and shareholder feedback. A few of these factors are discussed in more detail below. Such annual evaluation is important because “one-size-does-not-fit-all” and there is no clear consensus about ideal leadership structures. A fixed policy requiring separation of the roles fails to consider many factors. Accordingly, leadership structures vary among companies. In fact, Shearman &amp; Sterling's 2023 Corporate Governance &amp; Executive Compensation Survey states that, of the 100 largest U.S. public companies listed on the NYSE and Nasdaq, 54 have a combined CEO/Chair role, and at the 46 companies where the chair and CEO positions are separated, 14 chairs were not independent.</w:t>
      </w:r>
    </w:p>
    <w:p>
      <w:pPr>
        <w:spacing w:after="0" w:line="8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part of its annual review of leadership structure, the Board considers the role of the Lead Independent Director, whose responsibilities demonstrate the Board’s commitment to empowering the Lead Independent Director to serve as a strong, effective counterbalance to the CEO. The Lead Independent Director role at the Firm is robust, focusing on the Board’s priorities and processes, and his responsibilities include facilitating independent oversight of management and promoting open dialogue among the independent directors during Board meetings, at executive sessions without the presence of the CEO, and between Board meetings. Contrary to the claims of this proposal, our Lead Independent Director has meaningful duties and plays an important role in the Board’s, and the Firm’s, success. The Board, the Firm, and shareholders benefit from the independence and depth of knowledge and skill possessed by our Lead Independent Director as well as his continuity of experience that complements ongoing Board refreshment.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The current Lead Independent Director, Stephen B. Burke, is independent. His tenure has allowed him to gain invaluable institutional knowledge, making him extremely effective as Lead Independent Director. Mr. Burke has been overwhelmingly supported by shareholders, receiving more than 90% of shareholder votes for each election during his tenure.</w:t>
      </w:r>
    </w:p>
    <w:p>
      <w:pPr>
        <w:spacing w:after="0" w:line="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Firm’s long-term performance is another factor the Board considers in determining its leadership structure. The Firm’s continued strong financial performance and meaningful progress on key initiatives, as described throughout this Proxy Statement, demonstrate that the current structure allows for effective execution on strategic priorities. The proponent asserts that having an independent board chairman “whenever possible” is best practice, without providing any empirical evidence demonstrating a significant relationship between having separate Chair and CEO roles and strong company performance. In contrast, with Mr. Dimon serving as both Chairman and CEO, the Firm has delivered ROTCE that has consistently and substantially outperformed that of our PSU performance group, and an investment made in JPMC 10 years ago would have outperformed that of the KBW Bank and S&amp;P Financials indices. This enduring outperformance – including the Firm reporting the highest earnings in 2023 of any bank in U.S. history – demonstrates the capabilities of the current Chairman and CEO in overseeing the Firm’s business in the combined role and the effectiveness of the Board’s discretion in determining its leadership structure.</w:t>
      </w:r>
    </w:p>
    <w:p>
      <w:pPr>
        <w:spacing w:after="0" w:line="8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2022, the Board enhanced its Corporate Governance Principles, based on its annual review of its leadership structure and in response to shareholder feedback. The Board considered feedback through extensive shareholder outreach that identified both a preference among some shareholders for separate Chair and CEO positions and strong support for the current CEO. As a result, the Board enhanced our Corporate Governance Principles to provide, upon the next CEO transition, that the Chair and CEO positions will be separate, subject to the Board’s determination at the time of transition of the Board leadership structure that best serves the Firm and its shareholders. In exercising its discretion, if the Board determines that retaining the current Chair, or an otherwise non-independent director as Chair, would best serve the interest of the Firm, it will also retain a strong Lead Independent Director to facilitate independent oversight of management. The Board will continue to evaluate the structure on an annual basis even after the transition.</w:t>
      </w:r>
    </w:p>
    <w:p>
      <w:pPr>
        <w:spacing w:after="0" w:line="8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Finally, it is unclear what the proponent intends in suggesting that the Firm adopt a “Temporary Chairman.” This is not a standard corporate governance practice and would undermine the authority of the Chair role at JPMorgan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252730</wp:posOffset>
            </wp:positionV>
            <wp:extent cx="27432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93  </w:t>
      </w:r>
      <w:r>
        <w:rPr>
          <w:sz w:val="1"/>
          <w:szCs w:val="1"/>
          <w:color w:val="auto"/>
        </w:rPr>
        <w:drawing>
          <wp:inline distT="0" distB="0" distL="0" distR="0">
            <wp:extent cx="2203450" cy="154305"/>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Board recommends a vote against this proposal because it promotes an overly restrictive, mechanical analysis of the leadership structure of the Board that would prevent the Board from exercising its discretion to make the best-informed decision on its leadership structure. Proper exercise of discretion is critical to the Board's ability to fulfill its fiduciary duties. The Board believes that its general policy on separating the Chair and CEO roles upon the next CEO transition, its strong governance practices in determining its leadership structure and its empowerment of the current Lead Independent Director, best serve the Firm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78105</wp:posOffset>
            </wp:positionV>
            <wp:extent cx="3060065" cy="419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060065" cy="419735"/>
                    </a:xfrm>
                    <a:prstGeom prst="rect">
                      <a:avLst/>
                    </a:prstGeom>
                    <a:noFill/>
                  </pic:spPr>
                </pic:pic>
              </a:graphicData>
            </a:graphic>
          </wp:anchor>
        </w:drawing>
      </w:r>
    </w:p>
    <w:p>
      <w:pPr>
        <w:spacing w:after="0" w:line="206"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-284480</wp:posOffset>
            </wp:positionV>
            <wp:extent cx="171450" cy="17145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341185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right="880"/>
        <w:spacing w:after="0" w:line="286" w:lineRule="auto"/>
        <w:rPr>
          <w:sz w:val="20"/>
          <w:szCs w:val="20"/>
          <w:color w:val="auto"/>
        </w:rPr>
      </w:pPr>
      <w:r>
        <w:rPr>
          <w:rFonts w:ascii="Arial" w:cs="Arial" w:eastAsia="Arial" w:hAnsi="Arial"/>
          <w:sz w:val="20"/>
          <w:szCs w:val="20"/>
          <w:color w:val="074A75"/>
        </w:rPr>
        <w:t>PROPOSAL 6 — HUMANITARIAN RISKS DUE TO CLIMATE CHANGE POLICIES</w:t>
      </w:r>
    </w:p>
    <w:p>
      <w:pPr>
        <w:spacing w:after="0" w:line="4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National Legal and Policy Center has advised us that it intends to introduce the following resolution:</w:t>
      </w:r>
    </w:p>
    <w:p>
      <w:pPr>
        <w:spacing w:after="0" w:line="4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global energy crisis has focused the public's and</w:t>
      </w:r>
      <w:r>
        <w:rPr>
          <w:rFonts w:ascii="Arial" w:cs="Arial" w:eastAsia="Arial" w:hAnsi="Arial"/>
          <w:sz w:val="18"/>
          <w:szCs w:val="18"/>
          <w:b w:val="1"/>
          <w:bCs w:val="1"/>
          <w:color w:val="auto"/>
        </w:rPr>
        <w:t xml:space="preserve"> </w:t>
      </w:r>
      <w:r>
        <w:rPr>
          <w:rFonts w:ascii="Arial" w:cs="Arial" w:eastAsia="Arial" w:hAnsi="Arial"/>
          <w:sz w:val="18"/>
          <w:szCs w:val="18"/>
          <w:color w:val="auto"/>
        </w:rPr>
        <w:t>policy makers' attention on the effects from rising energy prices. Russia's invasion of Ukraine is partially to blame, but the haphazard worldwide transition to so-called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"green" energy has arguably inflicted greater harm via toxic pollution and energy prices:</w:t>
      </w:r>
      <w:r>
        <w:rPr>
          <w:rFonts w:ascii="Arial" w:cs="Arial" w:eastAsia="Arial" w:hAnsi="Arial"/>
          <w:sz w:val="23"/>
          <w:szCs w:val="23"/>
          <w:color w:val="auto"/>
          <w:vertAlign w:val="superscript"/>
        </w:rPr>
        <w:t>2</w:t>
      </w:r>
    </w:p>
    <w:p>
      <w:pPr>
        <w:spacing w:after="0" w:line="13" w:lineRule="exact"/>
        <w:rPr>
          <w:sz w:val="20"/>
          <w:szCs w:val="20"/>
          <w:color w:val="auto"/>
        </w:rPr>
      </w:pPr>
    </w:p>
    <w:p>
      <w:pPr>
        <w:ind w:left="200" w:right="140" w:hanging="192"/>
        <w:spacing w:after="0" w:line="259" w:lineRule="auto"/>
        <w:tabs>
          <w:tab w:leader="none" w:pos="204" w:val="left"/>
        </w:tabs>
        <w:numPr>
          <w:ilvl w:val="0"/>
          <w:numId w:val="306"/>
        </w:numPr>
        <w:rPr>
          <w:rFonts w:ascii="Arial" w:cs="Arial" w:eastAsia="Arial" w:hAnsi="Arial"/>
          <w:sz w:val="17"/>
          <w:szCs w:val="17"/>
          <w:color w:val="074A75"/>
        </w:rPr>
      </w:pPr>
      <w:r>
        <w:rPr>
          <w:rFonts w:ascii="Arial" w:cs="Arial" w:eastAsia="Arial" w:hAnsi="Arial"/>
          <w:sz w:val="17"/>
          <w:szCs w:val="17"/>
          <w:color w:val="auto"/>
        </w:rPr>
        <w:t>According to Fatih Birol, Executive Director of the International Energy Agency, developing nations are the most vulnerable to rising fossil fuel prices.</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"Birol said those who will be hit hardest include oil-importing nations in Africa, Asia and Latin America because of higher import prices and their weaker currencies."</w:t>
      </w:r>
    </w:p>
    <w:p>
      <w:pPr>
        <w:spacing w:after="0" w:line="30" w:lineRule="exact"/>
        <w:rPr>
          <w:rFonts w:ascii="Arial" w:cs="Arial" w:eastAsia="Arial" w:hAnsi="Arial"/>
          <w:sz w:val="17"/>
          <w:szCs w:val="17"/>
          <w:color w:val="074A75"/>
        </w:rPr>
      </w:pPr>
    </w:p>
    <w:p>
      <w:pPr>
        <w:ind w:left="200" w:right="260" w:hanging="192"/>
        <w:spacing w:after="0" w:line="263" w:lineRule="auto"/>
        <w:tabs>
          <w:tab w:leader="none" w:pos="204" w:val="left"/>
        </w:tabs>
        <w:numPr>
          <w:ilvl w:val="0"/>
          <w:numId w:val="306"/>
        </w:numPr>
        <w:rPr>
          <w:rFonts w:ascii="Arial" w:cs="Arial" w:eastAsia="Arial" w:hAnsi="Arial"/>
          <w:sz w:val="18"/>
          <w:szCs w:val="18"/>
          <w:color w:val="074A75"/>
        </w:rPr>
      </w:pPr>
      <w:r>
        <w:rPr>
          <w:rFonts w:ascii="Arial" w:cs="Arial" w:eastAsia="Arial" w:hAnsi="Arial"/>
          <w:sz w:val="18"/>
          <w:szCs w:val="18"/>
          <w:color w:val="auto"/>
        </w:rPr>
        <w:t>760 million people, primarily in Africa and Asia, still don't have access to electricity, according to the IEA.</w:t>
      </w:r>
      <w:r>
        <w:rPr>
          <w:rFonts w:ascii="Arial" w:cs="Arial" w:eastAsia="Arial" w:hAnsi="Arial"/>
          <w:sz w:val="23"/>
          <w:szCs w:val="23"/>
          <w:color w:val="auto"/>
          <w:vertAlign w:val="superscript"/>
        </w:rPr>
        <w:t>4</w:t>
      </w:r>
    </w:p>
    <w:p>
      <w:pPr>
        <w:jc w:val="both"/>
        <w:ind w:left="200" w:right="20" w:hanging="192"/>
        <w:spacing w:after="0" w:line="233" w:lineRule="auto"/>
        <w:tabs>
          <w:tab w:leader="none" w:pos="204" w:val="left"/>
        </w:tabs>
        <w:numPr>
          <w:ilvl w:val="0"/>
          <w:numId w:val="306"/>
        </w:numPr>
        <w:rPr>
          <w:rFonts w:ascii="Arial" w:cs="Arial" w:eastAsia="Arial" w:hAnsi="Arial"/>
          <w:sz w:val="18"/>
          <w:szCs w:val="18"/>
          <w:color w:val="074A75"/>
        </w:rPr>
      </w:pPr>
      <w:r>
        <w:rPr>
          <w:rFonts w:ascii="Arial" w:cs="Arial" w:eastAsia="Arial" w:hAnsi="Arial"/>
          <w:sz w:val="18"/>
          <w:szCs w:val="18"/>
          <w:color w:val="auto"/>
        </w:rPr>
        <w:t>Reduced investment in fossil fuels disproportionately impacts the poor.</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"Reducing poverty is not feasible without access to cheap and reliable energy."</w:t>
      </w:r>
      <w:r>
        <w:rPr>
          <w:rFonts w:ascii="Arial" w:cs="Arial" w:eastAsia="Arial" w:hAnsi="Arial"/>
          <w:sz w:val="23"/>
          <w:szCs w:val="23"/>
          <w:color w:val="auto"/>
          <w:vertAlign w:val="superscript"/>
        </w:rPr>
        <w:t>6</w:t>
      </w:r>
    </w:p>
    <w:p>
      <w:pPr>
        <w:spacing w:after="0" w:line="1" w:lineRule="exact"/>
        <w:rPr>
          <w:rFonts w:ascii="Arial" w:cs="Arial" w:eastAsia="Arial" w:hAnsi="Arial"/>
          <w:sz w:val="18"/>
          <w:szCs w:val="18"/>
          <w:color w:val="074A75"/>
        </w:rPr>
      </w:pPr>
    </w:p>
    <w:p>
      <w:pPr>
        <w:ind w:left="200" w:right="40" w:hanging="192"/>
        <w:spacing w:after="0" w:line="258" w:lineRule="auto"/>
        <w:tabs>
          <w:tab w:leader="none" w:pos="204" w:val="left"/>
        </w:tabs>
        <w:numPr>
          <w:ilvl w:val="0"/>
          <w:numId w:val="306"/>
        </w:numPr>
        <w:rPr>
          <w:rFonts w:ascii="Arial" w:cs="Arial" w:eastAsia="Arial" w:hAnsi="Arial"/>
          <w:sz w:val="18"/>
          <w:szCs w:val="18"/>
          <w:color w:val="074A75"/>
        </w:rPr>
      </w:pPr>
      <w:r>
        <w:rPr>
          <w:rFonts w:ascii="Arial" w:cs="Arial" w:eastAsia="Arial" w:hAnsi="Arial"/>
          <w:sz w:val="18"/>
          <w:szCs w:val="18"/>
          <w:color w:val="auto"/>
        </w:rPr>
        <w:t>Developing nations represent potential sources of business growth—or decline—for JPMorgan Chase &amp; Co. ("JPM") and the global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17145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520"/>
        <w:spacing w:after="0" w:line="318" w:lineRule="auto"/>
        <w:rPr>
          <w:sz w:val="20"/>
          <w:szCs w:val="20"/>
          <w:color w:val="auto"/>
        </w:rPr>
      </w:pPr>
      <w:r>
        <w:rPr>
          <w:rFonts w:ascii="Arial" w:cs="Arial" w:eastAsia="Arial" w:hAnsi="Arial"/>
          <w:sz w:val="17"/>
          <w:szCs w:val="17"/>
          <w:b w:val="1"/>
          <w:bCs w:val="1"/>
          <w:color w:val="auto"/>
        </w:rPr>
        <w:t xml:space="preserve">SUPPORTING STATEMENT: </w:t>
      </w:r>
      <w:r>
        <w:rPr>
          <w:rFonts w:ascii="Arial" w:cs="Arial" w:eastAsia="Arial" w:hAnsi="Arial"/>
          <w:sz w:val="17"/>
          <w:szCs w:val="17"/>
          <w:color w:val="auto"/>
        </w:rPr>
        <w:t>JPM has made energy transition</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integral to its lending and underwriting activities:</w:t>
      </w:r>
    </w:p>
    <w:p>
      <w:pPr>
        <w:spacing w:after="0" w:line="20" w:lineRule="exact"/>
        <w:rPr>
          <w:sz w:val="20"/>
          <w:szCs w:val="20"/>
          <w:color w:val="auto"/>
        </w:rPr>
      </w:pPr>
    </w:p>
    <w:p>
      <w:pPr>
        <w:ind w:left="200" w:right="160" w:hanging="196"/>
        <w:spacing w:after="0" w:line="242" w:lineRule="auto"/>
        <w:tabs>
          <w:tab w:leader="none" w:pos="204" w:val="left"/>
        </w:tabs>
        <w:numPr>
          <w:ilvl w:val="0"/>
          <w:numId w:val="307"/>
        </w:numPr>
        <w:rPr>
          <w:rFonts w:ascii="Arial" w:cs="Arial" w:eastAsia="Arial" w:hAnsi="Arial"/>
          <w:sz w:val="18"/>
          <w:szCs w:val="18"/>
          <w:color w:val="074A75"/>
        </w:rPr>
      </w:pPr>
      <w:r>
        <w:rPr>
          <w:rFonts w:ascii="Arial" w:cs="Arial" w:eastAsia="Arial" w:hAnsi="Arial"/>
          <w:sz w:val="18"/>
          <w:szCs w:val="18"/>
          <w:color w:val="auto"/>
        </w:rPr>
        <w:t>JPM joined the Net-Zero Banking Alliance in October 2021.</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The NZBA is a group of leading global banks, convened by the United Nations, committed to transitioning the economy to net-zero emissions by 2050.</w:t>
      </w:r>
      <w:r>
        <w:rPr>
          <w:rFonts w:ascii="Arial" w:cs="Arial" w:eastAsia="Arial" w:hAnsi="Arial"/>
          <w:sz w:val="23"/>
          <w:szCs w:val="23"/>
          <w:color w:val="auto"/>
          <w:vertAlign w:val="superscript"/>
        </w:rPr>
        <w:t>8</w:t>
      </w:r>
    </w:p>
    <w:p>
      <w:pPr>
        <w:spacing w:after="0" w:line="1" w:lineRule="exact"/>
        <w:rPr>
          <w:rFonts w:ascii="Arial" w:cs="Arial" w:eastAsia="Arial" w:hAnsi="Arial"/>
          <w:sz w:val="18"/>
          <w:szCs w:val="18"/>
          <w:color w:val="074A75"/>
        </w:rPr>
      </w:pPr>
    </w:p>
    <w:p>
      <w:pPr>
        <w:ind w:left="200" w:right="280" w:hanging="196"/>
        <w:spacing w:after="0" w:line="261" w:lineRule="auto"/>
        <w:tabs>
          <w:tab w:leader="none" w:pos="204" w:val="left"/>
        </w:tabs>
        <w:numPr>
          <w:ilvl w:val="0"/>
          <w:numId w:val="307"/>
        </w:numPr>
        <w:rPr>
          <w:rFonts w:ascii="Arial" w:cs="Arial" w:eastAsia="Arial" w:hAnsi="Arial"/>
          <w:sz w:val="18"/>
          <w:szCs w:val="18"/>
          <w:color w:val="074A75"/>
        </w:rPr>
      </w:pPr>
      <w:r>
        <w:rPr>
          <w:rFonts w:ascii="Arial" w:cs="Arial" w:eastAsia="Arial" w:hAnsi="Arial"/>
          <w:sz w:val="18"/>
          <w:szCs w:val="18"/>
          <w:color w:val="auto"/>
        </w:rPr>
        <w:t>JPM has pledged to finance and facilitate $2.5 trillion in climate action and sustainable development by 2030.</w:t>
      </w:r>
      <w:r>
        <w:rPr>
          <w:rFonts w:ascii="Arial" w:cs="Arial" w:eastAsia="Arial" w:hAnsi="Arial"/>
          <w:sz w:val="23"/>
          <w:szCs w:val="23"/>
          <w:color w:val="auto"/>
          <w:vertAlign w:val="superscript"/>
        </w:rPr>
        <w:t>9</w:t>
      </w:r>
    </w:p>
    <w:p>
      <w:pPr>
        <w:ind w:left="200" w:right="280" w:hanging="196"/>
        <w:spacing w:after="0" w:line="254" w:lineRule="auto"/>
        <w:tabs>
          <w:tab w:leader="none" w:pos="204" w:val="left"/>
        </w:tabs>
        <w:numPr>
          <w:ilvl w:val="0"/>
          <w:numId w:val="307"/>
        </w:numPr>
        <w:rPr>
          <w:rFonts w:ascii="Arial" w:cs="Arial" w:eastAsia="Arial" w:hAnsi="Arial"/>
          <w:sz w:val="18"/>
          <w:szCs w:val="18"/>
          <w:color w:val="074A75"/>
        </w:rPr>
      </w:pPr>
      <w:r>
        <w:rPr>
          <w:rFonts w:ascii="Arial" w:cs="Arial" w:eastAsia="Arial" w:hAnsi="Arial"/>
          <w:sz w:val="18"/>
          <w:szCs w:val="18"/>
          <w:color w:val="auto"/>
        </w:rPr>
        <w:t>JPM is targeting a 31% reduction in emissions from crude steel production and a 36% reduction from aviation by 2030.</w:t>
      </w:r>
      <w:r>
        <w:rPr>
          <w:rFonts w:ascii="Arial" w:cs="Arial" w:eastAsia="Arial" w:hAnsi="Arial"/>
          <w:sz w:val="23"/>
          <w:szCs w:val="23"/>
          <w:color w:val="auto"/>
          <w:vertAlign w:val="superscript"/>
        </w:rPr>
        <w:t>10</w:t>
      </w:r>
    </w:p>
    <w:p>
      <w:pPr>
        <w:ind w:left="200" w:right="480" w:hanging="196"/>
        <w:spacing w:after="0" w:line="254" w:lineRule="auto"/>
        <w:tabs>
          <w:tab w:leader="none" w:pos="204" w:val="left"/>
        </w:tabs>
        <w:numPr>
          <w:ilvl w:val="0"/>
          <w:numId w:val="307"/>
        </w:numPr>
        <w:rPr>
          <w:rFonts w:ascii="Arial" w:cs="Arial" w:eastAsia="Arial" w:hAnsi="Arial"/>
          <w:sz w:val="18"/>
          <w:szCs w:val="18"/>
          <w:color w:val="074A75"/>
        </w:rPr>
      </w:pPr>
      <w:r>
        <w:rPr>
          <w:rFonts w:ascii="Arial" w:cs="Arial" w:eastAsia="Arial" w:hAnsi="Arial"/>
          <w:sz w:val="18"/>
          <w:szCs w:val="18"/>
          <w:color w:val="auto"/>
        </w:rPr>
        <w:t>JPM has promised to phase out "credit exposure" to the coal extraction industry by 2024.</w:t>
      </w:r>
      <w:r>
        <w:rPr>
          <w:rFonts w:ascii="Arial" w:cs="Arial" w:eastAsia="Arial" w:hAnsi="Arial"/>
          <w:sz w:val="23"/>
          <w:szCs w:val="23"/>
          <w:color w:val="auto"/>
          <w:vertAlign w:val="superscript"/>
        </w:rPr>
        <w:t>11</w:t>
      </w:r>
    </w:p>
    <w:p>
      <w:pPr>
        <w:ind w:left="200" w:right="320" w:hanging="196"/>
        <w:spacing w:after="0" w:line="255" w:lineRule="auto"/>
        <w:tabs>
          <w:tab w:leader="none" w:pos="204" w:val="left"/>
        </w:tabs>
        <w:numPr>
          <w:ilvl w:val="0"/>
          <w:numId w:val="307"/>
        </w:numPr>
        <w:rPr>
          <w:rFonts w:ascii="Arial" w:cs="Arial" w:eastAsia="Arial" w:hAnsi="Arial"/>
          <w:sz w:val="18"/>
          <w:szCs w:val="18"/>
          <w:color w:val="074A75"/>
        </w:rPr>
      </w:pPr>
      <w:r>
        <w:rPr>
          <w:rFonts w:ascii="Arial" w:cs="Arial" w:eastAsia="Arial" w:hAnsi="Arial"/>
          <w:sz w:val="18"/>
          <w:szCs w:val="18"/>
          <w:color w:val="auto"/>
        </w:rPr>
        <w:t>"The J.P. Morgan Development Finance Institution (JPM DFI) was established in January 2020 to mobilize finance in support of the UN Sustainable Development Goals in emerging economies."</w:t>
      </w:r>
    </w:p>
    <w:p>
      <w:pPr>
        <w:spacing w:after="0" w:line="74"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color w:val="auto"/>
        </w:rPr>
        <w:t>JPM's climate policies appear to conflict with its commitment to the SDGs,</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especially the first goal of "no poverty."</w:t>
      </w:r>
      <w:r>
        <w:rPr>
          <w:rFonts w:ascii="Arial" w:cs="Arial" w:eastAsia="Arial" w:hAnsi="Arial"/>
          <w:sz w:val="23"/>
          <w:szCs w:val="23"/>
          <w:color w:val="auto"/>
          <w:vertAlign w:val="superscript"/>
        </w:rPr>
        <w:t>13</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the Board of Directors to</w:t>
      </w:r>
      <w:r>
        <w:rPr>
          <w:rFonts w:ascii="Arial" w:cs="Arial" w:eastAsia="Arial" w:hAnsi="Arial"/>
          <w:sz w:val="18"/>
          <w:szCs w:val="18"/>
          <w:b w:val="1"/>
          <w:bCs w:val="1"/>
          <w:color w:val="auto"/>
        </w:rPr>
        <w:t xml:space="preserve"> </w:t>
      </w:r>
      <w:r>
        <w:rPr>
          <w:rFonts w:ascii="Arial" w:cs="Arial" w:eastAsia="Arial" w:hAnsi="Arial"/>
          <w:sz w:val="18"/>
          <w:szCs w:val="18"/>
          <w:color w:val="auto"/>
        </w:rPr>
        <w:t>oversee an audit that analyzes the impacts, both adverse and beneficial, of JPM's climate transition policies regarding the economic and humanitarian effects on emerging nations, which rely heavily on - but have limited access to - fossil fuels and other non-"renewable" sources of power, such as nuclear. Perspectives from a full spectrum of respected economists, nongovernmental organizations, research firms, and public-interest groups could be considered. JPM should avoid one-sided political or viewpoint bias, with the auditor consulting specialists across a range of stances - including those who may rebut prevailing corporate media- and government-driven narratives on climate and energy. Among perspectives that may be considered include experts such as Alex Epstein, Michael Shellenberger, Bjorn Lomborg, Robert Bryce, Roy Spencer, John Christy, Roger Pielke, Jr., Richard Lindzen, and others.</w:t>
      </w:r>
    </w:p>
    <w:p>
      <w:pPr>
        <w:spacing w:after="0" w:line="87"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A report on the audit, prepared at reasonable cost and omitting confidential or proprietary information, should be published on JPM's website.</w:t>
      </w:r>
    </w:p>
    <w:p>
      <w:pPr>
        <w:spacing w:after="0" w:line="475"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10" w:lineRule="exact"/>
        <w:rPr>
          <w:sz w:val="20"/>
          <w:szCs w:val="20"/>
          <w:color w:val="auto"/>
        </w:rPr>
      </w:pPr>
    </w:p>
    <w:p>
      <w:pPr>
        <w:ind w:left="200" w:hanging="192"/>
        <w:spacing w:after="0"/>
        <w:tabs>
          <w:tab w:leader="none" w:pos="200" w:val="left"/>
        </w:tabs>
        <w:numPr>
          <w:ilvl w:val="0"/>
          <w:numId w:val="308"/>
        </w:numPr>
        <w:rPr>
          <w:rFonts w:ascii="Arial" w:cs="Arial" w:eastAsia="Arial" w:hAnsi="Arial"/>
          <w:sz w:val="16"/>
          <w:szCs w:val="16"/>
          <w:color w:val="auto"/>
          <w:vertAlign w:val="superscript"/>
        </w:rPr>
      </w:pPr>
      <w:r>
        <w:rPr>
          <w:rFonts w:ascii="Arial" w:cs="Arial" w:eastAsia="Arial" w:hAnsi="Arial"/>
          <w:sz w:val="13"/>
          <w:szCs w:val="13"/>
          <w:color w:val="auto"/>
        </w:rPr>
        <w:t>https://www.dailymaiI.co.uk/sciencetech/article-12545855/Devastating-transition-green-energy-metal-mining-23-million-people-toxic-waste-rivers-polIuted-farmland.htmI</w:t>
      </w:r>
    </w:p>
    <w:p>
      <w:pPr>
        <w:spacing w:after="0" w:line="8" w:lineRule="exact"/>
        <w:rPr>
          <w:rFonts w:ascii="Arial" w:cs="Arial" w:eastAsia="Arial" w:hAnsi="Arial"/>
          <w:sz w:val="16"/>
          <w:szCs w:val="16"/>
          <w:color w:val="auto"/>
          <w:vertAlign w:val="superscript"/>
        </w:rPr>
      </w:pP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https://www.wsj.com/articles/americas-new-energy-crisis-11659153633</w:t>
      </w:r>
    </w:p>
    <w:p>
      <w:pPr>
        <w:ind w:right="5020"/>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3</w:t>
      </w:r>
      <w:r>
        <w:rPr>
          <w:rFonts w:ascii="Arial" w:cs="Arial" w:eastAsia="Arial" w:hAnsi="Arial"/>
          <w:sz w:val="13"/>
          <w:szCs w:val="13"/>
          <w:color w:val="auto"/>
        </w:rPr>
        <w:t xml:space="preserve"> https://www.cnbc.com/2022/10/26/iea-developing-nations-the-number-one-casualty-of-the-energy-crisis.html </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https://www.iea.org/reports/sdg7-data-and-projections/access-to-electricity</w:t>
      </w:r>
    </w:p>
    <w:p>
      <w:pPr>
        <w:spacing w:after="0" w:line="1" w:lineRule="exact"/>
        <w:rPr>
          <w:rFonts w:ascii="Arial" w:cs="Arial" w:eastAsia="Arial" w:hAnsi="Arial"/>
          <w:sz w:val="16"/>
          <w:szCs w:val="16"/>
          <w:color w:val="auto"/>
          <w:vertAlign w:val="superscript"/>
        </w:rPr>
      </w:pPr>
    </w:p>
    <w:p>
      <w:pPr>
        <w:ind w:right="4860"/>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5</w:t>
      </w:r>
      <w:r>
        <w:rPr>
          <w:rFonts w:ascii="Arial" w:cs="Arial" w:eastAsia="Arial" w:hAnsi="Arial"/>
          <w:sz w:val="13"/>
          <w:szCs w:val="13"/>
          <w:color w:val="auto"/>
        </w:rPr>
        <w:t xml:space="preserve"> https://www.brookings.edu/articles/it-is-unfair-to-push-poor-countries-to-reach-zero-carbon-emissions-too-early/ </w:t>
      </w:r>
      <w:r>
        <w:rPr>
          <w:rFonts w:ascii="Arial" w:cs="Arial" w:eastAsia="Arial" w:hAnsi="Arial"/>
          <w:sz w:val="16"/>
          <w:szCs w:val="16"/>
          <w:color w:val="auto"/>
          <w:vertAlign w:val="superscript"/>
        </w:rPr>
        <w:t>6</w:t>
      </w:r>
      <w:r>
        <w:rPr>
          <w:rFonts w:ascii="Arial" w:cs="Arial" w:eastAsia="Arial" w:hAnsi="Arial"/>
          <w:sz w:val="13"/>
          <w:szCs w:val="13"/>
          <w:color w:val="auto"/>
        </w:rPr>
        <w:t xml:space="preserve"> https://thebreakthrough.org/journal/no-16-spring-2022/let-them-eat-carbon</w:t>
      </w:r>
    </w:p>
    <w:p>
      <w:pPr>
        <w:spacing w:after="0" w:line="1" w:lineRule="exact"/>
        <w:rPr>
          <w:rFonts w:ascii="Arial" w:cs="Arial" w:eastAsia="Arial" w:hAnsi="Arial"/>
          <w:sz w:val="16"/>
          <w:szCs w:val="16"/>
          <w:color w:val="auto"/>
          <w:vertAlign w:val="superscript"/>
        </w:rPr>
      </w:pPr>
    </w:p>
    <w:p>
      <w:pPr>
        <w:ind w:right="3840"/>
        <w:spacing w:after="0" w:line="202"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7</w:t>
      </w:r>
      <w:r>
        <w:rPr>
          <w:rFonts w:ascii="Arial" w:cs="Arial" w:eastAsia="Arial" w:hAnsi="Arial"/>
          <w:sz w:val="13"/>
          <w:szCs w:val="13"/>
          <w:color w:val="auto"/>
        </w:rPr>
        <w:t xml:space="preserve"> https://www.bloomberg.com/news/articles/2021-10-08/jpmorgan-joins-net-zero-banking-alliance-with-emissions-pledge#xj4y7vzkg </w:t>
      </w:r>
      <w:r>
        <w:rPr>
          <w:rFonts w:ascii="Arial" w:cs="Arial" w:eastAsia="Arial" w:hAnsi="Arial"/>
          <w:sz w:val="16"/>
          <w:szCs w:val="16"/>
          <w:color w:val="auto"/>
          <w:vertAlign w:val="superscript"/>
        </w:rPr>
        <w:t>8</w:t>
      </w:r>
      <w:r>
        <w:rPr>
          <w:rFonts w:ascii="Arial" w:cs="Arial" w:eastAsia="Arial" w:hAnsi="Arial"/>
          <w:sz w:val="13"/>
          <w:szCs w:val="13"/>
          <w:color w:val="auto"/>
        </w:rPr>
        <w:t xml:space="preserve"> https://www.unepfi.org/net-zero-banking/</w:t>
      </w: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9</w:t>
      </w:r>
      <w:r>
        <w:rPr>
          <w:rFonts w:ascii="Arial" w:cs="Arial" w:eastAsia="Arial" w:hAnsi="Arial"/>
          <w:sz w:val="13"/>
          <w:szCs w:val="13"/>
          <w:color w:val="auto"/>
        </w:rPr>
        <w:t xml:space="preserve">   https://www.jpmorganchase.com/news-stories/jpmc-to-advance-climate-action-and-sustainable-dev-goals</w:t>
      </w:r>
    </w:p>
    <w:p>
      <w:pPr>
        <w:ind w:right="3920"/>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10</w:t>
      </w:r>
      <w:r>
        <w:rPr>
          <w:rFonts w:ascii="Arial" w:cs="Arial" w:eastAsia="Arial" w:hAnsi="Arial"/>
          <w:sz w:val="13"/>
          <w:szCs w:val="13"/>
          <w:color w:val="auto"/>
        </w:rPr>
        <w:t xml:space="preserve"> https://www.reuters.com/business/sustainable-business/jpmorgan-sets-2030-emissions-targets-polluting-industries-2022-12-22/ </w:t>
      </w:r>
      <w:r>
        <w:rPr>
          <w:rFonts w:ascii="Arial" w:cs="Arial" w:eastAsia="Arial" w:hAnsi="Arial"/>
          <w:sz w:val="16"/>
          <w:szCs w:val="16"/>
          <w:color w:val="auto"/>
          <w:vertAlign w:val="superscript"/>
        </w:rPr>
        <w:t>11</w:t>
      </w:r>
      <w:r>
        <w:rPr>
          <w:rFonts w:ascii="Arial" w:cs="Arial" w:eastAsia="Arial" w:hAnsi="Arial"/>
          <w:sz w:val="13"/>
          <w:szCs w:val="13"/>
          <w:color w:val="auto"/>
        </w:rPr>
        <w:t xml:space="preserve"> https://www..cnbc.com/2020/02/25/jpmorgan-says-it-will-fund-200-billion-in-sustainable-deals-this-year.html</w:t>
      </w:r>
    </w:p>
    <w:p>
      <w:pPr>
        <w:spacing w:after="0" w:line="1" w:lineRule="exact"/>
        <w:rPr>
          <w:rFonts w:ascii="Arial" w:cs="Arial" w:eastAsia="Arial" w:hAnsi="Arial"/>
          <w:sz w:val="16"/>
          <w:szCs w:val="16"/>
          <w:color w:val="auto"/>
          <w:vertAlign w:val="superscript"/>
        </w:rPr>
      </w:pPr>
    </w:p>
    <w:p>
      <w:pPr>
        <w:spacing w:after="0" w:line="211"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12</w:t>
      </w:r>
      <w:r>
        <w:rPr>
          <w:rFonts w:ascii="Arial" w:cs="Arial" w:eastAsia="Arial" w:hAnsi="Arial"/>
          <w:sz w:val="13"/>
          <w:szCs w:val="13"/>
          <w:color w:val="auto"/>
        </w:rPr>
        <w:t xml:space="preserve">   https://www.jpmorganchase.com/impact/sustainability/es-commitments</w:t>
      </w:r>
    </w:p>
    <w:p>
      <w:pPr>
        <w:spacing w:after="0"/>
        <w:rPr>
          <w:rFonts w:ascii="Arial" w:cs="Arial" w:eastAsia="Arial" w:hAnsi="Arial"/>
          <w:sz w:val="16"/>
          <w:szCs w:val="16"/>
          <w:color w:val="auto"/>
          <w:vertAlign w:val="superscript"/>
        </w:rPr>
      </w:pPr>
      <w:r>
        <w:rPr>
          <w:rFonts w:ascii="Arial" w:cs="Arial" w:eastAsia="Arial" w:hAnsi="Arial"/>
          <w:sz w:val="16"/>
          <w:szCs w:val="16"/>
          <w:color w:val="auto"/>
          <w:vertAlign w:val="superscript"/>
        </w:rPr>
        <w:t>13</w:t>
      </w:r>
      <w:r>
        <w:rPr>
          <w:rFonts w:ascii="Arial" w:cs="Arial" w:eastAsia="Arial" w:hAnsi="Arial"/>
          <w:sz w:val="13"/>
          <w:szCs w:val="13"/>
          <w:color w:val="auto"/>
        </w:rPr>
        <w:t xml:space="preserve">   https://sdgs.un.org/goals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6</w:t>
      </w:r>
    </w:p>
    <w:p>
      <w:pPr>
        <w:spacing w:after="0" w:line="124" w:lineRule="exact"/>
        <w:rPr>
          <w:sz w:val="20"/>
          <w:szCs w:val="20"/>
          <w:color w:val="auto"/>
        </w:rPr>
      </w:pPr>
    </w:p>
    <w:p>
      <w:pPr>
        <w:jc w:val="both"/>
        <w:ind w:right="104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411855" cy="501459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411855" cy="5014595"/>
                    </a:xfrm>
                    <a:prstGeom prst="rect">
                      <a:avLst/>
                    </a:prstGeom>
                    <a:noFill/>
                  </pic:spPr>
                </pic:pic>
              </a:graphicData>
            </a:graphic>
          </wp:anchor>
        </w:drawing>
      </w:r>
    </w:p>
    <w:p>
      <w:pPr>
        <w:spacing w:after="0" w:line="94" w:lineRule="exact"/>
        <w:rPr>
          <w:sz w:val="20"/>
          <w:szCs w:val="20"/>
          <w:color w:val="auto"/>
        </w:rPr>
      </w:pPr>
    </w:p>
    <w:p>
      <w:pPr>
        <w:ind w:left="300" w:right="140" w:hanging="196"/>
        <w:spacing w:after="0" w:line="262" w:lineRule="auto"/>
        <w:tabs>
          <w:tab w:leader="none" w:pos="304" w:val="left"/>
        </w:tabs>
        <w:numPr>
          <w:ilvl w:val="0"/>
          <w:numId w:val="309"/>
        </w:numPr>
        <w:rPr>
          <w:rFonts w:ascii="Arial" w:cs="Arial" w:eastAsia="Arial" w:hAnsi="Arial"/>
          <w:sz w:val="18"/>
          <w:szCs w:val="18"/>
          <w:color w:val="104C98"/>
        </w:rPr>
      </w:pPr>
      <w:r>
        <w:rPr>
          <w:rFonts w:ascii="Arial" w:cs="Arial" w:eastAsia="Arial" w:hAnsi="Arial"/>
          <w:sz w:val="18"/>
          <w:szCs w:val="18"/>
          <w:color w:val="auto"/>
        </w:rPr>
        <w:t>JPMorgan Chase believes in free enterprise and does not “boycott” companies or sectors. Our decisions are made based on facts, business principles and long-term shareholder value, not social or political agendas.</w:t>
      </w:r>
    </w:p>
    <w:p>
      <w:pPr>
        <w:spacing w:after="0" w:line="27" w:lineRule="exact"/>
        <w:rPr>
          <w:rFonts w:ascii="Arial" w:cs="Arial" w:eastAsia="Arial" w:hAnsi="Arial"/>
          <w:sz w:val="18"/>
          <w:szCs w:val="18"/>
          <w:color w:val="104C98"/>
        </w:rPr>
      </w:pPr>
    </w:p>
    <w:p>
      <w:pPr>
        <w:ind w:left="300" w:right="220" w:hanging="196"/>
        <w:spacing w:after="0" w:line="262" w:lineRule="auto"/>
        <w:tabs>
          <w:tab w:leader="none" w:pos="304" w:val="left"/>
        </w:tabs>
        <w:numPr>
          <w:ilvl w:val="0"/>
          <w:numId w:val="309"/>
        </w:numPr>
        <w:rPr>
          <w:rFonts w:ascii="Arial" w:cs="Arial" w:eastAsia="Arial" w:hAnsi="Arial"/>
          <w:sz w:val="18"/>
          <w:szCs w:val="18"/>
          <w:color w:val="104C98"/>
        </w:rPr>
      </w:pPr>
      <w:r>
        <w:rPr>
          <w:rFonts w:ascii="Arial" w:cs="Arial" w:eastAsia="Arial" w:hAnsi="Arial"/>
          <w:sz w:val="18"/>
          <w:szCs w:val="18"/>
          <w:color w:val="auto"/>
        </w:rPr>
        <w:t>The Firm's objectives across our sustainable development activities and climate are complementary, and our investment objectives in both areas contribute to the Firm’s Sustainable Development Target, described below.</w:t>
      </w:r>
    </w:p>
    <w:p>
      <w:pPr>
        <w:spacing w:after="0" w:line="27" w:lineRule="exact"/>
        <w:rPr>
          <w:rFonts w:ascii="Arial" w:cs="Arial" w:eastAsia="Arial" w:hAnsi="Arial"/>
          <w:sz w:val="18"/>
          <w:szCs w:val="18"/>
          <w:color w:val="104C98"/>
        </w:rPr>
      </w:pPr>
    </w:p>
    <w:p>
      <w:pPr>
        <w:ind w:left="300" w:right="180" w:hanging="196"/>
        <w:spacing w:after="0" w:line="255" w:lineRule="auto"/>
        <w:tabs>
          <w:tab w:leader="none" w:pos="304" w:val="left"/>
        </w:tabs>
        <w:numPr>
          <w:ilvl w:val="0"/>
          <w:numId w:val="309"/>
        </w:numPr>
        <w:rPr>
          <w:rFonts w:ascii="Arial" w:cs="Arial" w:eastAsia="Arial" w:hAnsi="Arial"/>
          <w:sz w:val="18"/>
          <w:szCs w:val="18"/>
          <w:color w:val="104C98"/>
        </w:rPr>
      </w:pPr>
      <w:r>
        <w:rPr>
          <w:rFonts w:ascii="Arial" w:cs="Arial" w:eastAsia="Arial" w:hAnsi="Arial"/>
          <w:sz w:val="18"/>
          <w:szCs w:val="18"/>
          <w:color w:val="auto"/>
        </w:rPr>
        <w:t>The Firm’s commitment to finance and facilitate $2.5 trillion to advance long-term solutions that address climate change and contribute to sustainable development (“Sustainable Development Target”) explicitly supports the United Nations Sustainable Development Goals, the first of which is poverty eradication. In 2021 and 2022, the Firm financed and facilitated $204 billion toward development finance, the sustainable development component of our target.</w:t>
      </w:r>
    </w:p>
    <w:p>
      <w:pPr>
        <w:spacing w:after="0" w:line="49" w:lineRule="exact"/>
        <w:rPr>
          <w:rFonts w:ascii="Arial" w:cs="Arial" w:eastAsia="Arial" w:hAnsi="Arial"/>
          <w:sz w:val="18"/>
          <w:szCs w:val="18"/>
          <w:color w:val="104C98"/>
        </w:rPr>
      </w:pPr>
    </w:p>
    <w:p>
      <w:pPr>
        <w:ind w:left="300" w:right="300" w:hanging="196"/>
        <w:spacing w:after="0" w:line="256" w:lineRule="auto"/>
        <w:tabs>
          <w:tab w:leader="none" w:pos="304" w:val="left"/>
        </w:tabs>
        <w:numPr>
          <w:ilvl w:val="0"/>
          <w:numId w:val="309"/>
        </w:numPr>
        <w:rPr>
          <w:rFonts w:ascii="Arial" w:cs="Arial" w:eastAsia="Arial" w:hAnsi="Arial"/>
          <w:sz w:val="18"/>
          <w:szCs w:val="18"/>
          <w:color w:val="104C98"/>
        </w:rPr>
      </w:pPr>
      <w:r>
        <w:rPr>
          <w:rFonts w:ascii="Arial" w:cs="Arial" w:eastAsia="Arial" w:hAnsi="Arial"/>
          <w:sz w:val="18"/>
          <w:szCs w:val="18"/>
          <w:color w:val="auto"/>
        </w:rPr>
        <w:t>The Firm supports clients across the energy sector. In the energy sector, our financing activity reflects the need to balance energy transition with energy security, reliability and affordability, and the reality that the world will continue to require fossil fuels in coming years as alternative energy sources scale up. The Firm has established climate targets that reflect this balance.</w:t>
      </w:r>
    </w:p>
    <w:p>
      <w:pPr>
        <w:spacing w:after="0" w:line="34" w:lineRule="exact"/>
        <w:rPr>
          <w:rFonts w:ascii="Arial" w:cs="Arial" w:eastAsia="Arial" w:hAnsi="Arial"/>
          <w:sz w:val="18"/>
          <w:szCs w:val="18"/>
          <w:color w:val="104C98"/>
        </w:rPr>
      </w:pPr>
    </w:p>
    <w:p>
      <w:pPr>
        <w:ind w:left="300" w:right="120" w:hanging="196"/>
        <w:spacing w:after="0" w:line="257" w:lineRule="auto"/>
        <w:tabs>
          <w:tab w:leader="none" w:pos="304" w:val="left"/>
        </w:tabs>
        <w:numPr>
          <w:ilvl w:val="0"/>
          <w:numId w:val="309"/>
        </w:numPr>
        <w:rPr>
          <w:rFonts w:ascii="Arial" w:cs="Arial" w:eastAsia="Arial" w:hAnsi="Arial"/>
          <w:sz w:val="18"/>
          <w:szCs w:val="18"/>
          <w:color w:val="104C98"/>
        </w:rPr>
      </w:pPr>
      <w:r>
        <w:rPr>
          <w:rFonts w:ascii="Arial" w:cs="Arial" w:eastAsia="Arial" w:hAnsi="Arial"/>
          <w:sz w:val="18"/>
          <w:szCs w:val="18"/>
          <w:color w:val="auto"/>
        </w:rPr>
        <w:t>The requested audit would not be meaningful as it is unclear how impacts of the Firm’s current approach to sustainable development on “economic and humanitarian effects on emerging nations” could be defined or quantified as part of an audit. Indeed, the proposal does not point to any evidence that the Firm's approach has had such impacts.</w:t>
      </w:r>
    </w:p>
    <w:p>
      <w:pPr>
        <w:spacing w:after="0" w:line="33" w:lineRule="exact"/>
        <w:rPr>
          <w:rFonts w:ascii="Arial" w:cs="Arial" w:eastAsia="Arial" w:hAnsi="Arial"/>
          <w:sz w:val="18"/>
          <w:szCs w:val="18"/>
          <w:color w:val="104C98"/>
        </w:rPr>
      </w:pPr>
    </w:p>
    <w:p>
      <w:pPr>
        <w:ind w:left="300" w:right="100" w:hanging="196"/>
        <w:spacing w:after="0" w:line="282" w:lineRule="auto"/>
        <w:tabs>
          <w:tab w:leader="none" w:pos="304" w:val="left"/>
        </w:tabs>
        <w:numPr>
          <w:ilvl w:val="0"/>
          <w:numId w:val="309"/>
        </w:numPr>
        <w:rPr>
          <w:rFonts w:ascii="Arial" w:cs="Arial" w:eastAsia="Arial" w:hAnsi="Arial"/>
          <w:sz w:val="17"/>
          <w:szCs w:val="17"/>
          <w:color w:val="104C98"/>
        </w:rPr>
      </w:pPr>
      <w:r>
        <w:rPr>
          <w:rFonts w:ascii="Arial" w:cs="Arial" w:eastAsia="Arial" w:hAnsi="Arial"/>
          <w:sz w:val="17"/>
          <w:szCs w:val="17"/>
          <w:color w:val="auto"/>
        </w:rPr>
        <w:t>The requested audit would divert time, attention and resources from the meaningful work the Firm is already doing and would incur unnecessary costs, at shareholders’ expense, given the extensive reporting and disclosure the Firm already provides.</w:t>
      </w:r>
    </w:p>
    <w:p>
      <w:pPr>
        <w:spacing w:after="0" w:line="200" w:lineRule="exact"/>
        <w:rPr>
          <w:sz w:val="20"/>
          <w:szCs w:val="20"/>
          <w:color w:val="auto"/>
        </w:rPr>
      </w:pPr>
    </w:p>
    <w:p>
      <w:pPr>
        <w:spacing w:after="0" w:line="2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JPMorgan Chase makes independent business decisions based on facts and business principles to advance the long-term interests of the Firm and our shareholders. We seek to inform our decision-making with input from relevant subject matter experts and stakeholders without regard to their political or social leanings. This approach helps enable us to make independent decisions based on business principles. We note that the proposal advances views that are skeptical of modern scientific consensus regarding climate change. In contrast, our business principles-based approach is designed to “avoid one-sided political or viewpoint bias,” as urged by the proposal.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At its core, the proposal focuses on one particular view of climate change, and offers no evidence to support its contention that our commitments relating to climate and development finance are incompatible with each other. We believe our ability to capitalize upon opportunities and manage risk, including those presented by a transition to a low-carbon economy, depend on continued focus on facts, without regard to political or ideological agendas.</w:t>
      </w:r>
    </w:p>
    <w:p>
      <w:pPr>
        <w:spacing w:after="0" w:line="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Firm’s objectives across our sustainable development activities and climate are complementary. JPMorgan Chase has committed to finance and facilitate $2.5 trillion over 10 years — from 2021 through the end of 2030 — to advance long-term solutions that address climate change and contribute to sustainable development (“Sustainable Development Target”), which we believe will help accelerate the transition to a low-carbon economy while also supporting socioeconomic development and inclusive growth for people and communities around the world. As this finance target is measured across both sustainability and climate, those objectives are by definition complementary.</w:t>
      </w:r>
    </w:p>
    <w:p>
      <w:pPr>
        <w:spacing w:after="0" w:line="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More importantly, we do not agree with the implied premise that progress on business-driven climate objectives hinders progress on sustainable development, or vice versa. The Firm’s sustainable development activities are focused in three areas, one of which is development finance to support socioeconomic development in emerging economies, with an emphasis on mobilizing capital to advance the United Nations Sustainable Development Goals (“SDGs”). Contrary to the proponent’s claim that our policies appear to conflict with the SDGs, in 2021 and 2022, the Firm financed and facilitated $482 billion toward its Sustainable Development Target, including $204 billion for development finance.</w:t>
      </w:r>
    </w:p>
    <w:p>
      <w:pPr>
        <w:spacing w:after="0" w:line="8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Firm pursues its sustainable development activities while also supporting clients in the energy sector, where our financing activity reflects the need to balance energy transition with energy security, and the reality that the world will continue to require fossil fuels in coming years as alternative energy sources scale up. We have consistently recognized the need to work toward achieving global environmental goals in a way that supports the world’s growing energy demand to power societal and economic progress and fosters equitable energy access, reliability, security and affordability. The Firm does not have a policy to prohibit fossil fuel finance in developing nations. Rather, JPMorgan Chase provides financial services across industries and geographies, with the ambition to fulfill banking's essential purpose of helping people, businesses of all sizes and vital institutions achieve their goals. And in fact, third parties regularly recognize the Firm as one of the largest financiers of both clean and traditional energy in the world. Our Center for Carbon Transition (“CCT”) provides clients with strategic advice on their long-term decarbonization plans and works with industry and product teams to structure financing solutions to help clients drive progress toward their decarbonization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550545</wp:posOffset>
            </wp:positionV>
            <wp:extent cx="27432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95  </w:t>
      </w:r>
      <w:r>
        <w:rPr>
          <w:sz w:val="1"/>
          <w:szCs w:val="1"/>
          <w:color w:val="auto"/>
        </w:rPr>
        <w:drawing>
          <wp:inline distT="0" distB="0" distL="0" distR="0">
            <wp:extent cx="2203450" cy="154305"/>
            <wp:effectExtent l="0" t="0" r="0" b="0"/>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8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 addition, in November 2023, the Firm expanded its oil and gas end use (Scope 3) target to its current Energy Mix target, which includes financed zero-carbon power generation. The Energy Mix target encompasses a broader view of energy supply that better captures the system-wide substitution from oil and natural gas to low-carbon fuels and zero-carbon electricity generation and better reflects how we support the world’s energy transition. Use of the Energy Mix target promotes financing that is sensitive to the supply of different types of energy which is inconsistent with the sort of trade-offs the proposal implies.</w:t>
      </w:r>
    </w:p>
    <w:p>
      <w:pPr>
        <w:spacing w:after="0" w:line="66"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More detailed information about the Firm’s Sustainable Development Target, the Development Finance Institution and CCT and other efforts is available on the Investor Relations page of our website which includes the Firm's annual Climate and ESG Reports.</w:t>
      </w:r>
    </w:p>
    <w:p>
      <w:pPr>
        <w:spacing w:after="0" w:line="6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Finally, the requested audit would not be meaningful as it is unclear how impacts of the Firm’s approach to sustainable development on “economic and humanitarian effects on emerging nations” could be defined or quantified as part of an audit. Indeed, the proposal does not point to any evidence that the Firm's approach has had such impacts. The audit requested by the proposal would divert time, attention and resources away from the meaningful work the Firm is already doing and would incur unnecessary costs, at shareholders' expense, given the extensive reporting and disclosure the Firm already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3060065" cy="42037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060065" cy="420370"/>
                    </a:xfrm>
                    <a:prstGeom prst="rect">
                      <a:avLst/>
                    </a:prstGeom>
                    <a:noFill/>
                  </pic:spPr>
                </pic:pic>
              </a:graphicData>
            </a:graphic>
          </wp:anchor>
        </w:drawing>
      </w:r>
    </w:p>
    <w:p>
      <w:pPr>
        <w:spacing w:after="0" w:line="208" w:lineRule="exact"/>
        <w:rPr>
          <w:sz w:val="20"/>
          <w:szCs w:val="20"/>
          <w:color w:val="auto"/>
        </w:rPr>
      </w:pPr>
    </w:p>
    <w:p>
      <w:pPr>
        <w:ind w:left="660" w:right="10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-284480</wp:posOffset>
            </wp:positionV>
            <wp:extent cx="171450" cy="17145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341185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right="720"/>
        <w:spacing w:after="0" w:line="286" w:lineRule="auto"/>
        <w:rPr>
          <w:sz w:val="20"/>
          <w:szCs w:val="20"/>
          <w:color w:val="auto"/>
        </w:rPr>
      </w:pPr>
      <w:r>
        <w:rPr>
          <w:rFonts w:ascii="Arial" w:cs="Arial" w:eastAsia="Arial" w:hAnsi="Arial"/>
          <w:sz w:val="20"/>
          <w:szCs w:val="20"/>
          <w:color w:val="074A75"/>
        </w:rPr>
        <w:t>PROPOSAL 7 — INDIGENOUS PEOPLES' RIGHTS INDICATORS</w:t>
      </w:r>
    </w:p>
    <w:p>
      <w:pPr>
        <w:spacing w:after="0" w:line="35"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The United Church Funds has advised us that it intends to introduce the following resolution:</w:t>
      </w:r>
    </w:p>
    <w:p>
      <w:pPr>
        <w:spacing w:after="0" w:line="44"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the Board of Directors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 report to shareholders, at reasonable cost and omitting proprietary and confidential information, outlining the effectiveness of JPMorgan Chase &amp; Co.’s policies, practices, and performance indicators in respecting internationally-recognized human rights standards for Indigenous Peoples’ rights in its existing and proposed general corporate and project financing.</w:t>
      </w:r>
    </w:p>
    <w:p>
      <w:pPr>
        <w:spacing w:after="0" w:line="6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UN Declaration on the Rights of Indigenous</w:t>
      </w:r>
      <w:r>
        <w:rPr>
          <w:rFonts w:ascii="Arial" w:cs="Arial" w:eastAsia="Arial" w:hAnsi="Arial"/>
          <w:sz w:val="18"/>
          <w:szCs w:val="18"/>
          <w:b w:val="1"/>
          <w:bCs w:val="1"/>
          <w:color w:val="auto"/>
        </w:rPr>
        <w:t xml:space="preserve"> </w:t>
      </w:r>
      <w:r>
        <w:rPr>
          <w:rFonts w:ascii="Arial" w:cs="Arial" w:eastAsia="Arial" w:hAnsi="Arial"/>
          <w:sz w:val="18"/>
          <w:szCs w:val="18"/>
          <w:color w:val="auto"/>
        </w:rPr>
        <w:t>Peoples and International Labour Organization Convention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71450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260"/>
        <w:spacing w:after="0" w:line="209" w:lineRule="auto"/>
        <w:rPr>
          <w:sz w:val="20"/>
          <w:szCs w:val="20"/>
          <w:color w:val="auto"/>
        </w:rPr>
      </w:pPr>
      <w:r>
        <w:rPr>
          <w:rFonts w:ascii="Arial" w:cs="Arial" w:eastAsia="Arial" w:hAnsi="Arial"/>
          <w:sz w:val="18"/>
          <w:szCs w:val="18"/>
          <w:color w:val="auto"/>
        </w:rPr>
        <w:t>169 concerning Indigenous and Tribal Peoples in Independent Countries are internationally-recognized standards for Indigenous Peoples’ rights.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Violation of these rights presents risks for JPMorgan that can adversely affect shareholder value, including reputational damage, project disruptions, and civil and criminal liability.</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JPMorgan has a history of financing projects and companies that violate Indigenous rights, including bankrolling the Dakota Access pipeline in 2016</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and providing $1.8 billion to Enbridge between 2016 and 2020 to enable the widely opposed Enbridge Line 3 and Line 5 tar sands pipeline reroutes.</w:t>
      </w:r>
      <w:r>
        <w:rPr>
          <w:rFonts w:ascii="Arial" w:cs="Arial" w:eastAsia="Arial" w:hAnsi="Arial"/>
          <w:sz w:val="23"/>
          <w:szCs w:val="23"/>
          <w:color w:val="auto"/>
          <w:vertAlign w:val="superscript"/>
        </w:rPr>
        <w:t>4</w:t>
      </w:r>
    </w:p>
    <w:p>
      <w:pPr>
        <w:spacing w:after="0" w:line="6" w:lineRule="exact"/>
        <w:rPr>
          <w:sz w:val="20"/>
          <w:szCs w:val="20"/>
          <w:color w:val="auto"/>
        </w:rPr>
      </w:pPr>
    </w:p>
    <w:p>
      <w:pPr>
        <w:ind w:right="140"/>
        <w:spacing w:after="0" w:line="203" w:lineRule="auto"/>
        <w:rPr>
          <w:sz w:val="20"/>
          <w:szCs w:val="20"/>
          <w:color w:val="auto"/>
        </w:rPr>
      </w:pPr>
      <w:r>
        <w:rPr>
          <w:rFonts w:ascii="Arial" w:cs="Arial" w:eastAsia="Arial" w:hAnsi="Arial"/>
          <w:sz w:val="18"/>
          <w:szCs w:val="18"/>
          <w:color w:val="auto"/>
        </w:rPr>
        <w:t>Indigenous leaders from the Great Lakes tribes have called Enbridge’s Line 5 pipeline reroute “an act of cultural genocide.”</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A 2022 ruling found that Line 5 was operating illegally on Bad River Band territory since 2013.</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Michigan’s twelve federally recognized Tribal Nations requested President Biden to decommission Line 5 in 2021,</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noting Enbridge’s deceptive tactics, poor environmental track record, and risk of “catastrophic damage” to Indigenous rights.</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Companies like Enbridge, financed by JPMorgan, consistently fail to meet the international standard of free, prior, and informed consent (FPIC) with affected tribes.</w:t>
      </w:r>
      <w:r>
        <w:rPr>
          <w:rFonts w:ascii="Arial" w:cs="Arial" w:eastAsia="Arial" w:hAnsi="Arial"/>
          <w:sz w:val="23"/>
          <w:szCs w:val="23"/>
          <w:color w:val="auto"/>
          <w:vertAlign w:val="superscript"/>
        </w:rPr>
        <w:t>9</w:t>
      </w:r>
    </w:p>
    <w:p>
      <w:pPr>
        <w:spacing w:after="0" w:line="4" w:lineRule="exact"/>
        <w:rPr>
          <w:sz w:val="20"/>
          <w:szCs w:val="20"/>
          <w:color w:val="auto"/>
        </w:rPr>
      </w:pPr>
    </w:p>
    <w:p>
      <w:pPr>
        <w:ind w:right="200"/>
        <w:spacing w:after="0" w:line="202" w:lineRule="auto"/>
        <w:rPr>
          <w:sz w:val="20"/>
          <w:szCs w:val="20"/>
          <w:color w:val="auto"/>
        </w:rPr>
      </w:pPr>
      <w:r>
        <w:rPr>
          <w:rFonts w:ascii="Arial" w:cs="Arial" w:eastAsia="Arial" w:hAnsi="Arial"/>
          <w:sz w:val="18"/>
          <w:szCs w:val="18"/>
          <w:color w:val="auto"/>
        </w:rPr>
        <w:t>JPMorgan is additionally the subject of ongoing protests for its role as the largest financier of oil and gas operations in the Amazon rainforest that pose “an existential threat” to Indigenous Peoples.</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For example, JPMorgan finances Gran Tierra Energy, which has been connected to Indigenous Rights violations of the Inga and Pastos people in Columbia since 2012.</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Despite making commitments to protect UNESCO sites,</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JPMorgan finances PetroAmazonas, which operates in the Yasuni UNESCO Reserve despite clear Indigenous opposition.</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Ecuadorian courts ruled in 2019 that Waorani Peoples were not adequately consulted.</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In August 2023, a referendum vote opted to halt drilling in Yasuni Park, which the company estimates will cost $1.2 billion in income.</w:t>
      </w:r>
      <w:r>
        <w:rPr>
          <w:rFonts w:ascii="Arial" w:cs="Arial" w:eastAsia="Arial" w:hAnsi="Arial"/>
          <w:sz w:val="23"/>
          <w:szCs w:val="23"/>
          <w:color w:val="auto"/>
          <w:vertAlign w:val="superscript"/>
        </w:rPr>
        <w:t>15</w:t>
      </w:r>
    </w:p>
    <w:p>
      <w:pPr>
        <w:spacing w:after="0" w:line="10" w:lineRule="exact"/>
        <w:rPr>
          <w:sz w:val="20"/>
          <w:szCs w:val="20"/>
          <w:color w:val="auto"/>
        </w:rPr>
      </w:pPr>
    </w:p>
    <w:p>
      <w:pPr>
        <w:ind w:right="140"/>
        <w:spacing w:after="0" w:line="211" w:lineRule="auto"/>
        <w:rPr>
          <w:sz w:val="20"/>
          <w:szCs w:val="20"/>
          <w:color w:val="auto"/>
        </w:rPr>
      </w:pPr>
      <w:r>
        <w:rPr>
          <w:rFonts w:ascii="Arial" w:cs="Arial" w:eastAsia="Arial" w:hAnsi="Arial"/>
          <w:sz w:val="18"/>
          <w:szCs w:val="18"/>
          <w:color w:val="auto"/>
        </w:rPr>
        <w:t>JPMorgan faces reputational risk if its climate commitments are discredited by its own financing activities.</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JPMorgan’s human rights and risk management policies do not clearly define FPIC, nor include guidance on how JPMorgan addresses companies with track records of violating Indigenous rights. Though JPMorgan adheres to the Equator Principles to manage environmental and social risk, Indigenous experts have described them as “critically weak” and not aligned with international human rights standards.</w:t>
      </w:r>
      <w:r>
        <w:rPr>
          <w:rFonts w:ascii="Arial" w:cs="Arial" w:eastAsia="Arial" w:hAnsi="Arial"/>
          <w:sz w:val="23"/>
          <w:szCs w:val="23"/>
          <w:color w:val="auto"/>
          <w:vertAlign w:val="superscript"/>
        </w:rPr>
        <w:t>17</w:t>
      </w:r>
      <w:r>
        <w:rPr>
          <w:rFonts w:ascii="Arial" w:cs="Arial" w:eastAsia="Arial" w:hAnsi="Arial"/>
          <w:sz w:val="18"/>
          <w:szCs w:val="18"/>
          <w:color w:val="auto"/>
        </w:rPr>
        <w:t xml:space="preserve"> Effective policies that protect Indigenous rights are critical to managing material risk.</w:t>
      </w:r>
    </w:p>
    <w:p>
      <w:pPr>
        <w:spacing w:after="0" w:line="883"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124" w:lineRule="exact"/>
        <w:rPr>
          <w:sz w:val="20"/>
          <w:szCs w:val="20"/>
          <w:color w:val="auto"/>
        </w:rPr>
      </w:pPr>
    </w:p>
    <w:p>
      <w:pPr>
        <w:ind w:left="200" w:hanging="192"/>
        <w:spacing w:after="0"/>
        <w:tabs>
          <w:tab w:leader="none" w:pos="200" w:val="left"/>
        </w:tabs>
        <w:numPr>
          <w:ilvl w:val="0"/>
          <w:numId w:val="310"/>
        </w:numPr>
        <w:rPr>
          <w:rFonts w:ascii="Arial" w:cs="Arial" w:eastAsia="Arial" w:hAnsi="Arial"/>
          <w:sz w:val="16"/>
          <w:szCs w:val="16"/>
          <w:color w:val="auto"/>
          <w:vertAlign w:val="superscript"/>
        </w:rPr>
      </w:pPr>
      <w:r>
        <w:rPr>
          <w:rFonts w:ascii="Arial" w:cs="Arial" w:eastAsia="Arial" w:hAnsi="Arial"/>
          <w:sz w:val="13"/>
          <w:szCs w:val="13"/>
          <w:color w:val="auto"/>
        </w:rPr>
        <w:t>https://www.un.org/development/desa/indigenouspeoples/declaration-on-the-rights-of-indigenous-peoples.html; https://www.ilo.org/dyn/normlex/en/f?</w:t>
      </w:r>
    </w:p>
    <w:p>
      <w:pPr>
        <w:ind w:left="200"/>
        <w:spacing w:after="0" w:line="228" w:lineRule="auto"/>
        <w:rPr>
          <w:sz w:val="20"/>
          <w:szCs w:val="20"/>
          <w:color w:val="auto"/>
        </w:rPr>
      </w:pPr>
      <w:r>
        <w:rPr>
          <w:rFonts w:ascii="Arial" w:cs="Arial" w:eastAsia="Arial" w:hAnsi="Arial"/>
          <w:sz w:val="13"/>
          <w:szCs w:val="13"/>
          <w:color w:val="auto"/>
        </w:rPr>
        <w:t>p=NORMLEXPUB:12100:0::NO::P12100_INSTRUMENT_ID:312314</w:t>
      </w:r>
    </w:p>
    <w:p>
      <w:pPr>
        <w:ind w:left="200" w:hanging="192"/>
        <w:spacing w:after="0" w:line="212" w:lineRule="auto"/>
        <w:tabs>
          <w:tab w:leader="none" w:pos="200" w:val="left"/>
        </w:tabs>
        <w:numPr>
          <w:ilvl w:val="0"/>
          <w:numId w:val="311"/>
        </w:numPr>
        <w:rPr>
          <w:rFonts w:ascii="Arial" w:cs="Arial" w:eastAsia="Arial" w:hAnsi="Arial"/>
          <w:sz w:val="16"/>
          <w:szCs w:val="16"/>
          <w:color w:val="auto"/>
          <w:vertAlign w:val="superscript"/>
        </w:rPr>
      </w:pPr>
      <w:r>
        <w:rPr>
          <w:rFonts w:ascii="Arial" w:cs="Arial" w:eastAsia="Arial" w:hAnsi="Arial"/>
          <w:sz w:val="13"/>
          <w:szCs w:val="13"/>
          <w:color w:val="auto"/>
        </w:rPr>
        <w:t>https://www.colorado.edu/program/fpw/sites/default/files/attached-files/social_cost_and_material_loss_0.pdf; https://amazonwatch.org/news/2022/0622-the-business-case-for-indigenous-rights</w:t>
      </w: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3</w:t>
      </w:r>
      <w:r>
        <w:rPr>
          <w:rFonts w:ascii="Arial" w:cs="Arial" w:eastAsia="Arial" w:hAnsi="Arial"/>
          <w:sz w:val="13"/>
          <w:szCs w:val="13"/>
          <w:color w:val="auto"/>
        </w:rPr>
        <w:t xml:space="preserve">   https://www.democracynow.org/2016/9/9/who_is_funding_the_dakota_access</w:t>
      </w:r>
    </w:p>
    <w:p>
      <w:pPr>
        <w:ind w:right="6680"/>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4</w:t>
      </w:r>
      <w:r>
        <w:rPr>
          <w:rFonts w:ascii="Arial" w:cs="Arial" w:eastAsia="Arial" w:hAnsi="Arial"/>
          <w:sz w:val="13"/>
          <w:szCs w:val="13"/>
          <w:color w:val="auto"/>
        </w:rPr>
        <w:t xml:space="preserve"> https://www.ran.org/wp-content/uploads/2020/12/RAN-Briefing_Line3_KXL.pdf </w:t>
      </w:r>
      <w:r>
        <w:rPr>
          <w:rFonts w:ascii="Arial" w:cs="Arial" w:eastAsia="Arial" w:hAnsi="Arial"/>
          <w:sz w:val="16"/>
          <w:szCs w:val="16"/>
          <w:color w:val="auto"/>
          <w:vertAlign w:val="superscript"/>
        </w:rPr>
        <w:t>5</w:t>
      </w:r>
      <w:r>
        <w:rPr>
          <w:rFonts w:ascii="Arial" w:cs="Arial" w:eastAsia="Arial" w:hAnsi="Arial"/>
          <w:sz w:val="13"/>
          <w:szCs w:val="13"/>
          <w:color w:val="auto"/>
        </w:rPr>
        <w:t xml:space="preserve"> https://www.stopline3.org/news/women-leaders-line5</w:t>
      </w:r>
    </w:p>
    <w:p>
      <w:pPr>
        <w:spacing w:after="0" w:line="1" w:lineRule="exact"/>
        <w:rPr>
          <w:rFonts w:ascii="Arial" w:cs="Arial" w:eastAsia="Arial" w:hAnsi="Arial"/>
          <w:sz w:val="16"/>
          <w:szCs w:val="16"/>
          <w:color w:val="auto"/>
          <w:vertAlign w:val="superscript"/>
        </w:rPr>
      </w:pPr>
    </w:p>
    <w:p>
      <w:pPr>
        <w:spacing w:after="0" w:line="211"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6</w:t>
      </w:r>
      <w:r>
        <w:rPr>
          <w:rFonts w:ascii="Arial" w:cs="Arial" w:eastAsia="Arial" w:hAnsi="Arial"/>
          <w:sz w:val="13"/>
          <w:szCs w:val="13"/>
          <w:color w:val="auto"/>
        </w:rPr>
        <w:t xml:space="preserve">   https://michiganadvance.com/wp-content/uploads/2022/09/20515906551-1.pdf</w:t>
      </w: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7</w:t>
      </w:r>
      <w:r>
        <w:rPr>
          <w:rFonts w:ascii="Arial" w:cs="Arial" w:eastAsia="Arial" w:hAnsi="Arial"/>
          <w:sz w:val="13"/>
          <w:szCs w:val="13"/>
          <w:color w:val="auto"/>
        </w:rPr>
        <w:t xml:space="preserve">   https://www.baymills.org/_files/ugd/869f65_f8e5288d82084540a9f0e7d5d6c0921f.pdf</w:t>
      </w:r>
    </w:p>
    <w:p>
      <w:pPr>
        <w:ind w:right="3060"/>
        <w:spacing w:after="0" w:line="229" w:lineRule="auto"/>
        <w:rPr>
          <w:rFonts w:ascii="Arial" w:cs="Arial" w:eastAsia="Arial" w:hAnsi="Arial"/>
          <w:sz w:val="16"/>
          <w:szCs w:val="16"/>
          <w:color w:val="auto"/>
          <w:vertAlign w:val="superscript"/>
        </w:rPr>
      </w:pPr>
      <w:r>
        <w:rPr>
          <w:rFonts w:ascii="Arial" w:cs="Arial" w:eastAsia="Arial" w:hAnsi="Arial"/>
          <w:sz w:val="15"/>
          <w:szCs w:val="15"/>
          <w:color w:val="auto"/>
          <w:vertAlign w:val="superscript"/>
        </w:rPr>
        <w:t>8</w:t>
      </w:r>
      <w:r>
        <w:rPr>
          <w:rFonts w:ascii="Arial" w:cs="Arial" w:eastAsia="Arial" w:hAnsi="Arial"/>
          <w:sz w:val="12"/>
          <w:szCs w:val="12"/>
          <w:color w:val="auto"/>
        </w:rPr>
        <w:t xml:space="preserve"> https://narf.org/nill/documents/20210510BayMills_banish_Enbridge.pdf?_ga=2.239143744.2105983367.1624287541-1503385769.1619537483 </w:t>
      </w:r>
      <w:r>
        <w:rPr>
          <w:rFonts w:ascii="Arial" w:cs="Arial" w:eastAsia="Arial" w:hAnsi="Arial"/>
          <w:sz w:val="15"/>
          <w:szCs w:val="15"/>
          <w:color w:val="auto"/>
          <w:vertAlign w:val="superscript"/>
        </w:rPr>
        <w:t>9</w:t>
      </w:r>
      <w:r>
        <w:rPr>
          <w:rFonts w:ascii="Arial" w:cs="Arial" w:eastAsia="Arial" w:hAnsi="Arial"/>
          <w:sz w:val="12"/>
          <w:szCs w:val="12"/>
          <w:color w:val="auto"/>
        </w:rPr>
        <w:t xml:space="preserve"> https://www.colorado.edu/program/fpw/2022/06/13/united-nations-responds-second-time-violations-anishinaabe-rights-signals-priorities</w:t>
      </w:r>
    </w:p>
    <w:p>
      <w:pPr>
        <w:ind w:right="2160"/>
        <w:spacing w:after="0" w:line="202"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10</w:t>
      </w:r>
      <w:r>
        <w:rPr>
          <w:rFonts w:ascii="Arial" w:cs="Arial" w:eastAsia="Arial" w:hAnsi="Arial"/>
          <w:sz w:val="13"/>
          <w:szCs w:val="13"/>
          <w:color w:val="auto"/>
        </w:rPr>
        <w:t xml:space="preserve"> https://amazonwatch.org/news/2021/1111-cop26-frontline-communities-confront-jpmorgan-chase-on-violating-indigenous-rights-and-financing-the-climate-crisis </w:t>
      </w:r>
      <w:r>
        <w:rPr>
          <w:rFonts w:ascii="Arial" w:cs="Arial" w:eastAsia="Arial" w:hAnsi="Arial"/>
          <w:sz w:val="16"/>
          <w:szCs w:val="16"/>
          <w:color w:val="auto"/>
          <w:vertAlign w:val="superscript"/>
        </w:rPr>
        <w:t>11</w:t>
      </w:r>
      <w:r>
        <w:rPr>
          <w:rFonts w:ascii="Arial" w:cs="Arial" w:eastAsia="Arial" w:hAnsi="Arial"/>
          <w:sz w:val="13"/>
          <w:szCs w:val="13"/>
          <w:color w:val="auto"/>
        </w:rPr>
        <w:t xml:space="preserve"> https://exitamazonoilandgas.org/ ; https://news.mongabay.com/2022/06/how-colombia-disenfranchised-indigenous-inga-communities-in-favor-of-oil/</w:t>
      </w:r>
    </w:p>
    <w:p>
      <w:pPr>
        <w:ind w:right="2040"/>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12</w:t>
      </w:r>
      <w:r>
        <w:rPr>
          <w:rFonts w:ascii="Arial" w:cs="Arial" w:eastAsia="Arial" w:hAnsi="Arial"/>
          <w:sz w:val="13"/>
          <w:szCs w:val="13"/>
          <w:color w:val="auto"/>
        </w:rPr>
        <w:t xml:space="preserve"> https://whc.unesco.org/en/no-go-commitment/ ; https://www.jpmorganchase.com/content/dam/jpmc/jpmorgan-chase-and-co/documents/jpmc-esg-report-2022.pdf </w:t>
      </w:r>
      <w:r>
        <w:rPr>
          <w:rFonts w:ascii="Arial" w:cs="Arial" w:eastAsia="Arial" w:hAnsi="Arial"/>
          <w:sz w:val="16"/>
          <w:szCs w:val="16"/>
          <w:color w:val="auto"/>
          <w:vertAlign w:val="superscript"/>
        </w:rPr>
        <w:t>13</w:t>
      </w:r>
      <w:r>
        <w:rPr>
          <w:rFonts w:ascii="Arial" w:cs="Arial" w:eastAsia="Arial" w:hAnsi="Arial"/>
          <w:sz w:val="13"/>
          <w:szCs w:val="13"/>
          <w:color w:val="auto"/>
        </w:rPr>
        <w:t xml:space="preserve"> https://www.ft.com/content/8e1acf14-e467-11e9-b8e0-026e07cbe5b4</w:t>
      </w:r>
    </w:p>
    <w:p>
      <w:pPr>
        <w:spacing w:after="0" w:line="1" w:lineRule="exact"/>
        <w:rPr>
          <w:rFonts w:ascii="Arial" w:cs="Arial" w:eastAsia="Arial" w:hAnsi="Arial"/>
          <w:sz w:val="16"/>
          <w:szCs w:val="16"/>
          <w:color w:val="auto"/>
          <w:vertAlign w:val="superscript"/>
        </w:rPr>
      </w:pP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14</w:t>
      </w:r>
      <w:r>
        <w:rPr>
          <w:rFonts w:ascii="Arial" w:cs="Arial" w:eastAsia="Arial" w:hAnsi="Arial"/>
          <w:sz w:val="13"/>
          <w:szCs w:val="13"/>
          <w:color w:val="auto"/>
        </w:rPr>
        <w:t xml:space="preserve">   https://www.ohchr.org/en/stories/2019/09/courts-rather-spears-used-defend-indigenous-territories</w:t>
      </w:r>
    </w:p>
    <w:p>
      <w:pPr>
        <w:ind w:right="5360"/>
        <w:spacing w:after="0" w:line="202"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15</w:t>
      </w:r>
      <w:r>
        <w:rPr>
          <w:rFonts w:ascii="Arial" w:cs="Arial" w:eastAsia="Arial" w:hAnsi="Arial"/>
          <w:sz w:val="13"/>
          <w:szCs w:val="13"/>
          <w:color w:val="auto"/>
        </w:rPr>
        <w:t xml:space="preserve"> https://news.mongabay.com/2023/08/ecuador-referendum-halts-oil-extraction-in-yasuni-national-park/ </w:t>
      </w:r>
      <w:r>
        <w:rPr>
          <w:rFonts w:ascii="Arial" w:cs="Arial" w:eastAsia="Arial" w:hAnsi="Arial"/>
          <w:sz w:val="16"/>
          <w:szCs w:val="16"/>
          <w:color w:val="auto"/>
          <w:vertAlign w:val="superscript"/>
        </w:rPr>
        <w:t>16</w:t>
      </w:r>
      <w:r>
        <w:rPr>
          <w:rFonts w:ascii="Arial" w:cs="Arial" w:eastAsia="Arial" w:hAnsi="Arial"/>
          <w:sz w:val="13"/>
          <w:szCs w:val="13"/>
          <w:color w:val="auto"/>
        </w:rPr>
        <w:t xml:space="preserve"> https://climatejusticealliance.org/jpmorgan/</w:t>
      </w:r>
    </w:p>
    <w:p>
      <w:pPr>
        <w:spacing w:after="0"/>
        <w:rPr>
          <w:rFonts w:ascii="Arial" w:cs="Arial" w:eastAsia="Arial" w:hAnsi="Arial"/>
          <w:sz w:val="16"/>
          <w:szCs w:val="16"/>
          <w:color w:val="auto"/>
          <w:vertAlign w:val="superscript"/>
        </w:rPr>
      </w:pPr>
      <w:r>
        <w:rPr>
          <w:rFonts w:ascii="Arial" w:cs="Arial" w:eastAsia="Arial" w:hAnsi="Arial"/>
          <w:sz w:val="16"/>
          <w:szCs w:val="16"/>
          <w:color w:val="auto"/>
          <w:vertAlign w:val="superscript"/>
        </w:rPr>
        <w:t>17</w:t>
      </w:r>
      <w:r>
        <w:rPr>
          <w:rFonts w:ascii="Arial" w:cs="Arial" w:eastAsia="Arial" w:hAnsi="Arial"/>
          <w:sz w:val="13"/>
          <w:szCs w:val="13"/>
          <w:color w:val="auto"/>
        </w:rPr>
        <w:t xml:space="preserve">   https://www.colorado.edu/program/fpw/2019/11/19/first-peoples-response-ep4-critically-weak-equator-principles-puts-global-development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7</w:t>
      </w:r>
    </w:p>
    <w:p>
      <w:pPr>
        <w:spacing w:after="0" w:line="97" w:lineRule="exact"/>
        <w:rPr>
          <w:sz w:val="20"/>
          <w:szCs w:val="20"/>
          <w:color w:val="auto"/>
        </w:rPr>
      </w:pPr>
    </w:p>
    <w:p>
      <w:pPr>
        <w:jc w:val="both"/>
        <w:ind w:right="102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411855" cy="2802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411855" cy="2802890"/>
                    </a:xfrm>
                    <a:prstGeom prst="rect">
                      <a:avLst/>
                    </a:prstGeom>
                    <a:noFill/>
                  </pic:spPr>
                </pic:pic>
              </a:graphicData>
            </a:graphic>
          </wp:anchor>
        </w:drawing>
      </w:r>
    </w:p>
    <w:p>
      <w:pPr>
        <w:spacing w:after="0" w:line="94" w:lineRule="exact"/>
        <w:rPr>
          <w:sz w:val="20"/>
          <w:szCs w:val="20"/>
          <w:color w:val="auto"/>
        </w:rPr>
      </w:pPr>
    </w:p>
    <w:p>
      <w:pPr>
        <w:ind w:left="300" w:right="100" w:hanging="196"/>
        <w:spacing w:after="0" w:line="261" w:lineRule="auto"/>
        <w:tabs>
          <w:tab w:leader="none" w:pos="304" w:val="left"/>
        </w:tabs>
        <w:numPr>
          <w:ilvl w:val="0"/>
          <w:numId w:val="312"/>
        </w:numPr>
        <w:rPr>
          <w:rFonts w:ascii="Arial" w:cs="Arial" w:eastAsia="Arial" w:hAnsi="Arial"/>
          <w:sz w:val="18"/>
          <w:szCs w:val="18"/>
          <w:color w:val="104C98"/>
        </w:rPr>
      </w:pPr>
      <w:r>
        <w:rPr>
          <w:rFonts w:ascii="Arial" w:cs="Arial" w:eastAsia="Arial" w:hAnsi="Arial"/>
          <w:sz w:val="18"/>
          <w:szCs w:val="18"/>
          <w:color w:val="auto"/>
        </w:rPr>
        <w:t>JPMorgan Chase supports fundamental principles of human rights across all our lines of business and in each region of the world in which we operate.</w:t>
      </w:r>
    </w:p>
    <w:p>
      <w:pPr>
        <w:spacing w:after="0" w:line="26" w:lineRule="exact"/>
        <w:rPr>
          <w:rFonts w:ascii="Arial" w:cs="Arial" w:eastAsia="Arial" w:hAnsi="Arial"/>
          <w:sz w:val="18"/>
          <w:szCs w:val="18"/>
          <w:color w:val="104C98"/>
        </w:rPr>
      </w:pPr>
    </w:p>
    <w:p>
      <w:pPr>
        <w:ind w:left="300" w:right="200" w:hanging="196"/>
        <w:spacing w:after="0" w:line="268" w:lineRule="auto"/>
        <w:tabs>
          <w:tab w:leader="none" w:pos="304" w:val="left"/>
        </w:tabs>
        <w:numPr>
          <w:ilvl w:val="0"/>
          <w:numId w:val="312"/>
        </w:numPr>
        <w:rPr>
          <w:rFonts w:ascii="Arial" w:cs="Arial" w:eastAsia="Arial" w:hAnsi="Arial"/>
          <w:sz w:val="17"/>
          <w:szCs w:val="17"/>
          <w:color w:val="104C98"/>
        </w:rPr>
      </w:pPr>
      <w:r>
        <w:rPr>
          <w:rFonts w:ascii="Arial" w:cs="Arial" w:eastAsia="Arial" w:hAnsi="Arial"/>
          <w:sz w:val="17"/>
          <w:szCs w:val="17"/>
          <w:color w:val="auto"/>
        </w:rPr>
        <w:t>Part of the Firm’s risk management process includes assessing our clients’ approach to, and performance on, environmental and social (“E&amp;S”) matters, including those related to Indigenous Peoples’ rights, where appropriate. We have firmwide policies and standards, including an escalation and due diligence process conducted by E&amp;S subject matter experts when a client’s transaction is considered to have material impacts related to Indigenous Peoples.</w:t>
      </w:r>
    </w:p>
    <w:p>
      <w:pPr>
        <w:spacing w:after="0" w:line="22" w:lineRule="exact"/>
        <w:rPr>
          <w:rFonts w:ascii="Arial" w:cs="Arial" w:eastAsia="Arial" w:hAnsi="Arial"/>
          <w:sz w:val="17"/>
          <w:szCs w:val="17"/>
          <w:color w:val="104C98"/>
        </w:rPr>
      </w:pPr>
    </w:p>
    <w:p>
      <w:pPr>
        <w:ind w:left="300" w:right="200" w:hanging="196"/>
        <w:spacing w:after="0" w:line="255" w:lineRule="auto"/>
        <w:tabs>
          <w:tab w:leader="none" w:pos="304" w:val="left"/>
        </w:tabs>
        <w:numPr>
          <w:ilvl w:val="0"/>
          <w:numId w:val="312"/>
        </w:numPr>
        <w:rPr>
          <w:rFonts w:ascii="Arial" w:cs="Arial" w:eastAsia="Arial" w:hAnsi="Arial"/>
          <w:sz w:val="18"/>
          <w:szCs w:val="18"/>
          <w:color w:val="104C98"/>
        </w:rPr>
      </w:pPr>
      <w:r>
        <w:rPr>
          <w:rFonts w:ascii="Arial" w:cs="Arial" w:eastAsia="Arial" w:hAnsi="Arial"/>
          <w:sz w:val="18"/>
          <w:szCs w:val="18"/>
          <w:color w:val="auto"/>
        </w:rPr>
        <w:t>The Proponent makes inaccurate assertions about the Firm’s financing activities and cites subjective determinations by sources that are not necessarily aligned with or knowledgeable about our shareholders’ long-term financial interests.</w:t>
      </w:r>
    </w:p>
    <w:p>
      <w:pPr>
        <w:spacing w:after="0" w:line="34" w:lineRule="exact"/>
        <w:rPr>
          <w:rFonts w:ascii="Arial" w:cs="Arial" w:eastAsia="Arial" w:hAnsi="Arial"/>
          <w:sz w:val="18"/>
          <w:szCs w:val="18"/>
          <w:color w:val="104C98"/>
        </w:rPr>
      </w:pPr>
    </w:p>
    <w:p>
      <w:pPr>
        <w:ind w:left="300" w:right="260" w:hanging="196"/>
        <w:spacing w:after="0" w:line="261" w:lineRule="auto"/>
        <w:tabs>
          <w:tab w:leader="none" w:pos="304" w:val="left"/>
        </w:tabs>
        <w:numPr>
          <w:ilvl w:val="0"/>
          <w:numId w:val="312"/>
        </w:numPr>
        <w:rPr>
          <w:rFonts w:ascii="Arial" w:cs="Arial" w:eastAsia="Arial" w:hAnsi="Arial"/>
          <w:sz w:val="18"/>
          <w:szCs w:val="18"/>
          <w:color w:val="104C98"/>
        </w:rPr>
      </w:pPr>
      <w:r>
        <w:rPr>
          <w:rFonts w:ascii="Arial" w:cs="Arial" w:eastAsia="Arial" w:hAnsi="Arial"/>
          <w:sz w:val="18"/>
          <w:szCs w:val="18"/>
          <w:color w:val="auto"/>
        </w:rPr>
        <w:t>The Firm has adopted and implemented appropriate policies and practices that address the concerns raised by the proponent.</w:t>
      </w:r>
    </w:p>
    <w:p>
      <w:pPr>
        <w:spacing w:after="0" w:line="24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JPMorgan Chase supports fundamental principles of human rights across all our lines of business and in each region of the world in which we operate. The Firm’s respect for the protection and preservation of human rights is guided by the principles set forth in the United Nations Universal Declaration of Human Rights and in the United Nations Guiding Principles for Business and Human Rights. Where relevant, we consider a range of internationally recognized principles to inform the Firm’s approach in managing certain E&amp;S risks, including the International Finance Corporation’s (IFC) E&amp;S Performance Standards, which address the treatment of Indigenous Peoples and includes the principle of Free, Prior and Informed Consent (FPIC).</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Part of the Firm’s risk management process includes, where appropriate, assessing our clients’ approach to, and performance on, E&amp;S matters, including those related to Indigenous Peoples’ rights. The Firm maintains firmwide policies and standards for the consistent identification, escalation and management of transactions and activities that present increased E&amp;S risk, which include an escalation and due diligence process conducted by E&amp;S subject matter experts when a client’s transaction is considered to have material impacts related to Indigenous Peoples.</w:t>
      </w:r>
    </w:p>
    <w:p>
      <w:pPr>
        <w:spacing w:after="0" w:line="6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When material risk and impacts are identified with regard to Indigenous Peoples, our policies require due diligence to be undertaken to review and confirm how the projects and transactions demonstrate effective stakeholder engagement with affected communities, workers and, where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17145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Indigenous Peoples. We recognize that allegations may represent potential risk, including reputation risk, and our due diligence in relation to E&amp;S issues includes due diligence and engagement with clients or prospective clients, negative media screening and a review of allegations and clients’ related practices. Where negative media and/or allegations are identified, the Firm takes steps to determine materiality, mitigants and disposition.</w:t>
      </w:r>
    </w:p>
    <w:p>
      <w:pPr>
        <w:spacing w:after="0" w:line="7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Further, the Firm may engage directly with client companies to better understand their commitments, capacities and track records pertaining to Indigenous Peoples. Some companies that operate in multiple jurisdictions with actual and potential impact to Indigenous Peoples’ land and natural resources may take steps to mitigate those impacts with strong policies and procedures regarding Indigenous Peoples.</w:t>
      </w:r>
    </w:p>
    <w:p>
      <w:pPr>
        <w:spacing w:after="0" w:line="78" w:lineRule="exact"/>
        <w:rPr>
          <w:sz w:val="20"/>
          <w:szCs w:val="20"/>
          <w:color w:val="auto"/>
        </w:rPr>
      </w:pPr>
    </w:p>
    <w:p>
      <w:pPr>
        <w:jc w:val="both"/>
        <w:ind w:right="240"/>
        <w:spacing w:after="0" w:line="291" w:lineRule="auto"/>
        <w:rPr>
          <w:sz w:val="20"/>
          <w:szCs w:val="20"/>
          <w:color w:val="auto"/>
        </w:rPr>
      </w:pPr>
      <w:r>
        <w:rPr>
          <w:rFonts w:ascii="Arial" w:cs="Arial" w:eastAsia="Arial" w:hAnsi="Arial"/>
          <w:sz w:val="17"/>
          <w:szCs w:val="17"/>
          <w:color w:val="auto"/>
        </w:rPr>
        <w:t>If significant issues are not resolved, including, specifically, issues pertaining to Indigenous Peoples, transactions may be escalated, when warranted, to a committee of the senior leaders of the Firm.</w:t>
      </w:r>
    </w:p>
    <w:p>
      <w:pPr>
        <w:spacing w:after="0" w:line="3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its Supporting Statement, the proponent inaccurately describes the Firm’s financing activities and cites a number of allegations against companies and projects, with references to subjective determinations by sources that are not necessarily aligned with or knowledgeable of our shareholders’ long-term financial interests. In contrast, our approach is to assess the substance of allegations, so we can make informed decisions based on facts, as we strive to meet our responsibilities to our clients and our shareholders while managing risk appropriately.</w:t>
      </w:r>
    </w:p>
    <w:p>
      <w:pPr>
        <w:spacing w:after="0" w:line="7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Firm’s risk-based approach to E&amp;S issues, including to those related to Indigenous Peoples, is intended to prevent adverse impacts and related reputation risk. The proponent has failed to provide any credible evidence of the ineffectiveness of this approach. The requested report would incur unnecessary expense and would not provide shareholders with meaningful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78740</wp:posOffset>
            </wp:positionV>
            <wp:extent cx="3060065" cy="419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3060065" cy="419735"/>
                    </a:xfrm>
                    <a:prstGeom prst="rect">
                      <a:avLst/>
                    </a:prstGeom>
                    <a:noFill/>
                  </pic:spPr>
                </pic:pic>
              </a:graphicData>
            </a:graphic>
          </wp:anchor>
        </w:drawing>
      </w:r>
    </w:p>
    <w:p>
      <w:pPr>
        <w:spacing w:after="0" w:line="193" w:lineRule="exact"/>
        <w:rPr>
          <w:sz w:val="20"/>
          <w:szCs w:val="20"/>
          <w:color w:val="auto"/>
        </w:rPr>
      </w:pPr>
    </w:p>
    <w:p>
      <w:pPr>
        <w:ind w:left="660" w:right="22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-276225</wp:posOffset>
            </wp:positionV>
            <wp:extent cx="171450" cy="17145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220345</wp:posOffset>
            </wp:positionV>
            <wp:extent cx="3411855"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074A75"/>
        </w:rPr>
        <w:t>PROPOSAL 8 — PROXY VOTING ALIGNMENT</w:t>
      </w:r>
    </w:p>
    <w:p>
      <w:pPr>
        <w:spacing w:after="0" w:line="12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Maryknoll Sisters of St. Dominic, Inc. has advised us that it intends to introduce the following resolution:</w:t>
      </w:r>
    </w:p>
    <w:p>
      <w:pPr>
        <w:spacing w:after="0" w:line="59"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JPMorgan Asset Management (JPMAM) is a</w:t>
      </w:r>
      <w:r>
        <w:rPr>
          <w:rFonts w:ascii="Arial" w:cs="Arial" w:eastAsia="Arial" w:hAnsi="Arial"/>
          <w:sz w:val="18"/>
          <w:szCs w:val="18"/>
          <w:b w:val="1"/>
          <w:bCs w:val="1"/>
          <w:color w:val="auto"/>
        </w:rPr>
        <w:t xml:space="preserve"> </w:t>
      </w:r>
      <w:r>
        <w:rPr>
          <w:rFonts w:ascii="Arial" w:cs="Arial" w:eastAsia="Arial" w:hAnsi="Arial"/>
          <w:sz w:val="18"/>
          <w:szCs w:val="18"/>
          <w:color w:val="auto"/>
        </w:rPr>
        <w:t>respected global financial services leader.</w:t>
      </w:r>
    </w:p>
    <w:p>
      <w:pPr>
        <w:spacing w:after="0" w:line="4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JPMAM understands the urgency and materiality of climate risk and its negative impact on companies and the economy. Jamie Dimon’s 2023 letter to shareholders says “The window for action to avert the costliest impacts of global climate change is closing. … (We) — companies and investors — need to become more active and involved in proxy issues each year to foster better communication between the investors and the board of the companies they own”.</w:t>
      </w:r>
      <w:r>
        <w:rPr>
          <w:rFonts w:ascii="Arial" w:cs="Arial" w:eastAsia="Arial" w:hAnsi="Arial"/>
          <w:sz w:val="22"/>
          <w:szCs w:val="22"/>
          <w:color w:val="auto"/>
          <w:vertAlign w:val="superscript"/>
        </w:rPr>
        <w:t>1</w:t>
      </w:r>
    </w:p>
    <w:p>
      <w:pPr>
        <w:spacing w:after="0" w:line="200" w:lineRule="exact"/>
        <w:rPr>
          <w:sz w:val="20"/>
          <w:szCs w:val="20"/>
          <w:color w:val="auto"/>
        </w:rPr>
      </w:pPr>
    </w:p>
    <w:p>
      <w:pPr>
        <w:sectPr>
          <w:pgSz w:w="11900" w:h="16838" w:orient="portrait"/>
          <w:cols w:equalWidth="0" w:num="2">
            <w:col w:w="5360" w:space="380"/>
            <w:col w:w="5480"/>
          </w:cols>
          <w:pgMar w:left="320" w:top="157" w:right="359" w:bottom="1440" w:gutter="0" w:footer="0" w:header="0"/>
          <w:type w:val="continuous"/>
        </w:sectPr>
      </w:pPr>
    </w:p>
    <w:p>
      <w:pPr>
        <w:spacing w:after="0" w:line="61" w:lineRule="exact"/>
        <w:rPr>
          <w:sz w:val="20"/>
          <w:szCs w:val="20"/>
          <w:color w:val="auto"/>
        </w:rPr>
      </w:pPr>
    </w:p>
    <w:p>
      <w:pPr>
        <w:ind w:left="200" w:hanging="192"/>
        <w:spacing w:after="0"/>
        <w:tabs>
          <w:tab w:leader="none" w:pos="200" w:val="left"/>
        </w:tabs>
        <w:numPr>
          <w:ilvl w:val="0"/>
          <w:numId w:val="313"/>
        </w:numPr>
        <w:rPr>
          <w:rFonts w:ascii="Arial" w:cs="Arial" w:eastAsia="Arial" w:hAnsi="Arial"/>
          <w:sz w:val="16"/>
          <w:szCs w:val="16"/>
          <w:color w:val="auto"/>
          <w:vertAlign w:val="superscript"/>
        </w:rPr>
      </w:pPr>
      <w:r>
        <w:rPr>
          <w:rFonts w:ascii="Arial" w:cs="Arial" w:eastAsia="Arial" w:hAnsi="Arial"/>
          <w:sz w:val="13"/>
          <w:szCs w:val="13"/>
          <w:color w:val="auto"/>
        </w:rPr>
        <w:t>https://reports.jpmorganchase.com/investor-relations/2022/ar-ceo-letters.htm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97  </w:t>
      </w:r>
      <w:r>
        <w:rPr>
          <w:sz w:val="1"/>
          <w:szCs w:val="1"/>
          <w:color w:val="auto"/>
        </w:rPr>
        <w:drawing>
          <wp:inline distT="0" distB="0" distL="0" distR="0">
            <wp:extent cx="2203450" cy="154305"/>
            <wp:effectExtent l="0" t="0" r="0" b="0"/>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However, JPMAM’s voting record on climate-related proposals has dropped dramatically putting us far behind other investment firms. According to ShareAction’s 2022 ranking of the top 68 managers voting record on 252 shareholder proposals, JPMAM ranked 57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68 asset managers assessed.</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2023 JPMAM votes declined further on climate and racial justice resolutions, for example voting for only 15 climate resolutions out of 65 (from NPX filings of S&amp;P 500 companies provided by Diligent).</w:t>
      </w:r>
    </w:p>
    <w:p>
      <w:pPr>
        <w:spacing w:after="0" w:line="6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This proxy voting record seems inconsistent with JPMAM’s membership in several investing initiatives:</w:t>
      </w:r>
    </w:p>
    <w:p>
      <w:pPr>
        <w:spacing w:after="0" w:line="45" w:lineRule="exact"/>
        <w:rPr>
          <w:sz w:val="20"/>
          <w:szCs w:val="20"/>
          <w:color w:val="auto"/>
        </w:rPr>
      </w:pPr>
    </w:p>
    <w:p>
      <w:pPr>
        <w:ind w:left="200" w:right="20" w:hanging="192"/>
        <w:spacing w:after="0" w:line="262" w:lineRule="auto"/>
        <w:tabs>
          <w:tab w:leader="none" w:pos="20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Principles for Responsible Investment (PRI), a global investor network representing over $120 trillion in assets, urges investors to vote on ESG issues prioritizing “addressing systemic sustainability issues”.</w:t>
      </w:r>
    </w:p>
    <w:p>
      <w:pPr>
        <w:spacing w:after="0" w:line="27" w:lineRule="exact"/>
        <w:rPr>
          <w:rFonts w:ascii="Arial" w:cs="Arial" w:eastAsia="Arial" w:hAnsi="Arial"/>
          <w:sz w:val="18"/>
          <w:szCs w:val="18"/>
          <w:color w:val="auto"/>
        </w:rPr>
      </w:pPr>
    </w:p>
    <w:p>
      <w:pPr>
        <w:ind w:left="200" w:right="140" w:hanging="192"/>
        <w:spacing w:after="0" w:line="287" w:lineRule="auto"/>
        <w:tabs>
          <w:tab w:leader="none" w:pos="20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Net Zero Asset Managers Initiative supports voting policies consistent with net zero emissions by 2050.</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When voting, JPMAM looks primarily at near-term risk for a specific company, not risk to the whole portfolio which we believe is shortsighted.</w:t>
      </w:r>
    </w:p>
    <w:p>
      <w:pPr>
        <w:spacing w:after="0" w:line="6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PRI and the Chartered Financial Analyst Institute recently announced a new definition of stewardship:</w:t>
      </w:r>
    </w:p>
    <w:p>
      <w:pPr>
        <w:spacing w:after="0" w:line="47"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i w:val="1"/>
          <w:iCs w:val="1"/>
          <w:color w:val="auto"/>
        </w:rPr>
        <w:t>“The use of investor rights and influence to protect and enhance overall long-term value for clients and beneficiaries, including the common economic, social, and environmental assets on which their interests depend… Investor influence does not constitute stewardship unless it is used to protect and enhance overall long-term value for clients and beneficiaries. Using influence to promote short-term performance or the performance of individual companies, industries, or markets, without regard to overall value, does not constitute stewardship.”</w:t>
      </w:r>
      <w:r>
        <w:rPr>
          <w:rFonts w:ascii="Arial" w:cs="Arial" w:eastAsia="Arial" w:hAnsi="Arial"/>
          <w:sz w:val="23"/>
          <w:szCs w:val="23"/>
          <w:color w:val="auto"/>
          <w:vertAlign w:val="superscript"/>
        </w:rPr>
        <w:t>2</w:t>
      </w:r>
    </w:p>
    <w:p>
      <w:pPr>
        <w:spacing w:after="0" w:line="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Similarly, diversity issues are of material importance to companies and investors. For years JPMAM worked to be a diversity leader, yet its proxy voting on diversity issues are misaligned with its stated positions.</w:t>
      </w:r>
    </w:p>
    <w:p>
      <w:pPr>
        <w:spacing w:after="0" w:line="68"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We further believe fiduciary responsibility requires evaluating the impacts of climate and diversity risks on both portfolio companies and total portfolios. Thus, we request this special review.</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Shareowners request the Board of Directors initiate a</w:t>
      </w:r>
      <w:r>
        <w:rPr>
          <w:rFonts w:ascii="Arial" w:cs="Arial" w:eastAsia="Arial" w:hAnsi="Arial"/>
          <w:sz w:val="18"/>
          <w:szCs w:val="18"/>
          <w:b w:val="1"/>
          <w:bCs w:val="1"/>
          <w:color w:val="auto"/>
        </w:rPr>
        <w:t xml:space="preserve"> </w:t>
      </w:r>
      <w:r>
        <w:rPr>
          <w:rFonts w:ascii="Arial" w:cs="Arial" w:eastAsia="Arial" w:hAnsi="Arial"/>
          <w:sz w:val="18"/>
          <w:szCs w:val="18"/>
          <w:color w:val="auto"/>
        </w:rPr>
        <w:t>review of both JPMAM’s 2023 proxy voting record and proxy voting policies related to diversity and climate change and report results to shareholders, prepared at reasonable cost, omitting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17145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Proponents suggest the review</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the following:</w:t>
      </w:r>
    </w:p>
    <w:p>
      <w:pPr>
        <w:spacing w:after="0" w:line="45" w:lineRule="exact"/>
        <w:rPr>
          <w:sz w:val="20"/>
          <w:szCs w:val="20"/>
          <w:color w:val="auto"/>
        </w:rPr>
      </w:pPr>
    </w:p>
    <w:p>
      <w:pPr>
        <w:ind w:left="200" w:right="260" w:hanging="196"/>
        <w:spacing w:after="0" w:line="268" w:lineRule="auto"/>
        <w:tabs>
          <w:tab w:leader="none" w:pos="204" w:val="left"/>
        </w:tabs>
        <w:numPr>
          <w:ilvl w:val="0"/>
          <w:numId w:val="315"/>
        </w:numPr>
        <w:rPr>
          <w:rFonts w:ascii="Arial" w:cs="Arial" w:eastAsia="Arial" w:hAnsi="Arial"/>
          <w:sz w:val="18"/>
          <w:szCs w:val="18"/>
          <w:color w:val="074A75"/>
        </w:rPr>
      </w:pPr>
      <w:r>
        <w:rPr>
          <w:rFonts w:ascii="Arial" w:cs="Arial" w:eastAsia="Arial" w:hAnsi="Arial"/>
          <w:sz w:val="18"/>
          <w:szCs w:val="18"/>
          <w:color w:val="auto"/>
        </w:rPr>
        <w:t>Any misalignment of JPMAM’s policy and voting record with the goals of the Paris Agreement, industry initiatives of which JPMAM or the bank is part and JPMAM’s own stated policies.</w:t>
      </w:r>
    </w:p>
    <w:p>
      <w:pPr>
        <w:spacing w:after="0" w:line="22" w:lineRule="exact"/>
        <w:rPr>
          <w:rFonts w:ascii="Arial" w:cs="Arial" w:eastAsia="Arial" w:hAnsi="Arial"/>
          <w:sz w:val="18"/>
          <w:szCs w:val="18"/>
          <w:color w:val="074A75"/>
        </w:rPr>
      </w:pPr>
    </w:p>
    <w:p>
      <w:pPr>
        <w:ind w:left="200" w:right="260" w:hanging="196"/>
        <w:spacing w:after="0" w:line="287" w:lineRule="auto"/>
        <w:tabs>
          <w:tab w:leader="none" w:pos="204" w:val="left"/>
        </w:tabs>
        <w:numPr>
          <w:ilvl w:val="0"/>
          <w:numId w:val="315"/>
        </w:numPr>
        <w:rPr>
          <w:rFonts w:ascii="Arial" w:cs="Arial" w:eastAsia="Arial" w:hAnsi="Arial"/>
          <w:sz w:val="18"/>
          <w:szCs w:val="18"/>
          <w:color w:val="074A75"/>
        </w:rPr>
      </w:pPr>
      <w:r>
        <w:rPr>
          <w:rFonts w:ascii="Arial" w:cs="Arial" w:eastAsia="Arial" w:hAnsi="Arial"/>
          <w:sz w:val="18"/>
          <w:szCs w:val="18"/>
          <w:color w:val="auto"/>
        </w:rPr>
        <w:t>A comparison with the voting records of other major investment firms and mutual funds.</w:t>
      </w:r>
    </w:p>
    <w:p>
      <w:pPr>
        <w:spacing w:after="0" w:line="17" w:lineRule="exact"/>
        <w:rPr>
          <w:rFonts w:ascii="Arial" w:cs="Arial" w:eastAsia="Arial" w:hAnsi="Arial"/>
          <w:sz w:val="18"/>
          <w:szCs w:val="18"/>
          <w:color w:val="074A75"/>
        </w:rPr>
      </w:pPr>
    </w:p>
    <w:p>
      <w:pPr>
        <w:ind w:left="200" w:right="760" w:hanging="196"/>
        <w:spacing w:after="0" w:line="287" w:lineRule="auto"/>
        <w:tabs>
          <w:tab w:leader="none" w:pos="204" w:val="left"/>
        </w:tabs>
        <w:numPr>
          <w:ilvl w:val="0"/>
          <w:numId w:val="315"/>
        </w:numPr>
        <w:rPr>
          <w:rFonts w:ascii="Arial" w:cs="Arial" w:eastAsia="Arial" w:hAnsi="Arial"/>
          <w:sz w:val="18"/>
          <w:szCs w:val="18"/>
          <w:color w:val="074A75"/>
        </w:rPr>
      </w:pPr>
      <w:r>
        <w:rPr>
          <w:rFonts w:ascii="Arial" w:cs="Arial" w:eastAsia="Arial" w:hAnsi="Arial"/>
          <w:sz w:val="18"/>
          <w:szCs w:val="18"/>
          <w:color w:val="auto"/>
        </w:rPr>
        <w:t>Recommendations for strengthening voting guidelines on diversity and climate-related issues.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8</w:t>
      </w:r>
    </w:p>
    <w:p>
      <w:pPr>
        <w:spacing w:after="0" w:line="110" w:lineRule="exact"/>
        <w:rPr>
          <w:sz w:val="20"/>
          <w:szCs w:val="20"/>
          <w:color w:val="auto"/>
        </w:rPr>
      </w:pPr>
    </w:p>
    <w:p>
      <w:pPr>
        <w:jc w:val="both"/>
        <w:ind w:right="116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411855" cy="467169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411855" cy="4671695"/>
                    </a:xfrm>
                    <a:prstGeom prst="rect">
                      <a:avLst/>
                    </a:prstGeom>
                    <a:noFill/>
                  </pic:spPr>
                </pic:pic>
              </a:graphicData>
            </a:graphic>
          </wp:anchor>
        </w:drawing>
      </w:r>
    </w:p>
    <w:p>
      <w:pPr>
        <w:spacing w:after="0" w:line="94" w:lineRule="exact"/>
        <w:rPr>
          <w:sz w:val="20"/>
          <w:szCs w:val="20"/>
          <w:color w:val="auto"/>
        </w:rPr>
      </w:pPr>
    </w:p>
    <w:p>
      <w:pPr>
        <w:ind w:left="300" w:right="240" w:hanging="200"/>
        <w:spacing w:after="0" w:line="259" w:lineRule="auto"/>
        <w:tabs>
          <w:tab w:leader="none" w:pos="304" w:val="left"/>
        </w:tabs>
        <w:numPr>
          <w:ilvl w:val="0"/>
          <w:numId w:val="316"/>
        </w:numPr>
        <w:rPr>
          <w:rFonts w:ascii="Arial" w:cs="Arial" w:eastAsia="Arial" w:hAnsi="Arial"/>
          <w:sz w:val="18"/>
          <w:szCs w:val="18"/>
          <w:color w:val="104C98"/>
        </w:rPr>
      </w:pPr>
      <w:r>
        <w:rPr>
          <w:rFonts w:ascii="Arial" w:cs="Arial" w:eastAsia="Arial" w:hAnsi="Arial"/>
          <w:sz w:val="18"/>
          <w:szCs w:val="18"/>
          <w:color w:val="auto"/>
        </w:rPr>
        <w:t>J.P. Morgan Asset Management Inc. (“JPMAM”), as a fiduciary to its clients, is committed to voting proxies solely in the best long-term interests of its clients, without its decisions being constrained or dictated by its membership in organizations or pursuing other social initiatives or objectives.</w:t>
      </w:r>
    </w:p>
    <w:p>
      <w:pPr>
        <w:spacing w:after="0" w:line="44" w:lineRule="exact"/>
        <w:rPr>
          <w:rFonts w:ascii="Arial" w:cs="Arial" w:eastAsia="Arial" w:hAnsi="Arial"/>
          <w:sz w:val="18"/>
          <w:szCs w:val="18"/>
          <w:color w:val="104C98"/>
        </w:rPr>
      </w:pPr>
    </w:p>
    <w:p>
      <w:pPr>
        <w:jc w:val="both"/>
        <w:ind w:left="300" w:right="280" w:hanging="200"/>
        <w:spacing w:after="0" w:line="291" w:lineRule="auto"/>
        <w:tabs>
          <w:tab w:leader="none" w:pos="304" w:val="left"/>
        </w:tabs>
        <w:numPr>
          <w:ilvl w:val="0"/>
          <w:numId w:val="316"/>
        </w:numPr>
        <w:rPr>
          <w:rFonts w:ascii="Arial" w:cs="Arial" w:eastAsia="Arial" w:hAnsi="Arial"/>
          <w:sz w:val="17"/>
          <w:szCs w:val="17"/>
          <w:color w:val="104C98"/>
        </w:rPr>
      </w:pPr>
      <w:r>
        <w:rPr>
          <w:rFonts w:ascii="Arial" w:cs="Arial" w:eastAsia="Arial" w:hAnsi="Arial"/>
          <w:sz w:val="17"/>
          <w:szCs w:val="17"/>
          <w:color w:val="auto"/>
        </w:rPr>
        <w:t>JPMAM already provides, and continues to enhance, detailed reporting through various channels to its clients concerning its stewardship activities including engagement and proxy voting.</w:t>
      </w:r>
    </w:p>
    <w:p>
      <w:pPr>
        <w:spacing w:after="0" w:line="4" w:lineRule="exact"/>
        <w:rPr>
          <w:rFonts w:ascii="Arial" w:cs="Arial" w:eastAsia="Arial" w:hAnsi="Arial"/>
          <w:sz w:val="17"/>
          <w:szCs w:val="17"/>
          <w:color w:val="104C98"/>
        </w:rPr>
      </w:pPr>
    </w:p>
    <w:p>
      <w:pPr>
        <w:ind w:left="300" w:right="220" w:hanging="200"/>
        <w:spacing w:after="0" w:line="257" w:lineRule="auto"/>
        <w:tabs>
          <w:tab w:leader="none" w:pos="304" w:val="left"/>
        </w:tabs>
        <w:numPr>
          <w:ilvl w:val="0"/>
          <w:numId w:val="316"/>
        </w:numPr>
        <w:rPr>
          <w:rFonts w:ascii="Arial" w:cs="Arial" w:eastAsia="Arial" w:hAnsi="Arial"/>
          <w:sz w:val="18"/>
          <w:szCs w:val="18"/>
          <w:color w:val="104C98"/>
        </w:rPr>
      </w:pPr>
      <w:r>
        <w:rPr>
          <w:rFonts w:ascii="Arial" w:cs="Arial" w:eastAsia="Arial" w:hAnsi="Arial"/>
          <w:sz w:val="18"/>
          <w:szCs w:val="18"/>
          <w:color w:val="auto"/>
        </w:rPr>
        <w:t>Other asset managers’ proxy voting records are irrelevant as JPMAM makes its own fiduciary decisions for its client accounts. Voting statistics are not determinative of whether JPMAM has acted in the best long-term interests of its client accounts and do not reflect the assessments JPMAM brings to individual shareholder proposals.</w:t>
      </w:r>
    </w:p>
    <w:p>
      <w:pPr>
        <w:spacing w:after="0" w:line="33" w:lineRule="exact"/>
        <w:rPr>
          <w:rFonts w:ascii="Arial" w:cs="Arial" w:eastAsia="Arial" w:hAnsi="Arial"/>
          <w:sz w:val="18"/>
          <w:szCs w:val="18"/>
          <w:color w:val="104C98"/>
        </w:rPr>
      </w:pPr>
    </w:p>
    <w:p>
      <w:pPr>
        <w:ind w:left="300" w:right="380" w:hanging="200"/>
        <w:spacing w:after="0" w:line="271" w:lineRule="auto"/>
        <w:tabs>
          <w:tab w:leader="none" w:pos="304" w:val="left"/>
        </w:tabs>
        <w:numPr>
          <w:ilvl w:val="0"/>
          <w:numId w:val="316"/>
        </w:numPr>
        <w:rPr>
          <w:rFonts w:ascii="Arial" w:cs="Arial" w:eastAsia="Arial" w:hAnsi="Arial"/>
          <w:sz w:val="17"/>
          <w:szCs w:val="17"/>
          <w:color w:val="104C98"/>
        </w:rPr>
      </w:pPr>
      <w:r>
        <w:rPr>
          <w:rFonts w:ascii="Arial" w:cs="Arial" w:eastAsia="Arial" w:hAnsi="Arial"/>
          <w:sz w:val="17"/>
          <w:szCs w:val="17"/>
          <w:color w:val="auto"/>
        </w:rPr>
        <w:t>JPMAM’s proxy voting practices are reasonably designed to appropriately focus on specific long-term risks and opportunities at individual companies with the objective of encouraging action that enhances long-term shareholder value for JPMAM’s clients. The proponent asserts that proxy voting should, instead, be used at an individual company to enhance “common economic, social, and environmental assets.” This approach may cause negative unintended consequences in a wide variety of circumstances as it could be contrary to investment objectives or harm client accounts.</w:t>
      </w:r>
    </w:p>
    <w:p>
      <w:pPr>
        <w:spacing w:after="0" w:line="33" w:lineRule="exact"/>
        <w:rPr>
          <w:rFonts w:ascii="Arial" w:cs="Arial" w:eastAsia="Arial" w:hAnsi="Arial"/>
          <w:sz w:val="17"/>
          <w:szCs w:val="17"/>
          <w:color w:val="104C98"/>
        </w:rPr>
      </w:pPr>
    </w:p>
    <w:p>
      <w:pPr>
        <w:ind w:left="300" w:right="360" w:hanging="200"/>
        <w:spacing w:after="0" w:line="255" w:lineRule="auto"/>
        <w:tabs>
          <w:tab w:leader="none" w:pos="304" w:val="left"/>
        </w:tabs>
        <w:numPr>
          <w:ilvl w:val="0"/>
          <w:numId w:val="316"/>
        </w:numPr>
        <w:rPr>
          <w:rFonts w:ascii="Arial" w:cs="Arial" w:eastAsia="Arial" w:hAnsi="Arial"/>
          <w:sz w:val="18"/>
          <w:szCs w:val="18"/>
          <w:color w:val="104C98"/>
        </w:rPr>
      </w:pPr>
      <w:r>
        <w:rPr>
          <w:rFonts w:ascii="Arial" w:cs="Arial" w:eastAsia="Arial" w:hAnsi="Arial"/>
          <w:sz w:val="18"/>
          <w:szCs w:val="18"/>
          <w:color w:val="auto"/>
        </w:rPr>
        <w:t>JPMAM stewardship priorities include climate change and diversity issues, among others, due to the financially material risks we believe these issues may pose to the companies in which we invest. In addition, JPMAM already provides voting guidelines applicable to diversity and climate-related issues that allow JPMAM to review proposals case by case, taking into account what it believes is in the long-term best interests of its clients.</w:t>
      </w:r>
    </w:p>
    <w:p>
      <w:pPr>
        <w:spacing w:after="0" w:line="200"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97" w:lineRule="exact"/>
        <w:rPr>
          <w:sz w:val="20"/>
          <w:szCs w:val="20"/>
          <w:color w:val="auto"/>
        </w:rPr>
      </w:pPr>
    </w:p>
    <w:p>
      <w:pPr>
        <w:ind w:left="200" w:hanging="192"/>
        <w:spacing w:after="0"/>
        <w:tabs>
          <w:tab w:leader="none" w:pos="200" w:val="left"/>
        </w:tabs>
        <w:numPr>
          <w:ilvl w:val="0"/>
          <w:numId w:val="317"/>
        </w:numPr>
        <w:rPr>
          <w:rFonts w:ascii="Arial" w:cs="Arial" w:eastAsia="Arial" w:hAnsi="Arial"/>
          <w:sz w:val="16"/>
          <w:szCs w:val="16"/>
          <w:color w:val="auto"/>
          <w:vertAlign w:val="superscript"/>
        </w:rPr>
      </w:pPr>
      <w:r>
        <w:rPr>
          <w:rFonts w:ascii="Arial" w:cs="Arial" w:eastAsia="Arial" w:hAnsi="Arial"/>
          <w:sz w:val="13"/>
          <w:szCs w:val="13"/>
          <w:color w:val="auto"/>
        </w:rPr>
        <w:t>https://www.unpri.org/investment-tools/definitions-for-responsible-investment-approaches/11874.article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J.P. Morgan Asset Management Inc. ("JPMAM")</w:t>
      </w:r>
      <w:r>
        <w:rPr>
          <w:rFonts w:ascii="Arial" w:cs="Arial" w:eastAsia="Arial" w:hAnsi="Arial"/>
          <w:sz w:val="22"/>
          <w:szCs w:val="22"/>
          <w:color w:val="auto"/>
          <w:vertAlign w:val="superscript"/>
        </w:rPr>
        <w:t>3</w:t>
      </w:r>
      <w:r>
        <w:rPr>
          <w:rFonts w:ascii="Arial" w:cs="Arial" w:eastAsia="Arial" w:hAnsi="Arial"/>
          <w:sz w:val="17"/>
          <w:szCs w:val="17"/>
          <w:color w:val="auto"/>
        </w:rPr>
        <w:t>, as a fiduciary to its clients, is committed to voting proxies solely in the best long-term interests of its clients. JPMAM has adopted policies and procedures that are reasonably designed to meet this objective, including JPMAM’s Global Proxy Voting Guidelines (the “Guidelines”), which include detailed guidelines and procedures for voting proxies on particular types of issues.</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While the Guidelines take into account various regulatory frameworks, business cultures, and business practices in different regions, all of the guidelines have been designed with the objective of encouraging action that enhances long-term shareholder value for JPMAM's clients.</w:t>
      </w:r>
    </w:p>
    <w:p>
      <w:pPr>
        <w:spacing w:after="0" w:line="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JPMAM votes proxies solely in what it believes is in the best long-term interests of its client accounts without its decisions being constrained or dictated by its membership in organizations or pursuing other social initiatives or objectives. As a global asset manager, JPMAM is a participant in a number of organizations, including certain regional organizations that focus on issues that JPMAM believes are financially material to our client accounts in specific regions. However, JPMAM makes its own independent investment and proxy voting decisions, which are not constrained or dictated by its membership in organizations. To do otherwise would be contrary to JPMAM’s fiduciary duty to its clients.</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JPMAM already provides, and continues to enhance, detailed reporting to its clients concerning its stewardship activities, including engagement and proxy voting. Such reporting includes JPMAM’s annual Investment Stewardship Report, filings on Form N-PX for J.P. Morgan mutual funds and ETFs, and reporting to individual clients. This reporting includes detailed information concerning how JPMAM voted particular proxies as well as extensive information on JPMAM’s engagement on issues that it believes are financially material to the long-term interests of its client accounts, including risks associated with climate change and human capital management. JPMAM’s transparency allows its clients to understand how JPMAM implements proxy voting in the best long-term interests of their accounts.</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Other asset managers’ proxy voting records are irrelevant. JPMAM makes its own fiduciary decisions for its client accounts, including investment and proxy voting decisions. Given its fiduciary imperative, decisions of other asset managers or mutual funds should not inform the decisions that JPMAM makes for its clients or the development or implementation of JPMAM’s Guidelines. As a fiduciary to its clients, JPMAM does not follow other asset managers to determine how to best implement the investment strategies of JPMAM clients. In this respect, we note that the Proponent has cited voting statistics and comparisons with other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71450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managers for the proposition that JPMAM is looking only at “near-term risk” for companies held in client accounts. However, voting statistics are not determinative of whether JPMAM has acted in the best long-term interests of its client accounts. For example, such statistics would not include mechanisms by which we can address issues such as through engagement with company management or voting against individual directors when it believes that the company has not addressed material risks. Moreover, such statistics do not reflect the assessments and discretion that JPMAM brings to individual shareholder proposals including background on engagement with companies.</w:t>
      </w:r>
    </w:p>
    <w:p>
      <w:pPr>
        <w:spacing w:after="0" w:line="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JPMAM’s proxy voting practices are reasonably designed to appropriately focus on specific long-term risks and opportunities at individual companies. The proponent asserts that proxy voting should, instead, be used at an individual company to enhance “common economic, social, and environmental assets.” This approach may cause negative unintended consequences in a wide variety of circumstances as it could be contrary to investment objectives or harm client accounts. For instance, asking an individual publicly owned company to curtail certain activity could result in the transfer of that activity to other public companies or to privately owned or state-owned enterprises, that may have a poorer track record of environmental stewardship. Such action would not only result in transfer of economic returns to these other participants, but could potentially lead to worse environmental and climate outcomes and harm the portfolio.</w:t>
      </w:r>
    </w:p>
    <w:p>
      <w:pPr>
        <w:spacing w:after="0" w:line="7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While the Proponent suggests “</w:t>
      </w:r>
      <w:r>
        <w:rPr>
          <w:rFonts w:ascii="Arial" w:cs="Arial" w:eastAsia="Arial" w:hAnsi="Arial"/>
          <w:sz w:val="18"/>
          <w:szCs w:val="18"/>
          <w:b w:val="1"/>
          <w:bCs w:val="1"/>
          <w:i w:val="1"/>
          <w:iCs w:val="1"/>
          <w:color w:val="auto"/>
        </w:rPr>
        <w:t>strengthening</w:t>
      </w:r>
      <w:r>
        <w:rPr>
          <w:rFonts w:ascii="Arial" w:cs="Arial" w:eastAsia="Arial" w:hAnsi="Arial"/>
          <w:sz w:val="18"/>
          <w:szCs w:val="18"/>
          <w:color w:val="auto"/>
        </w:rPr>
        <w:t xml:space="preserve"> voting guidelines on diversity and climate-related issues,” (emphasis added) it is unclear what this entails. If “strengthening” means voting in favor of more shareholder proposals and against management, such a prescriptive approach would undermine JPMAM’s ability to vote in the best long-term interests of its clients and substitute the judgement of JPMC shareholders for that of JPMAM as a fiduciary.</w:t>
      </w:r>
    </w:p>
    <w:p>
      <w:pPr>
        <w:spacing w:after="0" w:line="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JPMAM stewardship priorities include climate change and diversity issues, as part of human capital management, due to the financially material risks we believe these issues pose to the companies in which we invest. In addition, JPMAM already has voting guidelines applicable to diversity and climate-related issues. For many shareholder proposals, such guidelines contemplate case by case considerations due to the complexity of the issues involved and the specific facts and circumstances that are relevant to an individual company. For example, as reflected in the Guidelines specific to companies in North America, environmental shareholder proposals are considered on a case-by-case basis, including the relevance of the proposal to the particular issuer, as well as the prescriptiveness of the proposal itself.</w:t>
      </w:r>
    </w:p>
    <w:p>
      <w:pPr>
        <w:spacing w:after="0" w:line="205"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141" w:lineRule="exact"/>
        <w:rPr>
          <w:sz w:val="20"/>
          <w:szCs w:val="20"/>
          <w:color w:val="auto"/>
        </w:rPr>
      </w:pPr>
    </w:p>
    <w:p>
      <w:pPr>
        <w:ind w:left="200" w:hanging="192"/>
        <w:spacing w:after="0"/>
        <w:tabs>
          <w:tab w:leader="none" w:pos="200" w:val="left"/>
        </w:tabs>
        <w:numPr>
          <w:ilvl w:val="0"/>
          <w:numId w:val="318"/>
        </w:numPr>
        <w:rPr>
          <w:rFonts w:ascii="Arial" w:cs="Arial" w:eastAsia="Arial" w:hAnsi="Arial"/>
          <w:sz w:val="16"/>
          <w:szCs w:val="16"/>
          <w:color w:val="auto"/>
          <w:vertAlign w:val="superscript"/>
        </w:rPr>
      </w:pPr>
      <w:r>
        <w:rPr>
          <w:rFonts w:ascii="Arial" w:cs="Arial" w:eastAsia="Arial" w:hAnsi="Arial"/>
          <w:sz w:val="13"/>
          <w:szCs w:val="13"/>
          <w:color w:val="auto"/>
        </w:rPr>
        <w:t>J.P. Morgan Asset Management (“JPMAM”) is the marketing name of the investment management business of JPMorgan Chase &amp; Co. and its affiliates worldwide. The proxy voting activities of</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JPMorgan Chase &amp; Co.’s U.S. asset management business are primarily conducted through J.P. Morgan Investment Management Inc. For the sake of simplicity, this response refers to JPMAM.</w:t>
      </w:r>
    </w:p>
    <w:p>
      <w:pPr>
        <w:spacing w:after="0" w:line="2" w:lineRule="exact"/>
        <w:rPr>
          <w:sz w:val="20"/>
          <w:szCs w:val="20"/>
          <w:color w:val="auto"/>
        </w:rPr>
      </w:pPr>
    </w:p>
    <w:p>
      <w:pPr>
        <w:ind w:left="200" w:hanging="192"/>
        <w:spacing w:after="0" w:line="230" w:lineRule="auto"/>
        <w:tabs>
          <w:tab w:leader="none" w:pos="191" w:val="left"/>
        </w:tabs>
        <w:numPr>
          <w:ilvl w:val="0"/>
          <w:numId w:val="319"/>
        </w:numPr>
        <w:rPr>
          <w:rFonts w:ascii="Arial" w:cs="Arial" w:eastAsia="Arial" w:hAnsi="Arial"/>
          <w:sz w:val="16"/>
          <w:szCs w:val="16"/>
          <w:color w:val="auto"/>
          <w:vertAlign w:val="superscript"/>
        </w:rPr>
      </w:pPr>
      <w:r>
        <w:rPr>
          <w:rFonts w:ascii="Arial" w:cs="Arial" w:eastAsia="Arial" w:hAnsi="Arial"/>
          <w:sz w:val="13"/>
          <w:szCs w:val="13"/>
          <w:color w:val="auto"/>
        </w:rPr>
        <w:t>JPMAM has separate guidelines for different regions in which the issuer of a security is organized. In addition, for certain sustainable investing strategies, JPMAM has adopted proxy voting guidelines that replace Environmental and Social Shareholder Issues of the North American Proxy Voting Guidelines and apply only to proxy voting with respect to shares held in accounts whose owners have chosen to invest in certain sustainable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99  </w:t>
      </w:r>
      <w:r>
        <w:rPr>
          <w:sz w:val="1"/>
          <w:szCs w:val="1"/>
          <w:color w:val="auto"/>
        </w:rPr>
        <w:drawing>
          <wp:inline distT="0" distB="0" distL="0" distR="0">
            <wp:extent cx="2203450" cy="154305"/>
            <wp:effectExtent l="0" t="0" r="0" b="0"/>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believe such guidelines are appropriately tailored to allow JPMAM to review shareholder proposals considering what it believes is in the best long-term interests of its clients. We do not believe that it is in the best interests of our clients to adopt prescriptive guidelines that dictate how JPMAM should vote on every matter. JPMAM is confident that its current approach to voting proxies in accordance with the Guidelines effectively serves its duty to its clients and enhances the long-term value of their accounts. The requested report would not provide shareholders with meaningful additional information, and as such, we do not believe it is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76200</wp:posOffset>
            </wp:positionV>
            <wp:extent cx="3060065" cy="3771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060065" cy="377190"/>
                    </a:xfrm>
                    <a:prstGeom prst="rect">
                      <a:avLst/>
                    </a:prstGeom>
                    <a:noFill/>
                  </pic:spPr>
                </pic:pic>
              </a:graphicData>
            </a:graphic>
          </wp:anchor>
        </w:drawing>
      </w:r>
    </w:p>
    <w:p>
      <w:pPr>
        <w:spacing w:after="0" w:line="162" w:lineRule="exact"/>
        <w:rPr>
          <w:sz w:val="20"/>
          <w:szCs w:val="20"/>
          <w:color w:val="auto"/>
        </w:rPr>
      </w:pPr>
    </w:p>
    <w:p>
      <w:pPr>
        <w:ind w:left="660" w:right="166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-284480</wp:posOffset>
            </wp:positionV>
            <wp:extent cx="171450" cy="17145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34118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right="860"/>
        <w:spacing w:after="0" w:line="298" w:lineRule="auto"/>
        <w:rPr>
          <w:sz w:val="20"/>
          <w:szCs w:val="20"/>
          <w:color w:val="auto"/>
        </w:rPr>
      </w:pPr>
      <w:r>
        <w:rPr>
          <w:rFonts w:ascii="Arial" w:cs="Arial" w:eastAsia="Arial" w:hAnsi="Arial"/>
          <w:sz w:val="19"/>
          <w:szCs w:val="19"/>
          <w:color w:val="074A75"/>
        </w:rPr>
        <w:t>PROPOSAL 9 – REPORT ON DUE DILIGENCE IN CONFLICT-AFFECTED AND HIGH-RISK AREAS</w:t>
      </w:r>
    </w:p>
    <w:p>
      <w:pPr>
        <w:spacing w:after="0" w:line="2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Sisters of the Presentation of the Blessed Virgin Mary of Aberdeen, South Dakota has advised us that they intend to introduce the following resolution:</w:t>
      </w:r>
    </w:p>
    <w:p>
      <w:pPr>
        <w:spacing w:after="0" w:line="54"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an independent third-party report, at reasonable cost and omitting proprietary information, on JPMorgan Chase’s (JPMC) due diligence process to determine if and how its lending, underwriting, or other services in conflict-affected and high-risk areas (CAHRA) expose it to human rights and other material risks.</w:t>
      </w:r>
    </w:p>
    <w:p>
      <w:pPr>
        <w:spacing w:after="0" w:line="67"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Shareholders seek a report that, at board and management discretion:</w:t>
      </w:r>
    </w:p>
    <w:p>
      <w:pPr>
        <w:spacing w:after="0" w:line="45" w:lineRule="exact"/>
        <w:rPr>
          <w:sz w:val="20"/>
          <w:szCs w:val="20"/>
          <w:color w:val="auto"/>
        </w:rPr>
      </w:pPr>
    </w:p>
    <w:p>
      <w:pPr>
        <w:ind w:left="200" w:right="180" w:hanging="192"/>
        <w:spacing w:after="0" w:line="287" w:lineRule="auto"/>
        <w:tabs>
          <w:tab w:leader="none" w:pos="204" w:val="left"/>
        </w:tabs>
        <w:numPr>
          <w:ilvl w:val="0"/>
          <w:numId w:val="320"/>
        </w:numPr>
        <w:rPr>
          <w:rFonts w:ascii="Arial" w:cs="Arial" w:eastAsia="Arial" w:hAnsi="Arial"/>
          <w:sz w:val="18"/>
          <w:szCs w:val="18"/>
          <w:color w:val="074A75"/>
        </w:rPr>
      </w:pPr>
      <w:r>
        <w:rPr>
          <w:rFonts w:ascii="Arial" w:cs="Arial" w:eastAsia="Arial" w:hAnsi="Arial"/>
          <w:sz w:val="18"/>
          <w:szCs w:val="18"/>
          <w:color w:val="auto"/>
        </w:rPr>
        <w:t>Discusses how JPMC assesses, mitigates, and reports human rights and material risks in CAHRA; and</w:t>
      </w:r>
    </w:p>
    <w:p>
      <w:pPr>
        <w:spacing w:after="0" w:line="4" w:lineRule="exact"/>
        <w:rPr>
          <w:rFonts w:ascii="Arial" w:cs="Arial" w:eastAsia="Arial" w:hAnsi="Arial"/>
          <w:sz w:val="18"/>
          <w:szCs w:val="18"/>
          <w:color w:val="074A75"/>
        </w:rPr>
      </w:pPr>
    </w:p>
    <w:p>
      <w:pPr>
        <w:ind w:left="200" w:hanging="192"/>
        <w:spacing w:after="0" w:line="271" w:lineRule="auto"/>
        <w:tabs>
          <w:tab w:leader="none" w:pos="204" w:val="left"/>
        </w:tabs>
        <w:numPr>
          <w:ilvl w:val="0"/>
          <w:numId w:val="320"/>
        </w:numPr>
        <w:rPr>
          <w:rFonts w:ascii="Arial" w:cs="Arial" w:eastAsia="Arial" w:hAnsi="Arial"/>
          <w:sz w:val="18"/>
          <w:szCs w:val="18"/>
          <w:color w:val="074A75"/>
        </w:rPr>
      </w:pPr>
      <w:r>
        <w:rPr>
          <w:rFonts w:ascii="Arial" w:cs="Arial" w:eastAsia="Arial" w:hAnsi="Arial"/>
          <w:sz w:val="18"/>
          <w:szCs w:val="18"/>
          <w:color w:val="auto"/>
        </w:rPr>
        <w:t>Evaluates whether additional policies, practices, and governance measures are needed to mitigate risks.</w:t>
      </w:r>
    </w:p>
    <w:p>
      <w:pPr>
        <w:spacing w:after="0" w:line="5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World Bank estimates that by 2030 nearly two-thirds of the world’s poor will live in settings characterized by fragility, conflict, and violence,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thus may have heightened vulnerability to widespread human rights abuses and violations of national or international law. Given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7145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se endemic risks, the United Nations Guiding Principles on Business and Human Rights and the Equator Principles call on companies to conduct heightened human rights due diligence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analyze potential violations of international humanitarian law during human rights assessments.</w:t>
      </w:r>
      <w:r>
        <w:rPr>
          <w:rFonts w:ascii="Arial" w:cs="Arial" w:eastAsia="Arial" w:hAnsi="Arial"/>
          <w:sz w:val="23"/>
          <w:szCs w:val="23"/>
          <w:color w:val="auto"/>
          <w:vertAlign w:val="superscript"/>
        </w:rPr>
        <w:t>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CAHRA also include a higher prevalence of material risks.</w:t>
      </w:r>
    </w:p>
    <w:p>
      <w:pPr>
        <w:spacing w:after="0" w:line="11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International Finance Corporation reports that companies in conflict-affected settings “face business risks that are much greater than those in other emerging markets,” including destruction of physical capital, deaths and injuries, weak state control, and supply-chain disruptions.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A recent survey of executives indicated 97 percent of respondents altered investment plans and over one-third relocated operations, due to geopolitical volatility.</w:t>
      </w:r>
      <w:r>
        <w:rPr>
          <w:rFonts w:ascii="Arial" w:cs="Arial" w:eastAsia="Arial" w:hAnsi="Arial"/>
          <w:sz w:val="23"/>
          <w:szCs w:val="23"/>
          <w:color w:val="auto"/>
          <w:vertAlign w:val="superscript"/>
        </w:rPr>
        <w:t>5</w:t>
      </w:r>
    </w:p>
    <w:p>
      <w:pPr>
        <w:spacing w:after="0" w:line="22"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Multilateral organizations, states, and accounting bodies are passing legislation on mandatory due diligence</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and sustainable investment reporting in the European Union,</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and calling for companies to report on human rights and conflict as material risks.</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In a 2022 report, “conflict risk” was the second leading environmental, social, and governance criterion among institutional investors representing over $6 trillion assets under management.</w:t>
      </w:r>
      <w:r>
        <w:rPr>
          <w:rFonts w:ascii="Arial" w:cs="Arial" w:eastAsia="Arial" w:hAnsi="Arial"/>
          <w:sz w:val="23"/>
          <w:szCs w:val="23"/>
          <w:color w:val="auto"/>
          <w:vertAlign w:val="superscript"/>
        </w:rPr>
        <w:t>9</w:t>
      </w:r>
    </w:p>
    <w:p>
      <w:pPr>
        <w:spacing w:after="0" w:line="6"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As the world’s largest bank by market capitalization, JPMC has operations and relationships in numerous CAHRA where it has counterparties, partners, or clients that are implicated in corruption, armed conflict, violations of international humanitarian and human rights law, and environmental</w:t>
      </w:r>
    </w:p>
    <w:p>
      <w:pPr>
        <w:spacing w:after="0" w:line="79"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degradation. Examples include JPMC providing lending and underwriting services for state agencies and affiliated companies in China,</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Guinea,</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Kazakhstan,</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Mozambique,</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Myanmar,</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Russia,</w:t>
      </w:r>
      <w:r>
        <w:rPr>
          <w:rFonts w:ascii="Arial" w:cs="Arial" w:eastAsia="Arial" w:hAnsi="Arial"/>
          <w:sz w:val="23"/>
          <w:szCs w:val="23"/>
          <w:color w:val="auto"/>
          <w:vertAlign w:val="superscript"/>
        </w:rPr>
        <w:t>15</w:t>
      </w:r>
      <w:r>
        <w:rPr>
          <w:rFonts w:ascii="Arial" w:cs="Arial" w:eastAsia="Arial" w:hAnsi="Arial"/>
          <w:sz w:val="18"/>
          <w:szCs w:val="18"/>
          <w:color w:val="auto"/>
        </w:rPr>
        <w:t xml:space="preserve"> Saudi Arabia,</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and Venezuela</w:t>
      </w:r>
      <w:r>
        <w:rPr>
          <w:rFonts w:ascii="Arial" w:cs="Arial" w:eastAsia="Arial" w:hAnsi="Arial"/>
          <w:sz w:val="23"/>
          <w:szCs w:val="23"/>
          <w:color w:val="auto"/>
          <w:vertAlign w:val="superscript"/>
        </w:rPr>
        <w:t>17</w:t>
      </w:r>
      <w:r>
        <w:rPr>
          <w:rFonts w:ascii="Arial" w:cs="Arial" w:eastAsia="Arial" w:hAnsi="Arial"/>
          <w:sz w:val="18"/>
          <w:szCs w:val="18"/>
          <w:color w:val="auto"/>
        </w:rPr>
        <w:t xml:space="preserve"> – JPMC’s Human Rights Policy</w:t>
      </w:r>
      <w:r>
        <w:rPr>
          <w:rFonts w:ascii="Arial" w:cs="Arial" w:eastAsia="Arial" w:hAnsi="Arial"/>
          <w:sz w:val="23"/>
          <w:szCs w:val="23"/>
          <w:color w:val="auto"/>
          <w:vertAlign w:val="superscript"/>
        </w:rPr>
        <w:t>18</w:t>
      </w:r>
      <w:r>
        <w:rPr>
          <w:rFonts w:ascii="Arial" w:cs="Arial" w:eastAsia="Arial" w:hAnsi="Arial"/>
          <w:sz w:val="18"/>
          <w:szCs w:val="18"/>
          <w:color w:val="auto"/>
        </w:rPr>
        <w:t xml:space="preserve"> and Environmental and Social Policy Framework</w:t>
      </w:r>
      <w:r>
        <w:rPr>
          <w:rFonts w:ascii="Arial" w:cs="Arial" w:eastAsia="Arial" w:hAnsi="Arial"/>
          <w:sz w:val="23"/>
          <w:szCs w:val="23"/>
          <w:color w:val="auto"/>
          <w:vertAlign w:val="superscript"/>
        </w:rPr>
        <w:t>19</w:t>
      </w:r>
      <w:r>
        <w:rPr>
          <w:rFonts w:ascii="Arial" w:cs="Arial" w:eastAsia="Arial" w:hAnsi="Arial"/>
          <w:sz w:val="18"/>
          <w:szCs w:val="18"/>
          <w:color w:val="auto"/>
        </w:rPr>
        <w:t xml:space="preserve"> notwithstanding.</w:t>
      </w:r>
    </w:p>
    <w:p>
      <w:pPr>
        <w:spacing w:after="0" w:line="7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JPMC trails peers that adopted measures to mitigate these risks, including ABN AMRO Bank N.V.,</w:t>
      </w:r>
      <w:r>
        <w:rPr>
          <w:rFonts w:ascii="Arial" w:cs="Arial" w:eastAsia="Arial" w:hAnsi="Arial"/>
          <w:sz w:val="23"/>
          <w:szCs w:val="23"/>
          <w:color w:val="auto"/>
          <w:vertAlign w:val="superscript"/>
        </w:rPr>
        <w:t>20</w:t>
      </w:r>
      <w:r>
        <w:rPr>
          <w:rFonts w:ascii="Arial" w:cs="Arial" w:eastAsia="Arial" w:hAnsi="Arial"/>
          <w:sz w:val="18"/>
          <w:szCs w:val="18"/>
          <w:color w:val="auto"/>
        </w:rPr>
        <w:t xml:space="preserve"> Citi Group,</w:t>
      </w:r>
      <w:r>
        <w:rPr>
          <w:rFonts w:ascii="Arial" w:cs="Arial" w:eastAsia="Arial" w:hAnsi="Arial"/>
          <w:sz w:val="23"/>
          <w:szCs w:val="23"/>
          <w:color w:val="auto"/>
          <w:vertAlign w:val="superscript"/>
        </w:rPr>
        <w:t>21</w:t>
      </w:r>
      <w:r>
        <w:rPr>
          <w:rFonts w:ascii="Arial" w:cs="Arial" w:eastAsia="Arial" w:hAnsi="Arial"/>
          <w:sz w:val="18"/>
          <w:szCs w:val="18"/>
          <w:color w:val="auto"/>
        </w:rPr>
        <w:t xml:space="preserve"> and ANZ.</w:t>
      </w:r>
      <w:r>
        <w:rPr>
          <w:rFonts w:ascii="Arial" w:cs="Arial" w:eastAsia="Arial" w:hAnsi="Arial"/>
          <w:sz w:val="23"/>
          <w:szCs w:val="23"/>
          <w:color w:val="auto"/>
          <w:vertAlign w:val="superscript"/>
        </w:rPr>
        <w:t>22</w:t>
      </w:r>
    </w:p>
    <w:p>
      <w:pPr>
        <w:spacing w:after="0" w:line="1236"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147" w:lineRule="exact"/>
        <w:rPr>
          <w:sz w:val="20"/>
          <w:szCs w:val="20"/>
          <w:color w:val="auto"/>
        </w:rPr>
      </w:pPr>
    </w:p>
    <w:p>
      <w:pPr>
        <w:ind w:left="200" w:hanging="192"/>
        <w:spacing w:after="0"/>
        <w:tabs>
          <w:tab w:leader="none" w:pos="200" w:val="left"/>
        </w:tabs>
        <w:numPr>
          <w:ilvl w:val="0"/>
          <w:numId w:val="321"/>
        </w:numPr>
        <w:rPr>
          <w:rFonts w:ascii="Arial" w:cs="Arial" w:eastAsia="Arial" w:hAnsi="Arial"/>
          <w:sz w:val="16"/>
          <w:szCs w:val="16"/>
          <w:color w:val="auto"/>
          <w:vertAlign w:val="superscript"/>
        </w:rPr>
      </w:pPr>
      <w:r>
        <w:rPr>
          <w:rFonts w:ascii="Arial" w:cs="Arial" w:eastAsia="Arial" w:hAnsi="Arial"/>
          <w:sz w:val="13"/>
          <w:szCs w:val="13"/>
          <w:color w:val="auto"/>
        </w:rPr>
        <w:t>https://www.worldbank.org/en/topic/fragilityconflictviolence/overview</w:t>
      </w:r>
    </w:p>
    <w:p>
      <w:pPr>
        <w:ind w:left="200" w:hanging="192"/>
        <w:spacing w:after="0" w:line="212" w:lineRule="auto"/>
        <w:tabs>
          <w:tab w:leader="none" w:pos="200" w:val="left"/>
        </w:tabs>
        <w:numPr>
          <w:ilvl w:val="0"/>
          <w:numId w:val="322"/>
        </w:numPr>
        <w:rPr>
          <w:rFonts w:ascii="Arial" w:cs="Arial" w:eastAsia="Arial" w:hAnsi="Arial"/>
          <w:sz w:val="16"/>
          <w:szCs w:val="16"/>
          <w:color w:val="auto"/>
          <w:vertAlign w:val="superscript"/>
        </w:rPr>
      </w:pPr>
      <w:r>
        <w:rPr>
          <w:rFonts w:ascii="Arial" w:cs="Arial" w:eastAsia="Arial" w:hAnsi="Arial"/>
          <w:sz w:val="13"/>
          <w:szCs w:val="13"/>
          <w:color w:val="auto"/>
        </w:rPr>
        <w:t>https://www.undp.org/publications/heightened-human-rights-due-diligence-business-conflict-affected-contexts-guide</w:t>
      </w:r>
    </w:p>
    <w:p>
      <w:pPr>
        <w:ind w:right="6240"/>
        <w:spacing w:after="0" w:line="229" w:lineRule="auto"/>
        <w:rPr>
          <w:rFonts w:ascii="Arial" w:cs="Arial" w:eastAsia="Arial" w:hAnsi="Arial"/>
          <w:sz w:val="16"/>
          <w:szCs w:val="16"/>
          <w:color w:val="auto"/>
          <w:vertAlign w:val="superscript"/>
        </w:rPr>
      </w:pPr>
      <w:r>
        <w:rPr>
          <w:rFonts w:ascii="Arial" w:cs="Arial" w:eastAsia="Arial" w:hAnsi="Arial"/>
          <w:sz w:val="15"/>
          <w:szCs w:val="15"/>
          <w:color w:val="auto"/>
          <w:vertAlign w:val="superscript"/>
        </w:rPr>
        <w:t>3</w:t>
      </w:r>
      <w:r>
        <w:rPr>
          <w:rFonts w:ascii="Arial" w:cs="Arial" w:eastAsia="Arial" w:hAnsi="Arial"/>
          <w:sz w:val="12"/>
          <w:szCs w:val="12"/>
          <w:color w:val="auto"/>
        </w:rPr>
        <w:t xml:space="preserve"> https://equator-principles.com/app/uploads/Human_Rights_Assessment_Sept2020.pdf </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https://www.ifc.org/content/dam/ifc/doc/mgrt/201902-ifc-fcs-study.pdf</w:t>
      </w:r>
    </w:p>
    <w:p>
      <w:pPr>
        <w:ind w:right="3900"/>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5</w:t>
      </w:r>
      <w:r>
        <w:rPr>
          <w:rFonts w:ascii="Arial" w:cs="Arial" w:eastAsia="Arial" w:hAnsi="Arial"/>
          <w:sz w:val="13"/>
          <w:szCs w:val="13"/>
          <w:color w:val="auto"/>
        </w:rPr>
        <w:t xml:space="preserve"> https://assets.ey.com/content/dam/ey-sites/ey-com/en_us/topics/ceo/ey-ceo-outlook-pulse-survey-january-2023-global-report.pdf </w:t>
      </w:r>
      <w:r>
        <w:rPr>
          <w:rFonts w:ascii="Arial" w:cs="Arial" w:eastAsia="Arial" w:hAnsi="Arial"/>
          <w:sz w:val="16"/>
          <w:szCs w:val="16"/>
          <w:color w:val="auto"/>
          <w:vertAlign w:val="superscript"/>
        </w:rPr>
        <w:t>6</w:t>
      </w:r>
      <w:r>
        <w:rPr>
          <w:rFonts w:ascii="Arial" w:cs="Arial" w:eastAsia="Arial" w:hAnsi="Arial"/>
          <w:sz w:val="13"/>
          <w:szCs w:val="13"/>
          <w:color w:val="auto"/>
        </w:rPr>
        <w:t xml:space="preserve"> https://commission.europa.eu/business-economy-euro/doing-business-eu/corporate-sustainability-due-diligence_en</w:t>
      </w:r>
    </w:p>
    <w:p>
      <w:pPr>
        <w:spacing w:after="0" w:line="1" w:lineRule="exact"/>
        <w:rPr>
          <w:rFonts w:ascii="Arial" w:cs="Arial" w:eastAsia="Arial" w:hAnsi="Arial"/>
          <w:sz w:val="16"/>
          <w:szCs w:val="16"/>
          <w:color w:val="auto"/>
          <w:vertAlign w:val="superscript"/>
        </w:rPr>
      </w:pPr>
    </w:p>
    <w:p>
      <w:pPr>
        <w:spacing w:after="0" w:line="211"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7</w:t>
      </w:r>
      <w:r>
        <w:rPr>
          <w:rFonts w:ascii="Arial" w:cs="Arial" w:eastAsia="Arial" w:hAnsi="Arial"/>
          <w:sz w:val="13"/>
          <w:szCs w:val="13"/>
          <w:color w:val="auto"/>
        </w:rPr>
        <w:t xml:space="preserve">   https://finance.ec.europa.eu/sustainable-finance/disclosures/sustainability-related-disclosure-financial-services-sector_en</w:t>
      </w:r>
    </w:p>
    <w:p>
      <w:pPr>
        <w:ind w:right="4140"/>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8</w:t>
      </w:r>
      <w:r>
        <w:rPr>
          <w:rFonts w:ascii="Arial" w:cs="Arial" w:eastAsia="Arial" w:hAnsi="Arial"/>
          <w:sz w:val="13"/>
          <w:szCs w:val="13"/>
          <w:color w:val="auto"/>
        </w:rPr>
        <w:t xml:space="preserve"> http://www.entegreraporlamatr.org/tr//mailing/25122020/images/Reporting-on-enterprise-value_climate-prototype_Dec20.pdf </w:t>
      </w:r>
      <w:r>
        <w:rPr>
          <w:rFonts w:ascii="Arial" w:cs="Arial" w:eastAsia="Arial" w:hAnsi="Arial"/>
          <w:sz w:val="16"/>
          <w:szCs w:val="16"/>
          <w:color w:val="auto"/>
          <w:vertAlign w:val="superscript"/>
        </w:rPr>
        <w:t>9</w:t>
      </w:r>
      <w:r>
        <w:rPr>
          <w:rFonts w:ascii="Arial" w:cs="Arial" w:eastAsia="Arial" w:hAnsi="Arial"/>
          <w:sz w:val="13"/>
          <w:szCs w:val="13"/>
          <w:color w:val="auto"/>
        </w:rPr>
        <w:t xml:space="preserve"> https://trends2022highlights.com/</w:t>
      </w:r>
    </w:p>
    <w:p>
      <w:pPr>
        <w:spacing w:after="0" w:line="1" w:lineRule="exact"/>
        <w:rPr>
          <w:rFonts w:ascii="Arial" w:cs="Arial" w:eastAsia="Arial" w:hAnsi="Arial"/>
          <w:sz w:val="16"/>
          <w:szCs w:val="16"/>
          <w:color w:val="auto"/>
          <w:vertAlign w:val="superscript"/>
        </w:rPr>
      </w:pP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10</w:t>
      </w:r>
      <w:r>
        <w:rPr>
          <w:rFonts w:ascii="Arial" w:cs="Arial" w:eastAsia="Arial" w:hAnsi="Arial"/>
          <w:sz w:val="13"/>
          <w:szCs w:val="13"/>
          <w:color w:val="auto"/>
        </w:rPr>
        <w:t xml:space="preserve">   https://www.bankingonclimatechaos.org/</w:t>
      </w: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11</w:t>
      </w:r>
      <w:r>
        <w:rPr>
          <w:rFonts w:ascii="Arial" w:cs="Arial" w:eastAsia="Arial" w:hAnsi="Arial"/>
          <w:sz w:val="13"/>
          <w:szCs w:val="13"/>
          <w:color w:val="auto"/>
        </w:rPr>
        <w:t xml:space="preserve">   https://www.banktrack.org/project/lefa_gold_mine</w:t>
      </w:r>
    </w:p>
    <w:p>
      <w:pPr>
        <w:ind w:right="4800"/>
        <w:spacing w:after="0" w:line="202"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12</w:t>
      </w:r>
      <w:r>
        <w:rPr>
          <w:rFonts w:ascii="Arial" w:cs="Arial" w:eastAsia="Arial" w:hAnsi="Arial"/>
          <w:sz w:val="13"/>
          <w:szCs w:val="13"/>
          <w:color w:val="auto"/>
        </w:rPr>
        <w:t xml:space="preserve"> https://www.business-humanrights.org/en/from-us/extractives-in-eastern-europe-central-asia/investor-summary/ </w:t>
      </w:r>
      <w:r>
        <w:rPr>
          <w:rFonts w:ascii="Arial" w:cs="Arial" w:eastAsia="Arial" w:hAnsi="Arial"/>
          <w:sz w:val="16"/>
          <w:szCs w:val="16"/>
          <w:color w:val="auto"/>
          <w:vertAlign w:val="superscript"/>
        </w:rPr>
        <w:t>13</w:t>
      </w:r>
      <w:r>
        <w:rPr>
          <w:rFonts w:ascii="Arial" w:cs="Arial" w:eastAsia="Arial" w:hAnsi="Arial"/>
          <w:sz w:val="13"/>
          <w:szCs w:val="13"/>
          <w:color w:val="auto"/>
        </w:rPr>
        <w:t xml:space="preserve"> https://www.banktrack.org/project/mozambique_lng</w:t>
      </w:r>
    </w:p>
    <w:p>
      <w:pPr>
        <w:ind w:left="200" w:right="1020" w:hanging="194"/>
        <w:spacing w:after="0" w:line="229" w:lineRule="auto"/>
        <w:rPr>
          <w:rFonts w:ascii="Arial" w:cs="Arial" w:eastAsia="Arial" w:hAnsi="Arial"/>
          <w:sz w:val="16"/>
          <w:szCs w:val="16"/>
          <w:color w:val="auto"/>
          <w:vertAlign w:val="superscript"/>
        </w:rPr>
      </w:pPr>
      <w:r>
        <w:rPr>
          <w:rFonts w:ascii="Arial" w:cs="Arial" w:eastAsia="Arial" w:hAnsi="Arial"/>
          <w:sz w:val="15"/>
          <w:szCs w:val="15"/>
          <w:color w:val="auto"/>
          <w:vertAlign w:val="superscript"/>
        </w:rPr>
        <w:t>14</w:t>
      </w:r>
      <w:r>
        <w:rPr>
          <w:rFonts w:ascii="Arial" w:cs="Arial" w:eastAsia="Arial" w:hAnsi="Arial"/>
          <w:sz w:val="12"/>
          <w:szCs w:val="12"/>
          <w:color w:val="auto"/>
        </w:rPr>
        <w:t xml:space="preserve"> https://www.banktrack.org/download/investing_in_the_military_cartel_19_international_banks_invest_over_us65_billion_in_companies_linked_to_myanmar_regime_and_atrocities/ 210726_final_investing_in_the_military_cartel_updated_report.pdf</w:t>
      </w: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15</w:t>
      </w:r>
      <w:r>
        <w:rPr>
          <w:rFonts w:ascii="Arial" w:cs="Arial" w:eastAsia="Arial" w:hAnsi="Arial"/>
          <w:sz w:val="13"/>
          <w:szCs w:val="13"/>
          <w:color w:val="auto"/>
        </w:rPr>
        <w:t xml:space="preserve">   https://putin100.org/index.html#ranking</w:t>
      </w:r>
    </w:p>
    <w:p>
      <w:pPr>
        <w:spacing w:after="0" w:line="211"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16</w:t>
      </w:r>
      <w:r>
        <w:rPr>
          <w:rFonts w:ascii="Arial" w:cs="Arial" w:eastAsia="Arial" w:hAnsi="Arial"/>
          <w:sz w:val="13"/>
          <w:szCs w:val="13"/>
          <w:color w:val="auto"/>
        </w:rPr>
        <w:t xml:space="preserve">   https://bankingonclimatechaos.org/</w:t>
      </w:r>
    </w:p>
    <w:p>
      <w:pPr>
        <w:ind w:right="4040"/>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17</w:t>
      </w:r>
      <w:r>
        <w:rPr>
          <w:rFonts w:ascii="Arial" w:cs="Arial" w:eastAsia="Arial" w:hAnsi="Arial"/>
          <w:sz w:val="13"/>
          <w:szCs w:val="13"/>
          <w:color w:val="auto"/>
        </w:rPr>
        <w:t xml:space="preserve"> https://www.icij.org/investigations/fincen-files/global-banks-defy-u-s-crackdowns-by-serving-oligarchs-criminals-and-terrorists/ </w:t>
      </w:r>
      <w:r>
        <w:rPr>
          <w:rFonts w:ascii="Arial" w:cs="Arial" w:eastAsia="Arial" w:hAnsi="Arial"/>
          <w:sz w:val="16"/>
          <w:szCs w:val="16"/>
          <w:color w:val="auto"/>
          <w:vertAlign w:val="superscript"/>
        </w:rPr>
        <w:t>18</w:t>
      </w:r>
      <w:r>
        <w:rPr>
          <w:rFonts w:ascii="Arial" w:cs="Arial" w:eastAsia="Arial" w:hAnsi="Arial"/>
          <w:sz w:val="13"/>
          <w:szCs w:val="13"/>
          <w:color w:val="auto"/>
        </w:rPr>
        <w:t xml:space="preserve"> https://www.jpmorganchase.com/about/our-business/human-rights</w:t>
      </w:r>
    </w:p>
    <w:p>
      <w:pPr>
        <w:spacing w:after="0" w:line="1" w:lineRule="exact"/>
        <w:rPr>
          <w:rFonts w:ascii="Arial" w:cs="Arial" w:eastAsia="Arial" w:hAnsi="Arial"/>
          <w:sz w:val="16"/>
          <w:szCs w:val="16"/>
          <w:color w:val="auto"/>
          <w:vertAlign w:val="superscript"/>
        </w:rPr>
      </w:pP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19</w:t>
      </w:r>
      <w:r>
        <w:rPr>
          <w:rFonts w:ascii="Arial" w:cs="Arial" w:eastAsia="Arial" w:hAnsi="Arial"/>
          <w:sz w:val="13"/>
          <w:szCs w:val="13"/>
          <w:color w:val="auto"/>
        </w:rPr>
        <w:t xml:space="preserve">   https://www.banktrack.org/download/environmental_and_social_policy_framework_10/211012_environmentalandsocialpolicyframeworkdatedoct82021.pdf</w:t>
      </w:r>
    </w:p>
    <w:p>
      <w:pPr>
        <w:ind w:right="2200"/>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20</w:t>
      </w:r>
      <w:r>
        <w:rPr>
          <w:rFonts w:ascii="Arial" w:cs="Arial" w:eastAsia="Arial" w:hAnsi="Arial"/>
          <w:sz w:val="13"/>
          <w:szCs w:val="13"/>
          <w:color w:val="auto"/>
        </w:rPr>
        <w:t xml:space="preserve"> https://assets.ctfassets.net/1u811bvgvthc/DJ2luR6Luk4gy0vpHqXZp/bbae98ca816b61efe381cd8150b9d740/ABN_AMRO_-_Human_Rights_Report_2022.pdf </w:t>
      </w:r>
      <w:r>
        <w:rPr>
          <w:rFonts w:ascii="Arial" w:cs="Arial" w:eastAsia="Arial" w:hAnsi="Arial"/>
          <w:sz w:val="16"/>
          <w:szCs w:val="16"/>
          <w:color w:val="auto"/>
          <w:vertAlign w:val="superscript"/>
        </w:rPr>
        <w:t>21</w:t>
      </w:r>
      <w:r>
        <w:rPr>
          <w:rFonts w:ascii="Arial" w:cs="Arial" w:eastAsia="Arial" w:hAnsi="Arial"/>
          <w:sz w:val="13"/>
          <w:szCs w:val="13"/>
          <w:color w:val="auto"/>
        </w:rPr>
        <w:t xml:space="preserve"> https://www.citigroup.com/rcs/citigpa/storage/public/Global-ESG-Report-2022.pdf</w:t>
      </w:r>
    </w:p>
    <w:p>
      <w:pPr>
        <w:spacing w:after="0" w:line="1"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color w:val="auto"/>
          <w:vertAlign w:val="superscript"/>
        </w:rPr>
        <w:t>22</w:t>
      </w:r>
      <w:r>
        <w:rPr>
          <w:rFonts w:ascii="Arial" w:cs="Arial" w:eastAsia="Arial" w:hAnsi="Arial"/>
          <w:sz w:val="13"/>
          <w:szCs w:val="13"/>
          <w:color w:val="auto"/>
        </w:rPr>
        <w:t xml:space="preserve">   https://www.nortonrosefulbright.com/en/knowledge/publications/cac8443e/anz-sets-a-global-precedent-with-adoption-of-human-rights-grievance-mechanism</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9</w:t>
      </w:r>
    </w:p>
    <w:p>
      <w:pPr>
        <w:spacing w:after="0" w:line="110" w:lineRule="exact"/>
        <w:rPr>
          <w:sz w:val="20"/>
          <w:szCs w:val="20"/>
          <w:color w:val="auto"/>
        </w:rPr>
      </w:pPr>
    </w:p>
    <w:p>
      <w:pPr>
        <w:jc w:val="both"/>
        <w:ind w:right="104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411855" cy="353187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411855" cy="3531870"/>
                    </a:xfrm>
                    <a:prstGeom prst="rect">
                      <a:avLst/>
                    </a:prstGeom>
                    <a:noFill/>
                  </pic:spPr>
                </pic:pic>
              </a:graphicData>
            </a:graphic>
          </wp:anchor>
        </w:drawing>
      </w:r>
    </w:p>
    <w:p>
      <w:pPr>
        <w:spacing w:after="0" w:line="80" w:lineRule="exact"/>
        <w:rPr>
          <w:sz w:val="20"/>
          <w:szCs w:val="20"/>
          <w:color w:val="auto"/>
        </w:rPr>
      </w:pPr>
    </w:p>
    <w:p>
      <w:pPr>
        <w:ind w:left="300" w:right="120" w:hanging="196"/>
        <w:spacing w:after="0" w:line="268" w:lineRule="auto"/>
        <w:tabs>
          <w:tab w:leader="none" w:pos="304" w:val="left"/>
        </w:tabs>
        <w:numPr>
          <w:ilvl w:val="0"/>
          <w:numId w:val="323"/>
        </w:numPr>
        <w:rPr>
          <w:rFonts w:ascii="Arial" w:cs="Arial" w:eastAsia="Arial" w:hAnsi="Arial"/>
          <w:sz w:val="18"/>
          <w:szCs w:val="18"/>
          <w:color w:val="104C98"/>
        </w:rPr>
      </w:pPr>
      <w:r>
        <w:rPr>
          <w:rFonts w:ascii="Arial" w:cs="Arial" w:eastAsia="Arial" w:hAnsi="Arial"/>
          <w:sz w:val="18"/>
          <w:szCs w:val="18"/>
          <w:color w:val="auto"/>
        </w:rPr>
        <w:t>JPMorgan Chase supports fundamental principles of human rights across all our lines of business and in each region of the world where we have a presence.</w:t>
      </w:r>
    </w:p>
    <w:p>
      <w:pPr>
        <w:spacing w:after="0" w:line="8" w:lineRule="exact"/>
        <w:rPr>
          <w:rFonts w:ascii="Arial" w:cs="Arial" w:eastAsia="Arial" w:hAnsi="Arial"/>
          <w:sz w:val="18"/>
          <w:szCs w:val="18"/>
          <w:color w:val="104C98"/>
        </w:rPr>
      </w:pPr>
    </w:p>
    <w:p>
      <w:pPr>
        <w:jc w:val="both"/>
        <w:ind w:left="300" w:right="760" w:hanging="196"/>
        <w:spacing w:after="0" w:line="287" w:lineRule="auto"/>
        <w:tabs>
          <w:tab w:leader="none" w:pos="304" w:val="left"/>
        </w:tabs>
        <w:numPr>
          <w:ilvl w:val="0"/>
          <w:numId w:val="323"/>
        </w:numPr>
        <w:rPr>
          <w:rFonts w:ascii="Arial" w:cs="Arial" w:eastAsia="Arial" w:hAnsi="Arial"/>
          <w:sz w:val="17"/>
          <w:szCs w:val="17"/>
          <w:color w:val="104C98"/>
        </w:rPr>
      </w:pPr>
      <w:r>
        <w:rPr>
          <w:rFonts w:ascii="Arial" w:cs="Arial" w:eastAsia="Arial" w:hAnsi="Arial"/>
          <w:sz w:val="17"/>
          <w:szCs w:val="17"/>
          <w:color w:val="auto"/>
        </w:rPr>
        <w:t>JPMorgan Chase considers a range of internationally recognized principles to inform the Firm’s approach in managing these risks, as indicated in our ESG Report.</w:t>
      </w:r>
    </w:p>
    <w:p>
      <w:pPr>
        <w:ind w:left="300" w:right="180" w:hanging="196"/>
        <w:spacing w:after="0" w:line="255" w:lineRule="auto"/>
        <w:tabs>
          <w:tab w:leader="none" w:pos="304" w:val="left"/>
        </w:tabs>
        <w:numPr>
          <w:ilvl w:val="0"/>
          <w:numId w:val="323"/>
        </w:numPr>
        <w:rPr>
          <w:rFonts w:ascii="Arial" w:cs="Arial" w:eastAsia="Arial" w:hAnsi="Arial"/>
          <w:sz w:val="18"/>
          <w:szCs w:val="18"/>
          <w:color w:val="104C98"/>
        </w:rPr>
      </w:pPr>
      <w:r>
        <w:rPr>
          <w:rFonts w:ascii="Arial" w:cs="Arial" w:eastAsia="Arial" w:hAnsi="Arial"/>
          <w:sz w:val="18"/>
          <w:szCs w:val="18"/>
          <w:color w:val="auto"/>
        </w:rPr>
        <w:t>Part of the Firm’s risk management process includes assessing our clients’ approach to environmental and social (“E&amp;S”) matters, including those related to human rights, where appropriate. We have firmwide policies and standards, including an escalation and due diligence process conducted by E&amp;S subject matter experts when a new or existing client’s transaction is considered to have material risks related to human rights.</w:t>
      </w:r>
    </w:p>
    <w:p>
      <w:pPr>
        <w:spacing w:after="0" w:line="22" w:lineRule="exact"/>
        <w:rPr>
          <w:rFonts w:ascii="Arial" w:cs="Arial" w:eastAsia="Arial" w:hAnsi="Arial"/>
          <w:sz w:val="18"/>
          <w:szCs w:val="18"/>
          <w:color w:val="104C98"/>
        </w:rPr>
      </w:pPr>
    </w:p>
    <w:p>
      <w:pPr>
        <w:ind w:left="300" w:right="260" w:hanging="196"/>
        <w:spacing w:after="0" w:line="275" w:lineRule="auto"/>
        <w:tabs>
          <w:tab w:leader="none" w:pos="304" w:val="left"/>
        </w:tabs>
        <w:numPr>
          <w:ilvl w:val="0"/>
          <w:numId w:val="323"/>
        </w:numPr>
        <w:rPr>
          <w:rFonts w:ascii="Arial" w:cs="Arial" w:eastAsia="Arial" w:hAnsi="Arial"/>
          <w:sz w:val="17"/>
          <w:szCs w:val="17"/>
          <w:color w:val="104C98"/>
        </w:rPr>
      </w:pPr>
      <w:r>
        <w:rPr>
          <w:rFonts w:ascii="Arial" w:cs="Arial" w:eastAsia="Arial" w:hAnsi="Arial"/>
          <w:sz w:val="17"/>
          <w:szCs w:val="17"/>
          <w:color w:val="auto"/>
        </w:rPr>
        <w:t>The proposal makes broad, unsubstantiated allegations that the Firm has operations and relationships that are implicated in violations of international humanitarian and human rights law, and cites a number of subjective, inaccurate and biased determinations by sources that are not necessarily aligned with shareholders’ long-term financial interests.</w:t>
      </w:r>
    </w:p>
    <w:p>
      <w:pPr>
        <w:spacing w:after="0" w:line="6" w:lineRule="exact"/>
        <w:rPr>
          <w:rFonts w:ascii="Arial" w:cs="Arial" w:eastAsia="Arial" w:hAnsi="Arial"/>
          <w:sz w:val="17"/>
          <w:szCs w:val="17"/>
          <w:color w:val="104C98"/>
        </w:rPr>
      </w:pPr>
    </w:p>
    <w:p>
      <w:pPr>
        <w:ind w:left="300" w:right="280" w:hanging="196"/>
        <w:spacing w:after="0" w:line="262" w:lineRule="auto"/>
        <w:tabs>
          <w:tab w:leader="none" w:pos="304" w:val="left"/>
        </w:tabs>
        <w:numPr>
          <w:ilvl w:val="0"/>
          <w:numId w:val="323"/>
        </w:numPr>
        <w:rPr>
          <w:rFonts w:ascii="Arial" w:cs="Arial" w:eastAsia="Arial" w:hAnsi="Arial"/>
          <w:sz w:val="18"/>
          <w:szCs w:val="18"/>
          <w:color w:val="104C98"/>
        </w:rPr>
      </w:pPr>
      <w:r>
        <w:rPr>
          <w:rFonts w:ascii="Arial" w:cs="Arial" w:eastAsia="Arial" w:hAnsi="Arial"/>
          <w:sz w:val="18"/>
          <w:szCs w:val="18"/>
          <w:color w:val="auto"/>
        </w:rPr>
        <w:t>The Firm has adopted and implemented appropriate policies and practices that address the concerns raised by the proponent. The proponent has not evidenced the need for or potential benefit of the requested report.</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JPMorgan Chase supports fundamental principles of human rights across all our lines of business and in each region of the world where we have a presence. We recognize that human rights and social risk issues are a significant global challenge. Some companies and projects within our portfolio may be linked to areas where there are ongoing or potential conflicts arising from geo- and socio-political instability. As these conflicts have the potential to increase risk, the decision to support companies and projects in these areas needs to be considered holistically, including the benefit to communities of continued financial services and support.</w:t>
      </w:r>
    </w:p>
    <w:p>
      <w:pPr>
        <w:spacing w:after="0" w:line="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JPMorgan Chase considers a range of internationally recognized principles to inform the Firm’s approach in managing these risks, as indicated in our ESG Report.</w:t>
      </w:r>
    </w:p>
    <w:p>
      <w:pPr>
        <w:spacing w:after="0" w:line="4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part of the Firm’s risk management process includes assessing our clients’ approach to environmental and social (“E&amp;S”) matters, including those related to human rights, where appropriate. We have firmwide policies and standards for the consistent identification, escalation and management of transactions and activities that present increased E&amp;S risk, which include an escalation and due diligence process conducted by E&amp;S subject matter experts when a client’s transaction is considered to have material impacts.</w:t>
      </w:r>
    </w:p>
    <w:p>
      <w:pPr>
        <w:spacing w:after="0" w:line="5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When material risk and impacts related to human rights are identified or due diligence indicates unresolved questions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about the existence of such practices, the Firm may engage directly with clients or prospective clients to better understand their commitments, capacities and track records. Engagements may focus on the material issues around environmental and social risk and impacts, including those regarding the client's operations, or otherwise affected by the client’s activities. If significant issues are not resolved, transactions may be escalated, when warranted, to a committee of the senior leaders of the Firm.</w:t>
      </w:r>
    </w:p>
    <w:p>
      <w:pPr>
        <w:spacing w:after="0" w:line="5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proposal makes broad, unsubstantiated allegations that the Firm has operations and relationships that are implicated in violations of international humanitarian and human rights law and cites a number of subjective determinations by sources that are not necessarily aligned with shareholders’ long-term financial interests. Further, the proponent claims – without providing any detail – that the Firm’s approach to human rights lags behind three other banks. We disagree and believe that our approach to human rights risk management is appropriate and industry-aligned.</w:t>
      </w:r>
    </w:p>
    <w:p>
      <w:pPr>
        <w:spacing w:after="0" w:line="5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Firm conducts its business based on facts as we strive to meet our responsibility to clients and shareholders. Where there are allegations of human rights violations associated with a client or prospective client’s transaction, our policies require that a review is undertaken and robust diligence conducted to determine the accuracy of the allegations. When concerns are identified, steps are taken to determine factual details, materiality, mitigants and disposition.</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proponent is requesting a report prepared by an independent third-party, but has not explained how a third-party would prepare such a report or how such a report would benefit shareholders. The Board believes that the Firm has already adopted and implemented appropriate policies and practices that meaningfully address the concerns raised by the proponent. Given the expense and administrative resources that would be required to produce the report – and the lack of benefit to shareholders – we recommend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75565</wp:posOffset>
            </wp:positionV>
            <wp:extent cx="3060065" cy="419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3060065" cy="419735"/>
                    </a:xfrm>
                    <a:prstGeom prst="rect">
                      <a:avLst/>
                    </a:prstGeom>
                    <a:noFill/>
                  </pic:spPr>
                </pic:pic>
              </a:graphicData>
            </a:graphic>
          </wp:anchor>
        </w:drawing>
      </w:r>
    </w:p>
    <w:p>
      <w:pPr>
        <w:spacing w:after="0" w:line="188" w:lineRule="exact"/>
        <w:rPr>
          <w:sz w:val="20"/>
          <w:szCs w:val="20"/>
          <w:color w:val="auto"/>
        </w:rPr>
      </w:pPr>
    </w:p>
    <w:p>
      <w:pPr>
        <w:ind w:left="660" w:right="22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-276225</wp:posOffset>
            </wp:positionV>
            <wp:extent cx="171450" cy="17145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220345</wp:posOffset>
            </wp:positionV>
            <wp:extent cx="341185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right="580"/>
        <w:spacing w:after="0" w:line="286" w:lineRule="auto"/>
        <w:rPr>
          <w:sz w:val="20"/>
          <w:szCs w:val="20"/>
          <w:color w:val="auto"/>
        </w:rPr>
      </w:pPr>
      <w:r>
        <w:rPr>
          <w:rFonts w:ascii="Arial" w:cs="Arial" w:eastAsia="Arial" w:hAnsi="Arial"/>
          <w:sz w:val="20"/>
          <w:szCs w:val="20"/>
          <w:color w:val="074A75"/>
        </w:rPr>
        <w:t>PROPOSAL 10 – SHAREHOLDER OPPORTUNITY TO VOTE ON EXCESSIVE GOLDEN PARACHUTES</w:t>
      </w:r>
    </w:p>
    <w:p>
      <w:pPr>
        <w:spacing w:after="0" w:line="3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John Chevedden has advised us that he intends to introduce 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2854325" cy="3511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28543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Shareholders request that the Board adopt a policy to seek shareholder approval of senior managers' new or renewed pay package that provides for golden parachute payments with an estimated value exceeding 2.99 times the sum of the executive's base salary plus target short-term bonus. This proposal only applies to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299085</wp:posOffset>
            </wp:positionV>
            <wp:extent cx="27432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23"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101 </w:t>
      </w:r>
      <w:r>
        <w:rPr>
          <w:sz w:val="1"/>
          <w:szCs w:val="1"/>
          <w:color w:val="auto"/>
        </w:rPr>
        <w:drawing>
          <wp:inline distT="0" distB="0" distL="0" distR="0">
            <wp:extent cx="2203450" cy="154305"/>
            <wp:effectExtent l="0" t="0" r="0" b="0"/>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Golden parachute payments include cash, equity or other compensation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"Estimated total value" includes: lump-sum payments; payments offsetting tax liabilities; perquisites or benefits not vested under a plan generally available to management employees; post-employment consulting fees or office expense; and equity awards if vesting is accelerated, or a performance condition waived, due to termination.</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Board shall retain the option to seek shareholder approval at an annual meeting after material terms are agreed upon.</w:t>
      </w:r>
    </w:p>
    <w:p>
      <w:pPr>
        <w:spacing w:after="0" w:line="4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Generous performance-based pay can sometimes be justified but shareholder ratification of golden parachutes better aligns management pay with shareholder interests.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proposal is relevant even if there are current golden parachute limits. A limit on golden parachutes is like a speed limit. A speed limit by itself does not guarantee that the speed limit will never be exceeded. Like this proposal the rules associated with a speed limit provide consequences if the limit is exceeded. With this proposal the consequences are a non-binding shareholder vote is required for unreasonably high golden parachutes.</w:t>
      </w:r>
    </w:p>
    <w:p>
      <w:pPr>
        <w:spacing w:after="0" w:line="7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proposal places no limit on long-term equity pay or any other type pay. This proposal thus has no impact on the ability to attract executive talent or discourage the use of long-term equity pay because it places no limit on golden parachutes. It simply requires that extra large golden parachutes be subject to a non-binding shareholder vote at a shareholder meeting already scheduled for other matters.</w:t>
      </w:r>
    </w:p>
    <w:p>
      <w:pPr>
        <w:spacing w:after="0" w:line="7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proposal is relevant because the annual say on executive pay vote does not have a separate section for approving or rejecting golden parachutes.</w:t>
      </w:r>
    </w:p>
    <w:p>
      <w:pPr>
        <w:spacing w:after="0" w:line="6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topic of this proposal received and between 51% and 65% support at: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FedEx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Spirit AeroSystems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Alaska 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Fiserv</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Please vote yes:</w:t>
      </w:r>
    </w:p>
    <w:p>
      <w:pPr>
        <w:spacing w:after="0" w:line="2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Shareholder Opportunity to Vote on Excessive Golden Parachutes - Proposal 10</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10</w:t>
      </w:r>
    </w:p>
    <w:p>
      <w:pPr>
        <w:spacing w:after="0" w:line="124" w:lineRule="exact"/>
        <w:rPr>
          <w:sz w:val="20"/>
          <w:szCs w:val="20"/>
          <w:color w:val="auto"/>
        </w:rPr>
      </w:pPr>
    </w:p>
    <w:p>
      <w:pPr>
        <w:jc w:val="both"/>
        <w:ind w:right="1160"/>
        <w:spacing w:after="0" w:line="311"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3411855" cy="508317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411855" cy="5083175"/>
                    </a:xfrm>
                    <a:prstGeom prst="rect">
                      <a:avLst/>
                    </a:prstGeom>
                    <a:noFill/>
                  </pic:spPr>
                </pic:pic>
              </a:graphicData>
            </a:graphic>
          </wp:anchor>
        </w:drawing>
      </w:r>
    </w:p>
    <w:p>
      <w:pPr>
        <w:spacing w:after="0" w:line="121" w:lineRule="exact"/>
        <w:rPr>
          <w:sz w:val="20"/>
          <w:szCs w:val="20"/>
          <w:color w:val="auto"/>
        </w:rPr>
      </w:pPr>
    </w:p>
    <w:p>
      <w:pPr>
        <w:ind w:left="300" w:right="260" w:hanging="200"/>
        <w:spacing w:after="0" w:line="256" w:lineRule="auto"/>
        <w:tabs>
          <w:tab w:leader="none" w:pos="304" w:val="left"/>
        </w:tabs>
        <w:numPr>
          <w:ilvl w:val="0"/>
          <w:numId w:val="324"/>
        </w:numPr>
        <w:rPr>
          <w:rFonts w:ascii="Arial" w:cs="Arial" w:eastAsia="Arial" w:hAnsi="Arial"/>
          <w:sz w:val="18"/>
          <w:szCs w:val="18"/>
          <w:color w:val="104C98"/>
        </w:rPr>
      </w:pPr>
      <w:r>
        <w:rPr>
          <w:rFonts w:ascii="Arial" w:cs="Arial" w:eastAsia="Arial" w:hAnsi="Arial"/>
          <w:sz w:val="18"/>
          <w:szCs w:val="18"/>
          <w:color w:val="auto"/>
        </w:rPr>
        <w:t>The Firm does not provide golden parachute agreements, including any accelerated cash/equity payments or special benefits upon a change in control. There are no employment agreements, and Named Executive Officers (“NEOs”) are not entitled to special severance benefits; all employees participate at the same level of severance that is capped at 52 weeks of salary or $400,000 for U.S. based employees.</w:t>
      </w:r>
    </w:p>
    <w:p>
      <w:pPr>
        <w:spacing w:after="0" w:line="47" w:lineRule="exact"/>
        <w:rPr>
          <w:rFonts w:ascii="Arial" w:cs="Arial" w:eastAsia="Arial" w:hAnsi="Arial"/>
          <w:sz w:val="18"/>
          <w:szCs w:val="18"/>
          <w:color w:val="104C98"/>
        </w:rPr>
      </w:pPr>
    </w:p>
    <w:p>
      <w:pPr>
        <w:ind w:left="300" w:right="220" w:hanging="200"/>
        <w:spacing w:after="0" w:line="253" w:lineRule="auto"/>
        <w:tabs>
          <w:tab w:leader="none" w:pos="304" w:val="left"/>
        </w:tabs>
        <w:numPr>
          <w:ilvl w:val="0"/>
          <w:numId w:val="324"/>
        </w:numPr>
        <w:rPr>
          <w:rFonts w:ascii="Arial" w:cs="Arial" w:eastAsia="Arial" w:hAnsi="Arial"/>
          <w:sz w:val="18"/>
          <w:szCs w:val="18"/>
          <w:color w:val="104C98"/>
        </w:rPr>
      </w:pPr>
      <w:r>
        <w:rPr>
          <w:rFonts w:ascii="Arial" w:cs="Arial" w:eastAsia="Arial" w:hAnsi="Arial"/>
          <w:sz w:val="18"/>
          <w:szCs w:val="18"/>
          <w:color w:val="auto"/>
        </w:rPr>
        <w:t>The key terms of the proposal are not compatible with our Firm's compensation program for our NEOs, which is designed to effectively align executive interests with shareholder value. Implementing the proposal would introduce challenges in interpretation and execution, potentially undermining the well-established balance we have achieved in our executive compensation structure. Specifically, the proposal would require shareholder approval of severance packages “that exceed 2.99 times the sum of the executive’s base salary plus target short-term bonus,” which is not appropriate based on the structure of our compensation program. We do not have a separate short-term bonus program, nor do we set target pay levels for our NEOs.</w:t>
      </w:r>
    </w:p>
    <w:p>
      <w:pPr>
        <w:spacing w:after="0" w:line="38" w:lineRule="exact"/>
        <w:rPr>
          <w:rFonts w:ascii="Arial" w:cs="Arial" w:eastAsia="Arial" w:hAnsi="Arial"/>
          <w:sz w:val="18"/>
          <w:szCs w:val="18"/>
          <w:color w:val="104C98"/>
        </w:rPr>
      </w:pPr>
    </w:p>
    <w:p>
      <w:pPr>
        <w:ind w:left="300" w:right="320" w:hanging="200"/>
        <w:spacing w:after="0" w:line="278" w:lineRule="auto"/>
        <w:tabs>
          <w:tab w:leader="none" w:pos="304" w:val="left"/>
        </w:tabs>
        <w:numPr>
          <w:ilvl w:val="0"/>
          <w:numId w:val="324"/>
        </w:numPr>
        <w:rPr>
          <w:rFonts w:ascii="Arial" w:cs="Arial" w:eastAsia="Arial" w:hAnsi="Arial"/>
          <w:sz w:val="17"/>
          <w:szCs w:val="17"/>
          <w:color w:val="104C98"/>
        </w:rPr>
      </w:pPr>
      <w:r>
        <w:rPr>
          <w:rFonts w:ascii="Arial" w:cs="Arial" w:eastAsia="Arial" w:hAnsi="Arial"/>
          <w:sz w:val="17"/>
          <w:szCs w:val="17"/>
          <w:color w:val="auto"/>
        </w:rPr>
        <w:t>There are further ambiguities and inconsistencies in the proposal on the definition and treatment of equity awards; the inclusion of equity awards does not align with general market practices, particularly as it relates to the much broader definition of golden parachute as described in the proposal.</w:t>
      </w:r>
    </w:p>
    <w:p>
      <w:pPr>
        <w:spacing w:after="0" w:line="15" w:lineRule="exact"/>
        <w:rPr>
          <w:rFonts w:ascii="Arial" w:cs="Arial" w:eastAsia="Arial" w:hAnsi="Arial"/>
          <w:sz w:val="17"/>
          <w:szCs w:val="17"/>
          <w:color w:val="104C98"/>
        </w:rPr>
      </w:pPr>
    </w:p>
    <w:p>
      <w:pPr>
        <w:ind w:left="300" w:right="260" w:hanging="200"/>
        <w:spacing w:after="0" w:line="259" w:lineRule="auto"/>
        <w:tabs>
          <w:tab w:leader="none" w:pos="304" w:val="left"/>
        </w:tabs>
        <w:numPr>
          <w:ilvl w:val="0"/>
          <w:numId w:val="324"/>
        </w:numPr>
        <w:rPr>
          <w:rFonts w:ascii="Arial" w:cs="Arial" w:eastAsia="Arial" w:hAnsi="Arial"/>
          <w:sz w:val="18"/>
          <w:szCs w:val="18"/>
          <w:color w:val="104C98"/>
        </w:rPr>
      </w:pPr>
      <w:r>
        <w:rPr>
          <w:rFonts w:ascii="Arial" w:cs="Arial" w:eastAsia="Arial" w:hAnsi="Arial"/>
          <w:sz w:val="18"/>
          <w:szCs w:val="18"/>
          <w:color w:val="auto"/>
        </w:rPr>
        <w:t>The Firm’s compensation philosophy promotes a fair and well-governed, long-term approach to compensation, including pay-for-performance practices that effectively align the interests of executives and shareholders. Compensation for NEOs is subject to strong Board oversight.</w:t>
      </w:r>
    </w:p>
    <w:p>
      <w:pPr>
        <w:spacing w:after="0" w:line="44" w:lineRule="exact"/>
        <w:rPr>
          <w:rFonts w:ascii="Arial" w:cs="Arial" w:eastAsia="Arial" w:hAnsi="Arial"/>
          <w:sz w:val="18"/>
          <w:szCs w:val="18"/>
          <w:color w:val="104C98"/>
        </w:rPr>
      </w:pPr>
    </w:p>
    <w:p>
      <w:pPr>
        <w:ind w:left="300" w:right="320" w:hanging="200"/>
        <w:spacing w:after="0" w:line="259" w:lineRule="auto"/>
        <w:tabs>
          <w:tab w:leader="none" w:pos="304" w:val="left"/>
        </w:tabs>
        <w:numPr>
          <w:ilvl w:val="0"/>
          <w:numId w:val="324"/>
        </w:numPr>
        <w:rPr>
          <w:rFonts w:ascii="Arial" w:cs="Arial" w:eastAsia="Arial" w:hAnsi="Arial"/>
          <w:sz w:val="18"/>
          <w:szCs w:val="18"/>
          <w:color w:val="104C98"/>
        </w:rPr>
      </w:pPr>
      <w:r>
        <w:rPr>
          <w:rFonts w:ascii="Arial" w:cs="Arial" w:eastAsia="Arial" w:hAnsi="Arial"/>
          <w:sz w:val="18"/>
          <w:szCs w:val="18"/>
          <w:color w:val="auto"/>
        </w:rPr>
        <w:t>The Firm conducts an extensive shareholder outreach and engagement program to directly solicit and discuss feedback with our shareholders; during which, our shareholders have not raised specific feedback or concerns relating to the Firm’s severance policies or practices.</w:t>
      </w:r>
    </w:p>
    <w:p>
      <w:pPr>
        <w:spacing w:after="0" w:line="1843"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7" w:lineRule="exact"/>
        <w:rPr>
          <w:sz w:val="20"/>
          <w:szCs w:val="20"/>
          <w:color w:val="auto"/>
        </w:rPr>
      </w:pPr>
    </w:p>
    <w:p>
      <w:pPr>
        <w:ind w:left="300" w:right="140" w:hanging="196"/>
        <w:spacing w:after="0" w:line="244" w:lineRule="auto"/>
        <w:tabs>
          <w:tab w:leader="none" w:pos="304" w:val="left"/>
        </w:tabs>
        <w:numPr>
          <w:ilvl w:val="0"/>
          <w:numId w:val="325"/>
        </w:numPr>
        <w:rPr>
          <w:rFonts w:ascii="Arial" w:cs="Arial" w:eastAsia="Arial" w:hAnsi="Arial"/>
          <w:sz w:val="18"/>
          <w:szCs w:val="18"/>
          <w:color w:val="104C98"/>
        </w:rPr>
      </w:pPr>
      <w:r>
        <w:rPr>
          <w:rFonts w:ascii="Arial" w:cs="Arial" w:eastAsia="Arial" w:hAnsi="Arial"/>
          <w:sz w:val="18"/>
          <w:szCs w:val="18"/>
          <w:color w:val="auto"/>
        </w:rPr>
        <w:t>In addition to our shareholder engagement program, shareholders have a detailed view into our severance policies and have a number of mechanisms to express their views on the Firm’s executive compensation program, including an annual Advisory Vote on Executive Compensation (“Say on Pay”). Furthermore, the Firm’s Long-Term Incentive Plan (“LTIP”) is approved by shareholders and governs the specified provisions in the equity award agreements on the treatment of unvested equity awards under certain termination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-1374775</wp:posOffset>
            </wp:positionV>
            <wp:extent cx="3411855" cy="141478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3411855" cy="1414780"/>
                    </a:xfrm>
                    <a:prstGeom prst="rect">
                      <a:avLst/>
                    </a:prstGeom>
                    <a:noFill/>
                  </pic:spPr>
                </pic:pic>
              </a:graphicData>
            </a:graphic>
          </wp:anchor>
        </w:drawing>
      </w:r>
    </w:p>
    <w:p>
      <w:pPr>
        <w:spacing w:after="0" w:line="22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described in the Compensation Discussion and Analysis (“CD&amp;A”) in this proxy statement, the Firm does not provide golden parachute agreements, including any accelerated cash/equity payments or special benefits upon a change in control. There are no employment agreements, and NEOs are not entitled to special severance benefits; all employees participate at the same level of severance. All employees, including NEOs, are eligible for the same severance benefits, based on years of service, capped at 52 weeks with a maximum credited salary (i.e., capped at $400,000 for U.S. NEOs, or £275,000 in the case of Ms. Lake). Moreover, NEOs are not entitled to any special benefits upon termination.</w:t>
      </w:r>
    </w:p>
    <w:p>
      <w:pPr>
        <w:spacing w:after="0" w:line="7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NEOs’ potential termination payments, whether for death, retirement, or involuntary termination without cause, are disclosed annually in the proxy statement (see "VII. 2023 Potential Payments Upon Termination or Change in Control" on page 69), and the Firm is required to disclose the material terms of any such agreement and actual termination payments to NEOs. Additionally, the Firm is required to disclose the adoption, amendment, or termination of any material compensation contracts or arrangements with an NEO. All such disclosures are to be made through a Form 8-K filing or as an exhibit to the quarterly or annual report.</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proposal would require the Board to “retain the option to seek shareholder approval at an annual meeting after material terms are agreed upon.” We believe this after-the-fact requirement is not as effective as our current practices.</w:t>
      </w:r>
    </w:p>
    <w:p>
      <w:pPr>
        <w:spacing w:after="0" w:line="6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shareholder proposal should also be rejected due to its inherent ambiguity, which leaves room for misinterpretation and hinders our ability to effectively implement and measure its intended outcomes. This proposal may be limited, as entitled, to “golden parachute” payments that are traditionally awarded in the uncommon event of a change of control – or interpreted to mean that it should apply to payments awarded under any termination trigger, including in the event of retirement, employment termination or resignation. In either case, the proposal is impractical and not founded on the Firm’s practices. For example, whenever there was an NEO departure, the proposal would seemingly require shareholder approval of severance packages “that exceed 2.99 times the sum of the executive’s base salary plus target short-term bonus.” The proponent does not define the reference to a short-term bonus, and thus, it is uncertain what would actually be factored into the proposed 2.99 calculation given that the Firm’s compensation program does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not include separate short-term bonuses or targets for short-term bonuses, variable compensation or total compensation. These newly conceived bonuses would supplant the pay decisions and processes of the Compensation &amp; Management Development Committee (“CMDC”) which first determines Operating Committee (“OC”) members’ total compensation levels and then establishes the appropriate variable pay mix between an annual cash award and long-term equity, including PSUs and RSUs.</w:t>
      </w:r>
    </w:p>
    <w:p>
      <w:pPr>
        <w:spacing w:after="0" w:line="85"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There are further ambiguities and inconsistencies in the proposal on the definition and treatment of equity awards under different termination scenarios. The inclusion of equity awards does not align with general market practices, particularly as it relates to the much broader definition of golden parachute as described in the proposal. The suggestion that this proposal has passed at other companies is misleading given that the four companies referenced by the proponent all have employment agreements in place that provide for additional severance benefits of the type that do not exist at JPMorgan Chase.</w:t>
      </w:r>
    </w:p>
    <w:p>
      <w:pPr>
        <w:spacing w:after="0" w:line="69"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Firm’s compensation philosophy promotes a fair and well-governed, long-term approach to compensation, including pay-for-performance practices that are designed to attract and retain top talent from all backgrounds, to be responsive to and aligned with shareholders, and to encourage a culture that supports our Purpose, Values, Business Principles and strategic framework. Our pay-for-performance compensation program is designed to align the long-term interests of our employees with those of our shareholders by emphasizing sustained value and reinforcing personal accountability. NEOs’ personal accountability is reinforced through sound pay practices, including: pay that is based on performance linked to shareholder value; a majority of variable pay in deferred equity; strong clawback provisions; risk, controls and conduct considerations; and strong shareholding requirements.</w:t>
      </w:r>
    </w:p>
    <w:p>
      <w:pPr>
        <w:spacing w:after="0" w:line="8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Further, NEO compensation is subject to strong Board oversight. The CMDC assists the Board in its oversight of the Firm’s compensation principles and practices, compensation and qualified benefit programs, and OC performance assessments and compensation, among other responsibilities, and the CMDC holds an annual joint session with the Risk Committee to review Firmwide HR and compensation practices.</w:t>
      </w:r>
    </w:p>
    <w:p>
      <w:pPr>
        <w:spacing w:after="0" w:line="8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Firm conducts an extensive shareholder outreach and engagement program; during which, our shareholders have not raised specific feedback or concerns relating to the Firm’s severance policies or practices. Shareholders can also voice their support or concerns on the Firm’s executive compensation program through the annual Say on Pay vote. Our Board values the feedback it gets from shareholders through the vote and through engagement, and has a demonstrable history of being responsive. For example, as described in our 2023 Proxy Statement, the Board made several enhancements to our executive compensation program and disclosures in response to our 2022 Say on Pay vote and shareholder feedback from 172 shareholder meetings with 118 shareholders representing 49%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485775</wp:posOffset>
            </wp:positionV>
            <wp:extent cx="27432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565"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103 </w:t>
      </w:r>
      <w:r>
        <w:rPr>
          <w:sz w:val="1"/>
          <w:szCs w:val="1"/>
          <w:color w:val="auto"/>
        </w:rPr>
        <w:drawing>
          <wp:inline distT="0" distB="0" distL="0" distR="0">
            <wp:extent cx="2203450" cy="154305"/>
            <wp:effectExtent l="0" t="0" r="0" b="0"/>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9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Firm’s outstanding common stock. Subsequently, we received strong support for the 2023 Say on Pay proposal, with 89% supporting, and shareholders expressed their continued deep support for the management team and the Firm’s strategy, long-term performance, and pay-for-performance compensation program and practices.</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the Firm’s LTIP is approved by shareholders and governs the specified provisions in the equity award agreements on the treatment of unvested equity awards under certain termination events. The LTIP was last approved by 96% of our shareholders at our 2021 Annual Meeting. Generally, unvested equity awards are forfeited when an employee leaves the Firm. Under limited termination scenarios such as death, retirement and involuntary termination without cause, unvested equity awards continue to vest in accordance with their terms. In very limited scenarios where an employee is going to work in a government office capacity and the role requires them to divest JPM stock because of potential conflicts of interest, the Firm would consider potential accelerated vesting.</w:t>
      </w:r>
    </w:p>
    <w:p>
      <w:pPr>
        <w:spacing w:after="0" w:line="7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believe the Firm’s current compensation practices effectively align the long-term interests of executives and shareholders. Our shareholders have detailed information about NEO compensation and potential and actual termination payments, including the fact that there are no golden parachute agreements, including any accelerated cash/equity payments or special benefits upon a change in control and severance provisions specifically for NEOs. Shareholders have multiple opportunities to provide feedback concerning compensation practices, and the Board has demonstrated meaningful responses to feedback. We believe the proposed policy is unnecessary and would provide no meaningful additional benefits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81280</wp:posOffset>
            </wp:positionV>
            <wp:extent cx="3060065" cy="419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060065" cy="419735"/>
                    </a:xfrm>
                    <a:prstGeom prst="rect">
                      <a:avLst/>
                    </a:prstGeom>
                    <a:noFill/>
                  </pic:spPr>
                </pic:pic>
              </a:graphicData>
            </a:graphic>
          </wp:anchor>
        </w:drawing>
      </w:r>
    </w:p>
    <w:p>
      <w:pPr>
        <w:spacing w:after="0" w:line="210"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-284480</wp:posOffset>
            </wp:positionV>
            <wp:extent cx="171450" cy="17145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34118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right="1280"/>
        <w:spacing w:after="0" w:line="313" w:lineRule="auto"/>
        <w:rPr>
          <w:sz w:val="20"/>
          <w:szCs w:val="20"/>
          <w:color w:val="auto"/>
        </w:rPr>
      </w:pPr>
      <w:r>
        <w:rPr>
          <w:rFonts w:ascii="Arial" w:cs="Arial" w:eastAsia="Arial" w:hAnsi="Arial"/>
          <w:sz w:val="19"/>
          <w:szCs w:val="19"/>
          <w:color w:val="074A75"/>
        </w:rPr>
        <w:t>PROPOSAL 11 – REPORT ON RESPECTING WORKFORCE CIVIL LIBERTIES</w:t>
      </w:r>
    </w:p>
    <w:p>
      <w:pPr>
        <w:spacing w:after="0" w:line="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Bowyer Research Inc. on behalf of The Bahnsen Family Trust Dated July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2003, has advised us that it intends to introduce the following resolution:</w:t>
      </w:r>
    </w:p>
    <w:p>
      <w:pPr>
        <w:spacing w:after="0" w:line="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JPMorgan Chase is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largest companies in the United States and employs over 240,000 people. As a major employer, Chase should respect the free speech and religious freedom of its employees. Chase is legally required to comply with many laws prohibiting discrimination against employees on a variety of factors, including religion and sometimes political affiliation.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7145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Respecting diverse views also allows Chase to attract the most qualified talent, promote a healthy and innovative business culture, serve its diverse customer base, and contribute to a healthy economic market and marketplace of ideas.</w:t>
      </w:r>
    </w:p>
    <w:p>
      <w:pPr>
        <w:spacing w:after="0" w:line="66"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Despite this, the 2023 Viewpoint Diversity Index,</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 which Chase scored a mere 9%, notes that the Company does not provide its employees with protection against viewpoint discrimination. While the Company expressly condemns and prohibits discrimination based on a variety of characteristics, including race, religious beliefs, gender, and others, it maintains no such protection against employees of diverse political beliefs.</w:t>
      </w:r>
    </w:p>
    <w:p>
      <w:pPr>
        <w:spacing w:after="0" w:line="8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Many companies also alienate their own employees by taking divisive stances on political issues. For example, many companies have adopted radical stances and policies on abortion, Chase included. The Company funds abortion provider Planned Parenthood and has pledged coverage for “medically necessary transition-related care” for its employees and their children. The 2023 Index also found that 78% of scored companies discriminate against religious nonprofits in their charitable giving and 63% give money to legislation that undermines fundamental First Amendment freedoms. According to the Freedom at Work survey, 60% of employees were concerned that their company would punish them for expressing their religious or political views at work,</w:t>
      </w:r>
    </w:p>
    <w:p>
      <w:pPr>
        <w:spacing w:after="0" w:line="61"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and 54% said they feared the same for sharing these views even on their private social media accounts.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These concerns become relevant in the case of Chase. As per the 1792 Exchange’s 2023 report,</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Chase has been accused of terminating the accounts of politically</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conservative</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customers</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without disclosing the rationale for such debanking.</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Companies may also face additional legal liability for DE&amp;I programs that make distinctions based on race or that discriminate based on religious practices, per the recent Supreme Court decisions in </w:t>
      </w:r>
      <w:r>
        <w:rPr>
          <w:rFonts w:ascii="Arial" w:cs="Arial" w:eastAsia="Arial" w:hAnsi="Arial"/>
          <w:sz w:val="18"/>
          <w:szCs w:val="18"/>
          <w:i w:val="1"/>
          <w:iCs w:val="1"/>
          <w:color w:val="auto"/>
        </w:rPr>
        <w:t>Students for Fair Admission v. Harvard</w:t>
      </w:r>
      <w:r>
        <w:rPr>
          <w:rFonts w:ascii="Arial" w:cs="Arial" w:eastAsia="Arial" w:hAnsi="Arial"/>
          <w:sz w:val="18"/>
          <w:szCs w:val="18"/>
          <w:color w:val="auto"/>
        </w:rPr>
        <w:t xml:space="preserve"> and </w:t>
      </w:r>
      <w:r>
        <w:rPr>
          <w:rFonts w:ascii="Arial" w:cs="Arial" w:eastAsia="Arial" w:hAnsi="Arial"/>
          <w:sz w:val="18"/>
          <w:szCs w:val="18"/>
          <w:i w:val="1"/>
          <w:iCs w:val="1"/>
          <w:color w:val="auto"/>
        </w:rPr>
        <w:t>Groff v</w:t>
      </w:r>
      <w:r>
        <w:rPr>
          <w:rFonts w:ascii="Arial" w:cs="Arial" w:eastAsia="Arial" w:hAnsi="Arial"/>
          <w:sz w:val="18"/>
          <w:szCs w:val="18"/>
          <w:color w:val="auto"/>
        </w:rPr>
        <w:t xml:space="preserve"> </w:t>
      </w:r>
      <w:r>
        <w:rPr>
          <w:rFonts w:ascii="Arial" w:cs="Arial" w:eastAsia="Arial" w:hAnsi="Arial"/>
          <w:sz w:val="18"/>
          <w:szCs w:val="18"/>
          <w:i w:val="1"/>
          <w:iCs w:val="1"/>
          <w:color w:val="auto"/>
        </w:rPr>
        <w:t>DeJoy</w:t>
      </w:r>
      <w:r>
        <w:rPr>
          <w:rFonts w:ascii="Arial" w:cs="Arial" w:eastAsia="Arial" w:hAnsi="Arial"/>
          <w:sz w:val="18"/>
          <w:szCs w:val="18"/>
          <w:color w:val="auto"/>
        </w:rPr>
        <w:t>. In light of these risks, the Company must take immediate</w:t>
      </w:r>
      <w:r>
        <w:rPr>
          <w:rFonts w:ascii="Arial" w:cs="Arial" w:eastAsia="Arial" w:hAnsi="Arial"/>
          <w:sz w:val="18"/>
          <w:szCs w:val="18"/>
          <w:i w:val="1"/>
          <w:iCs w:val="1"/>
          <w:color w:val="auto"/>
        </w:rPr>
        <w:t xml:space="preserve"> </w:t>
      </w:r>
      <w:r>
        <w:rPr>
          <w:rFonts w:ascii="Arial" w:cs="Arial" w:eastAsia="Arial" w:hAnsi="Arial"/>
          <w:sz w:val="18"/>
          <w:szCs w:val="18"/>
          <w:color w:val="auto"/>
        </w:rPr>
        <w:t>steps to assess potential shortcomings and act to remedy these concerns.</w:t>
      </w:r>
    </w:p>
    <w:p>
      <w:pPr>
        <w:spacing w:after="0" w:line="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the Board of Directors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an evaluation and issue a civil rights and non-discrimination report within the next year, at reasonable cost and excluding proprietary information and disclosure of anything that would constitute an admission of pending litigation, evaluating how Chase’s policies and practices impact employees and prospective employees based on their religion (including religious views) or political views, and the risks those impacts present to Chase’s business.</w:t>
      </w:r>
    </w:p>
    <w:p>
      <w:pPr>
        <w:spacing w:after="0" w:line="1214"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41" w:lineRule="exact"/>
        <w:rPr>
          <w:sz w:val="20"/>
          <w:szCs w:val="20"/>
          <w:color w:val="auto"/>
        </w:rPr>
      </w:pPr>
    </w:p>
    <w:p>
      <w:pPr>
        <w:ind w:left="200" w:hanging="192"/>
        <w:spacing w:after="0"/>
        <w:tabs>
          <w:tab w:leader="none" w:pos="200" w:val="left"/>
        </w:tabs>
        <w:numPr>
          <w:ilvl w:val="0"/>
          <w:numId w:val="326"/>
        </w:numPr>
        <w:rPr>
          <w:rFonts w:ascii="Arial" w:cs="Arial" w:eastAsia="Arial" w:hAnsi="Arial"/>
          <w:sz w:val="16"/>
          <w:szCs w:val="16"/>
          <w:color w:val="auto"/>
          <w:vertAlign w:val="superscript"/>
        </w:rPr>
      </w:pPr>
      <w:r>
        <w:rPr>
          <w:rFonts w:ascii="Arial" w:cs="Arial" w:eastAsia="Arial" w:hAnsi="Arial"/>
          <w:sz w:val="13"/>
          <w:szCs w:val="13"/>
          <w:color w:val="auto"/>
        </w:rPr>
        <w:t>https://www.viewpointdiversityscore.org/company/jpmorgan-chase</w:t>
      </w:r>
    </w:p>
    <w:p>
      <w:pPr>
        <w:spacing w:after="0" w:line="8" w:lineRule="exact"/>
        <w:rPr>
          <w:rFonts w:ascii="Arial" w:cs="Arial" w:eastAsia="Arial" w:hAnsi="Arial"/>
          <w:sz w:val="16"/>
          <w:szCs w:val="16"/>
          <w:color w:val="auto"/>
          <w:vertAlign w:val="superscript"/>
        </w:rPr>
      </w:pP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https://www.viewpointdiversityscore.org/polling</w:t>
      </w: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3</w:t>
      </w:r>
      <w:r>
        <w:rPr>
          <w:rFonts w:ascii="Arial" w:cs="Arial" w:eastAsia="Arial" w:hAnsi="Arial"/>
          <w:sz w:val="13"/>
          <w:szCs w:val="13"/>
          <w:color w:val="auto"/>
        </w:rPr>
        <w:t xml:space="preserve">   https://1792exchange.com/pdf/?c_id=462</w:t>
      </w:r>
    </w:p>
    <w:p>
      <w:pPr>
        <w:ind w:right="3840"/>
        <w:spacing w:after="0" w:line="229" w:lineRule="auto"/>
        <w:rPr>
          <w:rFonts w:ascii="Arial" w:cs="Arial" w:eastAsia="Arial" w:hAnsi="Arial"/>
          <w:sz w:val="16"/>
          <w:szCs w:val="16"/>
          <w:color w:val="auto"/>
          <w:vertAlign w:val="superscript"/>
        </w:rPr>
      </w:pPr>
      <w:r>
        <w:rPr>
          <w:rFonts w:ascii="Arial" w:cs="Arial" w:eastAsia="Arial" w:hAnsi="Arial"/>
          <w:sz w:val="15"/>
          <w:szCs w:val="15"/>
          <w:color w:val="auto"/>
          <w:vertAlign w:val="superscript"/>
        </w:rPr>
        <w:t>4</w:t>
      </w:r>
      <w:r>
        <w:rPr>
          <w:rFonts w:ascii="Arial" w:cs="Arial" w:eastAsia="Arial" w:hAnsi="Arial"/>
          <w:sz w:val="12"/>
          <w:szCs w:val="12"/>
          <w:color w:val="auto"/>
        </w:rPr>
        <w:t xml:space="preserve"> https://www.foxbusiness.com/politics/chase-bank-allegedly-shutters-bank-account-religious-freedom-nonprofit-demands-donor-list </w:t>
      </w:r>
      <w:r>
        <w:rPr>
          <w:rFonts w:ascii="Arial" w:cs="Arial" w:eastAsia="Arial" w:hAnsi="Arial"/>
          <w:sz w:val="15"/>
          <w:szCs w:val="15"/>
          <w:color w:val="auto"/>
          <w:vertAlign w:val="superscript"/>
        </w:rPr>
        <w:t>5</w:t>
      </w:r>
      <w:r>
        <w:rPr>
          <w:rFonts w:ascii="Arial" w:cs="Arial" w:eastAsia="Arial" w:hAnsi="Arial"/>
          <w:sz w:val="12"/>
          <w:szCs w:val="12"/>
          <w:color w:val="auto"/>
        </w:rPr>
        <w:t xml:space="preserve"> https://flvoicenews.com/retail-health-company-has-chase-accounts-suddenly-terminated-owner-critical-of-covid-vaccines-fda/</w:t>
      </w:r>
    </w:p>
    <w:p>
      <w:pPr>
        <w:spacing w:after="0"/>
        <w:rPr>
          <w:rFonts w:ascii="Arial" w:cs="Arial" w:eastAsia="Arial" w:hAnsi="Arial"/>
          <w:sz w:val="16"/>
          <w:szCs w:val="16"/>
          <w:color w:val="auto"/>
          <w:vertAlign w:val="superscript"/>
        </w:rPr>
      </w:pPr>
      <w:r>
        <w:rPr>
          <w:rFonts w:ascii="Arial" w:cs="Arial" w:eastAsia="Arial" w:hAnsi="Arial"/>
          <w:sz w:val="16"/>
          <w:szCs w:val="16"/>
          <w:color w:val="auto"/>
          <w:vertAlign w:val="superscript"/>
        </w:rPr>
        <w:t>6</w:t>
      </w:r>
      <w:r>
        <w:rPr>
          <w:rFonts w:ascii="Arial" w:cs="Arial" w:eastAsia="Arial" w:hAnsi="Arial"/>
          <w:sz w:val="13"/>
          <w:szCs w:val="13"/>
          <w:color w:val="auto"/>
        </w:rPr>
        <w:t xml:space="preserve">   https://missouriindependent.com/2021/11/17/donald-trump-jr-event-canceled-after-chase-bank-ends-deal-with-missouri-conservative-group/</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11</w:t>
      </w:r>
    </w:p>
    <w:p>
      <w:pPr>
        <w:spacing w:after="0" w:line="124" w:lineRule="exact"/>
        <w:rPr>
          <w:sz w:val="20"/>
          <w:szCs w:val="20"/>
          <w:color w:val="auto"/>
        </w:rPr>
      </w:pPr>
    </w:p>
    <w:p>
      <w:pPr>
        <w:jc w:val="both"/>
        <w:ind w:right="104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411855" cy="284607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411855" cy="2846070"/>
                    </a:xfrm>
                    <a:prstGeom prst="rect">
                      <a:avLst/>
                    </a:prstGeom>
                    <a:noFill/>
                  </pic:spPr>
                </pic:pic>
              </a:graphicData>
            </a:graphic>
          </wp:anchor>
        </w:drawing>
      </w:r>
    </w:p>
    <w:p>
      <w:pPr>
        <w:spacing w:after="0" w:line="94" w:lineRule="exact"/>
        <w:rPr>
          <w:sz w:val="20"/>
          <w:szCs w:val="20"/>
          <w:color w:val="auto"/>
        </w:rPr>
      </w:pPr>
    </w:p>
    <w:p>
      <w:pPr>
        <w:ind w:left="300" w:right="160" w:hanging="196"/>
        <w:spacing w:after="0" w:line="256" w:lineRule="auto"/>
        <w:tabs>
          <w:tab w:leader="none" w:pos="304" w:val="left"/>
        </w:tabs>
        <w:numPr>
          <w:ilvl w:val="0"/>
          <w:numId w:val="327"/>
        </w:numPr>
        <w:rPr>
          <w:rFonts w:ascii="Arial" w:cs="Arial" w:eastAsia="Arial" w:hAnsi="Arial"/>
          <w:sz w:val="18"/>
          <w:szCs w:val="18"/>
          <w:color w:val="104C98"/>
        </w:rPr>
      </w:pPr>
      <w:r>
        <w:rPr>
          <w:rFonts w:ascii="Arial" w:cs="Arial" w:eastAsia="Arial" w:hAnsi="Arial"/>
          <w:sz w:val="18"/>
          <w:szCs w:val="18"/>
          <w:color w:val="auto"/>
        </w:rPr>
        <w:t>We believe that having an inclusive workforce, a supportive and inclusive work environment where individuals from all backgrounds and geographies feel valued and respected, and creating more equitable access to opportunities in our business pursuits, makes our company stronger, our business more profitable and our institution a better global corporate citizen.</w:t>
      </w:r>
    </w:p>
    <w:p>
      <w:pPr>
        <w:spacing w:after="0" w:line="34" w:lineRule="exact"/>
        <w:rPr>
          <w:rFonts w:ascii="Arial" w:cs="Arial" w:eastAsia="Arial" w:hAnsi="Arial"/>
          <w:sz w:val="18"/>
          <w:szCs w:val="18"/>
          <w:color w:val="104C98"/>
        </w:rPr>
      </w:pPr>
    </w:p>
    <w:p>
      <w:pPr>
        <w:ind w:left="300" w:right="140" w:hanging="196"/>
        <w:spacing w:after="0" w:line="262" w:lineRule="auto"/>
        <w:tabs>
          <w:tab w:leader="none" w:pos="304" w:val="left"/>
        </w:tabs>
        <w:numPr>
          <w:ilvl w:val="0"/>
          <w:numId w:val="327"/>
        </w:numPr>
        <w:rPr>
          <w:rFonts w:ascii="Arial" w:cs="Arial" w:eastAsia="Arial" w:hAnsi="Arial"/>
          <w:sz w:val="18"/>
          <w:szCs w:val="18"/>
          <w:color w:val="104C98"/>
        </w:rPr>
      </w:pPr>
      <w:r>
        <w:rPr>
          <w:rFonts w:ascii="Arial" w:cs="Arial" w:eastAsia="Arial" w:hAnsi="Arial"/>
          <w:sz w:val="18"/>
          <w:szCs w:val="18"/>
          <w:color w:val="auto"/>
        </w:rPr>
        <w:t>The Firm has in place a Code of Conduct, Business Principles and anti-discrimination policies that are intended to promote equal opportunity and prevent discrimination and harassment by or against employees.</w:t>
      </w:r>
    </w:p>
    <w:p>
      <w:pPr>
        <w:spacing w:after="0" w:line="27" w:lineRule="exact"/>
        <w:rPr>
          <w:rFonts w:ascii="Arial" w:cs="Arial" w:eastAsia="Arial" w:hAnsi="Arial"/>
          <w:sz w:val="18"/>
          <w:szCs w:val="18"/>
          <w:color w:val="104C98"/>
        </w:rPr>
      </w:pPr>
    </w:p>
    <w:p>
      <w:pPr>
        <w:ind w:left="300" w:right="180" w:hanging="196"/>
        <w:spacing w:after="0" w:line="268" w:lineRule="auto"/>
        <w:tabs>
          <w:tab w:leader="none" w:pos="304" w:val="left"/>
        </w:tabs>
        <w:numPr>
          <w:ilvl w:val="0"/>
          <w:numId w:val="327"/>
        </w:numPr>
        <w:rPr>
          <w:rFonts w:ascii="Arial" w:cs="Arial" w:eastAsia="Arial" w:hAnsi="Arial"/>
          <w:sz w:val="18"/>
          <w:szCs w:val="18"/>
          <w:color w:val="104C98"/>
        </w:rPr>
      </w:pPr>
      <w:r>
        <w:rPr>
          <w:rFonts w:ascii="Arial" w:cs="Arial" w:eastAsia="Arial" w:hAnsi="Arial"/>
          <w:sz w:val="18"/>
          <w:szCs w:val="18"/>
          <w:color w:val="auto"/>
        </w:rPr>
        <w:t>The Firm maintains internal processes to create a culture that empowers employees to raise concerns and utilizes various surveys to assess employee sentiment.</w:t>
      </w:r>
    </w:p>
    <w:p>
      <w:pPr>
        <w:spacing w:after="0" w:line="35" w:lineRule="exact"/>
        <w:rPr>
          <w:rFonts w:ascii="Arial" w:cs="Arial" w:eastAsia="Arial" w:hAnsi="Arial"/>
          <w:sz w:val="18"/>
          <w:szCs w:val="18"/>
          <w:color w:val="104C98"/>
        </w:rPr>
      </w:pPr>
    </w:p>
    <w:p>
      <w:pPr>
        <w:ind w:left="300" w:right="200" w:hanging="196"/>
        <w:spacing w:after="0" w:line="259" w:lineRule="auto"/>
        <w:tabs>
          <w:tab w:leader="none" w:pos="304" w:val="left"/>
        </w:tabs>
        <w:numPr>
          <w:ilvl w:val="0"/>
          <w:numId w:val="327"/>
        </w:numPr>
        <w:rPr>
          <w:rFonts w:ascii="Arial" w:cs="Arial" w:eastAsia="Arial" w:hAnsi="Arial"/>
          <w:sz w:val="18"/>
          <w:szCs w:val="18"/>
          <w:color w:val="104C98"/>
        </w:rPr>
      </w:pPr>
      <w:r>
        <w:rPr>
          <w:rFonts w:ascii="Arial" w:cs="Arial" w:eastAsia="Arial" w:hAnsi="Arial"/>
          <w:sz w:val="18"/>
          <w:szCs w:val="18"/>
          <w:color w:val="auto"/>
        </w:rPr>
        <w:t>There is no evidence of discrimination based on religion or political views. Producing the requested report would divert resources from the meaningful work the Firm is already doing to create a more diverse and inclusive business and would provide no additional information to shareholders.</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JPMorgan Chase, we believe that having an inclusive workforce, a supportive and inclusive work environment where individuals from all backgrounds and geographies feel valued and respected, and creating more equitable access to opportunities in our business pursuits, makes our company stronger, our business more profitable and our institution a better global corporate citizen. This starts, first and foremost, with taking a broad lens when sourcing talent and building and fostering an inclusive work environment where our employees are respected, trusted and encouraged to bring their most productive selves to work. Across the Firm, we continually work to create and reinforce a culture of respect, equity and inclusion and to leverage the unique perspectives and experiences of our employees to deliver against Firm objectives. In this regard, we are proud of the industry recognition of our culture - including being named one of the Time100 Most Influential Companies of 2023 and being placed in the top five of Fortune’s “World’s Most Admired Companies” list for the second consecutive year.</w:t>
      </w:r>
    </w:p>
    <w:p>
      <w:pPr>
        <w:spacing w:after="0" w:line="8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Firm’s Code of Conduct (“Code”)</w:t>
      </w:r>
      <w:r>
        <w:rPr>
          <w:rFonts w:ascii="Arial" w:cs="Arial" w:eastAsia="Arial" w:hAnsi="Arial"/>
          <w:sz w:val="23"/>
          <w:szCs w:val="23"/>
          <w:color w:val="auto"/>
          <w:vertAlign w:val="superscript"/>
        </w:rPr>
        <w:t>7</w:t>
      </w:r>
      <w:r>
        <w:rPr>
          <w:rFonts w:ascii="Arial" w:cs="Arial" w:eastAsia="Arial" w:hAnsi="Arial"/>
          <w:sz w:val="18"/>
          <w:szCs w:val="18"/>
          <w:color w:val="auto"/>
        </w:rPr>
        <w:t>, Business Principles and anti-discrimination policies and practices make it clear that the Firm does not tolerate discrimination. In addition, our Code states that diversity and inclusion are priorities at the Firm. The Code is based upon a recognition that a workforce that includes individuals with diverse backgrounds and perspectives fosters creativity; and that an inclusive work environment that allows all employees, regardless of background, to bring their most productive selves to the workplace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17145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enables the Firm to best address a wide variety of needs and opportunities in the marketplace. It also reinforces the Firm’s respect for the right to engage in personal political activity. Our Business Principles further reflect our culture to strive to build an inclusive work environment that draws on and develops the best talent.</w:t>
      </w:r>
    </w:p>
    <w:p>
      <w:pPr>
        <w:spacing w:after="0" w:line="7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Employees and directors of the Firm are subject to the Code. Everyone is required to annually affirm that they have read, understand, and are in compliance with the Code, and they also receive regular conduct and culture trainings. Employees are also required to promptly report any potential or actual violations of the Code, Firm policy, law or regulation related to our business.</w:t>
      </w:r>
    </w:p>
    <w:p>
      <w:pPr>
        <w:spacing w:after="0" w:line="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Firm’s Equal Opportunity, Anti-Discrimination and Anti-Harassment Statement (the "Statement") also describes our commitment to maintaining a safe, productive, diverse, inclusive, professional, collegial and secure work environment in which all individuals are treated with respect and dignity. The Statement clearly states that the Firm will not tolerate discrimination, harassment or inappropriate conduct by or against employees. Given the proposal’s concern with religious and political discrimination, we note that the Statement specifically includes “creed, religion and religious affiliation” among the prohibited bases for discrimination.</w:t>
      </w:r>
    </w:p>
    <w:p>
      <w:pPr>
        <w:spacing w:after="0" w:line="7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addition, the Firm provides reasonable religious accommodations to enable the expression of employees’ religious beliefs, observances and practices, while balancing their work responsibilities and requirements.</w:t>
      </w:r>
    </w:p>
    <w:p>
      <w:pPr>
        <w:spacing w:after="0" w:line="6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Firm maintains internal processes to create a culture that empowers employees to raise concerns. This provides an opportunity for the Firm to gain insight into concerns about its workplace environment, recognize potential risks, and gauge the effectiveness of policies such as those related to anti-discrimination, anti-harassment, and anti-retaliation.</w:t>
      </w:r>
    </w:p>
    <w:p>
      <w:pPr>
        <w:spacing w:after="0" w:line="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proposal misleadingly cites findings of a survey, in which the Firm did not participate. The proposal also raises general accusations that “many companies” alienate their own employees, without specifying their application to the Firm. At JPMorgan Chase, we rely on various surveys to assess employee sentiment, such as employee exit surveys and Employee Opinion Surveys that gather feedback on areas such as employee engagement, operational excellence, and commitment to integrity, fairness, and responsibility. Through these surveys, the Firm receives additional insight into where things are going well and areas presenting opportunities for improvement.</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the Firm is subject to comprehensive supervision of its culture and conduct programs by federal banking supervisory regulators on an ongoing basis. This oversight involves substantive reviews of the Firm’s practices related to manager accountability, performance management, compensation impacts, conduct controls, cultural expectations, employee compliance programs, and other</w:t>
      </w:r>
    </w:p>
    <w:p>
      <w:pPr>
        <w:spacing w:after="0" w:line="20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68" w:lineRule="exact"/>
        <w:rPr>
          <w:sz w:val="20"/>
          <w:szCs w:val="20"/>
          <w:color w:val="auto"/>
        </w:rPr>
      </w:pPr>
    </w:p>
    <w:p>
      <w:pPr>
        <w:ind w:left="200" w:hanging="192"/>
        <w:spacing w:after="0"/>
        <w:tabs>
          <w:tab w:leader="none" w:pos="200" w:val="left"/>
        </w:tabs>
        <w:numPr>
          <w:ilvl w:val="0"/>
          <w:numId w:val="328"/>
        </w:numPr>
        <w:rPr>
          <w:rFonts w:ascii="Arial" w:cs="Arial" w:eastAsia="Arial" w:hAnsi="Arial"/>
          <w:sz w:val="16"/>
          <w:szCs w:val="16"/>
          <w:color w:val="auto"/>
          <w:vertAlign w:val="superscript"/>
        </w:rPr>
      </w:pPr>
      <w:r>
        <w:rPr>
          <w:rFonts w:ascii="Arial" w:cs="Arial" w:eastAsia="Arial" w:hAnsi="Arial"/>
          <w:sz w:val="13"/>
          <w:szCs w:val="13"/>
          <w:color w:val="auto"/>
        </w:rPr>
        <w:t>https://www.jpmorganchase.com/content/dam/jpmc/jpmorgan-chase-and-co/documents/code-of-conduct.pdf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266065</wp:posOffset>
            </wp:positionV>
            <wp:extent cx="27432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105 </w:t>
      </w:r>
      <w:r>
        <w:rPr>
          <w:sz w:val="1"/>
          <w:szCs w:val="1"/>
          <w:color w:val="auto"/>
        </w:rPr>
        <w:drawing>
          <wp:inline distT="0" distB="0" distL="0" distR="0">
            <wp:extent cx="2203450" cy="154305"/>
            <wp:effectExtent l="0" t="0" r="0" b="0"/>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processes and procedures. Such oversight adds another layer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accountability for the Firm and its employees and provides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insights to inform our practices. In requesting a report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Firm’s respect for employees’ religious and political views,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proposal does not provide any credible evidence that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policies and practices have been ineffective. The Supporting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misleadingly cites survey results and unfounded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allegations of debanking, and references one aspect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employee benefits without any context. It does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make a compelling case that there are actual concerns regarding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 discrimination based on religion or political views.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produce the proposed report based on these allegations, the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would have to divert resources from the meaningful work the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 already doing to create a more diverse and inclusive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remain focused on fostering a culture that respects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champions all of our employees, including, without limitation, those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diverse backgrounds and perspectives. We believe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policies are transparent and provide for effective accountability.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requested report is not necessary and would not provide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with meaningful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92075</wp:posOffset>
            </wp:positionV>
            <wp:extent cx="3060065" cy="42037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3060065" cy="420370"/>
                    </a:xfrm>
                    <a:prstGeom prst="rect">
                      <a:avLst/>
                    </a:prstGeom>
                    <a:noFill/>
                  </pic:spPr>
                </pic:pic>
              </a:graphicData>
            </a:graphic>
          </wp:anchor>
        </w:drawing>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FFFFFF"/>
        </w:rPr>
        <w:t>The Board of Directors recommends a vote AGAINST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-101600</wp:posOffset>
            </wp:positionV>
            <wp:extent cx="171450" cy="17145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FFFFFF"/>
        </w:rPr>
        <w:t>proposal.</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Information About the Annual Shareholder Meeting</w:t>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74A75"/>
        </w:rPr>
        <w:t>General</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074A75"/>
        </w:rPr>
        <w:t>WHY AM I RECEIVING THESE MATERIALS?</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You are invited to attend JPMorgan Chase’s Annual Meeting of Shareholders and vote on the proposals described in this proxy statement because you were a JPMorgan Chase shareholder on March 22, 2024 (the “Record Date”). JPMorgan Chase is soliciting proxies for use at the annual meeting, including any postponements or adjournments.</w:t>
      </w:r>
    </w:p>
    <w:p>
      <w:pPr>
        <w:spacing w:after="0" w:line="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Even if you plan on attending the annual meeting through our virtual meeting site, we encourage you to vote your shares in advance using one of the methods described in this proxy statement to ensure that your vote will be represented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Secretary by sending an email to corporate.secretary@jpmchase.com or calling (212) 270-6000 by May 17, 2024.</w:t>
      </w:r>
    </w:p>
    <w:p>
      <w:pPr>
        <w:spacing w:after="0" w:line="63" w:lineRule="exact"/>
        <w:rPr>
          <w:sz w:val="20"/>
          <w:szCs w:val="20"/>
          <w:color w:val="auto"/>
        </w:rPr>
      </w:pPr>
    </w:p>
    <w:p>
      <w:pPr>
        <w:jc w:val="both"/>
        <w:ind w:right="360"/>
        <w:spacing w:after="0" w:line="291" w:lineRule="auto"/>
        <w:rPr>
          <w:sz w:val="20"/>
          <w:szCs w:val="20"/>
          <w:color w:val="auto"/>
        </w:rPr>
      </w:pPr>
      <w:r>
        <w:rPr>
          <w:rFonts w:ascii="Arial" w:cs="Arial" w:eastAsia="Arial" w:hAnsi="Arial"/>
          <w:sz w:val="17"/>
          <w:szCs w:val="17"/>
          <w:color w:val="auto"/>
        </w:rPr>
        <w:t>If you encounter any technical difficulties with the virtual meeting site on the day of the meeting, please call the technical support number that will be posted on the virtual meeting log-in page.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vote your shares prior to the annual meeting.</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WHAT IS INCLUDED IN OUR PROXY MATERIALS?</w:t>
      </w:r>
    </w:p>
    <w:p>
      <w:pPr>
        <w:spacing w:after="0" w:line="31" w:lineRule="exact"/>
        <w:rPr>
          <w:sz w:val="20"/>
          <w:szCs w:val="20"/>
          <w:color w:val="auto"/>
        </w:rPr>
      </w:pPr>
    </w:p>
    <w:p>
      <w:pPr>
        <w:ind w:right="860"/>
        <w:spacing w:after="0" w:line="269" w:lineRule="auto"/>
        <w:rPr>
          <w:sz w:val="20"/>
          <w:szCs w:val="20"/>
          <w:color w:val="auto"/>
        </w:rPr>
      </w:pPr>
      <w:r>
        <w:rPr>
          <w:rFonts w:ascii="Arial" w:cs="Arial" w:eastAsia="Arial" w:hAnsi="Arial"/>
          <w:sz w:val="18"/>
          <w:szCs w:val="18"/>
          <w:color w:val="auto"/>
        </w:rPr>
        <w:t>Our proxy materials, which are available on our website at jpmorganchase.com/ir/annual-report, include:</w:t>
      </w:r>
    </w:p>
    <w:p>
      <w:pPr>
        <w:spacing w:after="0" w:line="61" w:lineRule="exact"/>
        <w:rPr>
          <w:sz w:val="20"/>
          <w:szCs w:val="20"/>
          <w:color w:val="auto"/>
        </w:rPr>
      </w:pPr>
    </w:p>
    <w:p>
      <w:pPr>
        <w:ind w:left="200" w:hanging="196"/>
        <w:spacing w:after="0"/>
        <w:tabs>
          <w:tab w:leader="none" w:pos="200" w:val="left"/>
        </w:tabs>
        <w:numPr>
          <w:ilvl w:val="0"/>
          <w:numId w:val="329"/>
        </w:numPr>
        <w:rPr>
          <w:rFonts w:ascii="Arial" w:cs="Arial" w:eastAsia="Arial" w:hAnsi="Arial"/>
          <w:sz w:val="18"/>
          <w:szCs w:val="18"/>
          <w:color w:val="074A75"/>
        </w:rPr>
      </w:pPr>
      <w:r>
        <w:rPr>
          <w:rFonts w:ascii="Arial" w:cs="Arial" w:eastAsia="Arial" w:hAnsi="Arial"/>
          <w:sz w:val="18"/>
          <w:szCs w:val="18"/>
          <w:color w:val="auto"/>
        </w:rPr>
        <w:t>Our Notice of 2024 Annual Meeting of Shareholders;</w:t>
      </w:r>
    </w:p>
    <w:p>
      <w:pPr>
        <w:spacing w:after="0" w:line="24" w:lineRule="exact"/>
        <w:rPr>
          <w:sz w:val="20"/>
          <w:szCs w:val="20"/>
          <w:color w:val="auto"/>
        </w:rPr>
      </w:pPr>
    </w:p>
    <w:p>
      <w:pPr>
        <w:sectPr>
          <w:pgSz w:w="11900" w:h="16838" w:orient="portrait"/>
          <w:cols w:equalWidth="0" w:num="2">
            <w:col w:w="5280" w:space="460"/>
            <w:col w:w="5480"/>
          </w:cols>
          <w:pgMar w:left="320" w:top="157" w:right="359" w:bottom="1440" w:gutter="0" w:footer="0" w:header="0"/>
          <w:type w:val="continuous"/>
        </w:sectPr>
      </w:pPr>
    </w:p>
    <w:p>
      <w:pPr>
        <w:spacing w:after="0"/>
        <w:rPr>
          <w:sz w:val="20"/>
          <w:szCs w:val="20"/>
          <w:color w:val="auto"/>
        </w:rPr>
      </w:pPr>
      <w:r>
        <w:rPr>
          <w:rFonts w:ascii="Arial" w:cs="Arial" w:eastAsia="Arial" w:hAnsi="Arial"/>
          <w:sz w:val="20"/>
          <w:szCs w:val="20"/>
          <w:color w:val="074A75"/>
        </w:rPr>
        <w:t>WHEN AND WHERE IS OUR ANNUAL MEETING?</w:t>
      </w:r>
    </w:p>
    <w:p>
      <w:pPr>
        <w:spacing w:after="0" w:line="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We will hold our annual meeting on Tuesday, May 21, 2024, at 10:00 a.m. Eastern Time.</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annual meeting will be held in a virtual meeting format only. To participate in the virtual meeting, visit www.virtualshareholdermeeting.com/JPM2024 and enter the 16-digit control number included on your proxy card, voting instruction form or Notice you previously received.</w:t>
      </w:r>
    </w:p>
    <w:p>
      <w:pPr>
        <w:spacing w:after="0" w:line="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If you have any questions about accessing the virtual meeting website for the annual meeting, please contact the Office of</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0" w:hanging="196"/>
        <w:spacing w:after="0"/>
        <w:tabs>
          <w:tab w:leader="none" w:pos="200" w:val="left"/>
        </w:tabs>
        <w:numPr>
          <w:ilvl w:val="0"/>
          <w:numId w:val="330"/>
        </w:numPr>
        <w:rPr>
          <w:rFonts w:ascii="Arial" w:cs="Arial" w:eastAsia="Arial" w:hAnsi="Arial"/>
          <w:sz w:val="18"/>
          <w:szCs w:val="18"/>
          <w:color w:val="074A75"/>
        </w:rPr>
      </w:pPr>
      <w:r>
        <w:rPr>
          <w:rFonts w:ascii="Arial" w:cs="Arial" w:eastAsia="Arial" w:hAnsi="Arial"/>
          <w:sz w:val="18"/>
          <w:szCs w:val="18"/>
          <w:color w:val="auto"/>
        </w:rPr>
        <w:t>Our Proxy Statement; and</w:t>
      </w:r>
    </w:p>
    <w:p>
      <w:pPr>
        <w:spacing w:after="0" w:line="76" w:lineRule="exact"/>
        <w:rPr>
          <w:rFonts w:ascii="Arial" w:cs="Arial" w:eastAsia="Arial" w:hAnsi="Arial"/>
          <w:sz w:val="18"/>
          <w:szCs w:val="18"/>
          <w:color w:val="074A75"/>
        </w:rPr>
      </w:pPr>
    </w:p>
    <w:p>
      <w:pPr>
        <w:ind w:left="200" w:hanging="196"/>
        <w:spacing w:after="0"/>
        <w:tabs>
          <w:tab w:leader="none" w:pos="200" w:val="left"/>
        </w:tabs>
        <w:numPr>
          <w:ilvl w:val="0"/>
          <w:numId w:val="330"/>
        </w:numPr>
        <w:rPr>
          <w:rFonts w:ascii="Arial" w:cs="Arial" w:eastAsia="Arial" w:hAnsi="Arial"/>
          <w:sz w:val="18"/>
          <w:szCs w:val="18"/>
          <w:color w:val="074A75"/>
        </w:rPr>
      </w:pPr>
      <w:r>
        <w:rPr>
          <w:rFonts w:ascii="Arial" w:cs="Arial" w:eastAsia="Arial" w:hAnsi="Arial"/>
          <w:sz w:val="18"/>
          <w:szCs w:val="18"/>
          <w:color w:val="auto"/>
        </w:rPr>
        <w:t>Our 2023 Annual Report to Shareholders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you received printed versions of these materials by mail (rather than through electronic delivery), the materials also included a proxy card or voting instruction form. For further information, see “Information about paper and electronic delivery of proxy materials” on pages 110-111.</w:t>
      </w:r>
    </w:p>
    <w:p>
      <w:pPr>
        <w:spacing w:after="0" w:line="887" w:lineRule="exact"/>
        <w:rPr>
          <w:sz w:val="20"/>
          <w:szCs w:val="20"/>
          <w:color w:val="auto"/>
        </w:rPr>
      </w:pPr>
    </w:p>
    <w:p>
      <w:pPr>
        <w:sectPr>
          <w:pgSz w:w="11900" w:h="16838" w:orient="portrait"/>
          <w:cols w:equalWidth="0" w:num="2">
            <w:col w:w="5320" w:space="420"/>
            <w:col w:w="5480"/>
          </w:cols>
          <w:pgMar w:left="320" w:top="157" w:right="3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28"/>
          <w:szCs w:val="28"/>
          <w:color w:val="074A75"/>
        </w:rPr>
        <w:t>Attending and voting at the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074A75"/>
        </w:rPr>
        <w:t>CAN I ATTEND OUR ANNUAL MEETING?</w:t>
      </w:r>
    </w:p>
    <w:p>
      <w:pPr>
        <w:spacing w:after="0" w:line="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Shareholders as of the close of business on the Record Date and/or their authorized representatives are permitted to attend our annual meeting virtually by following the procedures in this proxy statement.</w:t>
      </w:r>
    </w:p>
    <w:p>
      <w:pPr>
        <w:spacing w:after="0" w:line="71" w:lineRule="exact"/>
        <w:rPr>
          <w:sz w:val="20"/>
          <w:szCs w:val="20"/>
          <w:color w:val="auto"/>
        </w:rPr>
      </w:pPr>
    </w:p>
    <w:p>
      <w:pPr>
        <w:ind w:right="1240"/>
        <w:spacing w:after="0" w:line="255" w:lineRule="auto"/>
        <w:rPr>
          <w:sz w:val="20"/>
          <w:szCs w:val="20"/>
          <w:color w:val="auto"/>
        </w:rPr>
      </w:pPr>
      <w:r>
        <w:rPr>
          <w:rFonts w:ascii="Arial" w:cs="Arial" w:eastAsia="Arial" w:hAnsi="Arial"/>
          <w:sz w:val="20"/>
          <w:szCs w:val="20"/>
          <w:color w:val="074A75"/>
        </w:rPr>
        <w:t>HOW CAN I ASK QUESTIONS PERTINENT TO MEETING MATTERS?</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Shareholders may submit questions either before the meeting, from May 6 to May 17, 2024, or during a portion of the meeting. If you wish to submit a question before the meeting, you may log into www.proxyvote.com using your 16-digit control number and follow the instructions to submit a question. Alternatively, if you wish to submit a question during the meeting, log into the virtual meeting platform at www.virtualshareholdermeeting.com/JPM2024 using the 16-digit control number and follow the instructions to submit a question.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Questions pertinent to meeting matters will be answered during the meeting, subject to time limitations. Rules of Conduct including procedures for shareholder questions will be posted on the virtual meeting platform.</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WHO CAN VOTE AT OUR ANNUAL MEETING?</w:t>
      </w:r>
    </w:p>
    <w:p>
      <w:pPr>
        <w:spacing w:after="0" w:line="3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You can vote your shares of common stock at our annual meeting if you were a shareholder at the close of business on the Record Date.</w:t>
      </w:r>
    </w:p>
    <w:p>
      <w:pPr>
        <w:spacing w:after="0" w:line="5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At the close of business on the Record Date, there were 2,872,090,542 shares of common stock outstanding, each of which</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entitles the holder to one vote for each matter to be voted on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807085</wp:posOffset>
            </wp:positionV>
            <wp:extent cx="27432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060" w:lineRule="exact"/>
        <w:rPr>
          <w:sz w:val="20"/>
          <w:szCs w:val="20"/>
          <w:color w:val="auto"/>
        </w:rPr>
      </w:pPr>
    </w:p>
    <w:p>
      <w:pPr>
        <w:sectPr>
          <w:pgSz w:w="11900" w:h="16838" w:orient="portrait"/>
          <w:cols w:equalWidth="0" w:num="2">
            <w:col w:w="5480" w:space="260"/>
            <w:col w:w="5480"/>
          </w:cols>
          <w:pgMar w:left="320" w:top="157" w:right="359" w:bottom="1440" w:gutter="0" w:footer="0" w:header="0"/>
          <w:type w:val="continuous"/>
        </w:sectPr>
      </w:pPr>
    </w:p>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107 </w:t>
      </w:r>
      <w:r>
        <w:rPr>
          <w:sz w:val="1"/>
          <w:szCs w:val="1"/>
          <w:color w:val="auto"/>
        </w:rPr>
        <w:drawing>
          <wp:inline distT="0" distB="0" distL="0" distR="0">
            <wp:extent cx="2203450" cy="154305"/>
            <wp:effectExtent l="0" t="0" r="0" b="0"/>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HOW DO I VOTE?</w:t>
      </w:r>
    </w:p>
    <w:p>
      <w:pPr>
        <w:spacing w:after="0" w:line="12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To be valid, your vote by Internet, telephone or mail must be received by the deadline specified on the proxy card or voting instruction form, as applicable.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4020" w:type="dxa"/>
            <w:vAlign w:val="bottom"/>
          </w:tcPr>
          <w:p>
            <w:pPr>
              <w:ind w:left="1580"/>
              <w:spacing w:after="0"/>
              <w:rPr>
                <w:sz w:val="20"/>
                <w:szCs w:val="20"/>
                <w:color w:val="auto"/>
              </w:rPr>
            </w:pPr>
            <w:r>
              <w:rPr>
                <w:rFonts w:ascii="Arial" w:cs="Arial" w:eastAsia="Arial" w:hAnsi="Arial"/>
                <w:sz w:val="16"/>
                <w:szCs w:val="16"/>
                <w:color w:val="074A75"/>
              </w:rPr>
              <w:t>If you are a</w:t>
            </w:r>
          </w:p>
        </w:tc>
        <w:tc>
          <w:tcPr>
            <w:tcW w:w="3860" w:type="dxa"/>
            <w:vAlign w:val="bottom"/>
          </w:tcPr>
          <w:p>
            <w:pPr>
              <w:ind w:left="820"/>
              <w:spacing w:after="0"/>
              <w:rPr>
                <w:sz w:val="20"/>
                <w:szCs w:val="20"/>
                <w:color w:val="auto"/>
              </w:rPr>
            </w:pPr>
            <w:r>
              <w:rPr>
                <w:rFonts w:ascii="Arial" w:cs="Arial" w:eastAsia="Arial" w:hAnsi="Arial"/>
                <w:sz w:val="16"/>
                <w:szCs w:val="16"/>
                <w:color w:val="074A75"/>
              </w:rPr>
              <w:t>If you are a beneficial owner of</w:t>
            </w:r>
          </w:p>
        </w:tc>
      </w:tr>
      <w:tr>
        <w:trPr>
          <w:trHeight w:val="215"/>
        </w:trPr>
        <w:tc>
          <w:tcPr>
            <w:tcW w:w="3360" w:type="dxa"/>
            <w:vAlign w:val="bottom"/>
          </w:tcPr>
          <w:p>
            <w:pPr>
              <w:spacing w:after="0"/>
              <w:rPr>
                <w:sz w:val="18"/>
                <w:szCs w:val="18"/>
                <w:color w:val="auto"/>
              </w:rPr>
            </w:pPr>
          </w:p>
        </w:tc>
        <w:tc>
          <w:tcPr>
            <w:tcW w:w="4020" w:type="dxa"/>
            <w:vAlign w:val="bottom"/>
          </w:tcPr>
          <w:p>
            <w:pPr>
              <w:ind w:left="1220"/>
              <w:spacing w:after="0"/>
              <w:rPr>
                <w:sz w:val="20"/>
                <w:szCs w:val="20"/>
                <w:color w:val="auto"/>
              </w:rPr>
            </w:pPr>
            <w:r>
              <w:rPr>
                <w:rFonts w:ascii="Arial" w:cs="Arial" w:eastAsia="Arial" w:hAnsi="Arial"/>
                <w:sz w:val="16"/>
                <w:szCs w:val="16"/>
                <w:color w:val="074A75"/>
              </w:rPr>
              <w:t>shareholder of record</w:t>
            </w:r>
          </w:p>
        </w:tc>
        <w:tc>
          <w:tcPr>
            <w:tcW w:w="3860" w:type="dxa"/>
            <w:vAlign w:val="bottom"/>
          </w:tcPr>
          <w:p>
            <w:pPr>
              <w:ind w:left="960"/>
              <w:spacing w:after="0"/>
              <w:rPr>
                <w:sz w:val="20"/>
                <w:szCs w:val="20"/>
                <w:color w:val="auto"/>
              </w:rPr>
            </w:pPr>
            <w:r>
              <w:rPr>
                <w:rFonts w:ascii="Arial" w:cs="Arial" w:eastAsia="Arial" w:hAnsi="Arial"/>
                <w:sz w:val="16"/>
                <w:szCs w:val="16"/>
                <w:color w:val="074A75"/>
              </w:rPr>
              <w:t>shares held in street name</w:t>
            </w:r>
          </w:p>
        </w:tc>
      </w:tr>
      <w:tr>
        <w:trPr>
          <w:trHeight w:val="29"/>
        </w:trPr>
        <w:tc>
          <w:tcPr>
            <w:tcW w:w="3360" w:type="dxa"/>
            <w:vAlign w:val="bottom"/>
            <w:tcBorders>
              <w:bottom w:val="single" w:sz="8" w:color="454545"/>
            </w:tcBorders>
          </w:tcPr>
          <w:p>
            <w:pPr>
              <w:spacing w:after="0"/>
              <w:rPr>
                <w:sz w:val="2"/>
                <w:szCs w:val="2"/>
                <w:color w:val="auto"/>
              </w:rPr>
            </w:pPr>
          </w:p>
        </w:tc>
        <w:tc>
          <w:tcPr>
            <w:tcW w:w="4020" w:type="dxa"/>
            <w:vAlign w:val="bottom"/>
            <w:tcBorders>
              <w:bottom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18"/>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Through the virtual meeting site during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Complete and submit a ballot online during the</w:t>
            </w:r>
          </w:p>
        </w:tc>
        <w:tc>
          <w:tcPr>
            <w:tcW w:w="3860" w:type="dxa"/>
            <w:vAlign w:val="bottom"/>
          </w:tcPr>
          <w:p>
            <w:pPr>
              <w:spacing w:after="0"/>
              <w:rPr>
                <w:sz w:val="20"/>
                <w:szCs w:val="20"/>
                <w:color w:val="auto"/>
              </w:rPr>
            </w:pPr>
            <w:r>
              <w:rPr>
                <w:rFonts w:ascii="Arial" w:cs="Arial" w:eastAsia="Arial" w:hAnsi="Arial"/>
                <w:sz w:val="18"/>
                <w:szCs w:val="18"/>
                <w:color w:val="auto"/>
              </w:rPr>
              <w:t>Complete and submit a ballot online during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the meeting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meeting at www.virtualshareholdermeeting.com/</w:t>
            </w:r>
          </w:p>
        </w:tc>
        <w:tc>
          <w:tcPr>
            <w:tcW w:w="3860" w:type="dxa"/>
            <w:vAlign w:val="bottom"/>
          </w:tcPr>
          <w:p>
            <w:pPr>
              <w:spacing w:after="0"/>
              <w:rPr>
                <w:sz w:val="20"/>
                <w:szCs w:val="20"/>
                <w:color w:val="auto"/>
              </w:rPr>
            </w:pPr>
            <w:r>
              <w:rPr>
                <w:rFonts w:ascii="Arial" w:cs="Arial" w:eastAsia="Arial" w:hAnsi="Arial"/>
                <w:sz w:val="18"/>
                <w:szCs w:val="18"/>
                <w:color w:val="auto"/>
                <w:w w:val="99"/>
              </w:rPr>
              <w:t>meeting at www.virtualshareholdermeeting.com/</w:t>
            </w:r>
          </w:p>
        </w:tc>
      </w:tr>
      <w:tr>
        <w:trPr>
          <w:trHeight w:val="239"/>
        </w:trPr>
        <w:tc>
          <w:tcPr>
            <w:tcW w:w="3360" w:type="dxa"/>
            <w:vAlign w:val="bottom"/>
            <w:tcBorders>
              <w:right w:val="single" w:sz="8" w:color="454545"/>
            </w:tcBorders>
          </w:tcPr>
          <w:p>
            <w:pPr>
              <w:spacing w:after="0"/>
              <w:rPr>
                <w:sz w:val="20"/>
                <w:szCs w:val="20"/>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JPM2024.</w:t>
            </w:r>
          </w:p>
        </w:tc>
        <w:tc>
          <w:tcPr>
            <w:tcW w:w="3860" w:type="dxa"/>
            <w:vAlign w:val="bottom"/>
          </w:tcPr>
          <w:p>
            <w:pPr>
              <w:spacing w:after="0"/>
              <w:rPr>
                <w:sz w:val="20"/>
                <w:szCs w:val="20"/>
                <w:color w:val="auto"/>
              </w:rPr>
            </w:pPr>
            <w:r>
              <w:rPr>
                <w:rFonts w:ascii="Arial" w:cs="Arial" w:eastAsia="Arial" w:hAnsi="Arial"/>
                <w:sz w:val="18"/>
                <w:szCs w:val="18"/>
                <w:color w:val="auto"/>
              </w:rPr>
              <w:t>JPM2024.</w:t>
            </w: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18"/>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Online (24 hours a day) — Use the</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Go to www.proxyvote.com and follow the</w:t>
            </w:r>
          </w:p>
        </w:tc>
        <w:tc>
          <w:tcPr>
            <w:tcW w:w="3860" w:type="dxa"/>
            <w:vAlign w:val="bottom"/>
          </w:tcPr>
          <w:p>
            <w:pPr>
              <w:spacing w:after="0"/>
              <w:rPr>
                <w:sz w:val="20"/>
                <w:szCs w:val="20"/>
                <w:color w:val="auto"/>
              </w:rPr>
            </w:pPr>
            <w:r>
              <w:rPr>
                <w:rFonts w:ascii="Arial" w:cs="Arial" w:eastAsia="Arial" w:hAnsi="Arial"/>
                <w:sz w:val="18"/>
                <w:szCs w:val="18"/>
                <w:color w:val="auto"/>
              </w:rPr>
              <w:t>Go to www.proxyvote.com and follow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Internet to transmit your voting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instructions.</w:t>
            </w:r>
          </w:p>
        </w:tc>
        <w:tc>
          <w:tcPr>
            <w:tcW w:w="3860" w:type="dxa"/>
            <w:vAlign w:val="bottom"/>
          </w:tcPr>
          <w:p>
            <w:pPr>
              <w:spacing w:after="0"/>
              <w:rPr>
                <w:sz w:val="20"/>
                <w:szCs w:val="20"/>
                <w:color w:val="auto"/>
              </w:rPr>
            </w:pPr>
            <w:r>
              <w:rPr>
                <w:rFonts w:ascii="Arial" w:cs="Arial" w:eastAsia="Arial" w:hAnsi="Arial"/>
                <w:sz w:val="18"/>
                <w:szCs w:val="18"/>
                <w:color w:val="auto"/>
              </w:rPr>
              <w:t>instructions.</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instructions up until 11:59 P.M. Eastern</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18"/>
                <w:szCs w:val="18"/>
                <w:color w:val="auto"/>
              </w:rPr>
            </w:pPr>
          </w:p>
        </w:tc>
      </w:tr>
      <w:tr>
        <w:trPr>
          <w:trHeight w:val="239"/>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Time the day before the meeting date.</w:t>
            </w:r>
          </w:p>
        </w:tc>
        <w:tc>
          <w:tcPr>
            <w:tcW w:w="4020" w:type="dxa"/>
            <w:vAlign w:val="bottom"/>
            <w:tcBorders>
              <w:right w:val="single" w:sz="8" w:color="454545"/>
            </w:tcBorders>
          </w:tcPr>
          <w:p>
            <w:pPr>
              <w:spacing w:after="0"/>
              <w:rPr>
                <w:sz w:val="20"/>
                <w:szCs w:val="20"/>
                <w:color w:val="auto"/>
              </w:rPr>
            </w:pPr>
          </w:p>
        </w:tc>
        <w:tc>
          <w:tcPr>
            <w:tcW w:w="3860" w:type="dxa"/>
            <w:vAlign w:val="bottom"/>
          </w:tcPr>
          <w:p>
            <w:pPr>
              <w:spacing w:after="0"/>
              <w:rPr>
                <w:sz w:val="20"/>
                <w:szCs w:val="20"/>
                <w:color w:val="auto"/>
              </w:rPr>
            </w:pP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18"/>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By Telephone (24 hours a day) — Use</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1-800-690-6903</w:t>
            </w:r>
          </w:p>
        </w:tc>
        <w:tc>
          <w:tcPr>
            <w:tcW w:w="3860" w:type="dxa"/>
            <w:vAlign w:val="bottom"/>
          </w:tcPr>
          <w:p>
            <w:pPr>
              <w:spacing w:after="0"/>
              <w:rPr>
                <w:sz w:val="20"/>
                <w:szCs w:val="20"/>
                <w:color w:val="auto"/>
              </w:rPr>
            </w:pPr>
            <w:r>
              <w:rPr>
                <w:rFonts w:ascii="Arial" w:cs="Arial" w:eastAsia="Arial" w:hAnsi="Arial"/>
                <w:sz w:val="18"/>
                <w:szCs w:val="18"/>
                <w:color w:val="auto"/>
              </w:rPr>
              <w:t>1-800-454-8683</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any touch-tone telephone to transmit</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The availability of voting by telephone may</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your voting instructions up until 11:59</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depend on the voting process of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P.M. Eastern Time the day before the</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organization that holds your shares.</w:t>
            </w:r>
          </w:p>
        </w:tc>
      </w:tr>
      <w:tr>
        <w:trPr>
          <w:trHeight w:val="239"/>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meeting date.</w:t>
            </w:r>
          </w:p>
        </w:tc>
        <w:tc>
          <w:tcPr>
            <w:tcW w:w="4020" w:type="dxa"/>
            <w:vAlign w:val="bottom"/>
            <w:tcBorders>
              <w:right w:val="single" w:sz="8" w:color="454545"/>
            </w:tcBorders>
          </w:tcPr>
          <w:p>
            <w:pPr>
              <w:spacing w:after="0"/>
              <w:rPr>
                <w:sz w:val="20"/>
                <w:szCs w:val="20"/>
                <w:color w:val="auto"/>
              </w:rPr>
            </w:pPr>
          </w:p>
        </w:tc>
        <w:tc>
          <w:tcPr>
            <w:tcW w:w="3860" w:type="dxa"/>
            <w:vAlign w:val="bottom"/>
          </w:tcPr>
          <w:p>
            <w:pPr>
              <w:spacing w:after="0"/>
              <w:rPr>
                <w:sz w:val="20"/>
                <w:szCs w:val="20"/>
                <w:color w:val="auto"/>
              </w:rPr>
            </w:pP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18"/>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By Mail</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Return a properly executed and dated proxy card</w:t>
            </w:r>
          </w:p>
        </w:tc>
        <w:tc>
          <w:tcPr>
            <w:tcW w:w="3860" w:type="dxa"/>
            <w:vAlign w:val="bottom"/>
          </w:tcPr>
          <w:p>
            <w:pPr>
              <w:spacing w:after="0"/>
              <w:rPr>
                <w:sz w:val="20"/>
                <w:szCs w:val="20"/>
                <w:color w:val="auto"/>
              </w:rPr>
            </w:pPr>
            <w:r>
              <w:rPr>
                <w:rFonts w:ascii="Arial" w:cs="Arial" w:eastAsia="Arial" w:hAnsi="Arial"/>
                <w:sz w:val="18"/>
                <w:szCs w:val="18"/>
                <w:color w:val="auto"/>
              </w:rPr>
              <w:t>Return a properly executed and dated voting</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 the pre-paid envelope we have provided or</w:t>
            </w:r>
          </w:p>
        </w:tc>
        <w:tc>
          <w:tcPr>
            <w:tcW w:w="3860" w:type="dxa"/>
            <w:vAlign w:val="bottom"/>
          </w:tcPr>
          <w:p>
            <w:pPr>
              <w:spacing w:after="0"/>
              <w:rPr>
                <w:sz w:val="20"/>
                <w:szCs w:val="20"/>
                <w:color w:val="auto"/>
              </w:rPr>
            </w:pPr>
            <w:r>
              <w:rPr>
                <w:rFonts w:ascii="Arial" w:cs="Arial" w:eastAsia="Arial" w:hAnsi="Arial"/>
                <w:sz w:val="18"/>
                <w:szCs w:val="18"/>
                <w:color w:val="auto"/>
              </w:rPr>
              <w:t>instruction form using the method(s) your bank,</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return it to JPMorgan Chase &amp; Co., c/o</w:t>
            </w:r>
          </w:p>
        </w:tc>
        <w:tc>
          <w:tcPr>
            <w:tcW w:w="3860" w:type="dxa"/>
            <w:vAlign w:val="bottom"/>
          </w:tcPr>
          <w:p>
            <w:pPr>
              <w:spacing w:after="0"/>
              <w:rPr>
                <w:sz w:val="20"/>
                <w:szCs w:val="20"/>
                <w:color w:val="auto"/>
              </w:rPr>
            </w:pPr>
            <w:r>
              <w:rPr>
                <w:rFonts w:ascii="Arial" w:cs="Arial" w:eastAsia="Arial" w:hAnsi="Arial"/>
                <w:sz w:val="18"/>
                <w:szCs w:val="18"/>
                <w:color w:val="auto"/>
              </w:rPr>
              <w:t>brokerage firm, broker-dealer or other similar</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Broadridge, 51 Mercedes Way, Edgewood, NY</w:t>
            </w:r>
          </w:p>
        </w:tc>
        <w:tc>
          <w:tcPr>
            <w:tcW w:w="3860" w:type="dxa"/>
            <w:vAlign w:val="bottom"/>
          </w:tcPr>
          <w:p>
            <w:pPr>
              <w:spacing w:after="0"/>
              <w:rPr>
                <w:sz w:val="20"/>
                <w:szCs w:val="20"/>
                <w:color w:val="auto"/>
              </w:rPr>
            </w:pPr>
            <w:r>
              <w:rPr>
                <w:rFonts w:ascii="Arial" w:cs="Arial" w:eastAsia="Arial" w:hAnsi="Arial"/>
                <w:sz w:val="18"/>
                <w:szCs w:val="18"/>
                <w:color w:val="auto"/>
              </w:rPr>
              <w:t>organizations make available.</w:t>
            </w:r>
          </w:p>
        </w:tc>
      </w:tr>
      <w:tr>
        <w:trPr>
          <w:trHeight w:val="239"/>
        </w:trPr>
        <w:tc>
          <w:tcPr>
            <w:tcW w:w="3360" w:type="dxa"/>
            <w:vAlign w:val="bottom"/>
            <w:tcBorders>
              <w:right w:val="single" w:sz="8" w:color="454545"/>
            </w:tcBorders>
          </w:tcPr>
          <w:p>
            <w:pPr>
              <w:spacing w:after="0"/>
              <w:rPr>
                <w:sz w:val="20"/>
                <w:szCs w:val="20"/>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11717.</w:t>
            </w:r>
          </w:p>
        </w:tc>
        <w:tc>
          <w:tcPr>
            <w:tcW w:w="3860" w:type="dxa"/>
            <w:vAlign w:val="bottom"/>
          </w:tcPr>
          <w:p>
            <w:pPr>
              <w:spacing w:after="0"/>
              <w:rPr>
                <w:sz w:val="20"/>
                <w:szCs w:val="20"/>
                <w:color w:val="auto"/>
              </w:rPr>
            </w:pP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bl>
    <w:p>
      <w:pPr>
        <w:spacing w:after="0" w:line="167" w:lineRule="exact"/>
        <w:rPr>
          <w:sz w:val="20"/>
          <w:szCs w:val="20"/>
          <w:color w:val="auto"/>
        </w:rPr>
      </w:pPr>
    </w:p>
    <w:p>
      <w:pPr>
        <w:sectPr>
          <w:pgSz w:w="11900" w:h="16838" w:orient="portrait"/>
          <w:cols w:equalWidth="0" w:num="1">
            <w:col w:w="11240"/>
          </w:cols>
          <w:pgMar w:left="320" w:top="157" w:right="339" w:bottom="1440" w:gutter="0" w:footer="0" w:header="0"/>
        </w:sectPr>
      </w:pPr>
    </w:p>
    <w:p>
      <w:pPr>
        <w:spacing w:after="0"/>
        <w:rPr>
          <w:sz w:val="20"/>
          <w:szCs w:val="20"/>
          <w:color w:val="auto"/>
        </w:rPr>
      </w:pPr>
      <w:r>
        <w:rPr>
          <w:rFonts w:ascii="Arial" w:cs="Arial" w:eastAsia="Arial" w:hAnsi="Arial"/>
          <w:sz w:val="20"/>
          <w:szCs w:val="20"/>
          <w:color w:val="074A75"/>
        </w:rPr>
        <w:t>CAN I CHANGE MY VOTE AFTER I HAVE VOTED?</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You can revoke your proxy and change your vote at any time before the closing of the polls at our annual meeting, subject to the voting deadlines that are described on the proxy card or voting instruction form, as applicable.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You can revoke your vote:</w:t>
      </w:r>
    </w:p>
    <w:p>
      <w:pPr>
        <w:spacing w:after="0" w:line="104" w:lineRule="exact"/>
        <w:rPr>
          <w:sz w:val="20"/>
          <w:szCs w:val="20"/>
          <w:color w:val="auto"/>
        </w:rPr>
      </w:pPr>
    </w:p>
    <w:p>
      <w:pPr>
        <w:ind w:left="200" w:right="60" w:hanging="192"/>
        <w:spacing w:after="0" w:line="257" w:lineRule="auto"/>
        <w:tabs>
          <w:tab w:leader="none" w:pos="204" w:val="left"/>
        </w:tabs>
        <w:numPr>
          <w:ilvl w:val="0"/>
          <w:numId w:val="331"/>
        </w:numPr>
        <w:rPr>
          <w:rFonts w:ascii="Arial" w:cs="Arial" w:eastAsia="Arial" w:hAnsi="Arial"/>
          <w:sz w:val="18"/>
          <w:szCs w:val="18"/>
          <w:color w:val="074A75"/>
        </w:rPr>
      </w:pPr>
      <w:r>
        <w:rPr>
          <w:rFonts w:ascii="Arial" w:cs="Arial" w:eastAsia="Arial" w:hAnsi="Arial"/>
          <w:sz w:val="18"/>
          <w:szCs w:val="18"/>
          <w:color w:val="auto"/>
        </w:rPr>
        <w:t>During the virtual meeting. If you attend the annual meeting at www.virtualshareholdermeeting.com/ JPM2024, you may revoke your proxy and change your vote by voting online during the meeting. Your attendance at the annual meeting will not automatically revoke your proxy unless you properly vote at the annual meeting.</w:t>
      </w:r>
    </w:p>
    <w:p>
      <w:pPr>
        <w:spacing w:after="0" w:line="47" w:lineRule="exact"/>
        <w:rPr>
          <w:rFonts w:ascii="Arial" w:cs="Arial" w:eastAsia="Arial" w:hAnsi="Arial"/>
          <w:sz w:val="18"/>
          <w:szCs w:val="18"/>
          <w:color w:val="074A75"/>
        </w:rPr>
      </w:pPr>
    </w:p>
    <w:p>
      <w:pPr>
        <w:ind w:left="200" w:right="40" w:hanging="192"/>
        <w:spacing w:after="0" w:line="259" w:lineRule="auto"/>
        <w:tabs>
          <w:tab w:leader="none" w:pos="204" w:val="left"/>
        </w:tabs>
        <w:numPr>
          <w:ilvl w:val="0"/>
          <w:numId w:val="331"/>
        </w:numPr>
        <w:rPr>
          <w:rFonts w:ascii="Arial" w:cs="Arial" w:eastAsia="Arial" w:hAnsi="Arial"/>
          <w:sz w:val="18"/>
          <w:szCs w:val="18"/>
          <w:color w:val="064A75"/>
        </w:rPr>
      </w:pPr>
      <w:r>
        <w:rPr>
          <w:rFonts w:ascii="Arial" w:cs="Arial" w:eastAsia="Arial" w:hAnsi="Arial"/>
          <w:sz w:val="18"/>
          <w:szCs w:val="18"/>
          <w:color w:val="auto"/>
        </w:rPr>
        <w:t>In writing. You may request that your prior proxy be revoked by delivering a written notice of revocation prior to the annual meeting via email to corporate.secretary@jpmchase.com or mail to the Office of the Secretary, JPMorgan Chase &amp; Co., 383 Madison Avenue, 39th Floor, New York, New York 10179.</w:t>
      </w:r>
    </w:p>
    <w:p>
      <w:pPr>
        <w:spacing w:after="0" w:line="30" w:lineRule="exact"/>
        <w:rPr>
          <w:rFonts w:ascii="Arial" w:cs="Arial" w:eastAsia="Arial" w:hAnsi="Arial"/>
          <w:sz w:val="18"/>
          <w:szCs w:val="18"/>
          <w:color w:val="064A75"/>
        </w:rPr>
      </w:pPr>
    </w:p>
    <w:p>
      <w:pPr>
        <w:ind w:left="200" w:hanging="192"/>
        <w:spacing w:after="0" w:line="262" w:lineRule="auto"/>
        <w:tabs>
          <w:tab w:leader="none" w:pos="204" w:val="left"/>
        </w:tabs>
        <w:numPr>
          <w:ilvl w:val="0"/>
          <w:numId w:val="331"/>
        </w:numPr>
        <w:rPr>
          <w:rFonts w:ascii="Arial" w:cs="Arial" w:eastAsia="Arial" w:hAnsi="Arial"/>
          <w:sz w:val="18"/>
          <w:szCs w:val="18"/>
          <w:color w:val="074A75"/>
        </w:rPr>
      </w:pPr>
      <w:r>
        <w:rPr>
          <w:rFonts w:ascii="Arial" w:cs="Arial" w:eastAsia="Arial" w:hAnsi="Arial"/>
          <w:sz w:val="18"/>
          <w:szCs w:val="18"/>
          <w:color w:val="auto"/>
        </w:rPr>
        <w:t>Online at www.proxyvote.com. You may change your vote at www.proxyvote.com until 11:59 P.M. Eastern Time the day before the meeting date, in which case only your latest Internet proxy submitted prior to the annual meeting will be counted.</w:t>
      </w:r>
    </w:p>
    <w:p>
      <w:pPr>
        <w:spacing w:after="0" w:line="27" w:lineRule="exact"/>
        <w:rPr>
          <w:rFonts w:ascii="Arial" w:cs="Arial" w:eastAsia="Arial" w:hAnsi="Arial"/>
          <w:sz w:val="18"/>
          <w:szCs w:val="18"/>
          <w:color w:val="074A75"/>
        </w:rPr>
      </w:pPr>
    </w:p>
    <w:p>
      <w:pPr>
        <w:ind w:left="200" w:right="260" w:hanging="192"/>
        <w:spacing w:after="0" w:line="262" w:lineRule="auto"/>
        <w:tabs>
          <w:tab w:leader="none" w:pos="204" w:val="left"/>
        </w:tabs>
        <w:numPr>
          <w:ilvl w:val="0"/>
          <w:numId w:val="331"/>
        </w:numPr>
        <w:rPr>
          <w:rFonts w:ascii="Arial" w:cs="Arial" w:eastAsia="Arial" w:hAnsi="Arial"/>
          <w:sz w:val="18"/>
          <w:szCs w:val="18"/>
          <w:color w:val="074A75"/>
        </w:rPr>
      </w:pPr>
      <w:r>
        <w:rPr>
          <w:rFonts w:ascii="Arial" w:cs="Arial" w:eastAsia="Arial" w:hAnsi="Arial"/>
          <w:sz w:val="18"/>
          <w:szCs w:val="18"/>
          <w:color w:val="auto"/>
        </w:rPr>
        <w:t>Telephone. You may change your vote using the phone voting method described above, in which case only your latest telephone proxy submitted prior to the annual meeting will be counted.</w:t>
      </w:r>
    </w:p>
    <w:p>
      <w:pPr>
        <w:spacing w:after="0" w:line="20" w:lineRule="exact"/>
        <w:rPr>
          <w:sz w:val="20"/>
          <w:szCs w:val="20"/>
          <w:color w:val="auto"/>
        </w:rPr>
      </w:pPr>
      <w:r>
        <w:rPr>
          <w:sz w:val="20"/>
          <w:szCs w:val="20"/>
          <w:color w:val="auto"/>
        </w:rPr>
        <w:br w:type="column"/>
      </w:r>
    </w:p>
    <w:p>
      <w:pPr>
        <w:ind w:left="200" w:right="140" w:hanging="196"/>
        <w:spacing w:after="0" w:line="259" w:lineRule="auto"/>
        <w:tabs>
          <w:tab w:leader="none" w:pos="204" w:val="left"/>
        </w:tabs>
        <w:numPr>
          <w:ilvl w:val="0"/>
          <w:numId w:val="332"/>
        </w:numPr>
        <w:rPr>
          <w:rFonts w:ascii="Arial" w:cs="Arial" w:eastAsia="Arial" w:hAnsi="Arial"/>
          <w:sz w:val="18"/>
          <w:szCs w:val="18"/>
          <w:color w:val="064A75"/>
        </w:rPr>
      </w:pPr>
      <w:r>
        <w:rPr>
          <w:rFonts w:ascii="Arial" w:cs="Arial" w:eastAsia="Arial" w:hAnsi="Arial"/>
          <w:sz w:val="18"/>
          <w:szCs w:val="18"/>
          <w:color w:val="auto"/>
        </w:rPr>
        <w:t>Mail. You may revoke your proxy and change your vote by signing and returning a new proxy card or voting instruction form dated as of a later date, in which case only your latest proxy card or voting instruction form received prior to the annual meeting will be counted.</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074A75"/>
        </w:rPr>
        <w:t>HOW ARE SHARES VOTED?</w:t>
      </w:r>
    </w:p>
    <w:p>
      <w:pPr>
        <w:spacing w:after="0" w:line="3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All shares represented by valid ballots or valid proxies received prior to the taking of the vote at the annual meeting will be voted. If you do not vote at the annual meeting, the persons named as proxies on the proxy card will vote your shares as you have instructed.</w:t>
      </w:r>
    </w:p>
    <w:p>
      <w:pPr>
        <w:spacing w:after="0" w:line="70" w:lineRule="exact"/>
        <w:rPr>
          <w:sz w:val="20"/>
          <w:szCs w:val="20"/>
          <w:color w:val="auto"/>
        </w:rPr>
      </w:pPr>
    </w:p>
    <w:p>
      <w:pPr>
        <w:ind w:right="520"/>
        <w:spacing w:after="0" w:line="255" w:lineRule="auto"/>
        <w:rPr>
          <w:sz w:val="20"/>
          <w:szCs w:val="20"/>
          <w:color w:val="auto"/>
        </w:rPr>
      </w:pPr>
      <w:r>
        <w:rPr>
          <w:rFonts w:ascii="Arial" w:cs="Arial" w:eastAsia="Arial" w:hAnsi="Arial"/>
          <w:sz w:val="20"/>
          <w:szCs w:val="20"/>
          <w:color w:val="074A75"/>
        </w:rPr>
        <w:t>HOW WILL MY SHARES BE VOTED IF I DO NOT GIVE SPECIFIC VOTING INSTRUCTIONS?</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 are a shareholder of record and do</w:t>
      </w:r>
      <w:r>
        <w:rPr>
          <w:rFonts w:ascii="Arial" w:cs="Arial" w:eastAsia="Arial" w:hAnsi="Arial"/>
          <w:sz w:val="18"/>
          <w:szCs w:val="18"/>
          <w:i w:val="1"/>
          <w:iCs w:val="1"/>
          <w:color w:val="auto"/>
        </w:rPr>
        <w:t xml:space="preserve"> </w:t>
      </w:r>
      <w:r>
        <w:rPr>
          <w:rFonts w:ascii="Arial" w:cs="Arial" w:eastAsia="Arial" w:hAnsi="Arial"/>
          <w:sz w:val="18"/>
          <w:szCs w:val="18"/>
          <w:color w:val="auto"/>
        </w:rPr>
        <w:t>not return a proxy card, or if you sign, date and return a proxy card but do not give specific voting instructions, then the persons named as proxies on the proxy card will vote your shares in the manner recommended by our Board on all matters presented in this proxy statement. In addition, the proxies may determine in their discretion how to vote your shares regarding any other matters properly presented for a vote at our annual meeting.</w:t>
      </w:r>
    </w:p>
    <w:p>
      <w:pPr>
        <w:spacing w:after="0" w:line="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Although our Board does not anticipate that any of the director nominees will be unable to stand for election as a director nominee at our annual meeting, if this occurs, the persons named as proxies on the proxy card will vote your shares in favor of such other person or persons as may be recommended by our Governance Committee and designated by the Board.</w:t>
      </w:r>
    </w:p>
    <w:p>
      <w:pPr>
        <w:spacing w:after="0" w:line="200"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9A9A9A"/>
            </w:tcBorders>
          </w:tcPr>
          <w:p>
            <w:pPr>
              <w:spacing w:after="0"/>
              <w:rPr>
                <w:sz w:val="17"/>
                <w:szCs w:val="17"/>
                <w:color w:val="auto"/>
              </w:rPr>
            </w:pPr>
          </w:p>
        </w:tc>
        <w:tc>
          <w:tcPr>
            <w:tcW w:w="34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spacing w:after="0" w:line="248"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 are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organization holding your shares does not receive specific voting instructions from you, how your shares may be voted will depend on whether the proposal is considered “routine” or “non-routine,” as described below.</w:t>
      </w:r>
    </w:p>
    <w:p>
      <w:pPr>
        <w:spacing w:after="0" w:line="67"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 xml:space="preserve">Participants in the 401(k) Savings Plan: </w:t>
      </w:r>
      <w:r>
        <w:rPr>
          <w:rFonts w:ascii="Arial" w:cs="Arial" w:eastAsia="Arial" w:hAnsi="Arial"/>
          <w:sz w:val="18"/>
          <w:szCs w:val="18"/>
          <w:color w:val="auto"/>
        </w:rPr>
        <w:t>The trustee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JPMorgan Chase 401(k) Savings Plan (“Plan”) will vote the shares held in the Common Stock Fund as of the Record Date. If you have an interest in the JPMorgan Chase Common Stock Fund through the Plan, your vote will provide voting instructions to the trustee. If no voting instructions are given, the trustee will vote uninstructed shares in the same proportion as voted shares.</w:t>
      </w:r>
    </w:p>
    <w:p>
      <w:pPr>
        <w:spacing w:after="0" w:line="6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074A75"/>
        </w:rPr>
        <w:t>WHICH PROPOSALS ARE CONSIDERED “ROUTINE” OR “NON-ROUTINE”?</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ratification of the appointment of the independent registered public accounting firm is considered to be a “routine” matter under NYSE rules. A bank, brokerage firm, broker-dealer or other similar organization may generally vote in their discretion on routine matters, if specific voting instructions are not received from a beneficial owner.</w:t>
      </w:r>
    </w:p>
    <w:p>
      <w:pPr>
        <w:spacing w:after="0" w:line="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All other proposals are considered “non-routine” under NYSE rules and are therefore “non-discretionary” matters. This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means your bank, brokerage firm, broker-dealer or other similar organization may not vote your shares without instructions from you. If the organization that holds your shares does not receive instructions from you on how to vote on one of these non-routine matters, it will so inform the inspector of election. This is generally referred to as a “broker non-vote.”</w:t>
      </w:r>
    </w:p>
    <w:p>
      <w:pPr>
        <w:spacing w:after="0" w:line="64"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color w:val="074A75"/>
        </w:rPr>
        <w:t>WHAT IS THE DIFFERENCE BETWEEN HOLDING SHARES AS A SHAREHOLDER OF RECORD AND AS A BENEFICIAL OWNER OF SHARES HELD IN STREET NAME?</w:t>
      </w:r>
    </w:p>
    <w:p>
      <w:pPr>
        <w:spacing w:after="0" w:line="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of JPMorgan Chase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are registered directly in your name with our transfer agent, Computershare, you are considered a “shareholder of record” of those shares.</w:t>
      </w:r>
    </w:p>
    <w:p>
      <w:pPr>
        <w:spacing w:after="0" w:line="8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an account at a bank, brokerage firm, broker-dealer or other similar organization, you are a beneficial owner of shares held in street name. In that case, you will have received these proxy materials, as well as a voting instruction form, from the organization holding your shares and, as a beneficial owner, you have the right to direct the organization as to how to vote them. Most individual shareholders are beneficial owners of shares held in street name.</w:t>
      </w:r>
    </w:p>
    <w:p>
      <w:pPr>
        <w:spacing w:after="0" w:line="459"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rPr>
          <w:sz w:val="20"/>
          <w:szCs w:val="20"/>
          <w:color w:val="auto"/>
        </w:rPr>
      </w:pPr>
      <w:r>
        <w:rPr>
          <w:rFonts w:ascii="Arial" w:cs="Arial" w:eastAsia="Arial" w:hAnsi="Arial"/>
          <w:sz w:val="20"/>
          <w:szCs w:val="20"/>
          <w:color w:val="074A75"/>
        </w:rPr>
        <w:t>WHAT IS THE VOTING REQUIREMENT TO APPROVE EACH OF THE PROPOSALS?</w:t>
      </w:r>
    </w:p>
    <w:p>
      <w:pPr>
        <w:spacing w:after="0" w:line="20" w:lineRule="exact"/>
        <w:rPr>
          <w:sz w:val="20"/>
          <w:szCs w:val="20"/>
          <w:color w:val="auto"/>
        </w:rPr>
      </w:pPr>
    </w:p>
    <w:p>
      <w:pPr>
        <w:jc w:val="both"/>
        <w:ind w:right="200"/>
        <w:spacing w:after="0" w:line="250" w:lineRule="auto"/>
        <w:rPr>
          <w:sz w:val="20"/>
          <w:szCs w:val="20"/>
          <w:color w:val="auto"/>
        </w:rPr>
      </w:pPr>
      <w:r>
        <w:rPr>
          <w:rFonts w:ascii="Arial" w:cs="Arial" w:eastAsia="Arial" w:hAnsi="Arial"/>
          <w:sz w:val="18"/>
          <w:szCs w:val="18"/>
          <w:b w:val="1"/>
          <w:bCs w:val="1"/>
          <w:i w:val="1"/>
          <w:iCs w:val="1"/>
          <w:color w:val="auto"/>
        </w:rPr>
        <w:t xml:space="preserve">Quorum Requirement: </w:t>
      </w:r>
      <w:r>
        <w:rPr>
          <w:rFonts w:ascii="Arial" w:cs="Arial" w:eastAsia="Arial" w:hAnsi="Arial"/>
          <w:sz w:val="18"/>
          <w:szCs w:val="18"/>
          <w:color w:val="auto"/>
        </w:rPr>
        <w:t>Before any business can be transacted at our annual meeting, a quorum must be present. Holders of a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entitled to vote at the annual meeting, present at the meeting or represented by proxy, will constitute a quorum. Abstentions and broker non-votes are treated as present for quorum purposes.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Requirements for each proposal: </w:t>
      </w:r>
      <w:r>
        <w:rPr>
          <w:rFonts w:ascii="Arial" w:cs="Arial" w:eastAsia="Arial" w:hAnsi="Arial"/>
          <w:sz w:val="18"/>
          <w:szCs w:val="18"/>
          <w:color w:val="auto"/>
        </w:rPr>
        <w:t>What is the voting requirement for each proposal?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40" w:type="dxa"/>
            <w:vAlign w:val="bottom"/>
          </w:tcPr>
          <w:p>
            <w:pPr>
              <w:ind w:left="800"/>
              <w:spacing w:after="0"/>
              <w:rPr>
                <w:sz w:val="20"/>
                <w:szCs w:val="20"/>
                <w:color w:val="auto"/>
              </w:rPr>
            </w:pPr>
            <w:r>
              <w:rPr>
                <w:rFonts w:ascii="Arial" w:cs="Arial" w:eastAsia="Arial" w:hAnsi="Arial"/>
                <w:sz w:val="16"/>
                <w:szCs w:val="16"/>
                <w:color w:val="074A75"/>
              </w:rPr>
              <w:t>Effect of</w:t>
            </w:r>
          </w:p>
        </w:tc>
        <w:tc>
          <w:tcPr>
            <w:tcW w:w="2040" w:type="dxa"/>
            <w:vAlign w:val="bottom"/>
          </w:tcPr>
          <w:p>
            <w:pPr>
              <w:jc w:val="center"/>
              <w:spacing w:after="0"/>
              <w:rPr>
                <w:sz w:val="20"/>
                <w:szCs w:val="20"/>
                <w:color w:val="auto"/>
              </w:rPr>
            </w:pPr>
            <w:r>
              <w:rPr>
                <w:rFonts w:ascii="Arial" w:cs="Arial" w:eastAsia="Arial" w:hAnsi="Arial"/>
                <w:sz w:val="16"/>
                <w:szCs w:val="16"/>
                <w:color w:val="074A75"/>
              </w:rPr>
              <w:t>Effect of broker</w:t>
            </w:r>
          </w:p>
        </w:tc>
      </w:tr>
      <w:tr>
        <w:trPr>
          <w:trHeight w:val="230"/>
        </w:trPr>
        <w:tc>
          <w:tcPr>
            <w:tcW w:w="2640" w:type="dxa"/>
            <w:vAlign w:val="bottom"/>
          </w:tcPr>
          <w:p>
            <w:pPr>
              <w:ind w:left="20"/>
              <w:spacing w:after="0"/>
              <w:rPr>
                <w:sz w:val="20"/>
                <w:szCs w:val="20"/>
                <w:color w:val="auto"/>
              </w:rPr>
            </w:pPr>
            <w:r>
              <w:rPr>
                <w:rFonts w:ascii="Arial" w:cs="Arial" w:eastAsia="Arial" w:hAnsi="Arial"/>
                <w:sz w:val="16"/>
                <w:szCs w:val="16"/>
                <w:color w:val="074A75"/>
              </w:rPr>
              <w:t>Proposal</w:t>
            </w:r>
          </w:p>
        </w:tc>
        <w:tc>
          <w:tcPr>
            <w:tcW w:w="2140" w:type="dxa"/>
            <w:vAlign w:val="bottom"/>
          </w:tcPr>
          <w:p>
            <w:pPr>
              <w:ind w:left="540"/>
              <w:spacing w:after="0"/>
              <w:rPr>
                <w:sz w:val="20"/>
                <w:szCs w:val="20"/>
                <w:color w:val="auto"/>
              </w:rPr>
            </w:pPr>
            <w:r>
              <w:rPr>
                <w:rFonts w:ascii="Arial" w:cs="Arial" w:eastAsia="Arial" w:hAnsi="Arial"/>
                <w:sz w:val="16"/>
                <w:szCs w:val="16"/>
                <w:color w:val="074A75"/>
              </w:rPr>
              <w:t>Voting options</w:t>
            </w:r>
          </w:p>
        </w:tc>
        <w:tc>
          <w:tcPr>
            <w:tcW w:w="2180" w:type="dxa"/>
            <w:vAlign w:val="bottom"/>
          </w:tcPr>
          <w:p>
            <w:pPr>
              <w:ind w:left="440"/>
              <w:spacing w:after="0"/>
              <w:rPr>
                <w:sz w:val="20"/>
                <w:szCs w:val="20"/>
                <w:color w:val="auto"/>
              </w:rPr>
            </w:pPr>
            <w:r>
              <w:rPr>
                <w:rFonts w:ascii="Arial" w:cs="Arial" w:eastAsia="Arial" w:hAnsi="Arial"/>
                <w:sz w:val="16"/>
                <w:szCs w:val="16"/>
                <w:color w:val="074A75"/>
              </w:rPr>
              <w:t>Vote requirement</w:t>
            </w:r>
          </w:p>
        </w:tc>
        <w:tc>
          <w:tcPr>
            <w:tcW w:w="2240" w:type="dxa"/>
            <w:vAlign w:val="bottom"/>
          </w:tcPr>
          <w:p>
            <w:pPr>
              <w:ind w:left="660"/>
              <w:spacing w:after="0" w:line="230" w:lineRule="exact"/>
              <w:rPr>
                <w:sz w:val="20"/>
                <w:szCs w:val="20"/>
                <w:color w:val="auto"/>
              </w:rPr>
            </w:pPr>
            <w:r>
              <w:rPr>
                <w:rFonts w:ascii="Arial" w:cs="Arial" w:eastAsia="Arial" w:hAnsi="Arial"/>
                <w:sz w:val="16"/>
                <w:szCs w:val="16"/>
                <w:color w:val="074A75"/>
              </w:rPr>
              <w:t>abstentions</w:t>
            </w:r>
            <w:r>
              <w:rPr>
                <w:rFonts w:ascii="Arial" w:cs="Arial" w:eastAsia="Arial" w:hAnsi="Arial"/>
                <w:sz w:val="21"/>
                <w:szCs w:val="21"/>
                <w:color w:val="074A75"/>
                <w:vertAlign w:val="superscript"/>
              </w:rPr>
              <w:t>1</w:t>
            </w:r>
          </w:p>
        </w:tc>
        <w:tc>
          <w:tcPr>
            <w:tcW w:w="2040" w:type="dxa"/>
            <w:vAlign w:val="bottom"/>
          </w:tcPr>
          <w:p>
            <w:pPr>
              <w:jc w:val="center"/>
              <w:spacing w:after="0" w:line="230" w:lineRule="exact"/>
              <w:rPr>
                <w:sz w:val="20"/>
                <w:szCs w:val="20"/>
                <w:color w:val="auto"/>
              </w:rPr>
            </w:pPr>
            <w:r>
              <w:rPr>
                <w:rFonts w:ascii="Arial" w:cs="Arial" w:eastAsia="Arial" w:hAnsi="Arial"/>
                <w:sz w:val="16"/>
                <w:szCs w:val="16"/>
                <w:color w:val="074A75"/>
                <w:w w:val="99"/>
              </w:rPr>
              <w:t>non-votes</w:t>
            </w:r>
            <w:r>
              <w:rPr>
                <w:rFonts w:ascii="Arial" w:cs="Arial" w:eastAsia="Arial" w:hAnsi="Arial"/>
                <w:sz w:val="21"/>
                <w:szCs w:val="21"/>
                <w:color w:val="074A75"/>
                <w:w w:val="99"/>
                <w:vertAlign w:val="superscript"/>
              </w:rPr>
              <w:t>2</w:t>
            </w:r>
          </w:p>
        </w:tc>
      </w:tr>
      <w:tr>
        <w:trPr>
          <w:trHeight w:val="210"/>
        </w:trPr>
        <w:tc>
          <w:tcPr>
            <w:tcW w:w="2640" w:type="dxa"/>
            <w:vAlign w:val="bottom"/>
            <w:tcBorders>
              <w:bottom w:val="single" w:sz="8" w:color="074A75"/>
              <w:right w:val="single" w:sz="8" w:color="074A75"/>
            </w:tcBorders>
            <w:shd w:val="clear" w:color="auto" w:fill="074A75"/>
          </w:tcPr>
          <w:p>
            <w:pPr>
              <w:ind w:left="20"/>
              <w:spacing w:after="0"/>
              <w:rPr>
                <w:sz w:val="20"/>
                <w:szCs w:val="20"/>
                <w:color w:val="auto"/>
              </w:rPr>
            </w:pPr>
            <w:r>
              <w:rPr>
                <w:rFonts w:ascii="Arial" w:cs="Arial" w:eastAsia="Arial" w:hAnsi="Arial"/>
                <w:sz w:val="14"/>
                <w:szCs w:val="14"/>
                <w:color w:val="FFFFFF"/>
              </w:rPr>
              <w:t>Corporate Governance:</w:t>
            </w:r>
          </w:p>
        </w:tc>
        <w:tc>
          <w:tcPr>
            <w:tcW w:w="2140" w:type="dxa"/>
            <w:vAlign w:val="bottom"/>
            <w:tcBorders>
              <w:bottom w:val="single" w:sz="8" w:color="074A75"/>
              <w:right w:val="single" w:sz="8" w:color="074A75"/>
            </w:tcBorders>
            <w:shd w:val="clear" w:color="auto" w:fill="074A75"/>
          </w:tcPr>
          <w:p>
            <w:pPr>
              <w:spacing w:after="0"/>
              <w:rPr>
                <w:sz w:val="18"/>
                <w:szCs w:val="18"/>
                <w:color w:val="auto"/>
              </w:rPr>
            </w:pPr>
          </w:p>
        </w:tc>
        <w:tc>
          <w:tcPr>
            <w:tcW w:w="2180" w:type="dxa"/>
            <w:vAlign w:val="bottom"/>
            <w:tcBorders>
              <w:bottom w:val="single" w:sz="8" w:color="074A75"/>
              <w:right w:val="single" w:sz="8" w:color="074A75"/>
            </w:tcBorders>
            <w:shd w:val="clear" w:color="auto" w:fill="074A75"/>
          </w:tcPr>
          <w:p>
            <w:pPr>
              <w:spacing w:after="0"/>
              <w:rPr>
                <w:sz w:val="18"/>
                <w:szCs w:val="18"/>
                <w:color w:val="auto"/>
              </w:rPr>
            </w:pPr>
          </w:p>
        </w:tc>
        <w:tc>
          <w:tcPr>
            <w:tcW w:w="2240" w:type="dxa"/>
            <w:vAlign w:val="bottom"/>
            <w:tcBorders>
              <w:bottom w:val="single" w:sz="8" w:color="074A75"/>
              <w:right w:val="single" w:sz="8" w:color="074A75"/>
            </w:tcBorders>
            <w:shd w:val="clear" w:color="auto" w:fill="074A75"/>
          </w:tcPr>
          <w:p>
            <w:pPr>
              <w:spacing w:after="0"/>
              <w:rPr>
                <w:sz w:val="18"/>
                <w:szCs w:val="18"/>
                <w:color w:val="auto"/>
              </w:rPr>
            </w:pPr>
          </w:p>
        </w:tc>
        <w:tc>
          <w:tcPr>
            <w:tcW w:w="2040" w:type="dxa"/>
            <w:vAlign w:val="bottom"/>
            <w:tcBorders>
              <w:bottom w:val="single" w:sz="8" w:color="074A75"/>
            </w:tcBorders>
            <w:shd w:val="clear" w:color="auto" w:fill="074A75"/>
          </w:tcPr>
          <w:p>
            <w:pPr>
              <w:spacing w:after="0"/>
              <w:rPr>
                <w:sz w:val="18"/>
                <w:szCs w:val="18"/>
                <w:color w:val="auto"/>
              </w:rPr>
            </w:pPr>
          </w:p>
        </w:tc>
      </w:tr>
      <w:tr>
        <w:trPr>
          <w:trHeight w:val="189"/>
        </w:trPr>
        <w:tc>
          <w:tcPr>
            <w:tcW w:w="2640" w:type="dxa"/>
            <w:vAlign w:val="bottom"/>
            <w:tcBorders>
              <w:right w:val="single" w:sz="8" w:color="454545"/>
            </w:tcBorders>
          </w:tcPr>
          <w:p>
            <w:pPr>
              <w:ind w:left="20"/>
              <w:spacing w:after="0" w:line="189" w:lineRule="exact"/>
              <w:rPr>
                <w:sz w:val="20"/>
                <w:szCs w:val="20"/>
                <w:color w:val="auto"/>
              </w:rPr>
            </w:pPr>
            <w:r>
              <w:rPr>
                <w:rFonts w:ascii="Arial" w:cs="Arial" w:eastAsia="Arial" w:hAnsi="Arial"/>
                <w:sz w:val="14"/>
                <w:szCs w:val="14"/>
                <w:color w:val="auto"/>
              </w:rPr>
              <w:t>– Election of directors</w:t>
            </w:r>
            <w:r>
              <w:rPr>
                <w:rFonts w:ascii="Arial" w:cs="Arial" w:eastAsia="Arial" w:hAnsi="Arial"/>
                <w:sz w:val="18"/>
                <w:szCs w:val="18"/>
                <w:color w:val="auto"/>
                <w:vertAlign w:val="superscript"/>
              </w:rPr>
              <w:t>3</w:t>
            </w:r>
          </w:p>
        </w:tc>
        <w:tc>
          <w:tcPr>
            <w:tcW w:w="21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FOR, AGAINST or ABSTAIN</w:t>
            </w:r>
          </w:p>
        </w:tc>
        <w:tc>
          <w:tcPr>
            <w:tcW w:w="218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Majority of the votes cast FOR or</w:t>
            </w:r>
          </w:p>
        </w:tc>
        <w:tc>
          <w:tcPr>
            <w:tcW w:w="224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No effect — not counted as a vote</w:t>
            </w:r>
          </w:p>
        </w:tc>
        <w:tc>
          <w:tcPr>
            <w:tcW w:w="2040" w:type="dxa"/>
            <w:vAlign w:val="bottom"/>
          </w:tcPr>
          <w:p>
            <w:pPr>
              <w:jc w:val="center"/>
              <w:spacing w:after="0"/>
              <w:rPr>
                <w:sz w:val="20"/>
                <w:szCs w:val="20"/>
                <w:color w:val="auto"/>
              </w:rPr>
            </w:pPr>
            <w:r>
              <w:rPr>
                <w:rFonts w:ascii="Arial" w:cs="Arial" w:eastAsia="Arial" w:hAnsi="Arial"/>
                <w:sz w:val="14"/>
                <w:szCs w:val="14"/>
                <w:color w:val="auto"/>
              </w:rPr>
              <w:t>No effect — not entitled to vote</w:t>
            </w:r>
          </w:p>
        </w:tc>
      </w:tr>
      <w:tr>
        <w:trPr>
          <w:trHeight w:val="153"/>
        </w:trPr>
        <w:tc>
          <w:tcPr>
            <w:tcW w:w="2640" w:type="dxa"/>
            <w:vAlign w:val="bottom"/>
            <w:tcBorders>
              <w:right w:val="single" w:sz="8" w:color="454545"/>
            </w:tcBorders>
          </w:tcPr>
          <w:p>
            <w:pPr>
              <w:spacing w:after="0"/>
              <w:rPr>
                <w:sz w:val="13"/>
                <w:szCs w:val="13"/>
                <w:color w:val="auto"/>
              </w:rPr>
            </w:pPr>
          </w:p>
        </w:tc>
        <w:tc>
          <w:tcPr>
            <w:tcW w:w="2140" w:type="dxa"/>
            <w:vAlign w:val="bottom"/>
            <w:tcBorders>
              <w:right w:val="single" w:sz="8" w:color="454545"/>
            </w:tcBorders>
          </w:tcPr>
          <w:p>
            <w:pPr>
              <w:ind w:left="20"/>
              <w:spacing w:after="0" w:line="153" w:lineRule="exact"/>
              <w:rPr>
                <w:sz w:val="20"/>
                <w:szCs w:val="20"/>
                <w:color w:val="auto"/>
              </w:rPr>
            </w:pPr>
            <w:r>
              <w:rPr>
                <w:rFonts w:ascii="Arial" w:cs="Arial" w:eastAsia="Arial" w:hAnsi="Arial"/>
                <w:sz w:val="14"/>
                <w:szCs w:val="14"/>
                <w:color w:val="auto"/>
              </w:rPr>
              <w:t>(for each director nominee)</w:t>
            </w:r>
          </w:p>
        </w:tc>
        <w:tc>
          <w:tcPr>
            <w:tcW w:w="2180" w:type="dxa"/>
            <w:vAlign w:val="bottom"/>
            <w:tcBorders>
              <w:right w:val="single" w:sz="8" w:color="454545"/>
            </w:tcBorders>
          </w:tcPr>
          <w:p>
            <w:pPr>
              <w:spacing w:after="0" w:line="153" w:lineRule="exact"/>
              <w:rPr>
                <w:sz w:val="20"/>
                <w:szCs w:val="20"/>
                <w:color w:val="auto"/>
              </w:rPr>
            </w:pPr>
            <w:r>
              <w:rPr>
                <w:rFonts w:ascii="Arial" w:cs="Arial" w:eastAsia="Arial" w:hAnsi="Arial"/>
                <w:sz w:val="14"/>
                <w:szCs w:val="14"/>
                <w:color w:val="auto"/>
              </w:rPr>
              <w:t>AGAINST (for each director</w:t>
            </w:r>
          </w:p>
        </w:tc>
        <w:tc>
          <w:tcPr>
            <w:tcW w:w="2240" w:type="dxa"/>
            <w:vAlign w:val="bottom"/>
            <w:tcBorders>
              <w:right w:val="single" w:sz="8" w:color="454545"/>
            </w:tcBorders>
          </w:tcPr>
          <w:p>
            <w:pPr>
              <w:spacing w:after="0" w:line="153" w:lineRule="exact"/>
              <w:rPr>
                <w:sz w:val="20"/>
                <w:szCs w:val="20"/>
                <w:color w:val="auto"/>
              </w:rPr>
            </w:pPr>
            <w:r>
              <w:rPr>
                <w:rFonts w:ascii="Arial" w:cs="Arial" w:eastAsia="Arial" w:hAnsi="Arial"/>
                <w:sz w:val="14"/>
                <w:szCs w:val="14"/>
                <w:color w:val="auto"/>
              </w:rPr>
              <w:t>cast</w:t>
            </w:r>
          </w:p>
        </w:tc>
        <w:tc>
          <w:tcPr>
            <w:tcW w:w="2040" w:type="dxa"/>
            <w:vAlign w:val="bottom"/>
          </w:tcPr>
          <w:p>
            <w:pPr>
              <w:spacing w:after="0"/>
              <w:rPr>
                <w:sz w:val="13"/>
                <w:szCs w:val="13"/>
                <w:color w:val="auto"/>
              </w:rPr>
            </w:pPr>
          </w:p>
        </w:tc>
      </w:tr>
      <w:tr>
        <w:trPr>
          <w:trHeight w:val="198"/>
        </w:trPr>
        <w:tc>
          <w:tcPr>
            <w:tcW w:w="2640" w:type="dxa"/>
            <w:vAlign w:val="bottom"/>
            <w:tcBorders>
              <w:right w:val="single" w:sz="8" w:color="454545"/>
            </w:tcBorders>
          </w:tcPr>
          <w:p>
            <w:pPr>
              <w:spacing w:after="0"/>
              <w:rPr>
                <w:sz w:val="17"/>
                <w:szCs w:val="17"/>
                <w:color w:val="auto"/>
              </w:rPr>
            </w:pPr>
          </w:p>
        </w:tc>
        <w:tc>
          <w:tcPr>
            <w:tcW w:w="2140" w:type="dxa"/>
            <w:vAlign w:val="bottom"/>
            <w:tcBorders>
              <w:right w:val="single" w:sz="8" w:color="454545"/>
            </w:tcBorders>
          </w:tcPr>
          <w:p>
            <w:pPr>
              <w:spacing w:after="0"/>
              <w:rPr>
                <w:sz w:val="17"/>
                <w:szCs w:val="17"/>
                <w:color w:val="auto"/>
              </w:rPr>
            </w:pPr>
          </w:p>
        </w:tc>
        <w:tc>
          <w:tcPr>
            <w:tcW w:w="218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nominee)</w:t>
            </w:r>
          </w:p>
        </w:tc>
        <w:tc>
          <w:tcPr>
            <w:tcW w:w="2240" w:type="dxa"/>
            <w:vAlign w:val="bottom"/>
            <w:tcBorders>
              <w:right w:val="single" w:sz="8" w:color="454545"/>
            </w:tcBorders>
          </w:tcPr>
          <w:p>
            <w:pPr>
              <w:spacing w:after="0"/>
              <w:rPr>
                <w:sz w:val="17"/>
                <w:szCs w:val="17"/>
                <w:color w:val="auto"/>
              </w:rPr>
            </w:pPr>
          </w:p>
        </w:tc>
        <w:tc>
          <w:tcPr>
            <w:tcW w:w="2040" w:type="dxa"/>
            <w:vAlign w:val="bottom"/>
          </w:tcPr>
          <w:p>
            <w:pPr>
              <w:spacing w:after="0"/>
              <w:rPr>
                <w:sz w:val="17"/>
                <w:szCs w:val="17"/>
                <w:color w:val="auto"/>
              </w:rPr>
            </w:pPr>
          </w:p>
        </w:tc>
      </w:tr>
      <w:tr>
        <w:trPr>
          <w:trHeight w:val="210"/>
        </w:trPr>
        <w:tc>
          <w:tcPr>
            <w:tcW w:w="2640" w:type="dxa"/>
            <w:vAlign w:val="bottom"/>
            <w:tcBorders>
              <w:bottom w:val="single" w:sz="8" w:color="074A75"/>
              <w:right w:val="single" w:sz="8" w:color="074A75"/>
            </w:tcBorders>
            <w:shd w:val="clear" w:color="auto" w:fill="074A75"/>
          </w:tcPr>
          <w:p>
            <w:pPr>
              <w:ind w:left="20"/>
              <w:spacing w:after="0"/>
              <w:rPr>
                <w:sz w:val="20"/>
                <w:szCs w:val="20"/>
                <w:color w:val="auto"/>
              </w:rPr>
            </w:pPr>
            <w:r>
              <w:rPr>
                <w:rFonts w:ascii="Arial" w:cs="Arial" w:eastAsia="Arial" w:hAnsi="Arial"/>
                <w:sz w:val="14"/>
                <w:szCs w:val="14"/>
                <w:color w:val="FFFFFF"/>
              </w:rPr>
              <w:t>Executive Compensation:</w:t>
            </w:r>
          </w:p>
        </w:tc>
        <w:tc>
          <w:tcPr>
            <w:tcW w:w="2140" w:type="dxa"/>
            <w:vAlign w:val="bottom"/>
            <w:tcBorders>
              <w:bottom w:val="single" w:sz="8" w:color="074A75"/>
              <w:right w:val="single" w:sz="8" w:color="074A75"/>
            </w:tcBorders>
            <w:shd w:val="clear" w:color="auto" w:fill="074A75"/>
          </w:tcPr>
          <w:p>
            <w:pPr>
              <w:spacing w:after="0"/>
              <w:rPr>
                <w:sz w:val="18"/>
                <w:szCs w:val="18"/>
                <w:color w:val="auto"/>
              </w:rPr>
            </w:pPr>
          </w:p>
        </w:tc>
        <w:tc>
          <w:tcPr>
            <w:tcW w:w="2180" w:type="dxa"/>
            <w:vAlign w:val="bottom"/>
            <w:tcBorders>
              <w:bottom w:val="single" w:sz="8" w:color="074A75"/>
              <w:right w:val="single" w:sz="8" w:color="074A75"/>
            </w:tcBorders>
            <w:shd w:val="clear" w:color="auto" w:fill="074A75"/>
          </w:tcPr>
          <w:p>
            <w:pPr>
              <w:spacing w:after="0"/>
              <w:rPr>
                <w:sz w:val="18"/>
                <w:szCs w:val="18"/>
                <w:color w:val="auto"/>
              </w:rPr>
            </w:pPr>
          </w:p>
        </w:tc>
        <w:tc>
          <w:tcPr>
            <w:tcW w:w="2240" w:type="dxa"/>
            <w:vAlign w:val="bottom"/>
            <w:tcBorders>
              <w:bottom w:val="single" w:sz="8" w:color="074A75"/>
              <w:right w:val="single" w:sz="8" w:color="074A75"/>
            </w:tcBorders>
            <w:shd w:val="clear" w:color="auto" w:fill="074A75"/>
          </w:tcPr>
          <w:p>
            <w:pPr>
              <w:spacing w:after="0"/>
              <w:rPr>
                <w:sz w:val="18"/>
                <w:szCs w:val="18"/>
                <w:color w:val="auto"/>
              </w:rPr>
            </w:pPr>
          </w:p>
        </w:tc>
        <w:tc>
          <w:tcPr>
            <w:tcW w:w="2040" w:type="dxa"/>
            <w:vAlign w:val="bottom"/>
            <w:tcBorders>
              <w:bottom w:val="single" w:sz="8" w:color="074A75"/>
            </w:tcBorders>
            <w:shd w:val="clear" w:color="auto" w:fill="074A75"/>
          </w:tcPr>
          <w:p>
            <w:pPr>
              <w:spacing w:after="0"/>
              <w:rPr>
                <w:sz w:val="18"/>
                <w:szCs w:val="18"/>
                <w:color w:val="auto"/>
              </w:rPr>
            </w:pPr>
          </w:p>
        </w:tc>
      </w:tr>
      <w:tr>
        <w:trPr>
          <w:trHeight w:val="189"/>
        </w:trPr>
        <w:tc>
          <w:tcPr>
            <w:tcW w:w="2640" w:type="dxa"/>
            <w:vAlign w:val="bottom"/>
            <w:tcBorders>
              <w:right w:val="single" w:sz="8" w:color="454545"/>
            </w:tcBorders>
          </w:tcPr>
          <w:p>
            <w:pPr>
              <w:ind w:left="20"/>
              <w:spacing w:after="0" w:line="189" w:lineRule="exact"/>
              <w:rPr>
                <w:sz w:val="20"/>
                <w:szCs w:val="20"/>
                <w:color w:val="auto"/>
              </w:rPr>
            </w:pPr>
            <w:r>
              <w:rPr>
                <w:rFonts w:ascii="Arial" w:cs="Arial" w:eastAsia="Arial" w:hAnsi="Arial"/>
                <w:sz w:val="14"/>
                <w:szCs w:val="14"/>
                <w:color w:val="auto"/>
              </w:rPr>
              <w:t>– Advisory vote on compensation</w:t>
            </w:r>
            <w:r>
              <w:rPr>
                <w:rFonts w:ascii="Arial" w:cs="Arial" w:eastAsia="Arial" w:hAnsi="Arial"/>
                <w:sz w:val="18"/>
                <w:szCs w:val="18"/>
                <w:color w:val="auto"/>
                <w:vertAlign w:val="superscript"/>
              </w:rPr>
              <w:t>4</w:t>
            </w:r>
          </w:p>
        </w:tc>
        <w:tc>
          <w:tcPr>
            <w:tcW w:w="21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FOR, AGAINST or ABSTAIN</w:t>
            </w:r>
          </w:p>
        </w:tc>
        <w:tc>
          <w:tcPr>
            <w:tcW w:w="218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Majority of the shares present or</w:t>
            </w:r>
          </w:p>
        </w:tc>
        <w:tc>
          <w:tcPr>
            <w:tcW w:w="224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Counts as a vote AGAINST</w:t>
            </w:r>
          </w:p>
        </w:tc>
        <w:tc>
          <w:tcPr>
            <w:tcW w:w="2040" w:type="dxa"/>
            <w:vAlign w:val="bottom"/>
          </w:tcPr>
          <w:p>
            <w:pPr>
              <w:jc w:val="center"/>
              <w:spacing w:after="0"/>
              <w:rPr>
                <w:sz w:val="20"/>
                <w:szCs w:val="20"/>
                <w:color w:val="auto"/>
              </w:rPr>
            </w:pPr>
            <w:r>
              <w:rPr>
                <w:rFonts w:ascii="Arial" w:cs="Arial" w:eastAsia="Arial" w:hAnsi="Arial"/>
                <w:sz w:val="14"/>
                <w:szCs w:val="14"/>
                <w:color w:val="auto"/>
              </w:rPr>
              <w:t>No effect — not entitled to vote</w:t>
            </w:r>
          </w:p>
        </w:tc>
      </w:tr>
      <w:tr>
        <w:trPr>
          <w:trHeight w:val="153"/>
        </w:trPr>
        <w:tc>
          <w:tcPr>
            <w:tcW w:w="2640" w:type="dxa"/>
            <w:vAlign w:val="bottom"/>
            <w:tcBorders>
              <w:right w:val="single" w:sz="8" w:color="454545"/>
            </w:tcBorders>
          </w:tcPr>
          <w:p>
            <w:pPr>
              <w:spacing w:after="0"/>
              <w:rPr>
                <w:sz w:val="13"/>
                <w:szCs w:val="13"/>
                <w:color w:val="auto"/>
              </w:rPr>
            </w:pPr>
          </w:p>
        </w:tc>
        <w:tc>
          <w:tcPr>
            <w:tcW w:w="2140" w:type="dxa"/>
            <w:vAlign w:val="bottom"/>
            <w:tcBorders>
              <w:right w:val="single" w:sz="8" w:color="454545"/>
            </w:tcBorders>
          </w:tcPr>
          <w:p>
            <w:pPr>
              <w:spacing w:after="0"/>
              <w:rPr>
                <w:sz w:val="13"/>
                <w:szCs w:val="13"/>
                <w:color w:val="auto"/>
              </w:rPr>
            </w:pPr>
          </w:p>
        </w:tc>
        <w:tc>
          <w:tcPr>
            <w:tcW w:w="2180" w:type="dxa"/>
            <w:vAlign w:val="bottom"/>
            <w:tcBorders>
              <w:right w:val="single" w:sz="8" w:color="454545"/>
            </w:tcBorders>
          </w:tcPr>
          <w:p>
            <w:pPr>
              <w:spacing w:after="0" w:line="153" w:lineRule="exact"/>
              <w:rPr>
                <w:sz w:val="20"/>
                <w:szCs w:val="20"/>
                <w:color w:val="auto"/>
              </w:rPr>
            </w:pPr>
            <w:r>
              <w:rPr>
                <w:rFonts w:ascii="Arial" w:cs="Arial" w:eastAsia="Arial" w:hAnsi="Arial"/>
                <w:sz w:val="14"/>
                <w:szCs w:val="14"/>
                <w:color w:val="auto"/>
              </w:rPr>
              <w:t>represented by proxy and entitled</w:t>
            </w:r>
          </w:p>
        </w:tc>
        <w:tc>
          <w:tcPr>
            <w:tcW w:w="2240" w:type="dxa"/>
            <w:vAlign w:val="bottom"/>
            <w:tcBorders>
              <w:right w:val="single" w:sz="8" w:color="454545"/>
            </w:tcBorders>
          </w:tcPr>
          <w:p>
            <w:pPr>
              <w:spacing w:after="0"/>
              <w:rPr>
                <w:sz w:val="13"/>
                <w:szCs w:val="13"/>
                <w:color w:val="auto"/>
              </w:rPr>
            </w:pPr>
          </w:p>
        </w:tc>
        <w:tc>
          <w:tcPr>
            <w:tcW w:w="2040" w:type="dxa"/>
            <w:vAlign w:val="bottom"/>
          </w:tcPr>
          <w:p>
            <w:pPr>
              <w:spacing w:after="0"/>
              <w:rPr>
                <w:sz w:val="13"/>
                <w:szCs w:val="13"/>
                <w:color w:val="auto"/>
              </w:rPr>
            </w:pPr>
          </w:p>
        </w:tc>
      </w:tr>
      <w:tr>
        <w:trPr>
          <w:trHeight w:val="194"/>
        </w:trPr>
        <w:tc>
          <w:tcPr>
            <w:tcW w:w="2640" w:type="dxa"/>
            <w:vAlign w:val="bottom"/>
            <w:tcBorders>
              <w:bottom w:val="single" w:sz="8" w:color="auto"/>
              <w:right w:val="single" w:sz="8" w:color="454545"/>
            </w:tcBorders>
          </w:tcPr>
          <w:p>
            <w:pPr>
              <w:spacing w:after="0"/>
              <w:rPr>
                <w:sz w:val="16"/>
                <w:szCs w:val="16"/>
                <w:color w:val="auto"/>
              </w:rPr>
            </w:pPr>
          </w:p>
        </w:tc>
        <w:tc>
          <w:tcPr>
            <w:tcW w:w="2140" w:type="dxa"/>
            <w:vAlign w:val="bottom"/>
            <w:tcBorders>
              <w:bottom w:val="single" w:sz="8" w:color="auto"/>
              <w:right w:val="single" w:sz="8" w:color="454545"/>
            </w:tcBorders>
          </w:tcPr>
          <w:p>
            <w:pPr>
              <w:spacing w:after="0"/>
              <w:rPr>
                <w:sz w:val="16"/>
                <w:szCs w:val="16"/>
                <w:color w:val="auto"/>
              </w:rPr>
            </w:pPr>
          </w:p>
        </w:tc>
        <w:tc>
          <w:tcPr>
            <w:tcW w:w="2180" w:type="dxa"/>
            <w:vAlign w:val="bottom"/>
            <w:tcBorders>
              <w:bottom w:val="single" w:sz="8" w:color="auto"/>
              <w:right w:val="single" w:sz="8" w:color="454545"/>
            </w:tcBorders>
          </w:tcPr>
          <w:p>
            <w:pPr>
              <w:spacing w:after="0"/>
              <w:rPr>
                <w:sz w:val="20"/>
                <w:szCs w:val="20"/>
                <w:color w:val="auto"/>
              </w:rPr>
            </w:pPr>
            <w:r>
              <w:rPr>
                <w:rFonts w:ascii="Arial" w:cs="Arial" w:eastAsia="Arial" w:hAnsi="Arial"/>
                <w:sz w:val="14"/>
                <w:szCs w:val="14"/>
                <w:color w:val="auto"/>
              </w:rPr>
              <w:t>to vote on the proposal</w:t>
            </w:r>
          </w:p>
        </w:tc>
        <w:tc>
          <w:tcPr>
            <w:tcW w:w="2240" w:type="dxa"/>
            <w:vAlign w:val="bottom"/>
            <w:tcBorders>
              <w:bottom w:val="single" w:sz="8" w:color="auto"/>
              <w:right w:val="single" w:sz="8" w:color="454545"/>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r>
      <w:tr>
        <w:trPr>
          <w:trHeight w:val="177"/>
        </w:trPr>
        <w:tc>
          <w:tcPr>
            <w:tcW w:w="26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 Approval of amended and restated</w:t>
            </w:r>
          </w:p>
        </w:tc>
        <w:tc>
          <w:tcPr>
            <w:tcW w:w="21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FOR, AGAINST or ABSTAIN</w:t>
            </w:r>
          </w:p>
        </w:tc>
        <w:tc>
          <w:tcPr>
            <w:tcW w:w="218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Majority of the shares present or</w:t>
            </w:r>
          </w:p>
        </w:tc>
        <w:tc>
          <w:tcPr>
            <w:tcW w:w="224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Counts as a vote AGAINST</w:t>
            </w:r>
          </w:p>
        </w:tc>
        <w:tc>
          <w:tcPr>
            <w:tcW w:w="2040" w:type="dxa"/>
            <w:vAlign w:val="bottom"/>
          </w:tcPr>
          <w:p>
            <w:pPr>
              <w:jc w:val="center"/>
              <w:spacing w:after="0"/>
              <w:rPr>
                <w:sz w:val="20"/>
                <w:szCs w:val="20"/>
                <w:color w:val="auto"/>
              </w:rPr>
            </w:pPr>
            <w:r>
              <w:rPr>
                <w:rFonts w:ascii="Arial" w:cs="Arial" w:eastAsia="Arial" w:hAnsi="Arial"/>
                <w:sz w:val="14"/>
                <w:szCs w:val="14"/>
                <w:color w:val="auto"/>
              </w:rPr>
              <w:t>No effect — not entitled to vote</w:t>
            </w:r>
          </w:p>
        </w:tc>
      </w:tr>
      <w:tr>
        <w:trPr>
          <w:trHeight w:val="162"/>
        </w:trPr>
        <w:tc>
          <w:tcPr>
            <w:tcW w:w="26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long-term incentive plan</w:t>
            </w:r>
          </w:p>
        </w:tc>
        <w:tc>
          <w:tcPr>
            <w:tcW w:w="2140" w:type="dxa"/>
            <w:vAlign w:val="bottom"/>
            <w:tcBorders>
              <w:right w:val="single" w:sz="8" w:color="454545"/>
            </w:tcBorders>
          </w:tcPr>
          <w:p>
            <w:pPr>
              <w:spacing w:after="0"/>
              <w:rPr>
                <w:sz w:val="14"/>
                <w:szCs w:val="14"/>
                <w:color w:val="auto"/>
              </w:rPr>
            </w:pPr>
          </w:p>
        </w:tc>
        <w:tc>
          <w:tcPr>
            <w:tcW w:w="218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represented by proxy and entitled</w:t>
            </w:r>
          </w:p>
        </w:tc>
        <w:tc>
          <w:tcPr>
            <w:tcW w:w="2240" w:type="dxa"/>
            <w:vAlign w:val="bottom"/>
            <w:tcBorders>
              <w:right w:val="single" w:sz="8" w:color="454545"/>
            </w:tcBorders>
          </w:tcPr>
          <w:p>
            <w:pPr>
              <w:spacing w:after="0"/>
              <w:rPr>
                <w:sz w:val="14"/>
                <w:szCs w:val="14"/>
                <w:color w:val="auto"/>
              </w:rPr>
            </w:pPr>
          </w:p>
        </w:tc>
        <w:tc>
          <w:tcPr>
            <w:tcW w:w="2040" w:type="dxa"/>
            <w:vAlign w:val="bottom"/>
          </w:tcPr>
          <w:p>
            <w:pPr>
              <w:spacing w:after="0"/>
              <w:rPr>
                <w:sz w:val="14"/>
                <w:szCs w:val="14"/>
                <w:color w:val="auto"/>
              </w:rPr>
            </w:pPr>
          </w:p>
        </w:tc>
      </w:tr>
      <w:tr>
        <w:trPr>
          <w:trHeight w:val="198"/>
        </w:trPr>
        <w:tc>
          <w:tcPr>
            <w:tcW w:w="2640" w:type="dxa"/>
            <w:vAlign w:val="bottom"/>
            <w:tcBorders>
              <w:right w:val="single" w:sz="8" w:color="454545"/>
            </w:tcBorders>
          </w:tcPr>
          <w:p>
            <w:pPr>
              <w:spacing w:after="0"/>
              <w:rPr>
                <w:sz w:val="17"/>
                <w:szCs w:val="17"/>
                <w:color w:val="auto"/>
              </w:rPr>
            </w:pPr>
          </w:p>
        </w:tc>
        <w:tc>
          <w:tcPr>
            <w:tcW w:w="2140" w:type="dxa"/>
            <w:vAlign w:val="bottom"/>
            <w:tcBorders>
              <w:right w:val="single" w:sz="8" w:color="454545"/>
            </w:tcBorders>
          </w:tcPr>
          <w:p>
            <w:pPr>
              <w:spacing w:after="0"/>
              <w:rPr>
                <w:sz w:val="17"/>
                <w:szCs w:val="17"/>
                <w:color w:val="auto"/>
              </w:rPr>
            </w:pPr>
          </w:p>
        </w:tc>
        <w:tc>
          <w:tcPr>
            <w:tcW w:w="218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to vote on the proposal</w:t>
            </w:r>
          </w:p>
        </w:tc>
        <w:tc>
          <w:tcPr>
            <w:tcW w:w="2240" w:type="dxa"/>
            <w:vAlign w:val="bottom"/>
            <w:tcBorders>
              <w:right w:val="single" w:sz="8" w:color="454545"/>
            </w:tcBorders>
          </w:tcPr>
          <w:p>
            <w:pPr>
              <w:spacing w:after="0"/>
              <w:rPr>
                <w:sz w:val="17"/>
                <w:szCs w:val="17"/>
                <w:color w:val="auto"/>
              </w:rPr>
            </w:pPr>
          </w:p>
        </w:tc>
        <w:tc>
          <w:tcPr>
            <w:tcW w:w="2040" w:type="dxa"/>
            <w:vAlign w:val="bottom"/>
          </w:tcPr>
          <w:p>
            <w:pPr>
              <w:spacing w:after="0"/>
              <w:rPr>
                <w:sz w:val="17"/>
                <w:szCs w:val="17"/>
                <w:color w:val="auto"/>
              </w:rPr>
            </w:pPr>
          </w:p>
        </w:tc>
      </w:tr>
      <w:tr>
        <w:trPr>
          <w:trHeight w:val="208"/>
        </w:trPr>
        <w:tc>
          <w:tcPr>
            <w:tcW w:w="2640" w:type="dxa"/>
            <w:vAlign w:val="bottom"/>
            <w:tcBorders>
              <w:right w:val="single" w:sz="8" w:color="074A75"/>
            </w:tcBorders>
            <w:shd w:val="clear" w:color="auto" w:fill="074A75"/>
          </w:tcPr>
          <w:p>
            <w:pPr>
              <w:ind w:left="20"/>
              <w:spacing w:after="0"/>
              <w:rPr>
                <w:sz w:val="20"/>
                <w:szCs w:val="20"/>
                <w:color w:val="auto"/>
              </w:rPr>
            </w:pPr>
            <w:r>
              <w:rPr>
                <w:rFonts w:ascii="Arial" w:cs="Arial" w:eastAsia="Arial" w:hAnsi="Arial"/>
                <w:sz w:val="14"/>
                <w:szCs w:val="14"/>
                <w:color w:val="FFFFFF"/>
              </w:rPr>
              <w:t>Audit Matters:</w:t>
            </w:r>
          </w:p>
        </w:tc>
        <w:tc>
          <w:tcPr>
            <w:tcW w:w="2140" w:type="dxa"/>
            <w:vAlign w:val="bottom"/>
            <w:tcBorders>
              <w:right w:val="single" w:sz="8" w:color="074A75"/>
            </w:tcBorders>
            <w:shd w:val="clear" w:color="auto" w:fill="074A75"/>
          </w:tcPr>
          <w:p>
            <w:pPr>
              <w:spacing w:after="0"/>
              <w:rPr>
                <w:sz w:val="18"/>
                <w:szCs w:val="18"/>
                <w:color w:val="auto"/>
              </w:rPr>
            </w:pPr>
          </w:p>
        </w:tc>
        <w:tc>
          <w:tcPr>
            <w:tcW w:w="2180" w:type="dxa"/>
            <w:vAlign w:val="bottom"/>
            <w:tcBorders>
              <w:right w:val="single" w:sz="8" w:color="074A75"/>
            </w:tcBorders>
            <w:shd w:val="clear" w:color="auto" w:fill="074A75"/>
          </w:tcPr>
          <w:p>
            <w:pPr>
              <w:spacing w:after="0"/>
              <w:rPr>
                <w:sz w:val="18"/>
                <w:szCs w:val="18"/>
                <w:color w:val="auto"/>
              </w:rPr>
            </w:pPr>
          </w:p>
        </w:tc>
        <w:tc>
          <w:tcPr>
            <w:tcW w:w="2240" w:type="dxa"/>
            <w:vAlign w:val="bottom"/>
            <w:tcBorders>
              <w:right w:val="single" w:sz="8" w:color="074A75"/>
            </w:tcBorders>
            <w:shd w:val="clear" w:color="auto" w:fill="074A75"/>
          </w:tcPr>
          <w:p>
            <w:pPr>
              <w:spacing w:after="0"/>
              <w:rPr>
                <w:sz w:val="18"/>
                <w:szCs w:val="18"/>
                <w:color w:val="auto"/>
              </w:rPr>
            </w:pPr>
          </w:p>
        </w:tc>
        <w:tc>
          <w:tcPr>
            <w:tcW w:w="2040" w:type="dxa"/>
            <w:vAlign w:val="bottom"/>
            <w:shd w:val="clear" w:color="auto" w:fill="074A75"/>
          </w:tcPr>
          <w:p>
            <w:pPr>
              <w:spacing w:after="0"/>
              <w:rPr>
                <w:sz w:val="18"/>
                <w:szCs w:val="18"/>
                <w:color w:val="auto"/>
              </w:rPr>
            </w:pPr>
          </w:p>
        </w:tc>
      </w:tr>
      <w:tr>
        <w:trPr>
          <w:trHeight w:val="22"/>
        </w:trPr>
        <w:tc>
          <w:tcPr>
            <w:tcW w:w="2640" w:type="dxa"/>
            <w:vAlign w:val="bottom"/>
            <w:tcBorders>
              <w:right w:val="single" w:sz="8" w:color="074A75"/>
            </w:tcBorders>
            <w:shd w:val="clear" w:color="auto" w:fill="074A75"/>
          </w:tcPr>
          <w:p>
            <w:pPr>
              <w:spacing w:after="0" w:line="20" w:lineRule="exact"/>
              <w:rPr>
                <w:sz w:val="1"/>
                <w:szCs w:val="1"/>
                <w:color w:val="auto"/>
              </w:rPr>
            </w:pPr>
          </w:p>
        </w:tc>
        <w:tc>
          <w:tcPr>
            <w:tcW w:w="2140" w:type="dxa"/>
            <w:vAlign w:val="bottom"/>
            <w:tcBorders>
              <w:right w:val="single" w:sz="8" w:color="074A75"/>
            </w:tcBorders>
            <w:shd w:val="clear" w:color="auto" w:fill="074A75"/>
          </w:tcPr>
          <w:p>
            <w:pPr>
              <w:spacing w:after="0" w:line="20" w:lineRule="exact"/>
              <w:rPr>
                <w:sz w:val="1"/>
                <w:szCs w:val="1"/>
                <w:color w:val="auto"/>
              </w:rPr>
            </w:pPr>
          </w:p>
        </w:tc>
        <w:tc>
          <w:tcPr>
            <w:tcW w:w="2180" w:type="dxa"/>
            <w:vAlign w:val="bottom"/>
            <w:tcBorders>
              <w:right w:val="single" w:sz="8" w:color="074A75"/>
            </w:tcBorders>
            <w:shd w:val="clear" w:color="auto" w:fill="074A75"/>
          </w:tcPr>
          <w:p>
            <w:pPr>
              <w:spacing w:after="0" w:line="20" w:lineRule="exact"/>
              <w:rPr>
                <w:sz w:val="1"/>
                <w:szCs w:val="1"/>
                <w:color w:val="auto"/>
              </w:rPr>
            </w:pPr>
          </w:p>
        </w:tc>
        <w:tc>
          <w:tcPr>
            <w:tcW w:w="2240" w:type="dxa"/>
            <w:vAlign w:val="bottom"/>
            <w:tcBorders>
              <w:right w:val="single" w:sz="8" w:color="074A75"/>
            </w:tcBorders>
            <w:shd w:val="clear" w:color="auto" w:fill="074A75"/>
          </w:tcPr>
          <w:p>
            <w:pPr>
              <w:spacing w:after="0" w:line="20" w:lineRule="exact"/>
              <w:rPr>
                <w:sz w:val="1"/>
                <w:szCs w:val="1"/>
                <w:color w:val="auto"/>
              </w:rPr>
            </w:pPr>
          </w:p>
        </w:tc>
        <w:tc>
          <w:tcPr>
            <w:tcW w:w="2040" w:type="dxa"/>
            <w:vAlign w:val="bottom"/>
            <w:shd w:val="clear" w:color="auto" w:fill="074A75"/>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0</wp:posOffset>
            </wp:positionV>
            <wp:extent cx="8890" cy="45402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4540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00" w:type="dxa"/>
            <w:vAlign w:val="bottom"/>
          </w:tcPr>
          <w:p>
            <w:pPr>
              <w:spacing w:after="0"/>
              <w:rPr>
                <w:sz w:val="20"/>
                <w:szCs w:val="20"/>
                <w:color w:val="auto"/>
              </w:rPr>
            </w:pPr>
            <w:r>
              <w:rPr>
                <w:rFonts w:ascii="Arial" w:cs="Arial" w:eastAsia="Arial" w:hAnsi="Arial"/>
                <w:sz w:val="14"/>
                <w:szCs w:val="14"/>
                <w:color w:val="auto"/>
              </w:rPr>
              <w:t>Ratification of independent auditor</w:t>
            </w:r>
          </w:p>
        </w:tc>
        <w:tc>
          <w:tcPr>
            <w:tcW w:w="2140" w:type="dxa"/>
            <w:vAlign w:val="bottom"/>
            <w:tcBorders>
              <w:left w:val="single" w:sz="8" w:color="454545"/>
              <w:right w:val="single" w:sz="8" w:color="454545"/>
            </w:tcBorders>
          </w:tcPr>
          <w:p>
            <w:pPr>
              <w:ind w:left="40"/>
              <w:spacing w:after="0"/>
              <w:rPr>
                <w:sz w:val="20"/>
                <w:szCs w:val="20"/>
                <w:color w:val="auto"/>
              </w:rPr>
            </w:pPr>
            <w:r>
              <w:rPr>
                <w:rFonts w:ascii="Arial" w:cs="Arial" w:eastAsia="Arial" w:hAnsi="Arial"/>
                <w:sz w:val="14"/>
                <w:szCs w:val="14"/>
                <w:color w:val="auto"/>
              </w:rPr>
              <w:t>FOR, AGAINST or ABSTAIN</w:t>
            </w: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Majority of the shares present or</w:t>
            </w:r>
          </w:p>
        </w:tc>
        <w:tc>
          <w:tcPr>
            <w:tcW w:w="1760" w:type="dxa"/>
            <w:vAlign w:val="bottom"/>
          </w:tcPr>
          <w:p>
            <w:pPr>
              <w:spacing w:after="0"/>
              <w:rPr>
                <w:sz w:val="20"/>
                <w:szCs w:val="20"/>
                <w:color w:val="auto"/>
              </w:rPr>
            </w:pPr>
            <w:r>
              <w:rPr>
                <w:rFonts w:ascii="Arial" w:cs="Arial" w:eastAsia="Arial" w:hAnsi="Arial"/>
                <w:sz w:val="14"/>
                <w:szCs w:val="14"/>
                <w:color w:val="auto"/>
              </w:rPr>
              <w:t>Counts as a vote AGAINST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140" w:type="dxa"/>
            <w:vAlign w:val="bottom"/>
            <w:tcBorders>
              <w:left w:val="single" w:sz="8" w:color="454545"/>
              <w:right w:val="single" w:sz="8" w:color="454545"/>
            </w:tcBorders>
          </w:tcPr>
          <w:p>
            <w:pPr>
              <w:spacing w:after="0"/>
              <w:rPr>
                <w:sz w:val="14"/>
                <w:szCs w:val="14"/>
                <w:color w:val="auto"/>
              </w:rPr>
            </w:pP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represented by proxy and entitled</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00" w:type="dxa"/>
            <w:vAlign w:val="bottom"/>
          </w:tcPr>
          <w:p>
            <w:pPr>
              <w:spacing w:after="0"/>
              <w:rPr>
                <w:sz w:val="16"/>
                <w:szCs w:val="16"/>
                <w:color w:val="auto"/>
              </w:rPr>
            </w:pPr>
          </w:p>
        </w:tc>
        <w:tc>
          <w:tcPr>
            <w:tcW w:w="2140" w:type="dxa"/>
            <w:vAlign w:val="bottom"/>
            <w:tcBorders>
              <w:left w:val="single" w:sz="8" w:color="454545"/>
              <w:right w:val="single" w:sz="8" w:color="454545"/>
            </w:tcBorders>
          </w:tcPr>
          <w:p>
            <w:pPr>
              <w:spacing w:after="0"/>
              <w:rPr>
                <w:sz w:val="16"/>
                <w:szCs w:val="16"/>
                <w:color w:val="auto"/>
              </w:rPr>
            </w:pP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to vote on the proposal</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00" w:type="dxa"/>
            <w:vAlign w:val="bottom"/>
            <w:vMerge w:val="restart"/>
          </w:tcPr>
          <w:p>
            <w:pPr>
              <w:spacing w:after="0"/>
              <w:rPr>
                <w:sz w:val="20"/>
                <w:szCs w:val="20"/>
                <w:color w:val="auto"/>
              </w:rPr>
            </w:pPr>
            <w:r>
              <w:rPr>
                <w:rFonts w:ascii="Arial" w:cs="Arial" w:eastAsia="Arial" w:hAnsi="Arial"/>
                <w:sz w:val="14"/>
                <w:szCs w:val="14"/>
                <w:color w:val="FFFFFF"/>
              </w:rPr>
              <w:t>Shareholder Proposals:</w:t>
            </w:r>
          </w:p>
        </w:tc>
        <w:tc>
          <w:tcPr>
            <w:tcW w:w="2140" w:type="dxa"/>
            <w:vAlign w:val="bottom"/>
            <w:tcBorders>
              <w:left w:val="single" w:sz="8" w:color="454545"/>
              <w:right w:val="single" w:sz="8" w:color="454545"/>
            </w:tcBorders>
          </w:tcPr>
          <w:p>
            <w:pPr>
              <w:spacing w:after="0"/>
              <w:rPr>
                <w:sz w:val="15"/>
                <w:szCs w:val="15"/>
                <w:color w:val="auto"/>
              </w:rPr>
            </w:pPr>
          </w:p>
        </w:tc>
        <w:tc>
          <w:tcPr>
            <w:tcW w:w="2200" w:type="dxa"/>
            <w:vAlign w:val="bottom"/>
            <w:tcBorders>
              <w:right w:val="single" w:sz="8" w:color="454545"/>
            </w:tcBorders>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60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4541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62" w:lineRule="auto"/>
        <w:rPr>
          <w:sz w:val="20"/>
          <w:szCs w:val="20"/>
          <w:color w:val="auto"/>
        </w:rPr>
      </w:pPr>
      <w:r>
        <w:rPr>
          <w:rFonts w:ascii="Arial" w:cs="Arial" w:eastAsia="Arial" w:hAnsi="Arial"/>
          <w:sz w:val="14"/>
          <w:szCs w:val="14"/>
          <w:color w:val="auto"/>
        </w:rPr>
        <w:t>N/A — the organization that holds shares of beneficial owners may vote in their discretion</w:t>
      </w:r>
    </w:p>
    <w:p>
      <w:pPr>
        <w:spacing w:after="0" w:line="224" w:lineRule="exact"/>
        <w:rPr>
          <w:sz w:val="20"/>
          <w:szCs w:val="20"/>
          <w:color w:val="auto"/>
        </w:rPr>
      </w:pPr>
    </w:p>
    <w:p>
      <w:pPr>
        <w:sectPr>
          <w:pgSz w:w="11900" w:h="16838" w:orient="portrait"/>
          <w:cols w:equalWidth="0" w:num="2">
            <w:col w:w="8720" w:space="500"/>
            <w:col w:w="2020"/>
          </w:cols>
          <w:pgMar w:left="320" w:top="157" w:right="33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26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Voting requirements for each proposal</w:t>
            </w:r>
          </w:p>
        </w:tc>
        <w:tc>
          <w:tcPr>
            <w:tcW w:w="212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FOR, AGAINST or ABSTAIN</w:t>
            </w: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Majority of the shares present or</w:t>
            </w:r>
          </w:p>
        </w:tc>
        <w:tc>
          <w:tcPr>
            <w:tcW w:w="2240" w:type="dxa"/>
            <w:vAlign w:val="bottom"/>
            <w:tcBorders>
              <w:right w:val="single" w:sz="8" w:color="454545"/>
            </w:tcBorders>
          </w:tcPr>
          <w:p>
            <w:pPr>
              <w:spacing w:after="0"/>
              <w:rPr>
                <w:sz w:val="20"/>
                <w:szCs w:val="20"/>
                <w:color w:val="auto"/>
              </w:rPr>
            </w:pPr>
            <w:r>
              <w:rPr>
                <w:rFonts w:ascii="Arial" w:cs="Arial" w:eastAsia="Arial" w:hAnsi="Arial"/>
                <w:sz w:val="14"/>
                <w:szCs w:val="14"/>
                <w:color w:val="auto"/>
              </w:rPr>
              <w:t>Counts as a vote AGAINST</w:t>
            </w:r>
          </w:p>
        </w:tc>
        <w:tc>
          <w:tcPr>
            <w:tcW w:w="2040" w:type="dxa"/>
            <w:vAlign w:val="bottom"/>
          </w:tcPr>
          <w:p>
            <w:pPr>
              <w:ind w:left="20"/>
              <w:spacing w:after="0"/>
              <w:rPr>
                <w:sz w:val="20"/>
                <w:szCs w:val="20"/>
                <w:color w:val="auto"/>
              </w:rPr>
            </w:pPr>
            <w:r>
              <w:rPr>
                <w:rFonts w:ascii="Arial" w:cs="Arial" w:eastAsia="Arial" w:hAnsi="Arial"/>
                <w:sz w:val="14"/>
                <w:szCs w:val="14"/>
                <w:color w:val="auto"/>
              </w:rPr>
              <w:t>No effect — not entitled to vote</w:t>
            </w:r>
          </w:p>
        </w:tc>
      </w:tr>
      <w:tr>
        <w:trPr>
          <w:trHeight w:val="162"/>
        </w:trPr>
        <w:tc>
          <w:tcPr>
            <w:tcW w:w="264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are the same</w:t>
            </w:r>
          </w:p>
        </w:tc>
        <w:tc>
          <w:tcPr>
            <w:tcW w:w="2120" w:type="dxa"/>
            <w:vAlign w:val="bottom"/>
            <w:tcBorders>
              <w:right w:val="single" w:sz="8" w:color="454545"/>
            </w:tcBorders>
          </w:tcPr>
          <w:p>
            <w:pPr>
              <w:spacing w:after="0"/>
              <w:rPr>
                <w:sz w:val="14"/>
                <w:szCs w:val="14"/>
                <w:color w:val="auto"/>
              </w:rPr>
            </w:pPr>
          </w:p>
        </w:tc>
        <w:tc>
          <w:tcPr>
            <w:tcW w:w="2200" w:type="dxa"/>
            <w:vAlign w:val="bottom"/>
            <w:tcBorders>
              <w:right w:val="single" w:sz="8" w:color="454545"/>
            </w:tcBorders>
          </w:tcPr>
          <w:p>
            <w:pPr>
              <w:ind w:left="20"/>
              <w:spacing w:after="0"/>
              <w:rPr>
                <w:sz w:val="20"/>
                <w:szCs w:val="20"/>
                <w:color w:val="auto"/>
              </w:rPr>
            </w:pPr>
            <w:r>
              <w:rPr>
                <w:rFonts w:ascii="Arial" w:cs="Arial" w:eastAsia="Arial" w:hAnsi="Arial"/>
                <w:sz w:val="14"/>
                <w:szCs w:val="14"/>
                <w:color w:val="auto"/>
              </w:rPr>
              <w:t>represented by proxy and entitled</w:t>
            </w:r>
          </w:p>
        </w:tc>
        <w:tc>
          <w:tcPr>
            <w:tcW w:w="2240" w:type="dxa"/>
            <w:vAlign w:val="bottom"/>
            <w:tcBorders>
              <w:right w:val="single" w:sz="8" w:color="454545"/>
            </w:tcBorders>
          </w:tcPr>
          <w:p>
            <w:pPr>
              <w:spacing w:after="0"/>
              <w:rPr>
                <w:sz w:val="14"/>
                <w:szCs w:val="14"/>
                <w:color w:val="auto"/>
              </w:rPr>
            </w:pPr>
          </w:p>
        </w:tc>
        <w:tc>
          <w:tcPr>
            <w:tcW w:w="2040" w:type="dxa"/>
            <w:vAlign w:val="bottom"/>
          </w:tcPr>
          <w:p>
            <w:pPr>
              <w:spacing w:after="0"/>
              <w:rPr>
                <w:sz w:val="14"/>
                <w:szCs w:val="14"/>
                <w:color w:val="auto"/>
              </w:rPr>
            </w:pPr>
          </w:p>
        </w:tc>
      </w:tr>
      <w:tr>
        <w:trPr>
          <w:trHeight w:val="194"/>
        </w:trPr>
        <w:tc>
          <w:tcPr>
            <w:tcW w:w="2640" w:type="dxa"/>
            <w:vAlign w:val="bottom"/>
            <w:tcBorders>
              <w:bottom w:val="single" w:sz="8" w:color="454545"/>
              <w:right w:val="single" w:sz="8" w:color="454545"/>
            </w:tcBorders>
          </w:tcPr>
          <w:p>
            <w:pPr>
              <w:spacing w:after="0"/>
              <w:rPr>
                <w:sz w:val="16"/>
                <w:szCs w:val="16"/>
                <w:color w:val="auto"/>
              </w:rPr>
            </w:pPr>
          </w:p>
        </w:tc>
        <w:tc>
          <w:tcPr>
            <w:tcW w:w="2120" w:type="dxa"/>
            <w:vAlign w:val="bottom"/>
            <w:tcBorders>
              <w:bottom w:val="single" w:sz="8" w:color="454545"/>
              <w:right w:val="single" w:sz="8" w:color="454545"/>
            </w:tcBorders>
          </w:tcPr>
          <w:p>
            <w:pPr>
              <w:spacing w:after="0"/>
              <w:rPr>
                <w:sz w:val="16"/>
                <w:szCs w:val="16"/>
                <w:color w:val="auto"/>
              </w:rPr>
            </w:pPr>
          </w:p>
        </w:tc>
        <w:tc>
          <w:tcPr>
            <w:tcW w:w="22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4"/>
                <w:szCs w:val="14"/>
                <w:color w:val="auto"/>
              </w:rPr>
              <w:t>to vote on the proposal</w:t>
            </w:r>
          </w:p>
        </w:tc>
        <w:tc>
          <w:tcPr>
            <w:tcW w:w="2240" w:type="dxa"/>
            <w:vAlign w:val="bottom"/>
            <w:tcBorders>
              <w:bottom w:val="single" w:sz="8" w:color="454545"/>
              <w:right w:val="single" w:sz="8" w:color="454545"/>
            </w:tcBorders>
          </w:tcPr>
          <w:p>
            <w:pPr>
              <w:spacing w:after="0"/>
              <w:rPr>
                <w:sz w:val="16"/>
                <w:szCs w:val="16"/>
                <w:color w:val="auto"/>
              </w:rPr>
            </w:pPr>
          </w:p>
        </w:tc>
        <w:tc>
          <w:tcPr>
            <w:tcW w:w="2040" w:type="dxa"/>
            <w:vAlign w:val="bottom"/>
            <w:tcBorders>
              <w:bottom w:val="single" w:sz="8" w:color="454545"/>
            </w:tcBorders>
          </w:tcPr>
          <w:p>
            <w:pPr>
              <w:spacing w:after="0"/>
              <w:rPr>
                <w:sz w:val="16"/>
                <w:szCs w:val="16"/>
                <w:color w:val="auto"/>
              </w:rPr>
            </w:pPr>
          </w:p>
        </w:tc>
      </w:tr>
    </w:tbl>
    <w:p>
      <w:pPr>
        <w:spacing w:after="0" w:line="57" w:lineRule="exact"/>
        <w:rPr>
          <w:sz w:val="20"/>
          <w:szCs w:val="20"/>
          <w:color w:val="auto"/>
        </w:rPr>
      </w:pPr>
    </w:p>
    <w:p>
      <w:pPr>
        <w:ind w:left="200" w:hanging="192"/>
        <w:spacing w:after="0"/>
        <w:tabs>
          <w:tab w:leader="none" w:pos="200" w:val="left"/>
        </w:tabs>
        <w:numPr>
          <w:ilvl w:val="0"/>
          <w:numId w:val="333"/>
        </w:numPr>
        <w:rPr>
          <w:rFonts w:ascii="Arial" w:cs="Arial" w:eastAsia="Arial" w:hAnsi="Arial"/>
          <w:sz w:val="14"/>
          <w:szCs w:val="14"/>
          <w:color w:val="auto"/>
          <w:vertAlign w:val="superscript"/>
        </w:rPr>
      </w:pPr>
      <w:r>
        <w:rPr>
          <w:rFonts w:ascii="Arial" w:cs="Arial" w:eastAsia="Arial" w:hAnsi="Arial"/>
          <w:sz w:val="11"/>
          <w:szCs w:val="11"/>
          <w:color w:val="auto"/>
        </w:rPr>
        <w:t>For election of directors, abstentions have no effect because the required vote is determined as follows: votes FOR divided by the sum of votes FOR plus votes AGAINST. For all other proposals (management and</w:t>
      </w:r>
    </w:p>
    <w:p>
      <w:pPr>
        <w:ind w:left="200"/>
        <w:spacing w:after="0" w:line="234" w:lineRule="auto"/>
        <w:rPr>
          <w:rFonts w:ascii="Arial" w:cs="Arial" w:eastAsia="Arial" w:hAnsi="Arial"/>
          <w:sz w:val="14"/>
          <w:szCs w:val="14"/>
          <w:color w:val="auto"/>
          <w:vertAlign w:val="superscript"/>
        </w:rPr>
      </w:pPr>
      <w:r>
        <w:rPr>
          <w:rFonts w:ascii="Arial" w:cs="Arial" w:eastAsia="Arial" w:hAnsi="Arial"/>
          <w:sz w:val="12"/>
          <w:szCs w:val="12"/>
          <w:color w:val="auto"/>
        </w:rPr>
        <w:t>shareholder), abstentions are counted as a vote AGAINST the proposal because the required vote is determined as follows: votes FOR divided by the sum of votes FOR plus votes AGAINST plus votes</w:t>
      </w:r>
    </w:p>
    <w:p>
      <w:pPr>
        <w:ind w:left="200"/>
        <w:spacing w:after="0" w:line="229" w:lineRule="auto"/>
        <w:rPr>
          <w:sz w:val="20"/>
          <w:szCs w:val="20"/>
          <w:color w:val="auto"/>
        </w:rPr>
      </w:pPr>
      <w:r>
        <w:rPr>
          <w:rFonts w:ascii="Arial" w:cs="Arial" w:eastAsia="Arial" w:hAnsi="Arial"/>
          <w:sz w:val="12"/>
          <w:szCs w:val="12"/>
          <w:color w:val="auto"/>
        </w:rPr>
        <w:t>ABSTAINING.</w:t>
      </w:r>
    </w:p>
    <w:p>
      <w:pPr>
        <w:ind w:left="200" w:hanging="192"/>
        <w:spacing w:after="0" w:line="188" w:lineRule="auto"/>
        <w:tabs>
          <w:tab w:leader="none" w:pos="200" w:val="left"/>
        </w:tabs>
        <w:numPr>
          <w:ilvl w:val="0"/>
          <w:numId w:val="334"/>
        </w:numPr>
        <w:rPr>
          <w:rFonts w:ascii="Arial" w:cs="Arial" w:eastAsia="Arial" w:hAnsi="Arial"/>
          <w:sz w:val="15"/>
          <w:szCs w:val="15"/>
          <w:color w:val="auto"/>
          <w:vertAlign w:val="superscript"/>
        </w:rPr>
      </w:pPr>
      <w:r>
        <w:rPr>
          <w:rFonts w:ascii="Arial" w:cs="Arial" w:eastAsia="Arial" w:hAnsi="Arial"/>
          <w:sz w:val="12"/>
          <w:szCs w:val="12"/>
          <w:color w:val="auto"/>
        </w:rPr>
        <w:t>For all proposals (management and shareholder) other than ratification of the independent auditor, broker non-votes have no effect because they are not considered shares entitled to vote on the proposal.</w:t>
      </w:r>
    </w:p>
    <w:p>
      <w:pPr>
        <w:jc w:val="both"/>
        <w:ind w:left="200" w:right="80" w:hanging="192"/>
        <w:spacing w:after="0" w:line="209" w:lineRule="auto"/>
        <w:tabs>
          <w:tab w:leader="none" w:pos="196" w:val="left"/>
        </w:tabs>
        <w:numPr>
          <w:ilvl w:val="0"/>
          <w:numId w:val="335"/>
        </w:numPr>
        <w:rPr>
          <w:rFonts w:ascii="Arial" w:cs="Arial" w:eastAsia="Arial" w:hAnsi="Arial"/>
          <w:sz w:val="15"/>
          <w:szCs w:val="15"/>
          <w:color w:val="auto"/>
          <w:vertAlign w:val="superscript"/>
        </w:rPr>
      </w:pPr>
      <w:r>
        <w:rPr>
          <w:rFonts w:ascii="Arial" w:cs="Arial" w:eastAsia="Arial" w:hAnsi="Arial"/>
          <w:sz w:val="12"/>
          <w:szCs w:val="12"/>
          <w:color w:val="auto"/>
        </w:rPr>
        <w:t>If, in a non-contested election of directors, an incumbent nominee for director is not re-elected by a majority of votes cast, such nominee must tender their resignation, and the Board of Directors, through a process managed by the Governance Committee, will decide whether to accept the resignation at its next regular meeting. Unless the Board decides to reject the offer or to postpone the effective date, the resignation shall become effective 45 days after the date of the election.</w:t>
      </w:r>
    </w:p>
    <w:p>
      <w:pPr>
        <w:ind w:left="200" w:hanging="192"/>
        <w:spacing w:after="0" w:line="222" w:lineRule="auto"/>
        <w:tabs>
          <w:tab w:leader="none" w:pos="200" w:val="left"/>
        </w:tabs>
        <w:numPr>
          <w:ilvl w:val="0"/>
          <w:numId w:val="336"/>
        </w:numPr>
        <w:rPr>
          <w:rFonts w:ascii="Arial" w:cs="Arial" w:eastAsia="Arial" w:hAnsi="Arial"/>
          <w:sz w:val="15"/>
          <w:szCs w:val="15"/>
          <w:color w:val="auto"/>
          <w:vertAlign w:val="superscript"/>
        </w:rPr>
      </w:pPr>
      <w:r>
        <w:rPr>
          <w:rFonts w:ascii="Arial" w:cs="Arial" w:eastAsia="Arial" w:hAnsi="Arial"/>
          <w:sz w:val="12"/>
          <w:szCs w:val="12"/>
          <w:color w:val="auto"/>
        </w:rPr>
        <w:t>The result of the advisory vote on compensation is not binding on the Board, whether or not the resolution is passed under the standard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200025</wp:posOffset>
            </wp:positionV>
            <wp:extent cx="27432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109 </w:t>
      </w:r>
      <w:r>
        <w:rPr>
          <w:sz w:val="1"/>
          <w:szCs w:val="1"/>
          <w:color w:val="auto"/>
        </w:rPr>
        <w:drawing>
          <wp:inline distT="0" distB="0" distL="0" distR="0">
            <wp:extent cx="2203450" cy="154305"/>
            <wp:effectExtent l="0" t="0" r="0" b="0"/>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074A75"/>
        </w:rPr>
        <w:t>IS MY VOTE CONFIDENTIAL?</w:t>
      </w:r>
    </w:p>
    <w:p>
      <w:pPr>
        <w:spacing w:after="0" w:line="2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Proxy instructions, ballots and voting tabulations that identify individual shareholders are handled in a manner that protects your voting privacy. JPMorgan Chase will not disclose the proxy instructions or ballots of individual shareholders except to those recording the vote, or as may be required in accordance with appropriate legal process, or as authorized by the shareholder.</w:t>
      </w:r>
    </w:p>
    <w:p>
      <w:pPr>
        <w:spacing w:after="0" w:line="74" w:lineRule="exact"/>
        <w:rPr>
          <w:sz w:val="20"/>
          <w:szCs w:val="20"/>
          <w:color w:val="auto"/>
        </w:rPr>
      </w:pPr>
    </w:p>
    <w:p>
      <w:pPr>
        <w:ind w:right="440"/>
        <w:spacing w:after="0" w:line="255" w:lineRule="auto"/>
        <w:rPr>
          <w:sz w:val="20"/>
          <w:szCs w:val="20"/>
          <w:color w:val="auto"/>
        </w:rPr>
      </w:pPr>
      <w:r>
        <w:rPr>
          <w:rFonts w:ascii="Arial" w:cs="Arial" w:eastAsia="Arial" w:hAnsi="Arial"/>
          <w:sz w:val="20"/>
          <w:szCs w:val="20"/>
          <w:color w:val="074A75"/>
        </w:rPr>
        <w:t>COULD OTHER MATTERS BE DECIDED AT THE 2024 ANNUAL MEETING?</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do not know of any matters that will be considered at the annual meeting other than those described above. If a shareholder proposal that was properly excluded from this proxy statement or is otherwise not properly presented at the meeting is nevertheless brought before the meeting, the Chair will declare such a proposal out of order, and it will be disregarded. If any other matters arise at the annual meeting that are properly presented at the meeting, the proxies will be voted at the discretion of the proxy holders.</w:t>
      </w:r>
    </w:p>
    <w:p>
      <w:pPr>
        <w:spacing w:after="0" w:line="72" w:lineRule="exact"/>
        <w:rPr>
          <w:sz w:val="20"/>
          <w:szCs w:val="20"/>
          <w:color w:val="auto"/>
        </w:rPr>
      </w:pPr>
    </w:p>
    <w:p>
      <w:pPr>
        <w:ind w:right="620"/>
        <w:spacing w:after="0" w:line="257" w:lineRule="auto"/>
        <w:rPr>
          <w:sz w:val="20"/>
          <w:szCs w:val="20"/>
          <w:color w:val="auto"/>
        </w:rPr>
      </w:pPr>
      <w:r>
        <w:rPr>
          <w:rFonts w:ascii="Arial" w:cs="Arial" w:eastAsia="Arial" w:hAnsi="Arial"/>
          <w:sz w:val="20"/>
          <w:szCs w:val="20"/>
          <w:color w:val="074A75"/>
        </w:rPr>
        <w:t>WHAT HAPPENS IF THE MEETING IS POSTPONED OR ADJOURNED?</w:t>
      </w:r>
    </w:p>
    <w:p>
      <w:pPr>
        <w:spacing w:after="0" w:line="1"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Your proxy will still be good and may be voted at the postponed or adjourned meeting. You will still be able to change or revoke your proxy until it is voted.</w:t>
      </w:r>
    </w:p>
    <w:p>
      <w:pPr>
        <w:spacing w:after="0" w:line="68" w:lineRule="exact"/>
        <w:rPr>
          <w:sz w:val="20"/>
          <w:szCs w:val="20"/>
          <w:color w:val="auto"/>
        </w:rPr>
      </w:pPr>
    </w:p>
    <w:p>
      <w:pPr>
        <w:ind w:right="1460"/>
        <w:spacing w:after="0" w:line="257" w:lineRule="auto"/>
        <w:rPr>
          <w:sz w:val="20"/>
          <w:szCs w:val="20"/>
          <w:color w:val="auto"/>
        </w:rPr>
      </w:pPr>
      <w:r>
        <w:rPr>
          <w:rFonts w:ascii="Arial" w:cs="Arial" w:eastAsia="Arial" w:hAnsi="Arial"/>
          <w:sz w:val="20"/>
          <w:szCs w:val="20"/>
          <w:color w:val="074A75"/>
        </w:rPr>
        <w:t>WHO COUNTS THE VOTES CAST AT OUR ANNUAL MEETING?</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Representatives of Broadridge Financial Solutions, Inc. will tabulate the votes cast at our annual meeting, and American Election Services, LLC will act as the independent inspector of election.</w:t>
      </w:r>
    </w:p>
    <w:p>
      <w:pPr>
        <w:spacing w:after="0" w:line="68"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color w:val="074A75"/>
        </w:rPr>
        <w:t>WHERE CAN I FIND THE VOTING RESULTS OF OUR ANNUAL MEETING?</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expect to announce the preliminary voting results at our annual meeting. The final voting results will be reported on a Current Report on Form 8-K that will be filed with the SEC and be available on our website.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980"/>
        <w:spacing w:after="0" w:line="257" w:lineRule="auto"/>
        <w:rPr>
          <w:sz w:val="20"/>
          <w:szCs w:val="20"/>
          <w:color w:val="auto"/>
        </w:rPr>
      </w:pPr>
      <w:r>
        <w:rPr>
          <w:rFonts w:ascii="Arial" w:cs="Arial" w:eastAsia="Arial" w:hAnsi="Arial"/>
          <w:sz w:val="20"/>
          <w:szCs w:val="20"/>
          <w:color w:val="074A75"/>
        </w:rPr>
        <w:t>WHO IS PAYING THE COSTS OF THIS PROXY SOLICITATION?</w:t>
      </w:r>
    </w:p>
    <w:p>
      <w:pPr>
        <w:spacing w:after="0" w:line="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JPMorgan Chase is paying the costs of the solicitation of proxies. JPMorgan Chase has retained MacKenzie Partners, Inc. to assist in the distribution of proxy materials and the solicitation of proxies from brokerage firms, banks, broker-dealers and other similar organizations representing beneficial owners of shares. We have agreed to pay MacKenzie Partners a fee of approximately $50,000 plus reimbursement of certain out-of-pocket expenses.</w:t>
      </w:r>
    </w:p>
    <w:p>
      <w:pPr>
        <w:spacing w:after="0" w:line="7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JPMorgan Chase must also pay brokerage firms, banks, broker-dealers and other similar organizations representing beneficial owners certain fees associated with:</w:t>
      </w:r>
    </w:p>
    <w:p>
      <w:pPr>
        <w:spacing w:after="0" w:line="63" w:lineRule="exact"/>
        <w:rPr>
          <w:sz w:val="20"/>
          <w:szCs w:val="20"/>
          <w:color w:val="auto"/>
        </w:rPr>
      </w:pPr>
    </w:p>
    <w:p>
      <w:pPr>
        <w:ind w:left="200" w:right="1580" w:hanging="196"/>
        <w:spacing w:after="0" w:line="287" w:lineRule="auto"/>
        <w:tabs>
          <w:tab w:leader="none" w:pos="204" w:val="left"/>
        </w:tabs>
        <w:numPr>
          <w:ilvl w:val="0"/>
          <w:numId w:val="337"/>
        </w:numPr>
        <w:rPr>
          <w:rFonts w:ascii="Arial" w:cs="Arial" w:eastAsia="Arial" w:hAnsi="Arial"/>
          <w:sz w:val="18"/>
          <w:szCs w:val="18"/>
          <w:color w:val="074A75"/>
        </w:rPr>
      </w:pPr>
      <w:r>
        <w:rPr>
          <w:rFonts w:ascii="Arial" w:cs="Arial" w:eastAsia="Arial" w:hAnsi="Arial"/>
          <w:sz w:val="18"/>
          <w:szCs w:val="18"/>
          <w:color w:val="auto"/>
        </w:rPr>
        <w:t>Forwarding the Notice of Internet Availability to beneficial owners;</w:t>
      </w:r>
    </w:p>
    <w:p>
      <w:pPr>
        <w:spacing w:after="0" w:line="17" w:lineRule="exact"/>
        <w:rPr>
          <w:rFonts w:ascii="Arial" w:cs="Arial" w:eastAsia="Arial" w:hAnsi="Arial"/>
          <w:sz w:val="18"/>
          <w:szCs w:val="18"/>
          <w:color w:val="074A75"/>
        </w:rPr>
      </w:pPr>
    </w:p>
    <w:p>
      <w:pPr>
        <w:ind w:left="200" w:right="260" w:hanging="196"/>
        <w:spacing w:after="0" w:line="287" w:lineRule="auto"/>
        <w:tabs>
          <w:tab w:leader="none" w:pos="204" w:val="left"/>
        </w:tabs>
        <w:numPr>
          <w:ilvl w:val="0"/>
          <w:numId w:val="337"/>
        </w:numPr>
        <w:rPr>
          <w:rFonts w:ascii="Arial" w:cs="Arial" w:eastAsia="Arial" w:hAnsi="Arial"/>
          <w:sz w:val="18"/>
          <w:szCs w:val="18"/>
          <w:color w:val="074A75"/>
        </w:rPr>
      </w:pPr>
      <w:r>
        <w:rPr>
          <w:rFonts w:ascii="Arial" w:cs="Arial" w:eastAsia="Arial" w:hAnsi="Arial"/>
          <w:sz w:val="18"/>
          <w:szCs w:val="18"/>
          <w:color w:val="auto"/>
        </w:rPr>
        <w:t>Forwarding printed proxy materials by mail to beneficial owners who specifically request them; and</w:t>
      </w:r>
    </w:p>
    <w:p>
      <w:pPr>
        <w:spacing w:after="0" w:line="4" w:lineRule="exact"/>
        <w:rPr>
          <w:rFonts w:ascii="Arial" w:cs="Arial" w:eastAsia="Arial" w:hAnsi="Arial"/>
          <w:sz w:val="18"/>
          <w:szCs w:val="18"/>
          <w:color w:val="074A75"/>
        </w:rPr>
      </w:pPr>
    </w:p>
    <w:p>
      <w:pPr>
        <w:ind w:left="200" w:hanging="196"/>
        <w:spacing w:after="0"/>
        <w:tabs>
          <w:tab w:leader="none" w:pos="200" w:val="left"/>
        </w:tabs>
        <w:numPr>
          <w:ilvl w:val="0"/>
          <w:numId w:val="337"/>
        </w:numPr>
        <w:rPr>
          <w:rFonts w:ascii="Arial" w:cs="Arial" w:eastAsia="Arial" w:hAnsi="Arial"/>
          <w:sz w:val="18"/>
          <w:szCs w:val="18"/>
          <w:color w:val="074A75"/>
        </w:rPr>
      </w:pPr>
      <w:r>
        <w:rPr>
          <w:rFonts w:ascii="Arial" w:cs="Arial" w:eastAsia="Arial" w:hAnsi="Arial"/>
          <w:sz w:val="18"/>
          <w:szCs w:val="18"/>
          <w:color w:val="auto"/>
        </w:rPr>
        <w:t>Obtaining beneficial owners’ voting instructions.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solicitations by mail, the persons who will be serving as the proxies and JPMorgan Chase’s directors, officers and employees may solicit, without additional compensation, proxies on JPMorgan Chase’s behalf in person, by phone or by electronic communication.</w:t>
      </w:r>
    </w:p>
    <w:p>
      <w:pPr>
        <w:spacing w:after="0" w:line="68" w:lineRule="exact"/>
        <w:rPr>
          <w:sz w:val="20"/>
          <w:szCs w:val="20"/>
          <w:color w:val="auto"/>
        </w:rPr>
      </w:pPr>
    </w:p>
    <w:p>
      <w:pPr>
        <w:ind w:right="700"/>
        <w:spacing w:after="0" w:line="255" w:lineRule="auto"/>
        <w:rPr>
          <w:sz w:val="20"/>
          <w:szCs w:val="20"/>
          <w:color w:val="auto"/>
        </w:rPr>
      </w:pPr>
      <w:r>
        <w:rPr>
          <w:rFonts w:ascii="Arial" w:cs="Arial" w:eastAsia="Arial" w:hAnsi="Arial"/>
          <w:sz w:val="20"/>
          <w:szCs w:val="20"/>
          <w:color w:val="074A75"/>
        </w:rPr>
        <w:t>HOW DO I INSPECT THE LIST OF SHAREHOLDERS OF RECORD?</w:t>
      </w:r>
    </w:p>
    <w:p>
      <w:pPr>
        <w:spacing w:after="0" w:line="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 list of shareholders of record as of March 22, 2024 will be available for inspection during ordinary business hours at our offices at 383 Madison Avenue, New York, NY 10179, from May 10, 2024, to May 20, 2024. Please contact the Office of the Secretary by sending an email to corporate.secretary@jpmchase.com if you wish to inspect the list prior to the annual meeting.</w:t>
      </w:r>
    </w:p>
    <w:p>
      <w:pPr>
        <w:spacing w:after="0" w:line="779"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28"/>
          <w:szCs w:val="28"/>
          <w:color w:val="074A75"/>
        </w:rPr>
        <w:t>Information about paper and electronic delivery of proxy materials</w:t>
      </w:r>
    </w:p>
    <w:p>
      <w:pPr>
        <w:sectPr>
          <w:pgSz w:w="11900" w:h="16838" w:orient="portrait"/>
          <w:cols w:equalWidth="0" w:num="1">
            <w:col w:w="11240"/>
          </w:cols>
          <w:pgMar w:left="320" w:top="157" w:right="339" w:bottom="1440" w:gutter="0" w:footer="0" w:header="0"/>
          <w:type w:val="continuous"/>
        </w:sectPr>
      </w:pPr>
    </w:p>
    <w:p>
      <w:pPr>
        <w:spacing w:after="0" w:line="5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JPMorgan Chase uses the SEC rule commonly known as “Notice and Access” that permits companies to furnish proxy materials to our shareholders over the Internet. This process enables us to expedite delivery of materials to our shareholders and reduces the costs to us of printing and mailing paper proxy materials.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the Notice and Access rules, on or about April 8, 2024, we sent those current shareholders of record on March 22, 2024, the Record Date for the annual meeting, a Notice. The Notice contains instructions on how to access our proxy statement and annual report online. If you received a Notice, you will not receive a printed copy of the proxy materials in the mail.</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If you received a Notice, and would like to receive copies of our proxy materials in print by mail, or electronically by email, please follow the instructions in the Notice.</w:t>
      </w:r>
    </w:p>
    <w:p>
      <w:pPr>
        <w:spacing w:after="0" w:line="7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Shareholders who do not receive the Notice will receive copies of our proxy statement and 2023 Annual Report to Shareholders either by mail or email. The copies will be sent on or about April 8, 2024.</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HOW CAN I OBTAIN AN ADDITIONAL PROXY CARD?</w:t>
      </w:r>
    </w:p>
    <w:p>
      <w:pPr>
        <w:spacing w:after="0" w:line="31" w:lineRule="exact"/>
        <w:rPr>
          <w:sz w:val="20"/>
          <w:szCs w:val="20"/>
          <w:color w:val="auto"/>
        </w:rPr>
      </w:pPr>
    </w:p>
    <w:p>
      <w:pPr>
        <w:jc w:val="both"/>
        <w:ind w:right="220"/>
        <w:spacing w:after="0" w:line="260" w:lineRule="auto"/>
        <w:rPr>
          <w:sz w:val="20"/>
          <w:szCs w:val="20"/>
          <w:color w:val="auto"/>
        </w:rPr>
      </w:pPr>
      <w:r>
        <w:rPr>
          <w:rFonts w:ascii="Arial" w:cs="Arial" w:eastAsia="Arial" w:hAnsi="Arial"/>
          <w:sz w:val="18"/>
          <w:szCs w:val="18"/>
          <w:color w:val="auto"/>
        </w:rPr>
        <w:t>Shareholders of record can contact the Office of the Secretary by sending an email to corporate.secretary@jpmchase.com or calling (212) 270-6000.</w:t>
      </w:r>
    </w:p>
    <w:p>
      <w:pPr>
        <w:spacing w:after="0" w:line="6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If you hold your shares of common stock in street name, contact your account representative at the bank, brokerage firm, broker-dealer or similar organization through which you hold your shares.</w:t>
      </w:r>
    </w:p>
    <w:p>
      <w:pPr>
        <w:spacing w:after="0" w:line="200" w:lineRule="exact"/>
        <w:rPr>
          <w:sz w:val="20"/>
          <w:szCs w:val="20"/>
          <w:color w:val="auto"/>
        </w:rPr>
      </w:pPr>
    </w:p>
    <w:p>
      <w:pPr>
        <w:sectPr>
          <w:pgSz w:w="11900" w:h="16838" w:orient="portrait"/>
          <w:cols w:equalWidth="0" w:num="2">
            <w:col w:w="5320" w:space="420"/>
            <w:col w:w="5500"/>
          </w:cols>
          <w:pgMar w:left="320" w:top="157" w:right="339" w:bottom="1440" w:gutter="0" w:footer="0" w:header="0"/>
          <w:type w:val="continuous"/>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7" w:lineRule="exact"/>
        <w:rPr>
          <w:sz w:val="20"/>
          <w:szCs w:val="20"/>
          <w:color w:val="auto"/>
        </w:rPr>
      </w:pPr>
    </w:p>
    <w:p>
      <w:pPr>
        <w:ind w:right="400"/>
        <w:spacing w:after="0" w:line="257" w:lineRule="auto"/>
        <w:rPr>
          <w:sz w:val="20"/>
          <w:szCs w:val="20"/>
          <w:color w:val="auto"/>
        </w:rPr>
      </w:pPr>
      <w:r>
        <w:rPr>
          <w:rFonts w:ascii="Arial" w:cs="Arial" w:eastAsia="Arial" w:hAnsi="Arial"/>
          <w:sz w:val="20"/>
          <w:szCs w:val="20"/>
          <w:color w:val="074A75"/>
        </w:rPr>
        <w:t>HOW DO I SIGN UP FOR ELECTRONIC DELIVERY OF PROXY MATERIALS?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proxy statement and our 2023 Annual Report to Shareholders are available on our website at: jpmorganchase.com. If you would like to help reduce the environmental impact of our annual meetings and our costs of printing and mailing future materials, you can agree to access these documents in the future over the Internet rather than receiving printed copies in the mail. For your convenience, you may find links to sign up for electronic delivery for both shareholders of record and beneficial owners who hold shares in street name at https://enroll. icsdelivery.com/jpm.</w:t>
      </w:r>
    </w:p>
    <w:p>
      <w:pPr>
        <w:spacing w:after="0" w:line="7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Once you sign up, you will continue to receive proxy materials electronically until you revoke this preference.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Alternatively, if you are receiving more than one copy of the proxy materials at a single address and would like to participate in householding, please contact Broadridge Financial Services at 1-866-540-7095. If you are a beneficial owner who holds shares in street name, contact your bank, brokerage firm, broker-dealer or similar organization to request information about householding.</w:t>
      </w:r>
    </w:p>
    <w:p>
      <w:pPr>
        <w:spacing w:after="0" w:line="60"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You may change your householding preferences at any time, by contacting Broadridge Financial Services at 1-866-540-7095 or by sending a written request to Broadridge Financial Services, Inc., Householding Department, 51 Mercedes Way, Edgewood, NY 11717, or by contacting the bank, brokerage firm, broker-dealer or similar organization through which you hold your shares.</w:t>
      </w:r>
    </w:p>
    <w:p>
      <w:pPr>
        <w:spacing w:after="0" w:line="231"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20"/>
          <w:szCs w:val="20"/>
          <w:color w:val="074A75"/>
        </w:rPr>
        <w:t>I SHARE AN ADDRESS WITH ANOTHER SHAREHOLDER, AND WE RECEIVED ONLY ONE PAPER COPY OF THE PROXY MATERIALS. HOW CAN I OBTAIN AN ADDITIONAL COPY OF THE PROXY MATERIALS?</w:t>
      </w:r>
    </w:p>
    <w:p>
      <w:pPr>
        <w:spacing w:after="0" w:line="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JPMorgan Chase has adopted a procedure called “householding.” Under this procedure, JPMorgan Chase may deliver a single copy of the proxy statement and annual report to multiple shareholders who share the same address, unless we have received contrary instructions from one or more of the shareholders. Each shareholder continues to receive a separate proxy card. This procedure reduces the environmental impact of our annual meetings and our printing and mailing costs.</w:t>
      </w:r>
    </w:p>
    <w:p>
      <w:pPr>
        <w:spacing w:after="0" w:line="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your household received a single set of proxy materials, but you prefer to receive a separate copy of the proxy statement and 2023 Annual Report, you may contact the Office of the Secretary via email at corporate.secretary@jpmchase.com, via mail at the Office of the Secretary, JPMorgan Chase &amp; Co., 383 Madison Avenue, 39th Floor, New York, New York 10179, or by phone at 212-270-6000 and these documents will be delivered to you promptly upon receiving the request.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color w:val="074A75"/>
        </w:rPr>
        <w:t>Other</w:t>
      </w:r>
    </w:p>
    <w:p>
      <w:pPr>
        <w:spacing w:after="0" w:line="127" w:lineRule="exact"/>
        <w:rPr>
          <w:sz w:val="20"/>
          <w:szCs w:val="20"/>
          <w:color w:val="auto"/>
        </w:rPr>
      </w:pPr>
    </w:p>
    <w:p>
      <w:pPr>
        <w:ind w:right="940"/>
        <w:spacing w:after="0" w:line="257" w:lineRule="auto"/>
        <w:rPr>
          <w:sz w:val="20"/>
          <w:szCs w:val="20"/>
          <w:color w:val="auto"/>
        </w:rPr>
      </w:pPr>
      <w:r>
        <w:rPr>
          <w:rFonts w:ascii="Arial" w:cs="Arial" w:eastAsia="Arial" w:hAnsi="Arial"/>
          <w:sz w:val="20"/>
          <w:szCs w:val="20"/>
          <w:color w:val="074A75"/>
        </w:rPr>
        <w:t>HOW DO I OBTAIN MORE INFORMATION ABOUT JPMORGAN CHASE?</w:t>
      </w:r>
    </w:p>
    <w:p>
      <w:pPr>
        <w:spacing w:after="0" w:line="1"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The Governance Principles, Code of Conduct, Code of Ethics for Finance Professionals, Business Principles, the Political Engagement and Public Policy Statement, ESG Report, Climate Report, and the By-laws and charters of our principal standing committees are posted on our website at jpmorganchase.com. These documents will also be made available to any shareholder who requests them by writing to the Secretary at corporate.secretary@jpmchase.com, or Office of the Secretary, JPMorgan Chase &amp; Co., 383 Madison Avenue, 39th Floor, New York, New York 10179.</w:t>
      </w:r>
    </w:p>
    <w:p>
      <w:pPr>
        <w:spacing w:after="0" w:line="7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Information that the Firm is required to disclose under Article 20 (Corporate Governance Statement) of Directive 2013/34/EU, as adopted in the European Union and the United Kingdom, may be found in this proxy statement under the headings "Corporate Governance" and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460375</wp:posOffset>
            </wp:positionV>
            <wp:extent cx="27432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518"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111  </w:t>
      </w:r>
      <w:r>
        <w:rPr>
          <w:sz w:val="1"/>
          <w:szCs w:val="1"/>
          <w:color w:val="auto"/>
        </w:rPr>
        <w:drawing>
          <wp:inline distT="0" distB="0" distL="0" distR="0">
            <wp:extent cx="2203450" cy="154305"/>
            <wp:effectExtent l="0" t="0" r="0" b="0"/>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074A75"/>
        </w:rPr>
        <w:t>SHAREHOLDER PROPOSALS AND NOMINATIONS FOR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1060"/>
        <w:spacing w:after="0" w:line="286" w:lineRule="auto"/>
        <w:rPr>
          <w:sz w:val="20"/>
          <w:szCs w:val="20"/>
          <w:color w:val="auto"/>
        </w:rPr>
      </w:pPr>
      <w:r>
        <w:rPr>
          <w:rFonts w:ascii="Arial" w:cs="Arial" w:eastAsia="Arial" w:hAnsi="Arial"/>
          <w:sz w:val="43"/>
          <w:szCs w:val="43"/>
          <w:color w:val="074A75"/>
        </w:rPr>
        <w:t>Shareholder Proposals and Nominations for the 2025 Annual Meeting</w:t>
      </w:r>
    </w:p>
    <w:p>
      <w:pPr>
        <w:sectPr>
          <w:pgSz w:w="11900" w:h="16838" w:orient="portrait"/>
          <w:cols w:equalWidth="0" w:num="1">
            <w:col w:w="11240"/>
          </w:cols>
          <w:pgMar w:left="320" w:top="157" w:right="339" w:bottom="1440" w:gutter="0" w:footer="0" w:header="0"/>
        </w:sectPr>
      </w:pPr>
    </w:p>
    <w:p>
      <w:pPr>
        <w:spacing w:after="0" w:line="299" w:lineRule="exact"/>
        <w:rPr>
          <w:sz w:val="20"/>
          <w:szCs w:val="20"/>
          <w:color w:val="auto"/>
        </w:rPr>
      </w:pPr>
    </w:p>
    <w:p>
      <w:pPr>
        <w:ind w:right="380"/>
        <w:spacing w:after="0" w:line="269" w:lineRule="auto"/>
        <w:rPr>
          <w:sz w:val="20"/>
          <w:szCs w:val="20"/>
          <w:color w:val="auto"/>
        </w:rPr>
      </w:pPr>
      <w:r>
        <w:rPr>
          <w:rFonts w:ascii="Arial" w:cs="Arial" w:eastAsia="Arial" w:hAnsi="Arial"/>
          <w:sz w:val="19"/>
          <w:szCs w:val="19"/>
          <w:color w:val="074A75"/>
        </w:rPr>
        <w:t>HOW DO I SUBMIT A PROPOSAL FOR INCLUSION AT THE 2025 ANNUAL MEETING OF SHAREHOLDERS?</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For a shareholder proposal to be included in the proxy materials and be distributed by us in connection with our 2025 Annual Meeting of Shareholders, the proposal must be received by the Secretary of JPMorgan Chase no later than December 9, 2024. Such proposals must comply with all requirements of Rule 14a-8 promulgated by the Securities and Exchange Commission.</w:t>
      </w:r>
    </w:p>
    <w:p>
      <w:pPr>
        <w:spacing w:after="0" w:line="72"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074A75"/>
        </w:rPr>
        <w:t>HOW CAN I SUBMIT NOMINEES FOR INCLUSION IN THE PROXY MATERIALS FOR THE 2025 ANNUAL MEETING?</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Firm’s By-laws provide for a right of proxy access. This By-law enables shareholders, under specified conditions, to include their nominees for election as directors in the Firm’s proxy statement. Under By-law Section 1.10, a shareholder (or group of up to 20 shareholders) who has continuously owned at least 3% of the Firm’s outstanding shares for at least three consecutive years may nominate up to 20% of the Board (but in any event at least two directors) and have such nominee(s) included in the Firm’s proxy statement, if the shareholder(s) and the nominee(s) satisfy the applicable requirements set forth in the Firm’s By-laws.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a shareholder is seeking to have one or more nominees included in the Firm’s 2025 proxy statement, the notice required by the Firm’s By-laws must be received by the Secretary of JPMorgan Chase not later than December 9, 2024, and not earlier than November 9, 2024.</w:t>
      </w:r>
    </w:p>
    <w:p>
      <w:pPr>
        <w:spacing w:after="0" w:line="68" w:lineRule="exact"/>
        <w:rPr>
          <w:sz w:val="20"/>
          <w:szCs w:val="20"/>
          <w:color w:val="auto"/>
        </w:rPr>
      </w:pPr>
    </w:p>
    <w:p>
      <w:pPr>
        <w:ind w:right="380"/>
        <w:spacing w:after="0" w:line="255" w:lineRule="auto"/>
        <w:rPr>
          <w:sz w:val="20"/>
          <w:szCs w:val="20"/>
          <w:color w:val="auto"/>
        </w:rPr>
      </w:pPr>
      <w:r>
        <w:rPr>
          <w:rFonts w:ascii="Arial" w:cs="Arial" w:eastAsia="Arial" w:hAnsi="Arial"/>
          <w:sz w:val="20"/>
          <w:szCs w:val="20"/>
          <w:color w:val="074A75"/>
        </w:rPr>
        <w:t>HOW DO I SUBMIT NOMINEES FOR ELECTION OF DIRECTORS AT THE 2025 ANNUAL MEETING OTHER THAN THROUGH PROXY ACCESS?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our By-laws, nominations for director (other than through proxy access described above) may be made by a shareholder who is entitled to vote and complies with other applicable requirements set forth in the By-laws. The notice by shareholders who intend to nominate directors at the 2025 Annual Meeting of Shareholders must be received by the Secretary of JPMorgan Chase no earlier than January 21, 2025 and no later than the close of business on February 20, 2025. Notice of director nominations must satisfy the provisions in our By-laws relating to director nominations and set forth information required by Rule 14a-19(b) of the Securities Exchange Act of 1934. The advance notice provisions under our By-laws are in addition to, and separate from, the requirements that a shareholder must meet in order to have a nominee included in the proxy statement.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color w:val="074A75"/>
        </w:rPr>
        <w:t>HOW CAN I SUBMIT PROPOSALS AT OUR 2025 ANNUAL MEETING OF SHAREHOLDERS, THAT ARE NOT TO BE INCLUDED IN THE PROXY MATERIALS?</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By-laws govern the submission of other business proposals that a shareholder wishes to have considered at a meeting of shareholders, but that are not included in JPMorgan Chase’s proxy statement for that meeting.</w:t>
      </w:r>
    </w:p>
    <w:p>
      <w:pPr>
        <w:spacing w:after="0" w:line="74"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Under our By-laws, other business proposals to be addressed at our next annual meeting may be made by a shareholder who is entitled to vote and complies with other applicable requirements set forth in the Firm's By-laws. The notice must contain the information required by the Firm's By-laws and must be received by the Secretary of JPMorgan Chase not later than the close of business on February 20, 2025, and not earlier than January 21, 2025.</w:t>
      </w:r>
    </w:p>
    <w:p>
      <w:pPr>
        <w:spacing w:after="0" w:line="5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These advance notice provisions are in addition to, and separate from, the requirements that a shareholder must meet in order to have a proposal included in the proxy statement.</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 proxy granted by a shareholder will give discretionary authority to the proxies to vote on any matters introduced pursuant to the advance-notice By-law provisions described above, subject to applicable rules of the SEC.</w:t>
      </w:r>
    </w:p>
    <w:p>
      <w:pPr>
        <w:spacing w:after="0" w:line="65" w:lineRule="exact"/>
        <w:rPr>
          <w:sz w:val="20"/>
          <w:szCs w:val="20"/>
          <w:color w:val="auto"/>
        </w:rPr>
      </w:pPr>
    </w:p>
    <w:p>
      <w:pPr>
        <w:ind w:right="440"/>
        <w:spacing w:after="0" w:line="255" w:lineRule="auto"/>
        <w:rPr>
          <w:sz w:val="20"/>
          <w:szCs w:val="20"/>
          <w:color w:val="auto"/>
        </w:rPr>
      </w:pPr>
      <w:r>
        <w:rPr>
          <w:rFonts w:ascii="Arial" w:cs="Arial" w:eastAsia="Arial" w:hAnsi="Arial"/>
          <w:sz w:val="20"/>
          <w:szCs w:val="20"/>
          <w:color w:val="074A75"/>
        </w:rPr>
        <w:t>HOW CAN I OBTAIN A COPY OF JPMORGAN CHASE’S BY-LAWS?</w:t>
      </w:r>
    </w:p>
    <w:p>
      <w:pPr>
        <w:spacing w:after="0" w:line="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Copies of our By-laws are available on our website at: jpmorganchase.com/about/governance or may be obtained by contacting the Office of the Secretary via email at corporate.secretary@jpmchase.com or via mail at the Office of the Secretary, JPMorgan Chase &amp; Co., 383 Madison Avenue, 39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NY 10179.</w:t>
      </w:r>
    </w:p>
    <w:p>
      <w:pPr>
        <w:spacing w:after="0" w:line="86" w:lineRule="exact"/>
        <w:rPr>
          <w:sz w:val="20"/>
          <w:szCs w:val="20"/>
          <w:color w:val="auto"/>
        </w:rPr>
      </w:pPr>
    </w:p>
    <w:p>
      <w:pPr>
        <w:ind w:right="320"/>
        <w:spacing w:after="0" w:line="255" w:lineRule="auto"/>
        <w:rPr>
          <w:sz w:val="20"/>
          <w:szCs w:val="20"/>
          <w:color w:val="auto"/>
        </w:rPr>
      </w:pPr>
      <w:r>
        <w:rPr>
          <w:rFonts w:ascii="Arial" w:cs="Arial" w:eastAsia="Arial" w:hAnsi="Arial"/>
          <w:sz w:val="20"/>
          <w:szCs w:val="20"/>
          <w:color w:val="074A75"/>
        </w:rPr>
        <w:t>WHERE SHOULD A SHAREHOLDER SEND HIS OR HER PROPOSALS?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Shareholder proposals (including nominees for director pursuant to the Firm’s By-laws) should be emailed to the Office of the Secretary at corporate.secretary@jpmchase.com. A copy may be mailed to the Secretary at JPMorgan Chase &amp; Co., Office of the Secretary, 383 Madison Avenue, 39</w:t>
      </w:r>
      <w:r>
        <w:rPr>
          <w:rFonts w:ascii="Calibri" w:cs="Calibri" w:eastAsia="Calibri" w:hAnsi="Calibri"/>
          <w:sz w:val="11"/>
          <w:szCs w:val="11"/>
          <w:color w:val="auto"/>
        </w:rPr>
        <w:t>th</w:t>
      </w:r>
      <w:r>
        <w:rPr>
          <w:rFonts w:ascii="Arial" w:cs="Arial" w:eastAsia="Arial" w:hAnsi="Arial"/>
          <w:sz w:val="18"/>
          <w:szCs w:val="18"/>
          <w:color w:val="auto"/>
        </w:rPr>
        <w:t xml:space="preserve"> Floor New York, NY 10179. We strongly encourage you to use email to submit a proposal. If a proposal is sent by means other than email, please provide a copy by email to ensure delivery.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John H. Tribolati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112</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NOTES ON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Notes on Non-GAAP Financial Measures</w:t>
      </w:r>
    </w:p>
    <w:p>
      <w:pPr>
        <w:spacing w:after="0" w:line="200" w:lineRule="exact"/>
        <w:rPr>
          <w:sz w:val="20"/>
          <w:szCs w:val="20"/>
          <w:color w:val="auto"/>
        </w:rPr>
      </w:pPr>
    </w:p>
    <w:p>
      <w:pPr>
        <w:spacing w:after="0" w:line="260" w:lineRule="exact"/>
        <w:rPr>
          <w:sz w:val="20"/>
          <w:szCs w:val="20"/>
          <w:color w:val="auto"/>
        </w:rPr>
      </w:pPr>
    </w:p>
    <w:p>
      <w:pPr>
        <w:ind w:left="340" w:right="40" w:hanging="332"/>
        <w:spacing w:after="0" w:line="254" w:lineRule="auto"/>
        <w:tabs>
          <w:tab w:leader="none" w:pos="34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TCE, ROTCE, TBVPS and Pre-tax income ex. LLR are each non-GAAP financial measures. TCE represents the Firm’s common stockholders’ equity (i.e., total stockholders’ equity less preferred stock) less goodwill and identifiable intangible assets (other than mortgage servicing rights), net of related deferred tax liabilities. ROTCE measures the Firm’s net income applicable to common equity as a percentage of average TCE. TBVPS represents the Firm’s TCE at period-end divided by common shares at period-end. Pre-tax income ex. LLR represents income on a managed basis before income tax expense (pre-tax income) excluding the change in loan loss reserves. This reflects the exclusion of the portion of the provision for credit losses attributable to the change in allowance for credit losses. TCE, ROTCE and TBVPS are utilized by the Firm, as well as investors and analysts, in assessing the Firm’s use of equity. Pre-tax income ex. LLR is utilized by the Firm to assess the Firm's operating performance and management believes this information helps investors understand the effect on reported results and provides an alternate presentation of the Firm’s performance. The following tables provide reconciliations and calculations of these measures for the periods presented.</w:t>
      </w:r>
    </w:p>
    <w:p>
      <w:pPr>
        <w:spacing w:after="0" w:line="77" w:lineRule="exact"/>
        <w:rPr>
          <w:rFonts w:ascii="Arial" w:cs="Arial" w:eastAsia="Arial" w:hAnsi="Arial"/>
          <w:sz w:val="18"/>
          <w:szCs w:val="18"/>
          <w:color w:val="auto"/>
        </w:rPr>
      </w:pPr>
    </w:p>
    <w:p>
      <w:pPr>
        <w:ind w:left="340" w:right="60" w:hanging="332"/>
        <w:spacing w:after="0" w:line="253" w:lineRule="auto"/>
        <w:tabs>
          <w:tab w:leader="none" w:pos="332" w:val="left"/>
        </w:tabs>
        <w:numPr>
          <w:ilvl w:val="0"/>
          <w:numId w:val="338"/>
        </w:numPr>
        <w:rPr>
          <w:rFonts w:ascii="Calibri" w:cs="Calibri" w:eastAsia="Calibri" w:hAnsi="Calibri"/>
          <w:sz w:val="20"/>
          <w:szCs w:val="20"/>
          <w:color w:val="auto"/>
        </w:rPr>
      </w:pPr>
      <w:r>
        <w:rPr>
          <w:rFonts w:ascii="Arial" w:cs="Arial" w:eastAsia="Arial" w:hAnsi="Arial"/>
          <w:sz w:val="18"/>
          <w:szCs w:val="18"/>
          <w:color w:val="auto"/>
        </w:rPr>
        <w:t>In addition to analyzing the Firm's results on a reported basis, management reviews Firmwide results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(and each of the reportable business segments)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the lines of business.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074A75"/>
        </w:rPr>
        <w:t>Non-GAAP reconciliations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Avg. TCE, ROE and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ROTCE</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color w:val="auto"/>
                <w:w w:val="97"/>
              </w:rPr>
              <w:t>Average for the year ended December 31,</w:t>
            </w: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39"/>
        </w:trPr>
        <w:tc>
          <w:tcPr>
            <w:tcW w:w="1620" w:type="dxa"/>
            <w:vAlign w:val="bottom"/>
          </w:tcPr>
          <w:p>
            <w:pPr>
              <w:ind w:left="20"/>
              <w:spacing w:after="0" w:line="139" w:lineRule="exact"/>
              <w:rPr>
                <w:sz w:val="20"/>
                <w:szCs w:val="20"/>
                <w:color w:val="auto"/>
              </w:rPr>
            </w:pPr>
            <w:r>
              <w:rPr>
                <w:rFonts w:ascii="Arial" w:cs="Arial" w:eastAsia="Arial" w:hAnsi="Arial"/>
                <w:sz w:val="13"/>
                <w:szCs w:val="13"/>
                <w:color w:val="auto"/>
              </w:rPr>
              <w:t>(in millions, except ratio</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2"/>
        </w:trPr>
        <w:tc>
          <w:tcPr>
            <w:tcW w:w="1620" w:type="dxa"/>
            <w:vAlign w:val="bottom"/>
          </w:tcPr>
          <w:p>
            <w:pPr>
              <w:ind w:left="20"/>
              <w:spacing w:after="0"/>
              <w:rPr>
                <w:sz w:val="20"/>
                <w:szCs w:val="20"/>
                <w:color w:val="auto"/>
              </w:rPr>
            </w:pPr>
            <w:r>
              <w:rPr>
                <w:rFonts w:ascii="Arial" w:cs="Arial" w:eastAsia="Arial" w:hAnsi="Arial"/>
                <w:sz w:val="13"/>
                <w:szCs w:val="13"/>
                <w:color w:val="auto"/>
              </w:rPr>
              <w:t>data)</w:t>
            </w:r>
          </w:p>
        </w:tc>
        <w:tc>
          <w:tcPr>
            <w:tcW w:w="18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2014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2015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2016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2017</w:t>
            </w:r>
          </w:p>
        </w:tc>
        <w:tc>
          <w:tcPr>
            <w:tcW w:w="40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color w:val="auto"/>
              </w:rPr>
              <w:t>2018</w:t>
            </w:r>
          </w:p>
        </w:tc>
        <w:tc>
          <w:tcPr>
            <w:tcW w:w="180" w:type="dxa"/>
            <w:vAlign w:val="bottom"/>
          </w:tcPr>
          <w:p>
            <w:pPr>
              <w:spacing w:after="0"/>
              <w:rPr>
                <w:sz w:val="14"/>
                <w:szCs w:val="14"/>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2019</w:t>
            </w:r>
          </w:p>
        </w:tc>
        <w:tc>
          <w:tcPr>
            <w:tcW w:w="44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3"/>
                <w:szCs w:val="13"/>
                <w:color w:val="auto"/>
              </w:rPr>
              <w:t>2020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color w:val="auto"/>
              </w:rPr>
              <w:t>2022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17"/>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4"/>
                <w:szCs w:val="14"/>
                <w:color w:val="auto"/>
              </w:rPr>
            </w:pPr>
          </w:p>
        </w:tc>
      </w:tr>
      <w:tr>
        <w:trPr>
          <w:trHeight w:val="22"/>
        </w:trPr>
        <w:tc>
          <w:tcPr>
            <w:tcW w:w="1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51"/>
        </w:trPr>
        <w:tc>
          <w:tcPr>
            <w:tcW w:w="1620" w:type="dxa"/>
            <w:vAlign w:val="bottom"/>
            <w:shd w:val="clear" w:color="auto" w:fill="E7E7E8"/>
          </w:tcPr>
          <w:p>
            <w:pPr>
              <w:ind w:left="20"/>
              <w:spacing w:after="0"/>
              <w:rPr>
                <w:sz w:val="20"/>
                <w:szCs w:val="20"/>
                <w:color w:val="auto"/>
              </w:rPr>
            </w:pPr>
            <w:r>
              <w:rPr>
                <w:rFonts w:ascii="Arial" w:cs="Arial" w:eastAsia="Arial" w:hAnsi="Arial"/>
                <w:sz w:val="13"/>
                <w:szCs w:val="13"/>
                <w:color w:val="auto"/>
              </w:rPr>
              <w:t>Common stockholders’</w:t>
            </w:r>
          </w:p>
        </w:tc>
        <w:tc>
          <w:tcPr>
            <w:tcW w:w="18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5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5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40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600" w:type="dxa"/>
            <w:vAlign w:val="bottom"/>
            <w:shd w:val="clear" w:color="auto" w:fill="E7E7E8"/>
          </w:tcPr>
          <w:p>
            <w:pPr>
              <w:spacing w:after="0"/>
              <w:rPr>
                <w:sz w:val="13"/>
                <w:szCs w:val="13"/>
                <w:color w:val="auto"/>
              </w:rPr>
            </w:pPr>
          </w:p>
        </w:tc>
        <w:tc>
          <w:tcPr>
            <w:tcW w:w="440" w:type="dxa"/>
            <w:vAlign w:val="bottom"/>
            <w:shd w:val="clear" w:color="auto" w:fill="E7E7E8"/>
          </w:tcPr>
          <w:p>
            <w:pPr>
              <w:spacing w:after="0"/>
              <w:rPr>
                <w:sz w:val="13"/>
                <w:szCs w:val="13"/>
                <w:color w:val="auto"/>
              </w:rPr>
            </w:pPr>
          </w:p>
        </w:tc>
        <w:tc>
          <w:tcPr>
            <w:tcW w:w="52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58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5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60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r>
      <w:tr>
        <w:trPr>
          <w:trHeight w:val="173"/>
        </w:trPr>
        <w:tc>
          <w:tcPr>
            <w:tcW w:w="16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equity</w:t>
            </w: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207,400</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215,690</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224,631</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230,350</w:t>
            </w:r>
          </w:p>
        </w:tc>
        <w:tc>
          <w:tcPr>
            <w:tcW w:w="4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7E7E8"/>
            </w:tcBorders>
            <w:shd w:val="clear" w:color="auto" w:fill="E7E7E8"/>
          </w:tcPr>
          <w:p>
            <w:pPr>
              <w:jc w:val="right"/>
              <w:ind w:right="177"/>
              <w:spacing w:after="0"/>
              <w:rPr>
                <w:sz w:val="20"/>
                <w:szCs w:val="20"/>
                <w:color w:val="auto"/>
              </w:rPr>
            </w:pPr>
            <w:r>
              <w:rPr>
                <w:rFonts w:ascii="Arial" w:cs="Arial" w:eastAsia="Arial" w:hAnsi="Arial"/>
                <w:sz w:val="13"/>
                <w:szCs w:val="13"/>
                <w:color w:val="auto"/>
              </w:rPr>
              <w:t>229,222</w:t>
            </w: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232,907</w:t>
            </w:r>
          </w:p>
        </w:tc>
        <w:tc>
          <w:tcPr>
            <w:tcW w:w="440" w:type="dxa"/>
            <w:vAlign w:val="bottom"/>
            <w:tcBorders>
              <w:bottom w:val="single" w:sz="8" w:color="E7E7E8"/>
            </w:tcBorders>
            <w:shd w:val="clear" w:color="auto" w:fill="E7E7E8"/>
          </w:tcPr>
          <w:p>
            <w:pPr>
              <w:jc w:val="right"/>
              <w:ind w:right="7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w w:val="93"/>
              </w:rPr>
              <w:t>236,865</w:t>
            </w:r>
          </w:p>
        </w:tc>
        <w:tc>
          <w:tcPr>
            <w:tcW w:w="18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250,968</w:t>
            </w:r>
          </w:p>
        </w:tc>
        <w:tc>
          <w:tcPr>
            <w:tcW w:w="18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253,068</w:t>
            </w:r>
          </w:p>
        </w:tc>
        <w:tc>
          <w:tcPr>
            <w:tcW w:w="20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b w:val="1"/>
                <w:bCs w:val="1"/>
                <w:color w:val="auto"/>
              </w:rPr>
              <w:t>282,056</w:t>
            </w:r>
          </w:p>
        </w:tc>
        <w:tc>
          <w:tcPr>
            <w:tcW w:w="180" w:type="dxa"/>
            <w:vAlign w:val="bottom"/>
            <w:tcBorders>
              <w:bottom w:val="single" w:sz="8" w:color="E7E7E8"/>
            </w:tcBorders>
            <w:shd w:val="clear" w:color="auto" w:fill="E7E7E8"/>
          </w:tcPr>
          <w:p>
            <w:pPr>
              <w:spacing w:after="0"/>
              <w:rPr>
                <w:sz w:val="15"/>
                <w:szCs w:val="15"/>
                <w:color w:val="auto"/>
              </w:rPr>
            </w:pPr>
          </w:p>
        </w:tc>
      </w:tr>
      <w:tr>
        <w:trPr>
          <w:trHeight w:val="181"/>
        </w:trPr>
        <w:tc>
          <w:tcPr>
            <w:tcW w:w="1620" w:type="dxa"/>
            <w:vAlign w:val="bottom"/>
          </w:tcPr>
          <w:p>
            <w:pPr>
              <w:ind w:left="20"/>
              <w:spacing w:after="0"/>
              <w:rPr>
                <w:sz w:val="20"/>
                <w:szCs w:val="20"/>
                <w:color w:val="auto"/>
              </w:rPr>
            </w:pPr>
            <w:r>
              <w:rPr>
                <w:rFonts w:ascii="Arial" w:cs="Arial" w:eastAsia="Arial" w:hAnsi="Arial"/>
                <w:sz w:val="13"/>
                <w:szCs w:val="13"/>
                <w:color w:val="auto"/>
              </w:rPr>
              <w:t>Less: Goodwill</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48,029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47,445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47,310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47,317</w:t>
            </w:r>
          </w:p>
        </w:tc>
        <w:tc>
          <w:tcPr>
            <w:tcW w:w="400" w:type="dxa"/>
            <w:vAlign w:val="bottom"/>
          </w:tcPr>
          <w:p>
            <w:pPr>
              <w:spacing w:after="0"/>
              <w:rPr>
                <w:sz w:val="15"/>
                <w:szCs w:val="15"/>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47,491</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47,620</w:t>
            </w:r>
          </w:p>
        </w:tc>
        <w:tc>
          <w:tcPr>
            <w:tcW w:w="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47,820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49,584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50,952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52,258</w:t>
            </w:r>
          </w:p>
        </w:tc>
        <w:tc>
          <w:tcPr>
            <w:tcW w:w="180" w:type="dxa"/>
            <w:vAlign w:val="bottom"/>
          </w:tcPr>
          <w:p>
            <w:pPr>
              <w:spacing w:after="0"/>
              <w:rPr>
                <w:sz w:val="15"/>
                <w:szCs w:val="15"/>
                <w:color w:val="auto"/>
              </w:rPr>
            </w:pPr>
          </w:p>
        </w:tc>
      </w:tr>
      <w:tr>
        <w:trPr>
          <w:trHeight w:val="22"/>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8"/>
        </w:trPr>
        <w:tc>
          <w:tcPr>
            <w:tcW w:w="1620" w:type="dxa"/>
            <w:vAlign w:val="bottom"/>
            <w:shd w:val="clear" w:color="auto" w:fill="E7E7E8"/>
          </w:tcPr>
          <w:p>
            <w:pPr>
              <w:ind w:left="20"/>
              <w:spacing w:after="0"/>
              <w:rPr>
                <w:sz w:val="20"/>
                <w:szCs w:val="20"/>
                <w:color w:val="auto"/>
              </w:rPr>
            </w:pPr>
            <w:r>
              <w:rPr>
                <w:rFonts w:ascii="Arial" w:cs="Arial" w:eastAsia="Arial" w:hAnsi="Arial"/>
                <w:sz w:val="13"/>
                <w:szCs w:val="13"/>
                <w:color w:val="auto"/>
              </w:rPr>
              <w:t>Less: Other intangible</w:t>
            </w:r>
          </w:p>
        </w:tc>
        <w:tc>
          <w:tcPr>
            <w:tcW w:w="18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5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5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40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600" w:type="dxa"/>
            <w:vAlign w:val="bottom"/>
            <w:shd w:val="clear" w:color="auto" w:fill="E7E7E8"/>
          </w:tcPr>
          <w:p>
            <w:pPr>
              <w:spacing w:after="0"/>
              <w:rPr>
                <w:sz w:val="13"/>
                <w:szCs w:val="13"/>
                <w:color w:val="auto"/>
              </w:rPr>
            </w:pPr>
          </w:p>
        </w:tc>
        <w:tc>
          <w:tcPr>
            <w:tcW w:w="440" w:type="dxa"/>
            <w:vAlign w:val="bottom"/>
            <w:shd w:val="clear" w:color="auto" w:fill="E7E7E8"/>
          </w:tcPr>
          <w:p>
            <w:pPr>
              <w:spacing w:after="0"/>
              <w:rPr>
                <w:sz w:val="13"/>
                <w:szCs w:val="13"/>
                <w:color w:val="auto"/>
              </w:rPr>
            </w:pPr>
          </w:p>
        </w:tc>
        <w:tc>
          <w:tcPr>
            <w:tcW w:w="52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58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5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60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r>
      <w:tr>
        <w:trPr>
          <w:trHeight w:val="173"/>
        </w:trPr>
        <w:tc>
          <w:tcPr>
            <w:tcW w:w="16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assets</w:t>
            </w:r>
          </w:p>
        </w:tc>
        <w:tc>
          <w:tcPr>
            <w:tcW w:w="180" w:type="dxa"/>
            <w:vAlign w:val="bottom"/>
            <w:tcBorders>
              <w:bottom w:val="single" w:sz="8" w:color="E7E7E8"/>
            </w:tcBorders>
            <w:shd w:val="clear" w:color="auto" w:fill="E7E7E8"/>
          </w:tcPr>
          <w:p>
            <w:pPr>
              <w:spacing w:after="0"/>
              <w:rPr>
                <w:sz w:val="15"/>
                <w:szCs w:val="15"/>
                <w:color w:val="auto"/>
              </w:rPr>
            </w:pPr>
          </w:p>
        </w:tc>
        <w:tc>
          <w:tcPr>
            <w:tcW w:w="5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1,378</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1,092</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922</w:t>
            </w:r>
          </w:p>
        </w:tc>
        <w:tc>
          <w:tcPr>
            <w:tcW w:w="200" w:type="dxa"/>
            <w:vAlign w:val="bottom"/>
            <w:tcBorders>
              <w:bottom w:val="single" w:sz="8" w:color="E7E7E8"/>
            </w:tcBorders>
            <w:shd w:val="clear" w:color="auto" w:fill="E7E7E8"/>
          </w:tcPr>
          <w:p>
            <w:pPr>
              <w:spacing w:after="0"/>
              <w:rPr>
                <w:sz w:val="15"/>
                <w:szCs w:val="15"/>
                <w:color w:val="auto"/>
              </w:rPr>
            </w:pPr>
          </w:p>
        </w:tc>
        <w:tc>
          <w:tcPr>
            <w:tcW w:w="180" w:type="dxa"/>
            <w:vAlign w:val="bottom"/>
            <w:tcBorders>
              <w:bottom w:val="single" w:sz="8" w:color="E7E7E8"/>
            </w:tcBorders>
            <w:shd w:val="clear" w:color="auto" w:fill="E7E7E8"/>
          </w:tcPr>
          <w:p>
            <w:pPr>
              <w:spacing w:after="0"/>
              <w:rPr>
                <w:sz w:val="15"/>
                <w:szCs w:val="15"/>
                <w:color w:val="auto"/>
              </w:rPr>
            </w:pPr>
          </w:p>
        </w:tc>
        <w:tc>
          <w:tcPr>
            <w:tcW w:w="5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832</w:t>
            </w:r>
          </w:p>
        </w:tc>
        <w:tc>
          <w:tcPr>
            <w:tcW w:w="400" w:type="dxa"/>
            <w:vAlign w:val="bottom"/>
            <w:tcBorders>
              <w:bottom w:val="single" w:sz="8" w:color="E7E7E8"/>
            </w:tcBorders>
            <w:shd w:val="clear" w:color="auto" w:fill="E7E7E8"/>
          </w:tcPr>
          <w:p>
            <w:pPr>
              <w:spacing w:after="0"/>
              <w:rPr>
                <w:sz w:val="15"/>
                <w:szCs w:val="15"/>
                <w:color w:val="auto"/>
              </w:rPr>
            </w:pPr>
          </w:p>
        </w:tc>
        <w:tc>
          <w:tcPr>
            <w:tcW w:w="780" w:type="dxa"/>
            <w:vAlign w:val="bottom"/>
            <w:tcBorders>
              <w:bottom w:val="single" w:sz="8" w:color="E7E7E8"/>
            </w:tcBorders>
            <w:shd w:val="clear" w:color="auto" w:fill="E7E7E8"/>
          </w:tcPr>
          <w:p>
            <w:pPr>
              <w:jc w:val="right"/>
              <w:ind w:right="177"/>
              <w:spacing w:after="0"/>
              <w:rPr>
                <w:sz w:val="20"/>
                <w:szCs w:val="20"/>
                <w:color w:val="auto"/>
              </w:rPr>
            </w:pPr>
            <w:r>
              <w:rPr>
                <w:rFonts w:ascii="Arial" w:cs="Arial" w:eastAsia="Arial" w:hAnsi="Arial"/>
                <w:sz w:val="13"/>
                <w:szCs w:val="13"/>
                <w:color w:val="auto"/>
              </w:rPr>
              <w:t>807</w:t>
            </w:r>
          </w:p>
        </w:tc>
        <w:tc>
          <w:tcPr>
            <w:tcW w:w="180" w:type="dxa"/>
            <w:vAlign w:val="bottom"/>
            <w:tcBorders>
              <w:bottom w:val="single" w:sz="8" w:color="E7E7E8"/>
            </w:tcBorders>
            <w:shd w:val="clear" w:color="auto" w:fill="E7E7E8"/>
          </w:tcPr>
          <w:p>
            <w:pPr>
              <w:spacing w:after="0"/>
              <w:rPr>
                <w:sz w:val="15"/>
                <w:szCs w:val="15"/>
                <w:color w:val="auto"/>
              </w:rPr>
            </w:pP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789</w:t>
            </w:r>
          </w:p>
        </w:tc>
        <w:tc>
          <w:tcPr>
            <w:tcW w:w="440" w:type="dxa"/>
            <w:vAlign w:val="bottom"/>
            <w:tcBorders>
              <w:bottom w:val="single" w:sz="8" w:color="E7E7E8"/>
            </w:tcBorders>
            <w:shd w:val="clear" w:color="auto" w:fill="E7E7E8"/>
          </w:tcPr>
          <w:p>
            <w:pPr>
              <w:spacing w:after="0"/>
              <w:rPr>
                <w:sz w:val="15"/>
                <w:szCs w:val="15"/>
                <w:color w:val="auto"/>
              </w:rPr>
            </w:pPr>
          </w:p>
        </w:tc>
        <w:tc>
          <w:tcPr>
            <w:tcW w:w="5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781</w:t>
            </w:r>
          </w:p>
        </w:tc>
        <w:tc>
          <w:tcPr>
            <w:tcW w:w="18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876</w:t>
            </w:r>
          </w:p>
        </w:tc>
        <w:tc>
          <w:tcPr>
            <w:tcW w:w="18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spacing w:after="0"/>
              <w:rPr>
                <w:sz w:val="15"/>
                <w:szCs w:val="15"/>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1,112</w:t>
            </w:r>
          </w:p>
        </w:tc>
        <w:tc>
          <w:tcPr>
            <w:tcW w:w="200" w:type="dxa"/>
            <w:vAlign w:val="bottom"/>
            <w:tcBorders>
              <w:bottom w:val="single" w:sz="8" w:color="E7E7E8"/>
            </w:tcBorders>
            <w:shd w:val="clear" w:color="auto" w:fill="E7E7E8"/>
          </w:tcPr>
          <w:p>
            <w:pPr>
              <w:spacing w:after="0"/>
              <w:rPr>
                <w:sz w:val="15"/>
                <w:szCs w:val="15"/>
                <w:color w:val="auto"/>
              </w:rPr>
            </w:pPr>
          </w:p>
        </w:tc>
        <w:tc>
          <w:tcPr>
            <w:tcW w:w="200" w:type="dxa"/>
            <w:vAlign w:val="bottom"/>
            <w:tcBorders>
              <w:bottom w:val="single" w:sz="8" w:color="E7E7E8"/>
            </w:tcBorders>
            <w:shd w:val="clear" w:color="auto" w:fill="E7E7E8"/>
          </w:tcPr>
          <w:p>
            <w:pPr>
              <w:spacing w:after="0"/>
              <w:rPr>
                <w:sz w:val="15"/>
                <w:szCs w:val="15"/>
                <w:color w:val="auto"/>
              </w:rPr>
            </w:pP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b w:val="1"/>
                <w:bCs w:val="1"/>
                <w:color w:val="auto"/>
              </w:rPr>
              <w:t>2,572</w:t>
            </w:r>
          </w:p>
        </w:tc>
        <w:tc>
          <w:tcPr>
            <w:tcW w:w="180" w:type="dxa"/>
            <w:vAlign w:val="bottom"/>
            <w:tcBorders>
              <w:bottom w:val="single" w:sz="8" w:color="E7E7E8"/>
            </w:tcBorders>
            <w:shd w:val="clear" w:color="auto" w:fill="E7E7E8"/>
          </w:tcPr>
          <w:p>
            <w:pPr>
              <w:spacing w:after="0"/>
              <w:rPr>
                <w:sz w:val="15"/>
                <w:szCs w:val="15"/>
                <w:color w:val="auto"/>
              </w:rPr>
            </w:pPr>
          </w:p>
        </w:tc>
      </w:tr>
      <w:tr>
        <w:trPr>
          <w:trHeight w:val="171"/>
        </w:trPr>
        <w:tc>
          <w:tcPr>
            <w:tcW w:w="1620" w:type="dxa"/>
            <w:vAlign w:val="bottom"/>
          </w:tcPr>
          <w:p>
            <w:pPr>
              <w:ind w:left="20"/>
              <w:spacing w:after="0"/>
              <w:rPr>
                <w:sz w:val="20"/>
                <w:szCs w:val="20"/>
                <w:color w:val="auto"/>
              </w:rPr>
            </w:pPr>
            <w:r>
              <w:rPr>
                <w:rFonts w:ascii="Arial" w:cs="Arial" w:eastAsia="Arial" w:hAnsi="Arial"/>
                <w:sz w:val="13"/>
                <w:szCs w:val="13"/>
                <w:color w:val="auto"/>
              </w:rPr>
              <w:t>Add: Certain deferred tax</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20"/>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liabilities</w:t>
            </w:r>
            <w:r>
              <w:rPr>
                <w:rFonts w:ascii="Arial" w:cs="Arial" w:eastAsia="Arial" w:hAnsi="Arial"/>
                <w:sz w:val="16"/>
                <w:szCs w:val="16"/>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2,950</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2,964</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3,212</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3,116</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2,231</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2,328</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2,399</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2,474</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2,505</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2,883</w:t>
            </w:r>
          </w:p>
        </w:tc>
        <w:tc>
          <w:tcPr>
            <w:tcW w:w="180" w:type="dxa"/>
            <w:vAlign w:val="bottom"/>
            <w:tcBorders>
              <w:bottom w:val="single" w:sz="8" w:color="auto"/>
            </w:tcBorders>
          </w:tcPr>
          <w:p>
            <w:pPr>
              <w:spacing w:after="0"/>
              <w:rPr>
                <w:sz w:val="19"/>
                <w:szCs w:val="19"/>
                <w:color w:val="auto"/>
              </w:rPr>
            </w:pPr>
          </w:p>
        </w:tc>
      </w:tr>
      <w:tr>
        <w:trPr>
          <w:trHeight w:val="201"/>
        </w:trPr>
        <w:tc>
          <w:tcPr>
            <w:tcW w:w="16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b w:val="1"/>
                <w:bCs w:val="1"/>
                <w:color w:val="auto"/>
              </w:rPr>
              <w:t>Tangible common equity</w:t>
            </w: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160,943</w:t>
            </w:r>
          </w:p>
        </w:tc>
        <w:tc>
          <w:tcPr>
            <w:tcW w:w="2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170,117</w:t>
            </w:r>
          </w:p>
        </w:tc>
        <w:tc>
          <w:tcPr>
            <w:tcW w:w="2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179,611</w:t>
            </w:r>
          </w:p>
        </w:tc>
        <w:tc>
          <w:tcPr>
            <w:tcW w:w="2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185,317</w:t>
            </w:r>
          </w:p>
        </w:tc>
        <w:tc>
          <w:tcPr>
            <w:tcW w:w="4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7E7E8"/>
            </w:tcBorders>
            <w:shd w:val="clear" w:color="auto" w:fill="E7E7E8"/>
          </w:tcPr>
          <w:p>
            <w:pPr>
              <w:jc w:val="right"/>
              <w:ind w:right="177"/>
              <w:spacing w:after="0"/>
              <w:rPr>
                <w:sz w:val="20"/>
                <w:szCs w:val="20"/>
                <w:color w:val="auto"/>
              </w:rPr>
            </w:pPr>
            <w:r>
              <w:rPr>
                <w:rFonts w:ascii="Arial" w:cs="Arial" w:eastAsia="Arial" w:hAnsi="Arial"/>
                <w:sz w:val="13"/>
                <w:szCs w:val="13"/>
                <w:color w:val="auto"/>
              </w:rPr>
              <w:t>183,155</w:t>
            </w: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186,826</w:t>
            </w:r>
          </w:p>
        </w:tc>
        <w:tc>
          <w:tcPr>
            <w:tcW w:w="440" w:type="dxa"/>
            <w:vAlign w:val="bottom"/>
            <w:tcBorders>
              <w:bottom w:val="single" w:sz="8" w:color="E7E7E8"/>
            </w:tcBorders>
            <w:shd w:val="clear" w:color="auto" w:fill="E7E7E8"/>
          </w:tcPr>
          <w:p>
            <w:pPr>
              <w:jc w:val="right"/>
              <w:ind w:right="7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w w:val="93"/>
              </w:rPr>
              <w:t>190,663</w:t>
            </w:r>
          </w:p>
        </w:tc>
        <w:tc>
          <w:tcPr>
            <w:tcW w:w="180" w:type="dxa"/>
            <w:vAlign w:val="bottom"/>
            <w:tcBorders>
              <w:bottom w:val="single" w:sz="8" w:color="E7E7E8"/>
            </w:tcBorders>
            <w:shd w:val="clear" w:color="auto" w:fill="E7E7E8"/>
          </w:tcPr>
          <w:p>
            <w:pPr>
              <w:spacing w:after="0"/>
              <w:rPr>
                <w:sz w:val="17"/>
                <w:szCs w:val="17"/>
                <w:color w:val="auto"/>
              </w:rPr>
            </w:pP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202,982</w:t>
            </w:r>
          </w:p>
        </w:tc>
        <w:tc>
          <w:tcPr>
            <w:tcW w:w="180" w:type="dxa"/>
            <w:vAlign w:val="bottom"/>
            <w:tcBorders>
              <w:bottom w:val="single" w:sz="8" w:color="E7E7E8"/>
            </w:tcBorders>
            <w:shd w:val="clear" w:color="auto" w:fill="E7E7E8"/>
          </w:tcPr>
          <w:p>
            <w:pPr>
              <w:spacing w:after="0"/>
              <w:rPr>
                <w:sz w:val="17"/>
                <w:szCs w:val="17"/>
                <w:color w:val="auto"/>
              </w:rPr>
            </w:pP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203,509</w:t>
            </w:r>
          </w:p>
        </w:tc>
        <w:tc>
          <w:tcPr>
            <w:tcW w:w="200" w:type="dxa"/>
            <w:vAlign w:val="bottom"/>
            <w:tcBorders>
              <w:bottom w:val="single" w:sz="8" w:color="E7E7E8"/>
            </w:tcBorders>
            <w:shd w:val="clear" w:color="auto" w:fill="E7E7E8"/>
          </w:tcPr>
          <w:p>
            <w:pPr>
              <w:spacing w:after="0"/>
              <w:rPr>
                <w:sz w:val="17"/>
                <w:szCs w:val="17"/>
                <w:color w:val="auto"/>
              </w:rPr>
            </w:pPr>
          </w:p>
        </w:tc>
        <w:tc>
          <w:tcPr>
            <w:tcW w:w="200" w:type="dxa"/>
            <w:vAlign w:val="bottom"/>
            <w:tcBorders>
              <w:bottom w:val="single" w:sz="8" w:color="E7E7E8"/>
            </w:tcBorders>
            <w:shd w:val="clear" w:color="auto" w:fill="E7E7E8"/>
          </w:tcPr>
          <w:p>
            <w:pPr>
              <w:spacing w:after="0"/>
              <w:rPr>
                <w:sz w:val="17"/>
                <w:szCs w:val="17"/>
                <w:color w:val="auto"/>
              </w:rPr>
            </w:pPr>
          </w:p>
        </w:tc>
        <w:tc>
          <w:tcPr>
            <w:tcW w:w="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b w:val="1"/>
                <w:bCs w:val="1"/>
                <w:color w:val="auto"/>
              </w:rPr>
              <w:t>230,109</w:t>
            </w:r>
          </w:p>
        </w:tc>
        <w:tc>
          <w:tcPr>
            <w:tcW w:w="180" w:type="dxa"/>
            <w:vAlign w:val="bottom"/>
            <w:tcBorders>
              <w:bottom w:val="single" w:sz="8" w:color="E7E7E8"/>
            </w:tcBorders>
            <w:shd w:val="clear" w:color="auto" w:fill="E7E7E8"/>
          </w:tcPr>
          <w:p>
            <w:pPr>
              <w:spacing w:after="0"/>
              <w:rPr>
                <w:sz w:val="17"/>
                <w:szCs w:val="17"/>
                <w:color w:val="auto"/>
              </w:rPr>
            </w:pPr>
          </w:p>
        </w:tc>
      </w:tr>
      <w:tr>
        <w:trPr>
          <w:trHeight w:val="151"/>
        </w:trPr>
        <w:tc>
          <w:tcPr>
            <w:tcW w:w="16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Net income applicable to</w:t>
            </w: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r>
      <w:tr>
        <w:trPr>
          <w:trHeight w:val="172"/>
        </w:trPr>
        <w:tc>
          <w:tcPr>
            <w:tcW w:w="1620" w:type="dxa"/>
            <w:vAlign w:val="bottom"/>
          </w:tcPr>
          <w:p>
            <w:pPr>
              <w:ind w:left="20"/>
              <w:spacing w:after="0"/>
              <w:rPr>
                <w:sz w:val="20"/>
                <w:szCs w:val="20"/>
                <w:color w:val="auto"/>
              </w:rPr>
            </w:pPr>
            <w:r>
              <w:rPr>
                <w:rFonts w:ascii="Arial" w:cs="Arial" w:eastAsia="Arial" w:hAnsi="Arial"/>
                <w:sz w:val="13"/>
                <w:szCs w:val="13"/>
                <w:color w:val="auto"/>
              </w:rPr>
              <w:t>common equity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20,620</w:t>
            </w:r>
          </w:p>
        </w:tc>
        <w:tc>
          <w:tcPr>
            <w:tcW w:w="2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22,927</w:t>
            </w:r>
          </w:p>
        </w:tc>
        <w:tc>
          <w:tcPr>
            <w:tcW w:w="2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23,086</w:t>
            </w:r>
          </w:p>
        </w:tc>
        <w:tc>
          <w:tcPr>
            <w:tcW w:w="2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22,778</w:t>
            </w: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30,923</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34,844</w:t>
            </w: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27,548</w:t>
            </w:r>
          </w:p>
        </w:tc>
        <w:tc>
          <w:tcPr>
            <w:tcW w:w="180" w:type="dxa"/>
            <w:vAlign w:val="bottom"/>
          </w:tcPr>
          <w:p>
            <w:pPr>
              <w:spacing w:after="0"/>
              <w:rPr>
                <w:sz w:val="14"/>
                <w:szCs w:val="14"/>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46,734</w:t>
            </w:r>
          </w:p>
        </w:tc>
        <w:tc>
          <w:tcPr>
            <w:tcW w:w="180" w:type="dxa"/>
            <w:vAlign w:val="bottom"/>
          </w:tcPr>
          <w:p>
            <w:pPr>
              <w:spacing w:after="0"/>
              <w:rPr>
                <w:sz w:val="14"/>
                <w:szCs w:val="14"/>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36,081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48,051</w:t>
            </w:r>
          </w:p>
        </w:tc>
        <w:tc>
          <w:tcPr>
            <w:tcW w:w="180" w:type="dxa"/>
            <w:vAlign w:val="bottom"/>
          </w:tcPr>
          <w:p>
            <w:pPr>
              <w:spacing w:after="0"/>
              <w:rPr>
                <w:sz w:val="14"/>
                <w:szCs w:val="14"/>
                <w:color w:val="auto"/>
              </w:rPr>
            </w:pPr>
          </w:p>
        </w:tc>
      </w:tr>
      <w:tr>
        <w:trPr>
          <w:trHeight w:val="22"/>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1620" w:type="dxa"/>
            <w:vAlign w:val="bottom"/>
            <w:shd w:val="clear" w:color="auto" w:fill="E7E7E8"/>
          </w:tcPr>
          <w:p>
            <w:pPr>
              <w:ind w:left="20"/>
              <w:spacing w:after="0"/>
              <w:rPr>
                <w:sz w:val="20"/>
                <w:szCs w:val="20"/>
                <w:color w:val="auto"/>
              </w:rPr>
            </w:pPr>
            <w:r>
              <w:rPr>
                <w:rFonts w:ascii="Arial" w:cs="Arial" w:eastAsia="Arial" w:hAnsi="Arial"/>
                <w:sz w:val="13"/>
                <w:szCs w:val="13"/>
                <w:color w:val="auto"/>
                <w:w w:val="97"/>
              </w:rPr>
              <w:t>Return on common equity</w:t>
            </w:r>
            <w:r>
              <w:rPr>
                <w:rFonts w:ascii="Arial" w:cs="Arial" w:eastAsia="Arial" w:hAnsi="Arial"/>
                <w:sz w:val="16"/>
                <w:szCs w:val="16"/>
                <w:color w:val="auto"/>
                <w:w w:val="97"/>
                <w:vertAlign w:val="superscript"/>
              </w:rPr>
              <w:t>(b)</w:t>
            </w:r>
          </w:p>
        </w:tc>
        <w:tc>
          <w:tcPr>
            <w:tcW w:w="180" w:type="dxa"/>
            <w:vAlign w:val="bottom"/>
            <w:shd w:val="clear" w:color="auto" w:fill="E7E7E8"/>
          </w:tcPr>
          <w:p>
            <w:pPr>
              <w:spacing w:after="0"/>
              <w:rPr>
                <w:sz w:val="21"/>
                <w:szCs w:val="21"/>
                <w:color w:val="auto"/>
              </w:rPr>
            </w:pPr>
          </w:p>
        </w:tc>
        <w:tc>
          <w:tcPr>
            <w:tcW w:w="56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11</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E7E7E8"/>
          </w:tcPr>
          <w:p>
            <w:pPr>
              <w:spacing w:after="0"/>
              <w:rPr>
                <w:sz w:val="21"/>
                <w:szCs w:val="21"/>
                <w:color w:val="auto"/>
              </w:rPr>
            </w:pPr>
          </w:p>
        </w:tc>
        <w:tc>
          <w:tcPr>
            <w:tcW w:w="56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w:t>
            </w:r>
          </w:p>
        </w:tc>
        <w:tc>
          <w:tcPr>
            <w:tcW w:w="400" w:type="dxa"/>
            <w:vAlign w:val="bottom"/>
            <w:shd w:val="clear" w:color="auto" w:fill="E7E7E8"/>
          </w:tcPr>
          <w:p>
            <w:pPr>
              <w:jc w:val="right"/>
              <w:ind w:right="157"/>
              <w:spacing w:after="0"/>
              <w:rPr>
                <w:sz w:val="20"/>
                <w:szCs w:val="20"/>
                <w:color w:val="auto"/>
              </w:rPr>
            </w:pPr>
            <w:r>
              <w:rPr>
                <w:rFonts w:ascii="Arial" w:cs="Arial" w:eastAsia="Arial" w:hAnsi="Arial"/>
                <w:sz w:val="13"/>
                <w:szCs w:val="13"/>
                <w:color w:val="auto"/>
              </w:rPr>
              <w:t>%</w:t>
            </w:r>
          </w:p>
        </w:tc>
        <w:tc>
          <w:tcPr>
            <w:tcW w:w="7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13  %</w:t>
            </w:r>
          </w:p>
        </w:tc>
        <w:tc>
          <w:tcPr>
            <w:tcW w:w="180" w:type="dxa"/>
            <w:vAlign w:val="bottom"/>
            <w:shd w:val="clear" w:color="auto" w:fill="E7E7E8"/>
          </w:tcPr>
          <w:p>
            <w:pPr>
              <w:spacing w:after="0"/>
              <w:rPr>
                <w:sz w:val="21"/>
                <w:szCs w:val="21"/>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15</w:t>
            </w:r>
          </w:p>
        </w:tc>
        <w:tc>
          <w:tcPr>
            <w:tcW w:w="440" w:type="dxa"/>
            <w:vAlign w:val="bottom"/>
            <w:shd w:val="clear" w:color="auto" w:fill="E7E7E8"/>
          </w:tcPr>
          <w:p>
            <w:pPr>
              <w:jc w:val="right"/>
              <w:ind w:right="217"/>
              <w:spacing w:after="0"/>
              <w:rPr>
                <w:sz w:val="20"/>
                <w:szCs w:val="20"/>
                <w:color w:val="auto"/>
              </w:rPr>
            </w:pPr>
            <w:r>
              <w:rPr>
                <w:rFonts w:ascii="Arial" w:cs="Arial" w:eastAsia="Arial" w:hAnsi="Arial"/>
                <w:sz w:val="13"/>
                <w:szCs w:val="13"/>
                <w:color w:val="auto"/>
              </w:rPr>
              <w:t>%</w:t>
            </w:r>
          </w:p>
        </w:tc>
        <w:tc>
          <w:tcPr>
            <w:tcW w:w="5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12</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19</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14</w:t>
            </w:r>
          </w:p>
        </w:tc>
        <w:tc>
          <w:tcPr>
            <w:tcW w:w="2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7E7E8"/>
          </w:tcPr>
          <w:p>
            <w:pPr>
              <w:spacing w:after="0"/>
              <w:rPr>
                <w:sz w:val="21"/>
                <w:szCs w:val="21"/>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3"/>
                <w:szCs w:val="13"/>
                <w:b w:val="1"/>
                <w:bCs w:val="1"/>
                <w:color w:val="auto"/>
              </w:rPr>
              <w:t>17</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b w:val="1"/>
                <w:bCs w:val="1"/>
                <w:color w:val="auto"/>
              </w:rPr>
              <w:t>%</w:t>
            </w:r>
          </w:p>
        </w:tc>
      </w:tr>
      <w:tr>
        <w:trPr>
          <w:trHeight w:val="171"/>
        </w:trPr>
        <w:tc>
          <w:tcPr>
            <w:tcW w:w="1620" w:type="dxa"/>
            <w:vAlign w:val="bottom"/>
          </w:tcPr>
          <w:p>
            <w:pPr>
              <w:ind w:left="20"/>
              <w:spacing w:after="0"/>
              <w:rPr>
                <w:sz w:val="20"/>
                <w:szCs w:val="20"/>
                <w:color w:val="auto"/>
              </w:rPr>
            </w:pPr>
            <w:r>
              <w:rPr>
                <w:rFonts w:ascii="Arial" w:cs="Arial" w:eastAsia="Arial" w:hAnsi="Arial"/>
                <w:sz w:val="13"/>
                <w:szCs w:val="13"/>
                <w:color w:val="auto"/>
                <w:w w:val="98"/>
              </w:rPr>
              <w:t>Return on tangible common</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1620" w:type="dxa"/>
            <w:vAlign w:val="bottom"/>
          </w:tcPr>
          <w:p>
            <w:pPr>
              <w:ind w:left="20"/>
              <w:spacing w:after="0"/>
              <w:rPr>
                <w:sz w:val="20"/>
                <w:szCs w:val="20"/>
                <w:color w:val="auto"/>
              </w:rPr>
            </w:pPr>
            <w:r>
              <w:rPr>
                <w:rFonts w:ascii="Arial" w:cs="Arial" w:eastAsia="Arial" w:hAnsi="Arial"/>
                <w:sz w:val="13"/>
                <w:szCs w:val="13"/>
                <w:color w:val="auto"/>
              </w:rPr>
              <w:t>equity</w:t>
            </w:r>
            <w:r>
              <w:rPr>
                <w:rFonts w:ascii="Arial" w:cs="Arial" w:eastAsia="Arial" w:hAnsi="Arial"/>
                <w:sz w:val="16"/>
                <w:szCs w:val="16"/>
                <w:color w:val="auto"/>
                <w:vertAlign w:val="superscript"/>
              </w:rPr>
              <w:t>(c)</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w:t>
            </w:r>
          </w:p>
        </w:tc>
        <w:tc>
          <w:tcPr>
            <w:tcW w:w="400" w:type="dxa"/>
            <w:vAlign w:val="bottom"/>
          </w:tcPr>
          <w:p>
            <w:pPr>
              <w:spacing w:after="0"/>
              <w:rPr>
                <w:sz w:val="19"/>
                <w:szCs w:val="19"/>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w:t>
            </w: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21</w:t>
            </w:r>
          </w:p>
        </w:tc>
        <w:tc>
          <w:tcPr>
            <w:tcW w:w="180" w:type="dxa"/>
            <w:vAlign w:val="bottom"/>
          </w:tcPr>
          <w:p>
            <w:pPr>
              <w:spacing w:after="0"/>
              <w:rPr>
                <w:sz w:val="19"/>
                <w:szCs w:val="19"/>
                <w:color w:val="auto"/>
              </w:rPr>
            </w:pPr>
          </w:p>
        </w:tc>
      </w:tr>
    </w:tbl>
    <w:p>
      <w:pPr>
        <w:spacing w:after="0" w:line="182" w:lineRule="exact"/>
        <w:rPr>
          <w:sz w:val="20"/>
          <w:szCs w:val="20"/>
          <w:color w:val="auto"/>
        </w:rPr>
      </w:pPr>
    </w:p>
    <w:p>
      <w:pPr>
        <w:ind w:left="200" w:right="220" w:hanging="192"/>
        <w:spacing w:after="0" w:line="222" w:lineRule="auto"/>
        <w:tabs>
          <w:tab w:leader="none" w:pos="200" w:val="left"/>
        </w:tabs>
        <w:numPr>
          <w:ilvl w:val="0"/>
          <w:numId w:val="339"/>
        </w:numPr>
        <w:rPr>
          <w:rFonts w:ascii="Arial" w:cs="Arial" w:eastAsia="Arial" w:hAnsi="Arial"/>
          <w:sz w:val="16"/>
          <w:szCs w:val="16"/>
          <w:color w:val="auto"/>
          <w:vertAlign w:val="superscript"/>
        </w:rPr>
      </w:pPr>
      <w:r>
        <w:rPr>
          <w:rFonts w:ascii="Arial" w:cs="Arial" w:eastAsia="Arial" w:hAnsi="Arial"/>
          <w:sz w:val="13"/>
          <w:szCs w:val="13"/>
          <w:color w:val="auto"/>
        </w:rPr>
        <w:t>Represents deferred tax liabilities related to tax-deductible goodwill and to identifiable intangibles created in nontaxable transactions, which are netted against goodwill and other intangibles when calculating TCE.</w:t>
      </w:r>
    </w:p>
    <w:p>
      <w:pPr>
        <w:ind w:left="180" w:hanging="172"/>
        <w:spacing w:after="0" w:line="193" w:lineRule="auto"/>
        <w:tabs>
          <w:tab w:leader="none" w:pos="180" w:val="left"/>
        </w:tabs>
        <w:numPr>
          <w:ilvl w:val="0"/>
          <w:numId w:val="339"/>
        </w:numPr>
        <w:rPr>
          <w:rFonts w:ascii="Arial" w:cs="Arial" w:eastAsia="Arial" w:hAnsi="Arial"/>
          <w:sz w:val="16"/>
          <w:szCs w:val="16"/>
          <w:color w:val="auto"/>
          <w:vertAlign w:val="superscript"/>
        </w:rPr>
      </w:pPr>
      <w:r>
        <w:rPr>
          <w:rFonts w:ascii="Arial" w:cs="Arial" w:eastAsia="Arial" w:hAnsi="Arial"/>
          <w:sz w:val="13"/>
          <w:szCs w:val="13"/>
          <w:color w:val="auto"/>
        </w:rPr>
        <w:t>Represents net income applicable to common equity / average common stockholders’ equity.</w:t>
      </w:r>
    </w:p>
    <w:p>
      <w:pPr>
        <w:ind w:left="200" w:hanging="192"/>
        <w:spacing w:after="0" w:line="200" w:lineRule="auto"/>
        <w:tabs>
          <w:tab w:leader="none" w:pos="200" w:val="left"/>
        </w:tabs>
        <w:numPr>
          <w:ilvl w:val="0"/>
          <w:numId w:val="339"/>
        </w:numPr>
        <w:rPr>
          <w:rFonts w:ascii="Arial" w:cs="Arial" w:eastAsia="Arial" w:hAnsi="Arial"/>
          <w:sz w:val="16"/>
          <w:szCs w:val="16"/>
          <w:color w:val="auto"/>
          <w:vertAlign w:val="superscript"/>
        </w:rPr>
      </w:pPr>
      <w:r>
        <w:rPr>
          <w:rFonts w:ascii="Arial" w:cs="Arial" w:eastAsia="Arial" w:hAnsi="Arial"/>
          <w:sz w:val="13"/>
          <w:szCs w:val="13"/>
          <w:color w:val="auto"/>
        </w:rPr>
        <w:t>Represents net income applicable to common equity / average 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113 </w:t>
      </w:r>
      <w:r>
        <w:rPr>
          <w:sz w:val="1"/>
          <w:szCs w:val="1"/>
          <w:color w:val="auto"/>
        </w:rPr>
        <w:drawing>
          <wp:inline distT="0" distB="0" distL="0" distR="0">
            <wp:extent cx="2203450" cy="154305"/>
            <wp:effectExtent l="0" t="0" r="0" b="0"/>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NOTES ON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Non-GAAP reconciliations (continued)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Managed basis Total net revenue</w:t>
            </w: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color w:val="auto"/>
                <w:w w:val="99"/>
              </w:rPr>
              <w:t>Year ended December 31,</w:t>
            </w: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Arial" w:cs="Arial" w:eastAsia="Arial" w:hAnsi="Arial"/>
                <w:sz w:val="13"/>
                <w:szCs w:val="13"/>
                <w:color w:val="auto"/>
              </w:rPr>
              <w:t>2022</w:t>
            </w:r>
          </w:p>
        </w:tc>
        <w:tc>
          <w:tcPr>
            <w:tcW w:w="30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Arial" w:cs="Arial" w:eastAsia="Arial" w:hAnsi="Arial"/>
                <w:sz w:val="13"/>
                <w:szCs w:val="13"/>
                <w:b w:val="1"/>
                <w:bCs w:val="1"/>
                <w:color w:val="auto"/>
              </w:rPr>
              <w:t>2023</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6"/>
        </w:trPr>
        <w:tc>
          <w:tcPr>
            <w:tcW w:w="24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Reported Total net revenue</w:t>
            </w: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7E7E8"/>
            </w:tcBorders>
            <w:shd w:val="clear" w:color="auto" w:fill="E7E7E8"/>
          </w:tcPr>
          <w:p>
            <w:pPr>
              <w:jc w:val="right"/>
              <w:ind w:right="77"/>
              <w:spacing w:after="0"/>
              <w:rPr>
                <w:sz w:val="20"/>
                <w:szCs w:val="20"/>
                <w:color w:val="auto"/>
              </w:rPr>
            </w:pPr>
            <w:r>
              <w:rPr>
                <w:rFonts w:ascii="Arial" w:cs="Arial" w:eastAsia="Arial" w:hAnsi="Arial"/>
                <w:sz w:val="13"/>
                <w:szCs w:val="13"/>
                <w:color w:val="auto"/>
              </w:rPr>
              <w:t>128,695</w:t>
            </w:r>
          </w:p>
        </w:tc>
        <w:tc>
          <w:tcPr>
            <w:tcW w:w="3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158,104</w:t>
            </w:r>
          </w:p>
        </w:tc>
      </w:tr>
      <w:tr>
        <w:trPr>
          <w:trHeight w:val="20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Fully taxable-equivalent adjustments</w:t>
            </w:r>
            <w:r>
              <w:rPr>
                <w:rFonts w:ascii="Arial" w:cs="Arial" w:eastAsia="Arial" w:hAnsi="Arial"/>
                <w:sz w:val="16"/>
                <w:szCs w:val="16"/>
                <w:color w:val="auto"/>
                <w:vertAlign w:val="superscript"/>
              </w:rPr>
              <w:t>(a)</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3,582</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4,262</w:t>
            </w:r>
          </w:p>
        </w:tc>
      </w:tr>
      <w:tr>
        <w:trPr>
          <w:trHeight w:val="174"/>
        </w:trPr>
        <w:tc>
          <w:tcPr>
            <w:tcW w:w="2420" w:type="dxa"/>
            <w:vAlign w:val="bottom"/>
            <w:shd w:val="clear" w:color="auto" w:fill="E7E7E8"/>
          </w:tcPr>
          <w:p>
            <w:pPr>
              <w:ind w:left="20"/>
              <w:spacing w:after="0"/>
              <w:rPr>
                <w:sz w:val="20"/>
                <w:szCs w:val="20"/>
                <w:color w:val="auto"/>
              </w:rPr>
            </w:pPr>
            <w:r>
              <w:rPr>
                <w:rFonts w:ascii="Arial" w:cs="Arial" w:eastAsia="Arial" w:hAnsi="Arial"/>
                <w:sz w:val="13"/>
                <w:szCs w:val="13"/>
                <w:b w:val="1"/>
                <w:bCs w:val="1"/>
                <w:color w:val="auto"/>
              </w:rPr>
              <w:t>Managed basis Total net revenue</w:t>
            </w:r>
          </w:p>
        </w:tc>
        <w:tc>
          <w:tcPr>
            <w:tcW w:w="18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E7E7E8"/>
          </w:tcPr>
          <w:p>
            <w:pPr>
              <w:jc w:val="right"/>
              <w:ind w:right="77"/>
              <w:spacing w:after="0"/>
              <w:rPr>
                <w:sz w:val="20"/>
                <w:szCs w:val="20"/>
                <w:color w:val="auto"/>
              </w:rPr>
            </w:pPr>
            <w:r>
              <w:rPr>
                <w:rFonts w:ascii="Arial" w:cs="Arial" w:eastAsia="Arial" w:hAnsi="Arial"/>
                <w:sz w:val="13"/>
                <w:szCs w:val="13"/>
                <w:color w:val="auto"/>
              </w:rPr>
              <w:t>132,277</w:t>
            </w:r>
          </w:p>
        </w:tc>
        <w:tc>
          <w:tcPr>
            <w:tcW w:w="30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162,366</w:t>
            </w:r>
          </w:p>
        </w:tc>
      </w:tr>
      <w:tr>
        <w:trPr>
          <w:trHeight w:val="22"/>
        </w:trPr>
        <w:tc>
          <w:tcPr>
            <w:tcW w:w="2420" w:type="dxa"/>
            <w:vAlign w:val="bottom"/>
            <w:shd w:val="clear" w:color="auto" w:fill="E7E7E8"/>
          </w:tcPr>
          <w:p>
            <w:pPr>
              <w:spacing w:after="0" w:line="20" w:lineRule="exact"/>
              <w:rPr>
                <w:sz w:val="1"/>
                <w:szCs w:val="1"/>
                <w:color w:val="auto"/>
              </w:rPr>
            </w:pPr>
          </w:p>
        </w:tc>
        <w:tc>
          <w:tcPr>
            <w:tcW w:w="180" w:type="dxa"/>
            <w:vAlign w:val="bottom"/>
            <w:shd w:val="clear" w:color="auto" w:fill="E7E7E8"/>
          </w:tcPr>
          <w:p>
            <w:pPr>
              <w:spacing w:after="0" w:line="20" w:lineRule="exact"/>
              <w:rPr>
                <w:sz w:val="1"/>
                <w:szCs w:val="1"/>
                <w:color w:val="auto"/>
              </w:rPr>
            </w:pPr>
          </w:p>
        </w:tc>
        <w:tc>
          <w:tcPr>
            <w:tcW w:w="720" w:type="dxa"/>
            <w:vAlign w:val="bottom"/>
            <w:shd w:val="clear" w:color="auto" w:fill="E7E7E8"/>
          </w:tcPr>
          <w:p>
            <w:pPr>
              <w:spacing w:after="0" w:line="20" w:lineRule="exact"/>
              <w:rPr>
                <w:sz w:val="1"/>
                <w:szCs w:val="1"/>
                <w:color w:val="auto"/>
              </w:rPr>
            </w:pPr>
          </w:p>
        </w:tc>
        <w:tc>
          <w:tcPr>
            <w:tcW w:w="300" w:type="dxa"/>
            <w:vAlign w:val="bottom"/>
            <w:shd w:val="clear" w:color="auto" w:fill="E7E7E8"/>
          </w:tcPr>
          <w:p>
            <w:pPr>
              <w:spacing w:after="0" w:line="20" w:lineRule="exact"/>
              <w:rPr>
                <w:sz w:val="1"/>
                <w:szCs w:val="1"/>
                <w:color w:val="auto"/>
              </w:rPr>
            </w:pPr>
          </w:p>
        </w:tc>
        <w:tc>
          <w:tcPr>
            <w:tcW w:w="780" w:type="dxa"/>
            <w:vAlign w:val="bottom"/>
            <w:shd w:val="clear" w:color="auto" w:fill="E7E7E8"/>
          </w:tcPr>
          <w:p>
            <w:pPr>
              <w:spacing w:after="0" w:line="20" w:lineRule="exact"/>
              <w:rPr>
                <w:sz w:val="1"/>
                <w:szCs w:val="1"/>
                <w:color w:val="auto"/>
              </w:rPr>
            </w:pPr>
          </w:p>
        </w:tc>
      </w:tr>
    </w:tbl>
    <w:p>
      <w:pPr>
        <w:spacing w:after="0" w:line="167" w:lineRule="exact"/>
        <w:rPr>
          <w:sz w:val="20"/>
          <w:szCs w:val="20"/>
          <w:color w:val="auto"/>
        </w:rPr>
      </w:pPr>
    </w:p>
    <w:p>
      <w:pPr>
        <w:ind w:left="200" w:hanging="192"/>
        <w:spacing w:after="0"/>
        <w:tabs>
          <w:tab w:leader="none" w:pos="200" w:val="left"/>
        </w:tabs>
        <w:numPr>
          <w:ilvl w:val="0"/>
          <w:numId w:val="340"/>
        </w:numPr>
        <w:rPr>
          <w:rFonts w:ascii="Arial" w:cs="Arial" w:eastAsia="Arial" w:hAnsi="Arial"/>
          <w:sz w:val="16"/>
          <w:szCs w:val="16"/>
          <w:color w:val="auto"/>
          <w:vertAlign w:val="superscript"/>
        </w:rPr>
      </w:pPr>
      <w:r>
        <w:rPr>
          <w:rFonts w:ascii="Arial" w:cs="Arial" w:eastAsia="Arial" w:hAnsi="Arial"/>
          <w:sz w:val="13"/>
          <w:szCs w:val="13"/>
          <w:color w:val="auto"/>
        </w:rPr>
        <w:t>Predominantly recognized in Corporate &amp; Investment Bank, Commercial Banking and Corporate.</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BVPS and TBVPS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tcPr>
          <w:p>
            <w:pPr>
              <w:ind w:left="20"/>
              <w:spacing w:after="0"/>
              <w:rPr>
                <w:sz w:val="20"/>
                <w:szCs w:val="20"/>
                <w:color w:val="auto"/>
              </w:rPr>
            </w:pPr>
            <w:r>
              <w:rPr>
                <w:rFonts w:ascii="Arial" w:cs="Arial" w:eastAsia="Arial" w:hAnsi="Arial"/>
                <w:sz w:val="13"/>
                <w:szCs w:val="13"/>
                <w:color w:val="auto"/>
              </w:rPr>
              <w:t>(in millions, except ratio data)</w:t>
            </w:r>
          </w:p>
        </w:tc>
        <w:tc>
          <w:tcPr>
            <w:tcW w:w="1680" w:type="dxa"/>
            <w:vAlign w:val="bottom"/>
            <w:gridSpan w:val="2"/>
          </w:tcPr>
          <w:p>
            <w:pPr>
              <w:ind w:left="340"/>
              <w:spacing w:after="0"/>
              <w:rPr>
                <w:sz w:val="20"/>
                <w:szCs w:val="20"/>
                <w:color w:val="auto"/>
              </w:rPr>
            </w:pPr>
            <w:r>
              <w:rPr>
                <w:rFonts w:ascii="Arial" w:cs="Arial" w:eastAsia="Arial" w:hAnsi="Arial"/>
                <w:sz w:val="13"/>
                <w:szCs w:val="13"/>
                <w:b w:val="1"/>
                <w:bCs w:val="1"/>
                <w:color w:val="auto"/>
                <w:w w:val="98"/>
              </w:rPr>
              <w:t>At December 31, 2023</w:t>
            </w:r>
          </w:p>
        </w:tc>
      </w:tr>
      <w:tr>
        <w:trPr>
          <w:trHeight w:val="22"/>
        </w:trPr>
        <w:tc>
          <w:tcPr>
            <w:tcW w:w="2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6"/>
        </w:trPr>
        <w:tc>
          <w:tcPr>
            <w:tcW w:w="23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Common stockholders’ equity</w:t>
            </w:r>
          </w:p>
        </w:tc>
        <w:tc>
          <w:tcPr>
            <w:tcW w:w="700" w:type="dxa"/>
            <w:vAlign w:val="bottom"/>
            <w:tcBorders>
              <w:bottom w:val="single" w:sz="8" w:color="E7E7E8"/>
            </w:tcBorders>
            <w:shd w:val="clear" w:color="auto" w:fill="E7E7E8"/>
          </w:tcPr>
          <w:p>
            <w:pPr>
              <w:ind w:left="3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300,474</w:t>
            </w:r>
          </w:p>
        </w:tc>
      </w:tr>
      <w:tr>
        <w:trPr>
          <w:trHeight w:val="181"/>
        </w:trPr>
        <w:tc>
          <w:tcPr>
            <w:tcW w:w="2380" w:type="dxa"/>
            <w:vAlign w:val="bottom"/>
          </w:tcPr>
          <w:p>
            <w:pPr>
              <w:ind w:left="20"/>
              <w:spacing w:after="0"/>
              <w:rPr>
                <w:sz w:val="20"/>
                <w:szCs w:val="20"/>
                <w:color w:val="auto"/>
              </w:rPr>
            </w:pPr>
            <w:r>
              <w:rPr>
                <w:rFonts w:ascii="Arial" w:cs="Arial" w:eastAsia="Arial" w:hAnsi="Arial"/>
                <w:sz w:val="13"/>
                <w:szCs w:val="13"/>
                <w:color w:val="auto"/>
              </w:rPr>
              <w:t>Less: Goodwill</w:t>
            </w:r>
          </w:p>
        </w:tc>
        <w:tc>
          <w:tcPr>
            <w:tcW w:w="700" w:type="dxa"/>
            <w:vAlign w:val="bottom"/>
          </w:tcPr>
          <w:p>
            <w:pPr>
              <w:spacing w:after="0"/>
              <w:rPr>
                <w:sz w:val="15"/>
                <w:szCs w:val="15"/>
                <w:color w:val="auto"/>
              </w:rPr>
            </w:pPr>
          </w:p>
        </w:tc>
        <w:tc>
          <w:tcPr>
            <w:tcW w:w="980" w:type="dxa"/>
            <w:vAlign w:val="bottom"/>
          </w:tcPr>
          <w:p>
            <w:pPr>
              <w:jc w:val="right"/>
              <w:ind w:right="157"/>
              <w:spacing w:after="0"/>
              <w:rPr>
                <w:sz w:val="20"/>
                <w:szCs w:val="20"/>
                <w:color w:val="auto"/>
              </w:rPr>
            </w:pPr>
            <w:r>
              <w:rPr>
                <w:rFonts w:ascii="Arial" w:cs="Arial" w:eastAsia="Arial" w:hAnsi="Arial"/>
                <w:sz w:val="13"/>
                <w:szCs w:val="13"/>
                <w:b w:val="1"/>
                <w:bCs w:val="1"/>
                <w:color w:val="auto"/>
              </w:rPr>
              <w:t>52,634</w:t>
            </w:r>
          </w:p>
        </w:tc>
      </w:tr>
      <w:tr>
        <w:trPr>
          <w:trHeight w:val="22"/>
        </w:trPr>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23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Less: Other intangible assets</w:t>
            </w:r>
          </w:p>
        </w:tc>
        <w:tc>
          <w:tcPr>
            <w:tcW w:w="700" w:type="dxa"/>
            <w:vAlign w:val="bottom"/>
            <w:tcBorders>
              <w:bottom w:val="single" w:sz="8" w:color="E7E7E8"/>
            </w:tcBorders>
            <w:shd w:val="clear" w:color="auto" w:fill="E7E7E8"/>
          </w:tcPr>
          <w:p>
            <w:pPr>
              <w:spacing w:after="0"/>
              <w:rPr>
                <w:sz w:val="15"/>
                <w:szCs w:val="15"/>
                <w:color w:val="auto"/>
              </w:rPr>
            </w:pPr>
          </w:p>
        </w:tc>
        <w:tc>
          <w:tcPr>
            <w:tcW w:w="98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3,225</w:t>
            </w:r>
          </w:p>
        </w:tc>
      </w:tr>
      <w:tr>
        <w:trPr>
          <w:trHeight w:val="24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 Certain deferred tax liabilities</w:t>
            </w:r>
            <w:r>
              <w:rPr>
                <w:rFonts w:ascii="Arial" w:cs="Arial" w:eastAsia="Arial" w:hAnsi="Arial"/>
                <w:sz w:val="16"/>
                <w:szCs w:val="16"/>
                <w:color w:val="auto"/>
                <w:vertAlign w:val="superscript"/>
              </w:rPr>
              <w:t>(a)</w:t>
            </w:r>
          </w:p>
        </w:tc>
        <w:tc>
          <w:tcPr>
            <w:tcW w:w="7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2,996</w:t>
            </w:r>
          </w:p>
        </w:tc>
      </w:tr>
      <w:tr>
        <w:trPr>
          <w:trHeight w:val="201"/>
        </w:trPr>
        <w:tc>
          <w:tcPr>
            <w:tcW w:w="23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b w:val="1"/>
                <w:bCs w:val="1"/>
                <w:color w:val="auto"/>
              </w:rPr>
              <w:t>Tangible common equity</w:t>
            </w:r>
          </w:p>
        </w:tc>
        <w:tc>
          <w:tcPr>
            <w:tcW w:w="700" w:type="dxa"/>
            <w:vAlign w:val="bottom"/>
            <w:tcBorders>
              <w:bottom w:val="single" w:sz="8" w:color="E7E7E8"/>
            </w:tcBorders>
            <w:shd w:val="clear" w:color="auto" w:fill="E7E7E8"/>
          </w:tcPr>
          <w:p>
            <w:pPr>
              <w:ind w:left="3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247,611</w:t>
            </w:r>
          </w:p>
        </w:tc>
      </w:tr>
      <w:tr>
        <w:trPr>
          <w:trHeight w:val="175"/>
        </w:trPr>
        <w:tc>
          <w:tcPr>
            <w:tcW w:w="23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Common shares</w:t>
            </w:r>
          </w:p>
        </w:tc>
        <w:tc>
          <w:tcPr>
            <w:tcW w:w="7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2,876.6</w:t>
            </w:r>
          </w:p>
        </w:tc>
      </w:tr>
      <w:tr>
        <w:trPr>
          <w:trHeight w:val="22"/>
        </w:trPr>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3"/>
        </w:trPr>
        <w:tc>
          <w:tcPr>
            <w:tcW w:w="2380" w:type="dxa"/>
            <w:vAlign w:val="bottom"/>
            <w:shd w:val="clear" w:color="auto" w:fill="E7E7E8"/>
          </w:tcPr>
          <w:p>
            <w:pPr>
              <w:ind w:left="20"/>
              <w:spacing w:after="0"/>
              <w:rPr>
                <w:sz w:val="20"/>
                <w:szCs w:val="20"/>
                <w:color w:val="auto"/>
              </w:rPr>
            </w:pPr>
            <w:r>
              <w:rPr>
                <w:rFonts w:ascii="Arial" w:cs="Arial" w:eastAsia="Arial" w:hAnsi="Arial"/>
                <w:sz w:val="13"/>
                <w:szCs w:val="13"/>
                <w:color w:val="auto"/>
              </w:rPr>
              <w:t>Book value per share</w:t>
            </w:r>
            <w:r>
              <w:rPr>
                <w:rFonts w:ascii="Arial" w:cs="Arial" w:eastAsia="Arial" w:hAnsi="Arial"/>
                <w:sz w:val="16"/>
                <w:szCs w:val="16"/>
                <w:color w:val="auto"/>
                <w:vertAlign w:val="superscript"/>
              </w:rPr>
              <w:t>(b)</w:t>
            </w:r>
          </w:p>
        </w:tc>
        <w:tc>
          <w:tcPr>
            <w:tcW w:w="700" w:type="dxa"/>
            <w:vAlign w:val="bottom"/>
            <w:shd w:val="clear" w:color="auto" w:fill="E7E7E8"/>
          </w:tcPr>
          <w:p>
            <w:pPr>
              <w:ind w:left="320"/>
              <w:spacing w:after="0"/>
              <w:rPr>
                <w:sz w:val="20"/>
                <w:szCs w:val="20"/>
                <w:color w:val="auto"/>
              </w:rPr>
            </w:pPr>
            <w:r>
              <w:rPr>
                <w:rFonts w:ascii="Arial" w:cs="Arial" w:eastAsia="Arial" w:hAnsi="Arial"/>
                <w:sz w:val="13"/>
                <w:szCs w:val="13"/>
                <w:color w:val="auto"/>
              </w:rPr>
              <w:t>$</w:t>
            </w:r>
          </w:p>
        </w:tc>
        <w:tc>
          <w:tcPr>
            <w:tcW w:w="980" w:type="dxa"/>
            <w:vAlign w:val="bottom"/>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104.45</w:t>
            </w:r>
          </w:p>
        </w:tc>
      </w:tr>
      <w:tr>
        <w:trPr>
          <w:trHeight w:val="245"/>
        </w:trPr>
        <w:tc>
          <w:tcPr>
            <w:tcW w:w="2380" w:type="dxa"/>
            <w:vAlign w:val="bottom"/>
          </w:tcPr>
          <w:p>
            <w:pPr>
              <w:ind w:left="20"/>
              <w:spacing w:after="0"/>
              <w:rPr>
                <w:sz w:val="20"/>
                <w:szCs w:val="20"/>
                <w:color w:val="auto"/>
              </w:rPr>
            </w:pPr>
            <w:r>
              <w:rPr>
                <w:rFonts w:ascii="Arial" w:cs="Arial" w:eastAsia="Arial" w:hAnsi="Arial"/>
                <w:sz w:val="13"/>
                <w:szCs w:val="13"/>
                <w:color w:val="auto"/>
              </w:rPr>
              <w:t>Tangible book value per share</w:t>
            </w:r>
            <w:r>
              <w:rPr>
                <w:rFonts w:ascii="Arial" w:cs="Arial" w:eastAsia="Arial" w:hAnsi="Arial"/>
                <w:sz w:val="16"/>
                <w:szCs w:val="16"/>
                <w:color w:val="auto"/>
                <w:vertAlign w:val="superscript"/>
              </w:rPr>
              <w:t>(c)</w:t>
            </w:r>
          </w:p>
        </w:tc>
        <w:tc>
          <w:tcPr>
            <w:tcW w:w="700" w:type="dxa"/>
            <w:vAlign w:val="bottom"/>
          </w:tcPr>
          <w:p>
            <w:pPr>
              <w:spacing w:after="0"/>
              <w:rPr>
                <w:sz w:val="21"/>
                <w:szCs w:val="21"/>
                <w:color w:val="auto"/>
              </w:rPr>
            </w:pPr>
          </w:p>
        </w:tc>
        <w:tc>
          <w:tcPr>
            <w:tcW w:w="980" w:type="dxa"/>
            <w:vAlign w:val="bottom"/>
          </w:tcPr>
          <w:p>
            <w:pPr>
              <w:jc w:val="right"/>
              <w:ind w:right="157"/>
              <w:spacing w:after="0"/>
              <w:rPr>
                <w:sz w:val="20"/>
                <w:szCs w:val="20"/>
                <w:color w:val="auto"/>
              </w:rPr>
            </w:pPr>
            <w:r>
              <w:rPr>
                <w:rFonts w:ascii="Arial" w:cs="Arial" w:eastAsia="Arial" w:hAnsi="Arial"/>
                <w:sz w:val="13"/>
                <w:szCs w:val="13"/>
                <w:b w:val="1"/>
                <w:bCs w:val="1"/>
                <w:color w:val="auto"/>
              </w:rPr>
              <w:t>86.08</w:t>
            </w:r>
          </w:p>
        </w:tc>
      </w:tr>
    </w:tbl>
    <w:p>
      <w:pPr>
        <w:spacing w:after="0" w:line="169" w:lineRule="exact"/>
        <w:rPr>
          <w:sz w:val="20"/>
          <w:szCs w:val="20"/>
          <w:color w:val="auto"/>
        </w:rPr>
      </w:pPr>
    </w:p>
    <w:p>
      <w:pPr>
        <w:ind w:left="200" w:right="220" w:hanging="192"/>
        <w:spacing w:after="0" w:line="232" w:lineRule="auto"/>
        <w:tabs>
          <w:tab w:leader="none" w:pos="200" w:val="left"/>
        </w:tabs>
        <w:numPr>
          <w:ilvl w:val="0"/>
          <w:numId w:val="341"/>
        </w:numPr>
        <w:rPr>
          <w:rFonts w:ascii="Arial" w:cs="Arial" w:eastAsia="Arial" w:hAnsi="Arial"/>
          <w:sz w:val="16"/>
          <w:szCs w:val="16"/>
          <w:color w:val="auto"/>
          <w:vertAlign w:val="superscript"/>
        </w:rPr>
      </w:pPr>
      <w:r>
        <w:rPr>
          <w:rFonts w:ascii="Arial" w:cs="Arial" w:eastAsia="Arial" w:hAnsi="Arial"/>
          <w:sz w:val="13"/>
          <w:szCs w:val="13"/>
          <w:color w:val="auto"/>
        </w:rPr>
        <w:t>Represents deferred tax liabilities related to tax-deductible goodwill and to identifiable intangibles created in nontaxable transactions, which are netted against goodwill and other intangibles when calculating TCE.</w:t>
      </w:r>
    </w:p>
    <w:p>
      <w:pPr>
        <w:ind w:left="180" w:hanging="172"/>
        <w:spacing w:after="0" w:line="193" w:lineRule="auto"/>
        <w:tabs>
          <w:tab w:leader="none" w:pos="180" w:val="left"/>
        </w:tabs>
        <w:numPr>
          <w:ilvl w:val="0"/>
          <w:numId w:val="341"/>
        </w:numPr>
        <w:rPr>
          <w:rFonts w:ascii="Arial" w:cs="Arial" w:eastAsia="Arial" w:hAnsi="Arial"/>
          <w:sz w:val="16"/>
          <w:szCs w:val="16"/>
          <w:color w:val="auto"/>
          <w:vertAlign w:val="superscript"/>
        </w:rPr>
      </w:pPr>
      <w:r>
        <w:rPr>
          <w:rFonts w:ascii="Arial" w:cs="Arial" w:eastAsia="Arial" w:hAnsi="Arial"/>
          <w:sz w:val="13"/>
          <w:szCs w:val="13"/>
          <w:color w:val="auto"/>
        </w:rPr>
        <w:t>Represents common stockholders’ equity at period-end / common shares at period-end.</w:t>
      </w:r>
    </w:p>
    <w:p>
      <w:pPr>
        <w:ind w:left="200" w:hanging="192"/>
        <w:spacing w:after="0" w:line="200" w:lineRule="auto"/>
        <w:tabs>
          <w:tab w:leader="none" w:pos="200" w:val="left"/>
        </w:tabs>
        <w:numPr>
          <w:ilvl w:val="0"/>
          <w:numId w:val="341"/>
        </w:numPr>
        <w:rPr>
          <w:rFonts w:ascii="Arial" w:cs="Arial" w:eastAsia="Arial" w:hAnsi="Arial"/>
          <w:sz w:val="16"/>
          <w:szCs w:val="16"/>
          <w:color w:val="auto"/>
          <w:vertAlign w:val="superscript"/>
        </w:rPr>
      </w:pPr>
      <w:r>
        <w:rPr>
          <w:rFonts w:ascii="Arial" w:cs="Arial" w:eastAsia="Arial" w:hAnsi="Arial"/>
          <w:sz w:val="13"/>
          <w:szCs w:val="13"/>
          <w:color w:val="auto"/>
        </w:rPr>
        <w:t>Represents TCE at period-end / common shares at period-end.</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Pre-tax income ex. LLR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ind w:left="20"/>
              <w:spacing w:after="0"/>
              <w:rPr>
                <w:sz w:val="20"/>
                <w:szCs w:val="20"/>
                <w:color w:val="auto"/>
              </w:rPr>
            </w:pPr>
            <w:r>
              <w:rPr>
                <w:rFonts w:ascii="Arial" w:cs="Arial" w:eastAsia="Arial" w:hAnsi="Arial"/>
                <w:sz w:val="13"/>
                <w:szCs w:val="13"/>
                <w:color w:val="auto"/>
              </w:rPr>
              <w:t>For the year ended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700" w:type="dxa"/>
            <w:vAlign w:val="bottom"/>
          </w:tcPr>
          <w:p>
            <w:pPr>
              <w:ind w:left="20"/>
              <w:spacing w:after="0"/>
              <w:rPr>
                <w:sz w:val="20"/>
                <w:szCs w:val="20"/>
                <w:color w:val="auto"/>
              </w:rPr>
            </w:pPr>
            <w:r>
              <w:rPr>
                <w:rFonts w:ascii="Arial" w:cs="Arial" w:eastAsia="Arial" w:hAnsi="Arial"/>
                <w:sz w:val="13"/>
                <w:szCs w:val="13"/>
                <w:color w:val="auto"/>
              </w:rPr>
              <w:t>December 31, 2023</w:t>
            </w:r>
          </w:p>
        </w:tc>
        <w:tc>
          <w:tcPr>
            <w:tcW w:w="180" w:type="dxa"/>
            <w:vAlign w:val="bottom"/>
          </w:tcPr>
          <w:p>
            <w:pPr>
              <w:spacing w:after="0"/>
              <w:rPr>
                <w:sz w:val="14"/>
                <w:szCs w:val="14"/>
                <w:color w:val="auto"/>
              </w:rPr>
            </w:pPr>
          </w:p>
        </w:tc>
        <w:tc>
          <w:tcPr>
            <w:tcW w:w="1880" w:type="dxa"/>
            <w:vAlign w:val="bottom"/>
            <w:gridSpan w:val="4"/>
          </w:tcPr>
          <w:p>
            <w:pPr>
              <w:jc w:val="right"/>
              <w:ind w:right="17"/>
              <w:spacing w:after="0"/>
              <w:rPr>
                <w:sz w:val="20"/>
                <w:szCs w:val="20"/>
                <w:color w:val="auto"/>
              </w:rPr>
            </w:pPr>
            <w:r>
              <w:rPr>
                <w:rFonts w:ascii="Arial" w:cs="Arial" w:eastAsia="Arial" w:hAnsi="Arial"/>
                <w:sz w:val="13"/>
                <w:szCs w:val="13"/>
                <w:color w:val="auto"/>
              </w:rPr>
              <w:t>Pre-tax income ex. LLR</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First Republic</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6"/>
          </w:tcPr>
          <w:p>
            <w:pPr>
              <w:jc w:val="right"/>
              <w:ind w:right="177"/>
              <w:spacing w:after="0"/>
              <w:rPr>
                <w:sz w:val="20"/>
                <w:szCs w:val="20"/>
                <w:color w:val="auto"/>
              </w:rPr>
            </w:pPr>
            <w:r>
              <w:rPr>
                <w:rFonts w:ascii="Arial" w:cs="Arial" w:eastAsia="Arial" w:hAnsi="Arial"/>
                <w:sz w:val="13"/>
                <w:szCs w:val="13"/>
                <w:color w:val="auto"/>
                <w:w w:val="98"/>
              </w:rPr>
              <w:t>Pre-tax income ex. LLR (ex. First Republic)</w:t>
            </w:r>
          </w:p>
        </w:tc>
      </w:tr>
      <w:tr>
        <w:trPr>
          <w:trHeight w:val="28"/>
        </w:trPr>
        <w:tc>
          <w:tcPr>
            <w:tcW w:w="1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69"/>
        </w:trPr>
        <w:tc>
          <w:tcPr>
            <w:tcW w:w="1700" w:type="dxa"/>
            <w:vAlign w:val="bottom"/>
          </w:tcPr>
          <w:p>
            <w:pPr>
              <w:ind w:left="20"/>
              <w:spacing w:after="0"/>
              <w:rPr>
                <w:sz w:val="20"/>
                <w:szCs w:val="20"/>
                <w:color w:val="auto"/>
              </w:rPr>
            </w:pPr>
            <w:r>
              <w:rPr>
                <w:rFonts w:ascii="Arial" w:cs="Arial" w:eastAsia="Arial" w:hAnsi="Arial"/>
                <w:sz w:val="13"/>
                <w:szCs w:val="13"/>
                <w:color w:val="auto"/>
              </w:rPr>
              <w:t>(in billions)</w:t>
            </w:r>
          </w:p>
        </w:tc>
        <w:tc>
          <w:tcPr>
            <w:tcW w:w="18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3"/>
                <w:szCs w:val="13"/>
                <w:color w:val="auto"/>
                <w:w w:val="90"/>
              </w:rPr>
              <w:t>Firmwide</w:t>
            </w:r>
          </w:p>
        </w:tc>
        <w:tc>
          <w:tcPr>
            <w:tcW w:w="20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3"/>
                <w:szCs w:val="13"/>
                <w:color w:val="auto"/>
              </w:rPr>
              <w:t>CCB</w:t>
            </w:r>
          </w:p>
        </w:tc>
        <w:tc>
          <w:tcPr>
            <w:tcW w:w="320" w:type="dxa"/>
            <w:vAlign w:val="bottom"/>
          </w:tcPr>
          <w:p>
            <w:pPr>
              <w:spacing w:after="0"/>
              <w:rPr>
                <w:sz w:val="14"/>
                <w:szCs w:val="14"/>
                <w:color w:val="auto"/>
              </w:rPr>
            </w:pPr>
          </w:p>
        </w:tc>
        <w:tc>
          <w:tcPr>
            <w:tcW w:w="580" w:type="dxa"/>
            <w:vAlign w:val="bottom"/>
          </w:tcPr>
          <w:p>
            <w:pPr>
              <w:jc w:val="right"/>
              <w:ind w:right="257"/>
              <w:spacing w:after="0"/>
              <w:rPr>
                <w:sz w:val="20"/>
                <w:szCs w:val="20"/>
                <w:color w:val="auto"/>
              </w:rPr>
            </w:pPr>
            <w:r>
              <w:rPr>
                <w:rFonts w:ascii="Arial" w:cs="Arial" w:eastAsia="Arial" w:hAnsi="Arial"/>
                <w:sz w:val="13"/>
                <w:szCs w:val="13"/>
                <w:color w:val="auto"/>
              </w:rPr>
              <w:t>CB</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color w:val="auto"/>
                <w:w w:val="90"/>
              </w:rPr>
              <w:t>Firmwide</w:t>
            </w:r>
          </w:p>
        </w:tc>
        <w:tc>
          <w:tcPr>
            <w:tcW w:w="360" w:type="dxa"/>
            <w:vAlign w:val="bottom"/>
          </w:tcPr>
          <w:p>
            <w:pPr>
              <w:spacing w:after="0"/>
              <w:rPr>
                <w:sz w:val="14"/>
                <w:szCs w:val="14"/>
                <w:color w:val="auto"/>
              </w:rPr>
            </w:pPr>
          </w:p>
        </w:tc>
        <w:tc>
          <w:tcPr>
            <w:tcW w:w="640" w:type="dxa"/>
            <w:vAlign w:val="bottom"/>
          </w:tcPr>
          <w:p>
            <w:pPr>
              <w:jc w:val="right"/>
              <w:ind w:right="217"/>
              <w:spacing w:after="0"/>
              <w:rPr>
                <w:sz w:val="20"/>
                <w:szCs w:val="20"/>
                <w:color w:val="auto"/>
              </w:rPr>
            </w:pPr>
            <w:r>
              <w:rPr>
                <w:rFonts w:ascii="Arial" w:cs="Arial" w:eastAsia="Arial" w:hAnsi="Arial"/>
                <w:sz w:val="13"/>
                <w:szCs w:val="13"/>
                <w:color w:val="auto"/>
              </w:rPr>
              <w:t>CCB</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277"/>
              <w:spacing w:after="0"/>
              <w:rPr>
                <w:sz w:val="20"/>
                <w:szCs w:val="20"/>
                <w:color w:val="auto"/>
              </w:rPr>
            </w:pPr>
            <w:r>
              <w:rPr>
                <w:rFonts w:ascii="Arial" w:cs="Arial" w:eastAsia="Arial" w:hAnsi="Arial"/>
                <w:sz w:val="13"/>
                <w:szCs w:val="13"/>
                <w:color w:val="auto"/>
              </w:rPr>
              <w:t>CB</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37"/>
              <w:spacing w:after="0"/>
              <w:rPr>
                <w:sz w:val="20"/>
                <w:szCs w:val="20"/>
                <w:color w:val="auto"/>
              </w:rPr>
            </w:pPr>
            <w:r>
              <w:rPr>
                <w:rFonts w:ascii="Arial" w:cs="Arial" w:eastAsia="Arial" w:hAnsi="Arial"/>
                <w:sz w:val="13"/>
                <w:szCs w:val="13"/>
                <w:color w:val="auto"/>
                <w:w w:val="94"/>
              </w:rPr>
              <w:t>Firmwide</w:t>
            </w:r>
          </w:p>
        </w:tc>
        <w:tc>
          <w:tcPr>
            <w:tcW w:w="340" w:type="dxa"/>
            <w:vAlign w:val="bottom"/>
          </w:tcPr>
          <w:p>
            <w:pPr>
              <w:spacing w:after="0"/>
              <w:rPr>
                <w:sz w:val="14"/>
                <w:szCs w:val="14"/>
                <w:color w:val="auto"/>
              </w:rPr>
            </w:pPr>
          </w:p>
        </w:tc>
        <w:tc>
          <w:tcPr>
            <w:tcW w:w="640" w:type="dxa"/>
            <w:vAlign w:val="bottom"/>
          </w:tcPr>
          <w:p>
            <w:pPr>
              <w:jc w:val="right"/>
              <w:ind w:right="217"/>
              <w:spacing w:after="0"/>
              <w:rPr>
                <w:sz w:val="20"/>
                <w:szCs w:val="20"/>
                <w:color w:val="auto"/>
              </w:rPr>
            </w:pPr>
            <w:r>
              <w:rPr>
                <w:rFonts w:ascii="Arial" w:cs="Arial" w:eastAsia="Arial" w:hAnsi="Arial"/>
                <w:sz w:val="13"/>
                <w:szCs w:val="13"/>
                <w:color w:val="auto"/>
              </w:rPr>
              <w:t>CCB</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277"/>
              <w:spacing w:after="0"/>
              <w:rPr>
                <w:sz w:val="20"/>
                <w:szCs w:val="20"/>
                <w:color w:val="auto"/>
              </w:rPr>
            </w:pPr>
            <w:r>
              <w:rPr>
                <w:rFonts w:ascii="Arial" w:cs="Arial" w:eastAsia="Arial" w:hAnsi="Arial"/>
                <w:sz w:val="13"/>
                <w:szCs w:val="13"/>
                <w:color w:val="auto"/>
              </w:rPr>
              <w:t>CB</w:t>
            </w:r>
          </w:p>
        </w:tc>
      </w:tr>
      <w:tr>
        <w:trPr>
          <w:trHeight w:val="28"/>
        </w:trPr>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6"/>
        </w:trPr>
        <w:tc>
          <w:tcPr>
            <w:tcW w:w="17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Reported pre-tax income</w:t>
            </w: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E7E7E8"/>
            </w:tcBorders>
            <w:shd w:val="clear" w:color="auto" w:fill="E7E7E8"/>
          </w:tcPr>
          <w:p>
            <w:pPr>
              <w:jc w:val="right"/>
              <w:ind w:right="337"/>
              <w:spacing w:after="0"/>
              <w:rPr>
                <w:sz w:val="20"/>
                <w:szCs w:val="20"/>
                <w:color w:val="auto"/>
              </w:rPr>
            </w:pPr>
            <w:r>
              <w:rPr>
                <w:rFonts w:ascii="Arial" w:cs="Arial" w:eastAsia="Arial" w:hAnsi="Arial"/>
                <w:sz w:val="13"/>
                <w:szCs w:val="13"/>
                <w:b w:val="1"/>
                <w:bCs w:val="1"/>
                <w:color w:val="auto"/>
              </w:rPr>
              <w:t>61.6</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58"/>
        </w:trPr>
        <w:tc>
          <w:tcPr>
            <w:tcW w:w="1700" w:type="dxa"/>
            <w:vAlign w:val="bottom"/>
          </w:tcPr>
          <w:p>
            <w:pPr>
              <w:ind w:left="20"/>
              <w:spacing w:after="0"/>
              <w:rPr>
                <w:sz w:val="20"/>
                <w:szCs w:val="20"/>
                <w:color w:val="auto"/>
              </w:rPr>
            </w:pPr>
            <w:r>
              <w:rPr>
                <w:rFonts w:ascii="Arial" w:cs="Arial" w:eastAsia="Arial" w:hAnsi="Arial"/>
                <w:sz w:val="13"/>
                <w:szCs w:val="13"/>
                <w:color w:val="auto"/>
              </w:rPr>
              <w:t>Fully taxable-equivalent</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2"/>
        </w:trPr>
        <w:tc>
          <w:tcPr>
            <w:tcW w:w="170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180" w:type="dxa"/>
            <w:vAlign w:val="bottom"/>
          </w:tcPr>
          <w:p>
            <w:pPr>
              <w:spacing w:after="0"/>
              <w:rPr>
                <w:sz w:val="14"/>
                <w:szCs w:val="14"/>
                <w:color w:val="auto"/>
              </w:rPr>
            </w:pPr>
          </w:p>
        </w:tc>
        <w:tc>
          <w:tcPr>
            <w:tcW w:w="820" w:type="dxa"/>
            <w:vAlign w:val="bottom"/>
          </w:tcPr>
          <w:p>
            <w:pPr>
              <w:jc w:val="right"/>
              <w:ind w:right="337"/>
              <w:spacing w:after="0"/>
              <w:rPr>
                <w:sz w:val="20"/>
                <w:szCs w:val="20"/>
                <w:color w:val="auto"/>
              </w:rPr>
            </w:pPr>
            <w:r>
              <w:rPr>
                <w:rFonts w:ascii="Arial" w:cs="Arial" w:eastAsia="Arial" w:hAnsi="Arial"/>
                <w:sz w:val="13"/>
                <w:szCs w:val="13"/>
                <w:b w:val="1"/>
                <w:bCs w:val="1"/>
                <w:color w:val="auto"/>
              </w:rPr>
              <w:t>4.3</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2"/>
        </w:trPr>
        <w:tc>
          <w:tcPr>
            <w:tcW w:w="170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E7E7E8"/>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E7E7E8"/>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E7E7E8"/>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8"/>
        </w:trPr>
        <w:tc>
          <w:tcPr>
            <w:tcW w:w="1700" w:type="dxa"/>
            <w:vAlign w:val="bottom"/>
            <w:shd w:val="clear" w:color="auto" w:fill="E7E7E8"/>
          </w:tcPr>
          <w:p>
            <w:pPr>
              <w:ind w:left="20"/>
              <w:spacing w:after="0" w:line="138" w:lineRule="exact"/>
              <w:rPr>
                <w:sz w:val="20"/>
                <w:szCs w:val="20"/>
                <w:color w:val="auto"/>
              </w:rPr>
            </w:pPr>
            <w:r>
              <w:rPr>
                <w:rFonts w:ascii="Arial" w:cs="Arial" w:eastAsia="Arial" w:hAnsi="Arial"/>
                <w:sz w:val="13"/>
                <w:szCs w:val="13"/>
                <w:color w:val="auto"/>
              </w:rPr>
              <w:t>Managed basis pre-tax</w:t>
            </w:r>
          </w:p>
        </w:tc>
        <w:tc>
          <w:tcPr>
            <w:tcW w:w="180" w:type="dxa"/>
            <w:vAlign w:val="bottom"/>
            <w:shd w:val="clear" w:color="auto" w:fill="E7E7E8"/>
          </w:tcPr>
          <w:p>
            <w:pPr>
              <w:spacing w:after="0"/>
              <w:rPr>
                <w:sz w:val="11"/>
                <w:szCs w:val="11"/>
                <w:color w:val="auto"/>
              </w:rPr>
            </w:pPr>
          </w:p>
        </w:tc>
        <w:tc>
          <w:tcPr>
            <w:tcW w:w="820" w:type="dxa"/>
            <w:vAlign w:val="bottom"/>
            <w:shd w:val="clear" w:color="auto" w:fill="E7E7E8"/>
          </w:tcPr>
          <w:p>
            <w:pPr>
              <w:spacing w:after="0"/>
              <w:rPr>
                <w:sz w:val="11"/>
                <w:szCs w:val="11"/>
                <w:color w:val="auto"/>
              </w:rPr>
            </w:pPr>
          </w:p>
        </w:tc>
        <w:tc>
          <w:tcPr>
            <w:tcW w:w="200" w:type="dxa"/>
            <w:vAlign w:val="bottom"/>
            <w:shd w:val="clear" w:color="auto" w:fill="E7E7E8"/>
          </w:tcPr>
          <w:p>
            <w:pPr>
              <w:spacing w:after="0"/>
              <w:rPr>
                <w:sz w:val="11"/>
                <w:szCs w:val="11"/>
                <w:color w:val="auto"/>
              </w:rPr>
            </w:pPr>
          </w:p>
        </w:tc>
        <w:tc>
          <w:tcPr>
            <w:tcW w:w="540" w:type="dxa"/>
            <w:vAlign w:val="bottom"/>
            <w:shd w:val="clear" w:color="auto" w:fill="E7E7E8"/>
          </w:tcPr>
          <w:p>
            <w:pPr>
              <w:spacing w:after="0"/>
              <w:rPr>
                <w:sz w:val="11"/>
                <w:szCs w:val="11"/>
                <w:color w:val="auto"/>
              </w:rPr>
            </w:pPr>
          </w:p>
        </w:tc>
        <w:tc>
          <w:tcPr>
            <w:tcW w:w="320" w:type="dxa"/>
            <w:vAlign w:val="bottom"/>
            <w:shd w:val="clear" w:color="auto" w:fill="E7E7E8"/>
          </w:tcPr>
          <w:p>
            <w:pPr>
              <w:spacing w:after="0"/>
              <w:rPr>
                <w:sz w:val="11"/>
                <w:szCs w:val="11"/>
                <w:color w:val="auto"/>
              </w:rPr>
            </w:pPr>
          </w:p>
        </w:tc>
        <w:tc>
          <w:tcPr>
            <w:tcW w:w="580" w:type="dxa"/>
            <w:vAlign w:val="bottom"/>
            <w:shd w:val="clear" w:color="auto" w:fill="E7E7E8"/>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shd w:val="clear" w:color="auto" w:fill="E7E7E8"/>
          </w:tcPr>
          <w:p>
            <w:pPr>
              <w:spacing w:after="0"/>
              <w:rPr>
                <w:sz w:val="11"/>
                <w:szCs w:val="11"/>
                <w:color w:val="auto"/>
              </w:rPr>
            </w:pPr>
          </w:p>
        </w:tc>
        <w:tc>
          <w:tcPr>
            <w:tcW w:w="680" w:type="dxa"/>
            <w:vAlign w:val="bottom"/>
            <w:shd w:val="clear" w:color="auto" w:fill="E7E7E8"/>
          </w:tcPr>
          <w:p>
            <w:pPr>
              <w:spacing w:after="0"/>
              <w:rPr>
                <w:sz w:val="11"/>
                <w:szCs w:val="11"/>
                <w:color w:val="auto"/>
              </w:rPr>
            </w:pPr>
          </w:p>
        </w:tc>
        <w:tc>
          <w:tcPr>
            <w:tcW w:w="360" w:type="dxa"/>
            <w:vAlign w:val="bottom"/>
            <w:shd w:val="clear" w:color="auto" w:fill="E7E7E8"/>
          </w:tcPr>
          <w:p>
            <w:pPr>
              <w:spacing w:after="0"/>
              <w:rPr>
                <w:sz w:val="11"/>
                <w:szCs w:val="11"/>
                <w:color w:val="auto"/>
              </w:rPr>
            </w:pPr>
          </w:p>
        </w:tc>
        <w:tc>
          <w:tcPr>
            <w:tcW w:w="640" w:type="dxa"/>
            <w:vAlign w:val="bottom"/>
            <w:shd w:val="clear" w:color="auto" w:fill="E7E7E8"/>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220" w:type="dxa"/>
            <w:vAlign w:val="bottom"/>
            <w:shd w:val="clear" w:color="auto" w:fill="E7E7E8"/>
          </w:tcPr>
          <w:p>
            <w:pPr>
              <w:spacing w:after="0"/>
              <w:rPr>
                <w:sz w:val="11"/>
                <w:szCs w:val="11"/>
                <w:color w:val="auto"/>
              </w:rPr>
            </w:pPr>
          </w:p>
        </w:tc>
        <w:tc>
          <w:tcPr>
            <w:tcW w:w="620" w:type="dxa"/>
            <w:vAlign w:val="bottom"/>
            <w:shd w:val="clear" w:color="auto" w:fill="E7E7E8"/>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shd w:val="clear" w:color="auto" w:fill="E7E7E8"/>
          </w:tcPr>
          <w:p>
            <w:pPr>
              <w:spacing w:after="0"/>
              <w:rPr>
                <w:sz w:val="11"/>
                <w:szCs w:val="11"/>
                <w:color w:val="auto"/>
              </w:rPr>
            </w:pPr>
          </w:p>
        </w:tc>
        <w:tc>
          <w:tcPr>
            <w:tcW w:w="720" w:type="dxa"/>
            <w:vAlign w:val="bottom"/>
            <w:shd w:val="clear" w:color="auto" w:fill="E7E7E8"/>
          </w:tcPr>
          <w:p>
            <w:pPr>
              <w:spacing w:after="0"/>
              <w:rPr>
                <w:sz w:val="11"/>
                <w:szCs w:val="11"/>
                <w:color w:val="auto"/>
              </w:rPr>
            </w:pPr>
          </w:p>
        </w:tc>
        <w:tc>
          <w:tcPr>
            <w:tcW w:w="340" w:type="dxa"/>
            <w:vAlign w:val="bottom"/>
            <w:shd w:val="clear" w:color="auto" w:fill="E7E7E8"/>
          </w:tcPr>
          <w:p>
            <w:pPr>
              <w:spacing w:after="0"/>
              <w:rPr>
                <w:sz w:val="11"/>
                <w:szCs w:val="11"/>
                <w:color w:val="auto"/>
              </w:rPr>
            </w:pPr>
          </w:p>
        </w:tc>
        <w:tc>
          <w:tcPr>
            <w:tcW w:w="640" w:type="dxa"/>
            <w:vAlign w:val="bottom"/>
            <w:shd w:val="clear" w:color="auto" w:fill="E7E7E8"/>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220" w:type="dxa"/>
            <w:vAlign w:val="bottom"/>
            <w:shd w:val="clear" w:color="auto" w:fill="E7E7E8"/>
          </w:tcPr>
          <w:p>
            <w:pPr>
              <w:spacing w:after="0"/>
              <w:rPr>
                <w:sz w:val="11"/>
                <w:szCs w:val="11"/>
                <w:color w:val="auto"/>
              </w:rPr>
            </w:pPr>
          </w:p>
        </w:tc>
        <w:tc>
          <w:tcPr>
            <w:tcW w:w="620" w:type="dxa"/>
            <w:vAlign w:val="bottom"/>
            <w:shd w:val="clear" w:color="auto" w:fill="E7E7E8"/>
          </w:tcPr>
          <w:p>
            <w:pPr>
              <w:spacing w:after="0"/>
              <w:rPr>
                <w:sz w:val="11"/>
                <w:szCs w:val="11"/>
                <w:color w:val="auto"/>
              </w:rPr>
            </w:pPr>
          </w:p>
        </w:tc>
      </w:tr>
      <w:tr>
        <w:trPr>
          <w:trHeight w:val="173"/>
        </w:trPr>
        <w:tc>
          <w:tcPr>
            <w:tcW w:w="17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income</w:t>
            </w: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E7E7E8"/>
            </w:tcBorders>
            <w:shd w:val="clear" w:color="auto" w:fill="E7E7E8"/>
          </w:tcPr>
          <w:p>
            <w:pPr>
              <w:jc w:val="right"/>
              <w:ind w:right="337"/>
              <w:spacing w:after="0"/>
              <w:rPr>
                <w:sz w:val="20"/>
                <w:szCs w:val="20"/>
                <w:color w:val="auto"/>
              </w:rPr>
            </w:pPr>
            <w:r>
              <w:rPr>
                <w:rFonts w:ascii="Arial" w:cs="Arial" w:eastAsia="Arial" w:hAnsi="Arial"/>
                <w:sz w:val="13"/>
                <w:szCs w:val="13"/>
                <w:b w:val="1"/>
                <w:bCs w:val="1"/>
                <w:color w:val="auto"/>
              </w:rPr>
              <w:t>65.9</w:t>
            </w:r>
          </w:p>
        </w:tc>
        <w:tc>
          <w:tcPr>
            <w:tcW w:w="20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E7E7E8"/>
            </w:tcBorders>
            <w:shd w:val="clear" w:color="auto" w:fill="E7E7E8"/>
          </w:tcPr>
          <w:p>
            <w:pPr>
              <w:jc w:val="right"/>
              <w:ind w:right="77"/>
              <w:spacing w:after="0"/>
              <w:rPr>
                <w:sz w:val="20"/>
                <w:szCs w:val="20"/>
                <w:color w:val="auto"/>
              </w:rPr>
            </w:pPr>
            <w:r>
              <w:rPr>
                <w:rFonts w:ascii="Arial" w:cs="Arial" w:eastAsia="Arial" w:hAnsi="Arial"/>
                <w:sz w:val="13"/>
                <w:szCs w:val="13"/>
                <w:b w:val="1"/>
                <w:bCs w:val="1"/>
                <w:color w:val="auto"/>
              </w:rPr>
              <w:t>28.4</w:t>
            </w:r>
          </w:p>
        </w:tc>
        <w:tc>
          <w:tcPr>
            <w:tcW w:w="32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8.2</w:t>
            </w:r>
          </w:p>
        </w:tc>
        <w:tc>
          <w:tcPr>
            <w:tcW w:w="140" w:type="dxa"/>
            <w:vAlign w:val="bottom"/>
          </w:tcPr>
          <w:p>
            <w:pPr>
              <w:spacing w:after="0"/>
              <w:rPr>
                <w:sz w:val="15"/>
                <w:szCs w:val="15"/>
                <w:color w:val="auto"/>
              </w:rPr>
            </w:pP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7E7E8"/>
            </w:tcBorders>
            <w:shd w:val="clear" w:color="auto" w:fill="E7E7E8"/>
          </w:tcPr>
          <w:p>
            <w:pPr>
              <w:jc w:val="right"/>
              <w:ind w:right="177"/>
              <w:spacing w:after="0"/>
              <w:rPr>
                <w:sz w:val="20"/>
                <w:szCs w:val="20"/>
                <w:color w:val="auto"/>
              </w:rPr>
            </w:pPr>
            <w:r>
              <w:rPr>
                <w:rFonts w:ascii="Arial" w:cs="Arial" w:eastAsia="Arial" w:hAnsi="Arial"/>
                <w:sz w:val="13"/>
                <w:szCs w:val="13"/>
                <w:b w:val="1"/>
                <w:bCs w:val="1"/>
                <w:color w:val="auto"/>
              </w:rPr>
              <w:t>4.6</w:t>
            </w:r>
          </w:p>
        </w:tc>
        <w:tc>
          <w:tcPr>
            <w:tcW w:w="36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1.6</w:t>
            </w:r>
          </w:p>
        </w:tc>
        <w:tc>
          <w:tcPr>
            <w:tcW w:w="16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0.1</w:t>
            </w:r>
          </w:p>
        </w:tc>
        <w:tc>
          <w:tcPr>
            <w:tcW w:w="140" w:type="dxa"/>
            <w:vAlign w:val="bottom"/>
          </w:tcPr>
          <w:p>
            <w:pPr>
              <w:spacing w:after="0"/>
              <w:rPr>
                <w:sz w:val="15"/>
                <w:szCs w:val="15"/>
                <w:color w:val="auto"/>
              </w:rPr>
            </w:pP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7E7E8"/>
            </w:tcBorders>
            <w:shd w:val="clear" w:color="auto" w:fill="E7E7E8"/>
          </w:tcPr>
          <w:p>
            <w:pPr>
              <w:jc w:val="right"/>
              <w:ind w:right="197"/>
              <w:spacing w:after="0"/>
              <w:rPr>
                <w:sz w:val="20"/>
                <w:szCs w:val="20"/>
                <w:color w:val="auto"/>
              </w:rPr>
            </w:pPr>
            <w:r>
              <w:rPr>
                <w:rFonts w:ascii="Arial" w:cs="Arial" w:eastAsia="Arial" w:hAnsi="Arial"/>
                <w:sz w:val="13"/>
                <w:szCs w:val="13"/>
                <w:b w:val="1"/>
                <w:bCs w:val="1"/>
                <w:color w:val="auto"/>
              </w:rPr>
              <w:t>61.3</w:t>
            </w:r>
          </w:p>
        </w:tc>
        <w:tc>
          <w:tcPr>
            <w:tcW w:w="34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E7E7E8"/>
            </w:tcBorders>
            <w:shd w:val="clear" w:color="auto" w:fill="E7E7E8"/>
          </w:tcPr>
          <w:p>
            <w:pPr>
              <w:jc w:val="right"/>
              <w:ind w:right="157"/>
              <w:spacing w:after="0"/>
              <w:rPr>
                <w:sz w:val="20"/>
                <w:szCs w:val="20"/>
                <w:color w:val="auto"/>
              </w:rPr>
            </w:pPr>
            <w:r>
              <w:rPr>
                <w:rFonts w:ascii="Arial" w:cs="Arial" w:eastAsia="Arial" w:hAnsi="Arial"/>
                <w:sz w:val="13"/>
                <w:szCs w:val="13"/>
                <w:b w:val="1"/>
                <w:bCs w:val="1"/>
                <w:color w:val="auto"/>
              </w:rPr>
              <w:t>26.8</w:t>
            </w:r>
          </w:p>
        </w:tc>
        <w:tc>
          <w:tcPr>
            <w:tcW w:w="18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E7E7E8"/>
            </w:tcBorders>
            <w:shd w:val="clear" w:color="auto" w:fill="E7E7E8"/>
          </w:tcPr>
          <w:p>
            <w:pPr>
              <w:jc w:val="right"/>
              <w:ind w:right="177"/>
              <w:spacing w:after="0"/>
              <w:rPr>
                <w:sz w:val="20"/>
                <w:szCs w:val="20"/>
                <w:color w:val="auto"/>
              </w:rPr>
            </w:pPr>
            <w:r>
              <w:rPr>
                <w:rFonts w:ascii="Arial" w:cs="Arial" w:eastAsia="Arial" w:hAnsi="Arial"/>
                <w:sz w:val="13"/>
                <w:szCs w:val="13"/>
                <w:b w:val="1"/>
                <w:bCs w:val="1"/>
                <w:color w:val="auto"/>
              </w:rPr>
              <w:t>8.1</w:t>
            </w:r>
          </w:p>
        </w:tc>
      </w:tr>
      <w:tr>
        <w:trPr>
          <w:trHeight w:val="158"/>
        </w:trPr>
        <w:tc>
          <w:tcPr>
            <w:tcW w:w="1700" w:type="dxa"/>
            <w:vAlign w:val="bottom"/>
          </w:tcPr>
          <w:p>
            <w:pPr>
              <w:ind w:left="140"/>
              <w:spacing w:after="0"/>
              <w:rPr>
                <w:sz w:val="20"/>
                <w:szCs w:val="20"/>
                <w:color w:val="auto"/>
              </w:rPr>
            </w:pPr>
            <w:r>
              <w:rPr>
                <w:rFonts w:ascii="Arial" w:cs="Arial" w:eastAsia="Arial" w:hAnsi="Arial"/>
                <w:sz w:val="13"/>
                <w:szCs w:val="13"/>
                <w:color w:val="auto"/>
              </w:rPr>
              <w:t>Change in loan loss</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2"/>
        </w:trPr>
        <w:tc>
          <w:tcPr>
            <w:tcW w:w="1700" w:type="dxa"/>
            <w:vAlign w:val="bottom"/>
          </w:tcPr>
          <w:p>
            <w:pPr>
              <w:ind w:left="140"/>
              <w:spacing w:after="0"/>
              <w:rPr>
                <w:sz w:val="20"/>
                <w:szCs w:val="20"/>
                <w:color w:val="auto"/>
              </w:rPr>
            </w:pPr>
            <w:r>
              <w:rPr>
                <w:rFonts w:ascii="Arial" w:cs="Arial" w:eastAsia="Arial" w:hAnsi="Arial"/>
                <w:sz w:val="13"/>
                <w:szCs w:val="13"/>
                <w:color w:val="auto"/>
              </w:rPr>
              <w:t>reserves</w:t>
            </w:r>
          </w:p>
        </w:tc>
        <w:tc>
          <w:tcPr>
            <w:tcW w:w="180" w:type="dxa"/>
            <w:vAlign w:val="bottom"/>
          </w:tcPr>
          <w:p>
            <w:pPr>
              <w:spacing w:after="0"/>
              <w:rPr>
                <w:sz w:val="14"/>
                <w:szCs w:val="14"/>
                <w:color w:val="auto"/>
              </w:rPr>
            </w:pPr>
          </w:p>
        </w:tc>
        <w:tc>
          <w:tcPr>
            <w:tcW w:w="820" w:type="dxa"/>
            <w:vAlign w:val="bottom"/>
          </w:tcPr>
          <w:p>
            <w:pPr>
              <w:jc w:val="right"/>
              <w:ind w:right="337"/>
              <w:spacing w:after="0"/>
              <w:rPr>
                <w:sz w:val="20"/>
                <w:szCs w:val="20"/>
                <w:color w:val="auto"/>
              </w:rPr>
            </w:pPr>
            <w:r>
              <w:rPr>
                <w:rFonts w:ascii="Arial" w:cs="Arial" w:eastAsia="Arial" w:hAnsi="Arial"/>
                <w:sz w:val="13"/>
                <w:szCs w:val="13"/>
                <w:b w:val="1"/>
                <w:bCs w:val="1"/>
                <w:color w:val="auto"/>
              </w:rPr>
              <w:t>3.1</w:t>
            </w:r>
          </w:p>
        </w:tc>
        <w:tc>
          <w:tcPr>
            <w:tcW w:w="2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1.6</w:t>
            </w:r>
          </w:p>
        </w:tc>
        <w:tc>
          <w:tcPr>
            <w:tcW w:w="32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1.7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b w:val="1"/>
                <w:bCs w:val="1"/>
                <w:color w:val="auto"/>
              </w:rPr>
              <w:t>1.2</w:t>
            </w:r>
          </w:p>
        </w:tc>
        <w:tc>
          <w:tcPr>
            <w:tcW w:w="36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3"/>
                <w:szCs w:val="13"/>
                <w:b w:val="1"/>
                <w:bCs w:val="1"/>
                <w:color w:val="auto"/>
              </w:rPr>
              <w:t>0.5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0.8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Arial" w:cs="Arial" w:eastAsia="Arial" w:hAnsi="Arial"/>
                <w:sz w:val="13"/>
                <w:szCs w:val="13"/>
                <w:b w:val="1"/>
                <w:bCs w:val="1"/>
                <w:color w:val="auto"/>
              </w:rPr>
              <w:t>1.9</w:t>
            </w:r>
          </w:p>
        </w:tc>
        <w:tc>
          <w:tcPr>
            <w:tcW w:w="34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3"/>
                <w:szCs w:val="13"/>
                <w:b w:val="1"/>
                <w:bCs w:val="1"/>
                <w:color w:val="auto"/>
              </w:rPr>
              <w:t>1.1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0.9</w:t>
            </w:r>
          </w:p>
        </w:tc>
      </w:tr>
      <w:tr>
        <w:trPr>
          <w:trHeight w:val="22"/>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7"/>
        </w:trPr>
        <w:tc>
          <w:tcPr>
            <w:tcW w:w="1700" w:type="dxa"/>
            <w:vAlign w:val="bottom"/>
            <w:tcBorders>
              <w:top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Pre-tax income ex. LLR</w:t>
            </w:r>
          </w:p>
        </w:tc>
        <w:tc>
          <w:tcPr>
            <w:tcW w:w="1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DBDBDB"/>
            </w:tcBorders>
            <w:shd w:val="clear" w:color="auto" w:fill="DBDBDB"/>
          </w:tcPr>
          <w:p>
            <w:pPr>
              <w:jc w:val="right"/>
              <w:ind w:right="337"/>
              <w:spacing w:after="0"/>
              <w:rPr>
                <w:sz w:val="20"/>
                <w:szCs w:val="20"/>
                <w:color w:val="auto"/>
              </w:rPr>
            </w:pPr>
            <w:r>
              <w:rPr>
                <w:rFonts w:ascii="Arial" w:cs="Arial" w:eastAsia="Arial" w:hAnsi="Arial"/>
                <w:sz w:val="13"/>
                <w:szCs w:val="13"/>
                <w:b w:val="1"/>
                <w:bCs w:val="1"/>
                <w:color w:val="auto"/>
              </w:rPr>
              <w:t>69.0</w:t>
            </w:r>
          </w:p>
        </w:tc>
        <w:tc>
          <w:tcPr>
            <w:tcW w:w="200" w:type="dxa"/>
            <w:vAlign w:val="bottom"/>
            <w:tcBorders>
              <w:top w:val="single" w:sz="8" w:color="auto"/>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DBDBDB"/>
            </w:tcBorders>
            <w:shd w:val="clear" w:color="auto" w:fill="DBDBDB"/>
          </w:tcPr>
          <w:p>
            <w:pPr>
              <w:jc w:val="right"/>
              <w:ind w:right="77"/>
              <w:spacing w:after="0"/>
              <w:rPr>
                <w:sz w:val="20"/>
                <w:szCs w:val="20"/>
                <w:color w:val="auto"/>
              </w:rPr>
            </w:pPr>
            <w:r>
              <w:rPr>
                <w:rFonts w:ascii="Arial" w:cs="Arial" w:eastAsia="Arial" w:hAnsi="Arial"/>
                <w:sz w:val="13"/>
                <w:szCs w:val="13"/>
                <w:b w:val="1"/>
                <w:bCs w:val="1"/>
                <w:color w:val="auto"/>
              </w:rPr>
              <w:t>30.0</w:t>
            </w:r>
          </w:p>
        </w:tc>
        <w:tc>
          <w:tcPr>
            <w:tcW w:w="320" w:type="dxa"/>
            <w:vAlign w:val="bottom"/>
            <w:tcBorders>
              <w:top w:val="single" w:sz="8" w:color="auto"/>
              <w:bottom w:val="single" w:sz="8" w:color="DBDBDB"/>
            </w:tcBorders>
            <w:shd w:val="clear" w:color="auto" w:fill="DBDBDB"/>
          </w:tcPr>
          <w:p>
            <w:pPr>
              <w:jc w:val="right"/>
              <w:ind w:right="57"/>
              <w:spacing w:after="0"/>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bottom w:val="single" w:sz="8" w:color="DBDBDB"/>
            </w:tcBorders>
            <w:shd w:val="clear" w:color="auto" w:fill="DBDBDB"/>
          </w:tcPr>
          <w:p>
            <w:pPr>
              <w:jc w:val="right"/>
              <w:ind w:right="157"/>
              <w:spacing w:after="0"/>
              <w:rPr>
                <w:sz w:val="20"/>
                <w:szCs w:val="20"/>
                <w:color w:val="auto"/>
              </w:rPr>
            </w:pPr>
            <w:r>
              <w:rPr>
                <w:rFonts w:ascii="Arial" w:cs="Arial" w:eastAsia="Arial" w:hAnsi="Arial"/>
                <w:sz w:val="13"/>
                <w:szCs w:val="13"/>
                <w:b w:val="1"/>
                <w:bCs w:val="1"/>
                <w:color w:val="auto"/>
              </w:rPr>
              <w:t>9.9</w:t>
            </w:r>
          </w:p>
        </w:tc>
        <w:tc>
          <w:tcPr>
            <w:tcW w:w="140" w:type="dxa"/>
            <w:vAlign w:val="bottom"/>
          </w:tcPr>
          <w:p>
            <w:pPr>
              <w:spacing w:after="0"/>
              <w:rPr>
                <w:sz w:val="18"/>
                <w:szCs w:val="18"/>
                <w:color w:val="auto"/>
              </w:rPr>
            </w:pPr>
          </w:p>
        </w:tc>
        <w:tc>
          <w:tcPr>
            <w:tcW w:w="1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DBDBDB"/>
            </w:tcBorders>
            <w:shd w:val="clear" w:color="auto" w:fill="DBDBDB"/>
          </w:tcPr>
          <w:p>
            <w:pPr>
              <w:jc w:val="right"/>
              <w:ind w:right="177"/>
              <w:spacing w:after="0"/>
              <w:rPr>
                <w:sz w:val="20"/>
                <w:szCs w:val="20"/>
                <w:color w:val="auto"/>
              </w:rPr>
            </w:pPr>
            <w:r>
              <w:rPr>
                <w:rFonts w:ascii="Arial" w:cs="Arial" w:eastAsia="Arial" w:hAnsi="Arial"/>
                <w:sz w:val="13"/>
                <w:szCs w:val="13"/>
                <w:b w:val="1"/>
                <w:bCs w:val="1"/>
                <w:color w:val="auto"/>
              </w:rPr>
              <w:t>5.8</w:t>
            </w:r>
          </w:p>
        </w:tc>
        <w:tc>
          <w:tcPr>
            <w:tcW w:w="360" w:type="dxa"/>
            <w:vAlign w:val="bottom"/>
            <w:tcBorders>
              <w:top w:val="single" w:sz="8" w:color="auto"/>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DBDBDB"/>
            </w:tcBorders>
            <w:shd w:val="clear" w:color="auto" w:fill="DBDBDB"/>
          </w:tcPr>
          <w:p>
            <w:pPr>
              <w:jc w:val="right"/>
              <w:ind w:right="157"/>
              <w:spacing w:after="0"/>
              <w:rPr>
                <w:sz w:val="20"/>
                <w:szCs w:val="20"/>
                <w:color w:val="auto"/>
              </w:rPr>
            </w:pPr>
            <w:r>
              <w:rPr>
                <w:rFonts w:ascii="Arial" w:cs="Arial" w:eastAsia="Arial" w:hAnsi="Arial"/>
                <w:sz w:val="13"/>
                <w:szCs w:val="13"/>
                <w:b w:val="1"/>
                <w:bCs w:val="1"/>
                <w:color w:val="auto"/>
              </w:rPr>
              <w:t>2.1</w:t>
            </w:r>
          </w:p>
        </w:tc>
        <w:tc>
          <w:tcPr>
            <w:tcW w:w="380" w:type="dxa"/>
            <w:vAlign w:val="bottom"/>
            <w:tcBorders>
              <w:top w:val="single" w:sz="8" w:color="auto"/>
              <w:bottom w:val="single" w:sz="8" w:color="DBDBDB"/>
            </w:tcBorders>
            <w:gridSpan w:val="2"/>
            <w:shd w:val="clear" w:color="auto" w:fill="DBDBDB"/>
          </w:tcPr>
          <w:p>
            <w:pPr>
              <w:jc w:val="right"/>
              <w:ind w:right="37"/>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DBDBDB"/>
            </w:tcBorders>
            <w:shd w:val="clear" w:color="auto" w:fill="DBDBDB"/>
          </w:tcPr>
          <w:p>
            <w:pPr>
              <w:jc w:val="right"/>
              <w:ind w:right="157"/>
              <w:spacing w:after="0"/>
              <w:rPr>
                <w:sz w:val="20"/>
                <w:szCs w:val="20"/>
                <w:color w:val="auto"/>
              </w:rPr>
            </w:pPr>
            <w:r>
              <w:rPr>
                <w:rFonts w:ascii="Arial" w:cs="Arial" w:eastAsia="Arial" w:hAnsi="Arial"/>
                <w:sz w:val="13"/>
                <w:szCs w:val="13"/>
                <w:b w:val="1"/>
                <w:bCs w:val="1"/>
                <w:color w:val="auto"/>
              </w:rPr>
              <w:t>0.9</w:t>
            </w:r>
          </w:p>
        </w:tc>
        <w:tc>
          <w:tcPr>
            <w:tcW w:w="140" w:type="dxa"/>
            <w:vAlign w:val="bottom"/>
          </w:tcPr>
          <w:p>
            <w:pPr>
              <w:spacing w:after="0"/>
              <w:rPr>
                <w:sz w:val="18"/>
                <w:szCs w:val="18"/>
                <w:color w:val="auto"/>
              </w:rPr>
            </w:pPr>
          </w:p>
        </w:tc>
        <w:tc>
          <w:tcPr>
            <w:tcW w:w="1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DBDBDB"/>
            </w:tcBorders>
            <w:shd w:val="clear" w:color="auto" w:fill="DBDBDB"/>
          </w:tcPr>
          <w:p>
            <w:pPr>
              <w:jc w:val="right"/>
              <w:ind w:right="197"/>
              <w:spacing w:after="0"/>
              <w:rPr>
                <w:sz w:val="20"/>
                <w:szCs w:val="20"/>
                <w:color w:val="auto"/>
              </w:rPr>
            </w:pPr>
            <w:r>
              <w:rPr>
                <w:rFonts w:ascii="Arial" w:cs="Arial" w:eastAsia="Arial" w:hAnsi="Arial"/>
                <w:sz w:val="13"/>
                <w:szCs w:val="13"/>
                <w:b w:val="1"/>
                <w:bCs w:val="1"/>
                <w:color w:val="auto"/>
              </w:rPr>
              <w:t>63.2</w:t>
            </w:r>
          </w:p>
        </w:tc>
        <w:tc>
          <w:tcPr>
            <w:tcW w:w="340" w:type="dxa"/>
            <w:vAlign w:val="bottom"/>
            <w:tcBorders>
              <w:top w:val="single" w:sz="8" w:color="auto"/>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DBDBDB"/>
            </w:tcBorders>
            <w:shd w:val="clear" w:color="auto" w:fill="DBDBDB"/>
          </w:tcPr>
          <w:p>
            <w:pPr>
              <w:jc w:val="right"/>
              <w:ind w:right="157"/>
              <w:spacing w:after="0"/>
              <w:rPr>
                <w:sz w:val="20"/>
                <w:szCs w:val="20"/>
                <w:color w:val="auto"/>
              </w:rPr>
            </w:pPr>
            <w:r>
              <w:rPr>
                <w:rFonts w:ascii="Arial" w:cs="Arial" w:eastAsia="Arial" w:hAnsi="Arial"/>
                <w:sz w:val="13"/>
                <w:szCs w:val="13"/>
                <w:b w:val="1"/>
                <w:bCs w:val="1"/>
                <w:color w:val="auto"/>
              </w:rPr>
              <w:t>27.9</w:t>
            </w:r>
          </w:p>
        </w:tc>
        <w:tc>
          <w:tcPr>
            <w:tcW w:w="400" w:type="dxa"/>
            <w:vAlign w:val="bottom"/>
            <w:tcBorders>
              <w:top w:val="single" w:sz="8" w:color="auto"/>
              <w:bottom w:val="single" w:sz="8" w:color="DBDBDB"/>
            </w:tcBorders>
            <w:gridSpan w:val="2"/>
            <w:shd w:val="clear" w:color="auto" w:fill="DBDBDB"/>
          </w:tcPr>
          <w:p>
            <w:pPr>
              <w:jc w:val="right"/>
              <w:ind w:right="37"/>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DBDBDB"/>
            </w:tcBorders>
            <w:shd w:val="clear" w:color="auto" w:fill="DBDBDB"/>
          </w:tcPr>
          <w:p>
            <w:pPr>
              <w:jc w:val="right"/>
              <w:ind w:right="177"/>
              <w:spacing w:after="0"/>
              <w:rPr>
                <w:sz w:val="20"/>
                <w:szCs w:val="20"/>
                <w:color w:val="auto"/>
              </w:rPr>
            </w:pPr>
            <w:r>
              <w:rPr>
                <w:rFonts w:ascii="Arial" w:cs="Arial" w:eastAsia="Arial" w:hAnsi="Arial"/>
                <w:sz w:val="13"/>
                <w:szCs w:val="13"/>
                <w:b w:val="1"/>
                <w:bCs w:val="1"/>
                <w:color w:val="auto"/>
              </w:rPr>
              <w:t>9.0</w:t>
            </w:r>
          </w:p>
        </w:tc>
      </w:tr>
      <w:tr>
        <w:trPr>
          <w:trHeight w:val="20"/>
        </w:trPr>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074A75"/>
        </w:rPr>
        <w:t>Additional notes</w:t>
      </w:r>
    </w:p>
    <w:p>
      <w:pPr>
        <w:spacing w:after="0" w:line="139" w:lineRule="exact"/>
        <w:rPr>
          <w:sz w:val="20"/>
          <w:szCs w:val="20"/>
          <w:color w:val="auto"/>
        </w:rPr>
      </w:pPr>
    </w:p>
    <w:p>
      <w:pPr>
        <w:ind w:left="340" w:right="100" w:hanging="332"/>
        <w:spacing w:after="0" w:line="268" w:lineRule="auto"/>
        <w:tabs>
          <w:tab w:leader="none" w:pos="341"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Basel III common equity Tier 1 (“CET1”) ratio is used by management, bank regulators, investors and analysts to assess and monitor the Firm’s capital position. Refer to Capital Risk Management on pages 91-101 of the 2023 Form 10-K for additional information on this measure.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114</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AMENDED AND RESTATED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Appendix</w:t>
      </w:r>
    </w:p>
    <w:p>
      <w:pPr>
        <w:spacing w:after="0" w:line="186" w:lineRule="exact"/>
        <w:rPr>
          <w:sz w:val="20"/>
          <w:szCs w:val="20"/>
          <w:color w:val="auto"/>
        </w:rPr>
      </w:pPr>
    </w:p>
    <w:p>
      <w:pPr>
        <w:ind w:left="20" w:right="980"/>
        <w:spacing w:after="0" w:line="296" w:lineRule="auto"/>
        <w:rPr>
          <w:sz w:val="20"/>
          <w:szCs w:val="20"/>
          <w:color w:val="auto"/>
        </w:rPr>
      </w:pPr>
      <w:r>
        <w:rPr>
          <w:rFonts w:ascii="Arial" w:cs="Arial" w:eastAsia="Arial" w:hAnsi="Arial"/>
          <w:sz w:val="25"/>
          <w:szCs w:val="25"/>
          <w:color w:val="074A75"/>
        </w:rPr>
        <w:t>JPMORGAN CHASE &amp; CO. AMENDED AND RESTATED LONG-TERM INCENTIVE PLAN, EFFECTIVE May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0" w:right="53" w:hanging="392"/>
        <w:spacing w:after="0" w:line="252" w:lineRule="auto"/>
        <w:tabs>
          <w:tab w:leader="none" w:pos="404"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JPMorgan Chase &amp; Co. Long-Term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“Plan”) is an amendment and restatement, effective May 21, 2024, subject to shareholder approval on that date, of the JPMorgan Chase &amp; Co. Long-Term Incentive Plan as amended and restated effective May 18, 2021. The Plan allows the Company to provide stock-based incentives for designated employees to acquire a proprietary interest in the growth, performance and long-term sustainable health of the Company and to have an increased incentive in contributing to the Company’s future success and prosperity. It is also designed to enhance the Company’s ability to attract, retain and reward employees of exceptional talent and allows the Company to respond to a changing business environment in a flexible manner while aligning employees’ interests with those of the Company’s shareholders. The Plan also provides a mechanism to establish the compensation of Directors.</w:t>
      </w:r>
    </w:p>
    <w:p>
      <w:pPr>
        <w:spacing w:after="0" w:line="86" w:lineRule="exact"/>
        <w:rPr>
          <w:rFonts w:ascii="Arial" w:cs="Arial" w:eastAsia="Arial" w:hAnsi="Arial"/>
          <w:sz w:val="18"/>
          <w:szCs w:val="18"/>
          <w:b w:val="1"/>
          <w:bCs w:val="1"/>
          <w:color w:val="auto"/>
        </w:rPr>
      </w:pPr>
    </w:p>
    <w:p>
      <w:pPr>
        <w:ind w:left="400" w:right="413" w:hanging="392"/>
        <w:spacing w:after="0" w:line="287" w:lineRule="auto"/>
        <w:tabs>
          <w:tab w:leader="none" w:pos="404"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the Plan, the following terms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meanings set forth in this Section 2:</w:t>
      </w:r>
    </w:p>
    <w:p>
      <w:pPr>
        <w:spacing w:after="0" w:line="44" w:lineRule="exact"/>
        <w:rPr>
          <w:rFonts w:ascii="Arial" w:cs="Arial" w:eastAsia="Arial" w:hAnsi="Arial"/>
          <w:sz w:val="18"/>
          <w:szCs w:val="18"/>
          <w:b w:val="1"/>
          <w:bCs w:val="1"/>
          <w:color w:val="auto"/>
        </w:rPr>
      </w:pPr>
    </w:p>
    <w:p>
      <w:pPr>
        <w:ind w:left="780" w:right="93" w:hanging="383"/>
        <w:spacing w:after="0" w:line="287" w:lineRule="auto"/>
        <w:tabs>
          <w:tab w:leader="none" w:pos="773"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“Act” shall mean the Securities Exchange Act of 1934, as amended from time to time.</w:t>
      </w:r>
    </w:p>
    <w:p>
      <w:pPr>
        <w:spacing w:after="0" w:line="44" w:lineRule="exact"/>
        <w:rPr>
          <w:rFonts w:ascii="Arial" w:cs="Arial" w:eastAsia="Arial" w:hAnsi="Arial"/>
          <w:sz w:val="18"/>
          <w:szCs w:val="18"/>
          <w:color w:val="auto"/>
        </w:rPr>
      </w:pPr>
    </w:p>
    <w:p>
      <w:pPr>
        <w:ind w:left="780" w:right="213" w:hanging="383"/>
        <w:spacing w:after="0" w:line="287" w:lineRule="auto"/>
        <w:tabs>
          <w:tab w:leader="none" w:pos="773"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“Award” shall mean any type of award granted pursuant to the Plan.</w:t>
      </w:r>
    </w:p>
    <w:p>
      <w:pPr>
        <w:spacing w:after="0" w:line="44" w:lineRule="exact"/>
        <w:rPr>
          <w:rFonts w:ascii="Arial" w:cs="Arial" w:eastAsia="Arial" w:hAnsi="Arial"/>
          <w:sz w:val="18"/>
          <w:szCs w:val="18"/>
          <w:color w:val="auto"/>
        </w:rPr>
      </w:pPr>
    </w:p>
    <w:p>
      <w:pPr>
        <w:ind w:left="780" w:right="153" w:hanging="383"/>
        <w:spacing w:after="0" w:line="287" w:lineRule="auto"/>
        <w:tabs>
          <w:tab w:leader="none" w:pos="77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“Award Agreement” means the document by which each Award is evidenced, as described in Section 13.</w:t>
      </w:r>
    </w:p>
    <w:p>
      <w:pPr>
        <w:spacing w:after="0" w:line="44" w:lineRule="exact"/>
        <w:rPr>
          <w:rFonts w:ascii="Arial" w:cs="Arial" w:eastAsia="Arial" w:hAnsi="Arial"/>
          <w:sz w:val="18"/>
          <w:szCs w:val="18"/>
          <w:color w:val="auto"/>
        </w:rPr>
      </w:pPr>
    </w:p>
    <w:p>
      <w:pPr>
        <w:ind w:left="780" w:right="353" w:hanging="383"/>
        <w:spacing w:after="0" w:line="257" w:lineRule="auto"/>
        <w:tabs>
          <w:tab w:leader="none" w:pos="773" w:val="left"/>
        </w:tabs>
        <w:numPr>
          <w:ilvl w:val="1"/>
          <w:numId w:val="343"/>
        </w:numPr>
        <w:rPr>
          <w:rFonts w:ascii="Arial" w:cs="Arial" w:eastAsia="Arial" w:hAnsi="Arial"/>
          <w:sz w:val="18"/>
          <w:szCs w:val="18"/>
          <w:color w:val="auto"/>
        </w:rPr>
      </w:pPr>
      <w:r>
        <w:rPr>
          <w:rFonts w:ascii="Arial" w:cs="Arial" w:eastAsia="Arial" w:hAnsi="Arial"/>
          <w:sz w:val="18"/>
          <w:szCs w:val="18"/>
          <w:color w:val="auto"/>
        </w:rPr>
        <w:t>“Board” shall mean the Board of Directors of JPMC; provided that any action taken by a duly authorized committee of the Board within the scope of authority delegated to such committee by the Board shall be considered an action of the Board for purposes of this Plan.</w:t>
      </w:r>
    </w:p>
    <w:p>
      <w:pPr>
        <w:spacing w:after="0" w:line="74" w:lineRule="exact"/>
        <w:rPr>
          <w:rFonts w:ascii="Arial" w:cs="Arial" w:eastAsia="Arial" w:hAnsi="Arial"/>
          <w:sz w:val="18"/>
          <w:szCs w:val="18"/>
          <w:color w:val="auto"/>
        </w:rPr>
      </w:pPr>
    </w:p>
    <w:p>
      <w:pPr>
        <w:jc w:val="both"/>
        <w:ind w:left="780" w:right="73" w:hanging="383"/>
        <w:spacing w:after="0" w:line="282" w:lineRule="auto"/>
        <w:tabs>
          <w:tab w:leader="none" w:pos="773" w:val="left"/>
        </w:tabs>
        <w:numPr>
          <w:ilvl w:val="1"/>
          <w:numId w:val="343"/>
        </w:numPr>
        <w:rPr>
          <w:rFonts w:ascii="Arial" w:cs="Arial" w:eastAsia="Arial" w:hAnsi="Arial"/>
          <w:sz w:val="17"/>
          <w:szCs w:val="17"/>
          <w:color w:val="auto"/>
        </w:rPr>
      </w:pPr>
      <w:r>
        <w:rPr>
          <w:rFonts w:ascii="Arial" w:cs="Arial" w:eastAsia="Arial" w:hAnsi="Arial"/>
          <w:sz w:val="17"/>
          <w:szCs w:val="17"/>
          <w:color w:val="auto"/>
        </w:rPr>
        <w:t>“JPMC” shall mean JPMorgan Chase &amp; Co., and, except as otherwise specified in this Plan in a particular context, any successor thereto, whether by merger, consolidation, purchase of all or substantially all its assets or otherwise.</w:t>
      </w:r>
    </w:p>
    <w:p>
      <w:pPr>
        <w:spacing w:after="0" w:line="53" w:lineRule="exact"/>
        <w:rPr>
          <w:rFonts w:ascii="Arial" w:cs="Arial" w:eastAsia="Arial" w:hAnsi="Arial"/>
          <w:sz w:val="17"/>
          <w:szCs w:val="17"/>
          <w:color w:val="auto"/>
        </w:rPr>
      </w:pPr>
    </w:p>
    <w:p>
      <w:pPr>
        <w:ind w:left="780" w:right="33" w:hanging="383"/>
        <w:spacing w:after="0" w:line="287" w:lineRule="auto"/>
        <w:tabs>
          <w:tab w:leader="none" w:pos="763" w:val="left"/>
        </w:tabs>
        <w:numPr>
          <w:ilvl w:val="1"/>
          <w:numId w:val="343"/>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306070</wp:posOffset>
            </wp:positionV>
            <wp:extent cx="27432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7" w:right="180" w:hanging="387"/>
        <w:spacing w:after="0" w:line="255" w:lineRule="auto"/>
        <w:tabs>
          <w:tab w:leader="none" w:pos="3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“Committee” shall mean the Compensation &amp; Management Development Committee of the Board (or any successor committee) or any subcommittee thereof composed of not fewer than two directors, each of whom is a “non-employee director” as defined in Rule 16b-3 promulgated by the Securities and Exchange Commission under the Act, or any successor definition adopted by the Commission.</w:t>
      </w:r>
    </w:p>
    <w:p>
      <w:pPr>
        <w:spacing w:after="0" w:line="76" w:lineRule="exact"/>
        <w:rPr>
          <w:rFonts w:ascii="Arial" w:cs="Arial" w:eastAsia="Arial" w:hAnsi="Arial"/>
          <w:sz w:val="18"/>
          <w:szCs w:val="18"/>
          <w:color w:val="auto"/>
        </w:rPr>
      </w:pPr>
    </w:p>
    <w:p>
      <w:pPr>
        <w:ind w:left="387" w:right="140" w:hanging="387"/>
        <w:spacing w:after="0" w:line="287" w:lineRule="auto"/>
        <w:tabs>
          <w:tab w:leader="none" w:pos="3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“Common Stock” shall mean the common stock of JPMC, par value $1 per share.</w:t>
      </w:r>
    </w:p>
    <w:p>
      <w:pPr>
        <w:spacing w:after="0" w:line="44" w:lineRule="exact"/>
        <w:rPr>
          <w:rFonts w:ascii="Arial" w:cs="Arial" w:eastAsia="Arial" w:hAnsi="Arial"/>
          <w:sz w:val="18"/>
          <w:szCs w:val="18"/>
          <w:color w:val="auto"/>
        </w:rPr>
      </w:pPr>
    </w:p>
    <w:p>
      <w:pPr>
        <w:ind w:left="367" w:hanging="367"/>
        <w:spacing w:after="0"/>
        <w:tabs>
          <w:tab w:leader="none" w:pos="36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“Company” shall mean JPMC and its Subsidiaries.</w:t>
      </w:r>
    </w:p>
    <w:p>
      <w:pPr>
        <w:spacing w:after="0" w:line="117" w:lineRule="exact"/>
        <w:rPr>
          <w:rFonts w:ascii="Arial" w:cs="Arial" w:eastAsia="Arial" w:hAnsi="Arial"/>
          <w:sz w:val="18"/>
          <w:szCs w:val="18"/>
          <w:color w:val="auto"/>
        </w:rPr>
      </w:pPr>
    </w:p>
    <w:p>
      <w:pPr>
        <w:ind w:left="387" w:right="180" w:hanging="387"/>
        <w:spacing w:after="0" w:line="268" w:lineRule="auto"/>
        <w:tabs>
          <w:tab w:leader="none" w:pos="37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“Director” shall mean a member of the Board of Directors of JPMC excluding any member who is an officer or Employee of the Company.</w:t>
      </w:r>
    </w:p>
    <w:p>
      <w:pPr>
        <w:spacing w:after="0" w:line="62" w:lineRule="exact"/>
        <w:rPr>
          <w:rFonts w:ascii="Arial" w:cs="Arial" w:eastAsia="Arial" w:hAnsi="Arial"/>
          <w:sz w:val="18"/>
          <w:szCs w:val="18"/>
          <w:color w:val="auto"/>
        </w:rPr>
      </w:pPr>
    </w:p>
    <w:p>
      <w:pPr>
        <w:ind w:left="387" w:hanging="387"/>
        <w:spacing w:after="0"/>
        <w:tabs>
          <w:tab w:leader="none" w:pos="38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“Employee” shall mean any employee of the Company.</w:t>
      </w:r>
    </w:p>
    <w:p>
      <w:pPr>
        <w:spacing w:after="0" w:line="117" w:lineRule="exact"/>
        <w:rPr>
          <w:rFonts w:ascii="Arial" w:cs="Arial" w:eastAsia="Arial" w:hAnsi="Arial"/>
          <w:sz w:val="18"/>
          <w:szCs w:val="18"/>
          <w:color w:val="auto"/>
        </w:rPr>
      </w:pPr>
    </w:p>
    <w:p>
      <w:pPr>
        <w:ind w:left="387" w:right="120" w:hanging="387"/>
        <w:spacing w:after="0" w:line="254" w:lineRule="auto"/>
        <w:tabs>
          <w:tab w:leader="none" w:pos="36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“Fair Market Value” shall mean (unless the Committee specifies a different valuation method) per share of Common Stock, the average of high and low sale prices of the Common Stock as reported on the New York Stock Exchange (“NYSE”) composite tape on the applicable date, or, if there are no such sale prices of Common Stock reported on the NYSE composite tape on such date, then the average price of the Common Stock on the last previous day on which high and low sale prices are reported on the NYSE composite tape.</w:t>
      </w:r>
    </w:p>
    <w:p>
      <w:pPr>
        <w:spacing w:after="0" w:line="77" w:lineRule="exact"/>
        <w:rPr>
          <w:rFonts w:ascii="Arial" w:cs="Arial" w:eastAsia="Arial" w:hAnsi="Arial"/>
          <w:sz w:val="18"/>
          <w:szCs w:val="18"/>
          <w:color w:val="auto"/>
        </w:rPr>
      </w:pPr>
    </w:p>
    <w:p>
      <w:pPr>
        <w:ind w:left="387" w:right="560" w:hanging="387"/>
        <w:spacing w:after="0" w:line="287" w:lineRule="auto"/>
        <w:tabs>
          <w:tab w:leader="none" w:pos="37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“Other Stock-Based Award” shall mean any of those Awards described in Section 9 hereof.</w:t>
      </w:r>
    </w:p>
    <w:p>
      <w:pPr>
        <w:spacing w:after="0" w:line="44" w:lineRule="exact"/>
        <w:rPr>
          <w:rFonts w:ascii="Arial" w:cs="Arial" w:eastAsia="Arial" w:hAnsi="Arial"/>
          <w:sz w:val="18"/>
          <w:szCs w:val="18"/>
          <w:color w:val="auto"/>
        </w:rPr>
      </w:pPr>
    </w:p>
    <w:p>
      <w:pPr>
        <w:ind w:left="387" w:right="100" w:hanging="387"/>
        <w:spacing w:after="0" w:line="287" w:lineRule="auto"/>
        <w:tabs>
          <w:tab w:leader="none" w:pos="3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“Participant” shall mean an Employee or Director who has been granted an Award under the Plan.</w:t>
      </w:r>
    </w:p>
    <w:p>
      <w:pPr>
        <w:spacing w:after="0" w:line="44" w:lineRule="exact"/>
        <w:rPr>
          <w:rFonts w:ascii="Arial" w:cs="Arial" w:eastAsia="Arial" w:hAnsi="Arial"/>
          <w:sz w:val="18"/>
          <w:szCs w:val="18"/>
          <w:color w:val="auto"/>
        </w:rPr>
      </w:pPr>
    </w:p>
    <w:p>
      <w:pPr>
        <w:ind w:left="387" w:right="180" w:hanging="387"/>
        <w:spacing w:after="0" w:line="274" w:lineRule="auto"/>
        <w:tabs>
          <w:tab w:leader="none" w:pos="38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“Subsidiary” shall mean any corporation that at the time qualifies as a subsidiary of JPMC under the definition of “subsidiary corporation” in Section 424(f) of the Code, as amended from time to time. Notwithstanding the foregoing, the Committee, in its sole and absolute discretion, may determine that any entity in which JPMC has a significant equity or other interest is a “Subsidiary.”</w:t>
      </w:r>
    </w:p>
    <w:p>
      <w:pPr>
        <w:spacing w:after="0" w:line="200" w:lineRule="exact"/>
        <w:rPr>
          <w:sz w:val="20"/>
          <w:szCs w:val="20"/>
          <w:color w:val="auto"/>
        </w:rPr>
      </w:pPr>
    </w:p>
    <w:p>
      <w:pPr>
        <w:sectPr>
          <w:pgSz w:w="11900" w:h="16838" w:orient="portrait"/>
          <w:cols w:equalWidth="0" w:num="2">
            <w:col w:w="5413" w:space="720"/>
            <w:col w:w="5087"/>
          </w:cols>
          <w:pgMar w:left="320" w:top="157" w:right="359" w:bottom="1440" w:gutter="0" w:footer="0" w:header="0"/>
          <w:type w:val="continuous"/>
        </w:sectPr>
      </w:pPr>
    </w:p>
    <w:p>
      <w:pPr>
        <w:spacing w:after="0" w:line="1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115 </w:t>
      </w:r>
      <w:r>
        <w:rPr>
          <w:sz w:val="1"/>
          <w:szCs w:val="1"/>
          <w:color w:val="auto"/>
        </w:rPr>
        <w:drawing>
          <wp:inline distT="0" distB="0" distL="0" distR="0">
            <wp:extent cx="2203450" cy="154305"/>
            <wp:effectExtent l="0" t="0" r="0" b="0"/>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AMENDED AND RESTATED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ind w:left="400" w:hanging="392"/>
        <w:spacing w:after="0"/>
        <w:tabs>
          <w:tab w:leader="none" w:pos="40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17" w:lineRule="exact"/>
        <w:rPr>
          <w:rFonts w:ascii="Arial" w:cs="Arial" w:eastAsia="Arial" w:hAnsi="Arial"/>
          <w:sz w:val="18"/>
          <w:szCs w:val="18"/>
          <w:b w:val="1"/>
          <w:bCs w:val="1"/>
          <w:color w:val="auto"/>
        </w:rPr>
      </w:pPr>
    </w:p>
    <w:p>
      <w:pPr>
        <w:ind w:left="780" w:right="140" w:hanging="383"/>
        <w:spacing w:after="0" w:line="254" w:lineRule="auto"/>
        <w:tabs>
          <w:tab w:leader="none" w:pos="773"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stock subject to provisions of the Plan shall be shares of authorized but unissued Common Stock and authorized and issued shares of Common Stock held as treasury shares. Subject to adjustment as provided in Sections 3(b) and 17, the number of shares of Common Stock with respect to which Awards may be granted under the Plan from its term commencing May 21, 2024 and ending May 31, 2028, shall be 81 million shares of Common Stock; provided that not more than 7 million shares may be issued as Awards of incentive stock options as defined by Section 422 of the Code.</w:t>
      </w:r>
    </w:p>
    <w:p>
      <w:pPr>
        <w:spacing w:after="0" w:line="74" w:lineRule="exact"/>
        <w:rPr>
          <w:rFonts w:ascii="Arial" w:cs="Arial" w:eastAsia="Arial" w:hAnsi="Arial"/>
          <w:sz w:val="18"/>
          <w:szCs w:val="18"/>
          <w:color w:val="auto"/>
        </w:rPr>
      </w:pPr>
    </w:p>
    <w:p>
      <w:pPr>
        <w:ind w:left="780" w:right="240" w:hanging="383"/>
        <w:spacing w:after="0" w:line="268" w:lineRule="auto"/>
        <w:tabs>
          <w:tab w:leader="none" w:pos="773" w:val="left"/>
        </w:tabs>
        <w:numPr>
          <w:ilvl w:val="1"/>
          <w:numId w:val="345"/>
        </w:numPr>
        <w:rPr>
          <w:rFonts w:ascii="Arial" w:cs="Arial" w:eastAsia="Arial" w:hAnsi="Arial"/>
          <w:sz w:val="18"/>
          <w:szCs w:val="18"/>
          <w:color w:val="auto"/>
        </w:rPr>
      </w:pPr>
      <w:r>
        <w:rPr>
          <w:rFonts w:ascii="Arial" w:cs="Arial" w:eastAsia="Arial" w:hAnsi="Arial"/>
          <w:sz w:val="18"/>
          <w:szCs w:val="18"/>
          <w:color w:val="auto"/>
        </w:rPr>
        <w:t>In addition to the number of shares of Common Stock provided for in Section 3(a), there shall be available for Awards under the Plan:</w:t>
      </w:r>
    </w:p>
    <w:p>
      <w:pPr>
        <w:spacing w:after="0" w:line="62" w:lineRule="exact"/>
        <w:rPr>
          <w:rFonts w:ascii="Arial" w:cs="Arial" w:eastAsia="Arial" w:hAnsi="Arial"/>
          <w:sz w:val="18"/>
          <w:szCs w:val="18"/>
          <w:color w:val="auto"/>
        </w:rPr>
      </w:pPr>
    </w:p>
    <w:p>
      <w:pPr>
        <w:ind w:left="1180" w:right="80" w:hanging="394"/>
        <w:spacing w:after="0" w:line="256" w:lineRule="auto"/>
        <w:tabs>
          <w:tab w:leader="none" w:pos="1167" w:val="left"/>
        </w:tabs>
        <w:numPr>
          <w:ilvl w:val="2"/>
          <w:numId w:val="345"/>
        </w:numPr>
        <w:rPr>
          <w:rFonts w:ascii="Arial" w:cs="Arial" w:eastAsia="Arial" w:hAnsi="Arial"/>
          <w:sz w:val="18"/>
          <w:szCs w:val="18"/>
          <w:color w:val="auto"/>
        </w:rPr>
      </w:pPr>
      <w:r>
        <w:rPr>
          <w:rFonts w:ascii="Arial" w:cs="Arial" w:eastAsia="Arial" w:hAnsi="Arial"/>
          <w:sz w:val="18"/>
          <w:szCs w:val="18"/>
          <w:color w:val="auto"/>
        </w:rPr>
        <w:t>shares representing Awards that are canceled, surrendered, forfeited, or terminated (other than shares representing Awards of stock appreciation rights or stock options), shares withheld to satisfy withholding tax obligations of any Award (other than tax withholdings associated Awards of stock appreciation rights and stock options),</w:t>
      </w:r>
    </w:p>
    <w:p>
      <w:pPr>
        <w:spacing w:after="0" w:line="74" w:lineRule="exact"/>
        <w:rPr>
          <w:rFonts w:ascii="Arial" w:cs="Arial" w:eastAsia="Arial" w:hAnsi="Arial"/>
          <w:sz w:val="18"/>
          <w:szCs w:val="18"/>
          <w:color w:val="auto"/>
        </w:rPr>
      </w:pPr>
    </w:p>
    <w:p>
      <w:pPr>
        <w:ind w:left="1180" w:right="60" w:hanging="394"/>
        <w:spacing w:after="0" w:line="268" w:lineRule="auto"/>
        <w:tabs>
          <w:tab w:leader="none" w:pos="1153" w:val="left"/>
        </w:tabs>
        <w:numPr>
          <w:ilvl w:val="2"/>
          <w:numId w:val="345"/>
        </w:numPr>
        <w:rPr>
          <w:rFonts w:ascii="Arial" w:cs="Arial" w:eastAsia="Arial" w:hAnsi="Arial"/>
          <w:sz w:val="17"/>
          <w:szCs w:val="17"/>
          <w:color w:val="auto"/>
        </w:rPr>
      </w:pPr>
      <w:r>
        <w:rPr>
          <w:rFonts w:ascii="Arial" w:cs="Arial" w:eastAsia="Arial" w:hAnsi="Arial"/>
          <w:sz w:val="17"/>
          <w:szCs w:val="17"/>
          <w:color w:val="auto"/>
        </w:rPr>
        <w:t>shares granted through assumption of, or in substitution for, outstanding awards previously granted by an employing company to individuals who become Employees as the result of a merger, consolidation, acquisition or other corporate transaction involving the employing company and the Company, or shares granted to such Employees</w:t>
      </w:r>
    </w:p>
    <w:p>
      <w:pPr>
        <w:spacing w:after="0" w:line="2" w:lineRule="exact"/>
        <w:rPr>
          <w:rFonts w:ascii="Arial" w:cs="Arial" w:eastAsia="Arial" w:hAnsi="Arial"/>
          <w:sz w:val="17"/>
          <w:szCs w:val="17"/>
          <w:color w:val="auto"/>
        </w:rPr>
      </w:pPr>
    </w:p>
    <w:p>
      <w:pPr>
        <w:ind w:left="1180"/>
        <w:spacing w:after="0" w:line="255" w:lineRule="auto"/>
        <w:rPr>
          <w:rFonts w:ascii="Arial" w:cs="Arial" w:eastAsia="Arial" w:hAnsi="Arial"/>
          <w:sz w:val="17"/>
          <w:szCs w:val="17"/>
          <w:color w:val="auto"/>
        </w:rPr>
      </w:pPr>
      <w:r>
        <w:rPr>
          <w:rFonts w:ascii="Arial" w:cs="Arial" w:eastAsia="Arial" w:hAnsi="Arial"/>
          <w:sz w:val="18"/>
          <w:szCs w:val="18"/>
          <w:color w:val="auto"/>
        </w:rPr>
        <w:t>(x) pursuant to contractual obligations with respect to such merger, consolidation, acquisition or other corporate transaction or (y) as retention awards in connection with such transactions, and</w:t>
      </w:r>
    </w:p>
    <w:p>
      <w:pPr>
        <w:spacing w:after="0" w:line="74" w:lineRule="exact"/>
        <w:rPr>
          <w:rFonts w:ascii="Arial" w:cs="Arial" w:eastAsia="Arial" w:hAnsi="Arial"/>
          <w:sz w:val="17"/>
          <w:szCs w:val="17"/>
          <w:color w:val="auto"/>
        </w:rPr>
      </w:pPr>
    </w:p>
    <w:p>
      <w:pPr>
        <w:ind w:left="1180" w:right="200" w:hanging="394"/>
        <w:spacing w:after="0" w:line="287" w:lineRule="auto"/>
        <w:tabs>
          <w:tab w:leader="none" w:pos="1152" w:val="left"/>
        </w:tabs>
        <w:numPr>
          <w:ilvl w:val="2"/>
          <w:numId w:val="345"/>
        </w:numPr>
        <w:rPr>
          <w:rFonts w:ascii="Arial" w:cs="Arial" w:eastAsia="Arial" w:hAnsi="Arial"/>
          <w:sz w:val="18"/>
          <w:szCs w:val="18"/>
          <w:color w:val="auto"/>
        </w:rPr>
      </w:pPr>
      <w:r>
        <w:rPr>
          <w:rFonts w:ascii="Arial" w:cs="Arial" w:eastAsia="Arial" w:hAnsi="Arial"/>
          <w:sz w:val="18"/>
          <w:szCs w:val="18"/>
          <w:color w:val="auto"/>
        </w:rPr>
        <w:t>Awards which by their terms may be settled only in cash.</w:t>
      </w:r>
    </w:p>
    <w:p>
      <w:pPr>
        <w:spacing w:after="0" w:line="44" w:lineRule="exact"/>
        <w:rPr>
          <w:rFonts w:ascii="Arial" w:cs="Arial" w:eastAsia="Arial" w:hAnsi="Arial"/>
          <w:sz w:val="18"/>
          <w:szCs w:val="18"/>
          <w:color w:val="auto"/>
        </w:rPr>
      </w:pPr>
    </w:p>
    <w:p>
      <w:pPr>
        <w:ind w:left="780" w:hanging="383"/>
        <w:spacing w:after="0" w:line="253" w:lineRule="auto"/>
        <w:tabs>
          <w:tab w:leader="none" w:pos="776" w:val="left"/>
        </w:tabs>
        <w:numPr>
          <w:ilvl w:val="1"/>
          <w:numId w:val="345"/>
        </w:numPr>
        <w:rPr>
          <w:rFonts w:ascii="Arial" w:cs="Arial" w:eastAsia="Arial" w:hAnsi="Arial"/>
          <w:sz w:val="18"/>
          <w:szCs w:val="18"/>
          <w:color w:val="auto"/>
        </w:rPr>
      </w:pPr>
      <w:r>
        <w:rPr>
          <w:rFonts w:ascii="Arial" w:cs="Arial" w:eastAsia="Arial" w:hAnsi="Arial"/>
          <w:sz w:val="18"/>
          <w:szCs w:val="18"/>
          <w:color w:val="auto"/>
        </w:rPr>
        <w:t>For purposes of calculating the number of shares of Common Stock available for issuance under the Plan, only the maximum number of shares that could be issued under Awards granted in tandem shall reduce the number specified in Section 3(a), provided that the Award Agreement provides that the exercise of one right under an Award reduces the number of shares of Common Stock available under the other Award. For avoidance of doubt, as provided in Section 3(b)(i), with respect to Awards of stock appreciation rights and options, all shares underlying such Awards, whether or not actually issued to plan participants, will count against the share limit.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16" w:right="160" w:hanging="316"/>
        <w:spacing w:after="0" w:line="262" w:lineRule="auto"/>
        <w:tabs>
          <w:tab w:leader="none" w:pos="318"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Any Employee selected by the Committee is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to be a Participant in the Plan. In addition, as provided in Section 12, any Director shall be eligible to be a Participant in the Plan.</w:t>
      </w:r>
    </w:p>
    <w:p>
      <w:pPr>
        <w:spacing w:after="0" w:line="68" w:lineRule="exact"/>
        <w:rPr>
          <w:rFonts w:ascii="Arial" w:cs="Arial" w:eastAsia="Arial" w:hAnsi="Arial"/>
          <w:sz w:val="18"/>
          <w:szCs w:val="18"/>
          <w:b w:val="1"/>
          <w:bCs w:val="1"/>
          <w:color w:val="auto"/>
        </w:rPr>
      </w:pPr>
    </w:p>
    <w:p>
      <w:pPr>
        <w:ind w:left="396" w:hanging="396"/>
        <w:spacing w:after="0"/>
        <w:tabs>
          <w:tab w:leader="none" w:pos="396"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w:t>
      </w:r>
    </w:p>
    <w:p>
      <w:pPr>
        <w:spacing w:after="0" w:line="117" w:lineRule="exact"/>
        <w:rPr>
          <w:rFonts w:ascii="Arial" w:cs="Arial" w:eastAsia="Arial" w:hAnsi="Arial"/>
          <w:sz w:val="18"/>
          <w:szCs w:val="18"/>
          <w:b w:val="1"/>
          <w:bCs w:val="1"/>
          <w:color w:val="auto"/>
        </w:rPr>
      </w:pPr>
    </w:p>
    <w:p>
      <w:pPr>
        <w:ind w:left="716" w:right="120" w:hanging="379"/>
        <w:spacing w:after="0" w:line="259" w:lineRule="auto"/>
        <w:tabs>
          <w:tab w:leader="none" w:pos="709"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The Committee may not grant Awards under the Plan to any Participant in excess of 7.5 million shares, including, but not limited to, the number of shares represented by Awards of stock options and stock appreciation, during the term of the Plan.</w:t>
      </w:r>
    </w:p>
    <w:p>
      <w:pPr>
        <w:spacing w:after="0" w:line="71" w:lineRule="exact"/>
        <w:rPr>
          <w:rFonts w:ascii="Arial" w:cs="Arial" w:eastAsia="Arial" w:hAnsi="Arial"/>
          <w:sz w:val="18"/>
          <w:szCs w:val="18"/>
          <w:color w:val="auto"/>
        </w:rPr>
      </w:pPr>
    </w:p>
    <w:p>
      <w:pPr>
        <w:ind w:left="716" w:right="120" w:hanging="379"/>
        <w:spacing w:after="0" w:line="252" w:lineRule="auto"/>
        <w:tabs>
          <w:tab w:leader="none" w:pos="709" w:val="left"/>
        </w:tabs>
        <w:numPr>
          <w:ilvl w:val="1"/>
          <w:numId w:val="346"/>
        </w:numPr>
        <w:rPr>
          <w:rFonts w:ascii="Arial" w:cs="Arial" w:eastAsia="Arial" w:hAnsi="Arial"/>
          <w:sz w:val="18"/>
          <w:szCs w:val="18"/>
          <w:color w:val="auto"/>
        </w:rPr>
      </w:pPr>
      <w:r>
        <w:rPr>
          <w:rFonts w:ascii="Arial" w:cs="Arial" w:eastAsia="Arial" w:hAnsi="Arial"/>
          <w:sz w:val="18"/>
          <w:szCs w:val="18"/>
          <w:color w:val="auto"/>
        </w:rPr>
        <w:t>Other than Awards to Directors, Awards settled in shares of Common Stock shall have a minimum vesting/exercise schedule of ratably over three years, provided that the Committee can grant Awards of up to 5% of shares authorized under the Plan with a shorter vesting or exercise period but not less than a one-year period. These minimum vesting and exercise periods do not apply to Awards that vest or become exercisable earlier due to (i) circumstances such as death, retirement, or involuntary termination of employment, (ii) the achievement of performance objectives over a period of at least one year, (iii) standard vest date occurring within 10 days of the grant date anniversary, or (iv) a determination by the Firm for regulatory or other considerations to provide an equity award in excess of that which would have been awarded to the individual under the cash equity policy in effect for the performance year.</w:t>
      </w:r>
    </w:p>
    <w:p>
      <w:pPr>
        <w:spacing w:after="0" w:line="85" w:lineRule="exact"/>
        <w:rPr>
          <w:rFonts w:ascii="Arial" w:cs="Arial" w:eastAsia="Arial" w:hAnsi="Arial"/>
          <w:sz w:val="18"/>
          <w:szCs w:val="18"/>
          <w:color w:val="auto"/>
        </w:rPr>
      </w:pPr>
    </w:p>
    <w:p>
      <w:pPr>
        <w:ind w:left="396" w:right="300" w:hanging="396"/>
        <w:spacing w:after="0" w:line="257" w:lineRule="auto"/>
        <w:tabs>
          <w:tab w:leader="none" w:pos="40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Unless otherwise determined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administered by the Committee. As to the selection of, and Awards to, Participants who are not subject to Section 16 of the Act, the Committee may delegate any or all of its responsibilities to officers or Employees of the Company.</w:t>
      </w:r>
    </w:p>
    <w:p>
      <w:pPr>
        <w:spacing w:after="0" w:line="74" w:lineRule="exact"/>
        <w:rPr>
          <w:rFonts w:ascii="Arial" w:cs="Arial" w:eastAsia="Arial" w:hAnsi="Arial"/>
          <w:sz w:val="18"/>
          <w:szCs w:val="18"/>
          <w:b w:val="1"/>
          <w:bCs w:val="1"/>
          <w:color w:val="auto"/>
        </w:rPr>
      </w:pPr>
    </w:p>
    <w:p>
      <w:pPr>
        <w:ind w:left="396" w:right="2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Subject to the provisions of the Plan, the Committee shall have complete control over the administration of the Plan and shall have the authority in its sole discretion to (a) construe, interpret and implement the Plan and all Award Agreements,</w:t>
      </w:r>
    </w:p>
    <w:p>
      <w:pPr>
        <w:spacing w:after="0" w:line="2" w:lineRule="exact"/>
        <w:rPr>
          <w:rFonts w:ascii="Arial" w:cs="Arial" w:eastAsia="Arial" w:hAnsi="Arial"/>
          <w:sz w:val="18"/>
          <w:szCs w:val="18"/>
          <w:b w:val="1"/>
          <w:bCs w:val="1"/>
          <w:color w:val="auto"/>
        </w:rPr>
      </w:pPr>
    </w:p>
    <w:p>
      <w:pPr>
        <w:ind w:left="396" w:right="22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(b) establish, amend, and rescind any rules and regulations relating to the Plan, (c) grant Awards, (d) determine who shall receive Awards, when such Awards shall be made and the terms and provisions of Award Agreements, (e) establish plans supplemental to this Plan covering Employees residing outside of the United States, (f) provide for mandatory or voluntary deferrals of Awards and (g) make all other determinations in its discretion that it may deem necessary or advisable for the administration of the Plan. The Committee may correct any defect, supply any omission or reconcile any inconsistency in the Plan or in any Award Agreement in the manner and to the extent it shall deem desirable to carry the Plan or any such Award Agreement into effect.</w:t>
      </w:r>
    </w:p>
    <w:p>
      <w:pPr>
        <w:spacing w:after="0" w:line="200" w:lineRule="exact"/>
        <w:rPr>
          <w:sz w:val="20"/>
          <w:szCs w:val="20"/>
          <w:color w:val="auto"/>
        </w:rPr>
      </w:pPr>
    </w:p>
    <w:p>
      <w:pPr>
        <w:sectPr>
          <w:pgSz w:w="11900" w:h="16838" w:orient="portrait"/>
          <w:cols w:equalWidth="0" w:num="2">
            <w:col w:w="5380" w:space="364"/>
            <w:col w:w="5496"/>
          </w:cols>
          <w:pgMar w:left="320" w:top="157" w:right="339" w:bottom="1440" w:gutter="0" w:footer="0" w:header="0"/>
          <w:type w:val="continuous"/>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116</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AMENDED AND RESTATED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9" w:lineRule="exact"/>
        <w:rPr>
          <w:sz w:val="20"/>
          <w:szCs w:val="20"/>
          <w:color w:val="auto"/>
        </w:rPr>
      </w:pPr>
    </w:p>
    <w:p>
      <w:pPr>
        <w:ind w:left="400" w:right="320"/>
        <w:spacing w:after="0" w:line="257" w:lineRule="auto"/>
        <w:rPr>
          <w:sz w:val="20"/>
          <w:szCs w:val="20"/>
          <w:color w:val="auto"/>
        </w:rPr>
      </w:pPr>
      <w:r>
        <w:rPr>
          <w:rFonts w:ascii="Arial" w:cs="Arial" w:eastAsia="Arial" w:hAnsi="Arial"/>
          <w:sz w:val="18"/>
          <w:szCs w:val="18"/>
          <w:color w:val="auto"/>
        </w:rPr>
        <w:t>Notwithstanding anything herein to the contrary, the Committee’s determinations under the Plan and the Award Agreements are not required to be uniform. By way of clarification, the Committee shall be entitled to make non-uniform and selective determinations under Awards Agreements and Plan.</w:t>
      </w:r>
    </w:p>
    <w:p>
      <w:pPr>
        <w:spacing w:after="0" w:line="74" w:lineRule="exact"/>
        <w:rPr>
          <w:sz w:val="20"/>
          <w:szCs w:val="20"/>
          <w:color w:val="auto"/>
        </w:rPr>
      </w:pPr>
    </w:p>
    <w:p>
      <w:pPr>
        <w:ind w:left="400" w:right="160"/>
        <w:spacing w:after="0" w:line="259" w:lineRule="auto"/>
        <w:rPr>
          <w:sz w:val="20"/>
          <w:szCs w:val="20"/>
          <w:color w:val="auto"/>
        </w:rPr>
      </w:pPr>
      <w:r>
        <w:rPr>
          <w:rFonts w:ascii="Arial" w:cs="Arial" w:eastAsia="Arial" w:hAnsi="Arial"/>
          <w:sz w:val="18"/>
          <w:szCs w:val="18"/>
          <w:color w:val="auto"/>
        </w:rPr>
        <w:t>The determinations of the Committee in the administration of the Plan, as described herein, shall be final, and the Board and the Committee will have no liability for any action taken under or pursuant to the Plan in good faith (including any action taken under Section 12).</w:t>
      </w:r>
    </w:p>
    <w:p>
      <w:pPr>
        <w:spacing w:after="0" w:line="71" w:lineRule="exact"/>
        <w:rPr>
          <w:sz w:val="20"/>
          <w:szCs w:val="20"/>
          <w:color w:val="auto"/>
        </w:rPr>
      </w:pPr>
    </w:p>
    <w:p>
      <w:pPr>
        <w:ind w:left="400" w:hanging="392"/>
        <w:spacing w:after="0"/>
        <w:tabs>
          <w:tab w:leader="none" w:pos="40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17" w:lineRule="exact"/>
        <w:rPr>
          <w:rFonts w:ascii="Arial" w:cs="Arial" w:eastAsia="Arial" w:hAnsi="Arial"/>
          <w:sz w:val="18"/>
          <w:szCs w:val="18"/>
          <w:b w:val="1"/>
          <w:bCs w:val="1"/>
          <w:color w:val="auto"/>
        </w:rPr>
      </w:pPr>
    </w:p>
    <w:p>
      <w:pPr>
        <w:ind w:left="780" w:right="40" w:hanging="383"/>
        <w:spacing w:after="0" w:line="256" w:lineRule="auto"/>
        <w:tabs>
          <w:tab w:leader="none" w:pos="773" w:val="left"/>
        </w:tabs>
        <w:numPr>
          <w:ilvl w:val="1"/>
          <w:numId w:val="347"/>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the sole and absolute discretion to determine to whom and when Awards of stock options will be made, the number of options to be awarded and all other terms and conditions of such Awards. Such terms and conditions may include one or more of the performance criteria or standards described in Section 10.</w:t>
      </w:r>
    </w:p>
    <w:p>
      <w:pPr>
        <w:spacing w:after="0" w:line="74" w:lineRule="exact"/>
        <w:rPr>
          <w:rFonts w:ascii="Arial" w:cs="Arial" w:eastAsia="Arial" w:hAnsi="Arial"/>
          <w:sz w:val="18"/>
          <w:szCs w:val="18"/>
          <w:color w:val="auto"/>
        </w:rPr>
      </w:pPr>
    </w:p>
    <w:p>
      <w:pPr>
        <w:ind w:left="780" w:right="80" w:hanging="383"/>
        <w:spacing w:after="0" w:line="262" w:lineRule="auto"/>
        <w:tabs>
          <w:tab w:leader="none" w:pos="773"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In the case of incentive stock options, the terms and conditions of such grants shall be subject to and comply with such requirements as may be prescribed by Section 422 of the Code, and any implementing regulations.</w:t>
      </w:r>
    </w:p>
    <w:p>
      <w:pPr>
        <w:spacing w:after="0" w:line="68" w:lineRule="exact"/>
        <w:rPr>
          <w:rFonts w:ascii="Arial" w:cs="Arial" w:eastAsia="Arial" w:hAnsi="Arial"/>
          <w:sz w:val="18"/>
          <w:szCs w:val="18"/>
          <w:color w:val="auto"/>
        </w:rPr>
      </w:pPr>
    </w:p>
    <w:p>
      <w:pPr>
        <w:ind w:left="780" w:hanging="383"/>
        <w:spacing w:after="0" w:line="253" w:lineRule="auto"/>
        <w:tabs>
          <w:tab w:leader="none" w:pos="776"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Committee shall establish the option exercise price at the time each stock option is granted, which exercise price shall not be less than 100% of the Fair Market Value of the Common Stock on the date of grant; provided that the per share exercise price of any Award of stock options may not be decreased after it has been granted (other than as provided for in Section 17); provided, further, that an Award of stock options may not be surrendered as consideration in exchange for the grant of a new Award under this Plan if such Award were to have a lower per share exercise price. Stock options may not be exercisable later than 10 years after their date of grant.</w:t>
      </w:r>
    </w:p>
    <w:p>
      <w:pPr>
        <w:spacing w:after="0" w:line="79" w:lineRule="exact"/>
        <w:rPr>
          <w:rFonts w:ascii="Arial" w:cs="Arial" w:eastAsia="Arial" w:hAnsi="Arial"/>
          <w:sz w:val="18"/>
          <w:szCs w:val="18"/>
          <w:color w:val="auto"/>
        </w:rPr>
      </w:pPr>
    </w:p>
    <w:p>
      <w:pPr>
        <w:ind w:left="780" w:right="140" w:hanging="383"/>
        <w:spacing w:after="0" w:line="259" w:lineRule="auto"/>
        <w:tabs>
          <w:tab w:leader="none" w:pos="773"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option exercise price of each share of Common Stock as to which a stock option is exercised shall be paid in full at the time of such exercise. The method and form of such payment shall be determined by the Committee from time to time.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96" w:hanging="396"/>
        <w:spacing w:after="0"/>
        <w:tabs>
          <w:tab w:leader="none" w:pos="396"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117" w:lineRule="exact"/>
        <w:rPr>
          <w:rFonts w:ascii="Arial" w:cs="Arial" w:eastAsia="Arial" w:hAnsi="Arial"/>
          <w:sz w:val="18"/>
          <w:szCs w:val="18"/>
          <w:b w:val="1"/>
          <w:bCs w:val="1"/>
          <w:color w:val="auto"/>
        </w:rPr>
      </w:pPr>
    </w:p>
    <w:p>
      <w:pPr>
        <w:ind w:left="776" w:right="140" w:hanging="326"/>
        <w:spacing w:after="0" w:line="256" w:lineRule="auto"/>
        <w:tabs>
          <w:tab w:leader="none" w:pos="776" w:val="left"/>
        </w:tabs>
        <w:numPr>
          <w:ilvl w:val="1"/>
          <w:numId w:val="348"/>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the sole and absolute discretion to determine to whom and when Awards of stock appreciation rights will be made, the number to be awarded and all other terms and conditions of such Awards. Such terms and conditions may include one or more of the performance criteria or standards described in Section 10.</w:t>
      </w:r>
    </w:p>
    <w:p>
      <w:pPr>
        <w:spacing w:after="0" w:line="74" w:lineRule="exact"/>
        <w:rPr>
          <w:rFonts w:ascii="Arial" w:cs="Arial" w:eastAsia="Arial" w:hAnsi="Arial"/>
          <w:sz w:val="18"/>
          <w:szCs w:val="18"/>
          <w:color w:val="auto"/>
        </w:rPr>
      </w:pPr>
    </w:p>
    <w:p>
      <w:pPr>
        <w:ind w:left="776" w:right="100" w:hanging="326"/>
        <w:spacing w:after="0" w:line="252" w:lineRule="auto"/>
        <w:tabs>
          <w:tab w:leader="none" w:pos="763"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Committee shall establish the stock appreciation right exercise price at the time each stock appreciation right is granted, which exercise price shall not be less than 100% of the Fair Market Value of the Common Stock on the date of grant; provided that the per share exercise price of any Award of stock appreciation rights may not be decreased after it has been granted (other than as provided for in Section 17); provided, further, that an Award of stock appreciation rights may not be surrendered as consideration in exchange for the grant of a new Award under this Plan if such Award were to have a lower per share exercise price. Stock appreciation rights may be granted independent of any Award of stock options or in conjunction with all or any part of any Award of stock options, either at the same time as the Award of stock options is granted or at any later time during the term of such options; provided that the exercise price of a stock appreciation right granted in tandem with a stock option shall not be less than 100% of the Fair Market Value at the date of the grant of such option.</w:t>
      </w:r>
    </w:p>
    <w:p>
      <w:pPr>
        <w:spacing w:after="0" w:line="81" w:lineRule="exact"/>
        <w:rPr>
          <w:rFonts w:ascii="Arial" w:cs="Arial" w:eastAsia="Arial" w:hAnsi="Arial"/>
          <w:sz w:val="18"/>
          <w:szCs w:val="18"/>
          <w:color w:val="auto"/>
        </w:rPr>
      </w:pPr>
    </w:p>
    <w:p>
      <w:pPr>
        <w:ind w:left="776" w:right="100" w:hanging="326"/>
        <w:spacing w:after="0" w:line="254" w:lineRule="auto"/>
        <w:tabs>
          <w:tab w:leader="none" w:pos="7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Upon exercise, a stock appreciation right shall entitle the Participant to receive from the Company an amount equal to the positive difference between the Fair Market Value of a share of Common Stock on the exercise date of the stock appreciation right and the per share exercise price, multiplied by the number of shares of Common Stock with respect to which the stock appreciation right is exercised. The Committee shall determine at the date of grant whether the stock appreciation right shall be settled in cash, Common Stock or a combination of cash 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736600</wp:posOffset>
            </wp:positionV>
            <wp:extent cx="27432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959" w:lineRule="exact"/>
        <w:rPr>
          <w:sz w:val="20"/>
          <w:szCs w:val="20"/>
          <w:color w:val="auto"/>
        </w:rPr>
      </w:pPr>
    </w:p>
    <w:p>
      <w:pPr>
        <w:sectPr>
          <w:pgSz w:w="11900" w:h="16838" w:orient="portrait"/>
          <w:cols w:equalWidth="0" w:num="2">
            <w:col w:w="5380" w:space="364"/>
            <w:col w:w="5476"/>
          </w:cols>
          <w:pgMar w:left="320" w:top="157" w:right="359" w:bottom="1440" w:gutter="0" w:footer="0" w:header="0"/>
          <w:type w:val="continuous"/>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117 </w:t>
      </w:r>
      <w:r>
        <w:rPr>
          <w:sz w:val="1"/>
          <w:szCs w:val="1"/>
          <w:color w:val="auto"/>
        </w:rPr>
        <w:drawing>
          <wp:inline distT="0" distB="0" distL="0" distR="0">
            <wp:extent cx="2203450" cy="154305"/>
            <wp:effectExtent l="0" t="0" r="0" b="0"/>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AMENDED AND RESTATED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ind w:left="740" w:right="60" w:hanging="395"/>
        <w:spacing w:after="0" w:line="278" w:lineRule="auto"/>
        <w:tabs>
          <w:tab w:leader="none" w:pos="733" w:val="left"/>
        </w:tabs>
        <w:numPr>
          <w:ilvl w:val="1"/>
          <w:numId w:val="349"/>
        </w:numPr>
        <w:rPr>
          <w:rFonts w:ascii="Arial" w:cs="Arial" w:eastAsia="Arial" w:hAnsi="Arial"/>
          <w:sz w:val="17"/>
          <w:szCs w:val="17"/>
          <w:color w:val="auto"/>
        </w:rPr>
      </w:pPr>
      <w:r>
        <w:rPr>
          <w:rFonts w:ascii="Arial" w:cs="Arial" w:eastAsia="Arial" w:hAnsi="Arial"/>
          <w:sz w:val="17"/>
          <w:szCs w:val="17"/>
          <w:color w:val="auto"/>
        </w:rPr>
        <w:t>A stock appreciation right or applicable portion thereof allocated to a stock option shall terminate and no longer be exercisable upon the termination or exercise of any related stock option. Stock appreciation rights may not be exercisable later than 10 years after their date of grant.</w:t>
      </w:r>
    </w:p>
    <w:p>
      <w:pPr>
        <w:spacing w:after="0" w:line="55" w:lineRule="exact"/>
        <w:rPr>
          <w:rFonts w:ascii="Arial" w:cs="Arial" w:eastAsia="Arial" w:hAnsi="Arial"/>
          <w:sz w:val="17"/>
          <w:szCs w:val="17"/>
          <w:color w:val="auto"/>
        </w:rPr>
      </w:pPr>
    </w:p>
    <w:p>
      <w:pPr>
        <w:ind w:left="400" w:hanging="392"/>
        <w:spacing w:after="0" w:line="251" w:lineRule="auto"/>
        <w:tabs>
          <w:tab w:leader="none" w:pos="404"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Stock-Based Awards. </w:t>
      </w:r>
      <w:r>
        <w:rPr>
          <w:rFonts w:ascii="Arial" w:cs="Arial" w:eastAsia="Arial" w:hAnsi="Arial"/>
          <w:sz w:val="18"/>
          <w:szCs w:val="18"/>
          <w:color w:val="auto"/>
        </w:rPr>
        <w:t>Subject to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Committee shall have the sole and absolute discretion to determine to whom and when “Other Stock-Based Awards” will be made, the number of shares of Common Stock to be awarded under (or otherwise related to) such Other Stock-Based Awards and all other terms and conditions of such Awards. Other Stock-Based Awards are Awards of Common Stock and other Awards that are valued in whole or in part by reference to, or otherwise based on the Fair Market Value of Common Stock. Other Stock-Based Awards shall be in such form as the Committee shall determine, including without limitation, (i) shares of Common Stock, (ii) shares of Common Stock subject to restrictions on transfer until the completion of a specified period of service, the occurrence of an event or the attainment of performance objectives, each as specified by the Committee, (iii) shares of Common Stock issuable upon the completion of a specified period of service, (iv) restricted stock units distributed in the form of shares of Common Stock after the restrictions lapse and (v) conditioning the right to an Award upon the occurrence of an event or the attainment of one or more performance objectives, as more fully described in Section 10. The Committee shall determine at date of grant whether Other Stock-Based Awards shall be settled in cash, Common Stock or a combination of cash and Common Stock.</w:t>
      </w:r>
    </w:p>
    <w:p>
      <w:pPr>
        <w:spacing w:after="0" w:line="96" w:lineRule="exact"/>
        <w:rPr>
          <w:rFonts w:ascii="Arial" w:cs="Arial" w:eastAsia="Arial" w:hAnsi="Arial"/>
          <w:sz w:val="18"/>
          <w:szCs w:val="18"/>
          <w:b w:val="1"/>
          <w:bCs w:val="1"/>
          <w:color w:val="auto"/>
        </w:rPr>
      </w:pPr>
    </w:p>
    <w:p>
      <w:pPr>
        <w:ind w:left="400" w:right="60" w:hanging="392"/>
        <w:spacing w:after="0" w:line="253" w:lineRule="auto"/>
        <w:tabs>
          <w:tab w:leader="none" w:pos="396"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Performance-Based Awards. </w:t>
      </w:r>
      <w:r>
        <w:rPr>
          <w:rFonts w:ascii="Arial" w:cs="Arial" w:eastAsia="Arial" w:hAnsi="Arial"/>
          <w:sz w:val="18"/>
          <w:szCs w:val="18"/>
          <w:color w:val="auto"/>
        </w:rPr>
        <w:t>The Committee may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establish performance criteria or standards with respect to an Award (a “Performance-Based Award”). The performance goals may be based upon one or more of the following criteria: (i) income before or after taxes (including income before interest, taxes, depreciation and amortization);</w:t>
      </w:r>
    </w:p>
    <w:p>
      <w:pPr>
        <w:spacing w:after="0" w:line="4" w:lineRule="exact"/>
        <w:rPr>
          <w:rFonts w:ascii="Arial" w:cs="Arial" w:eastAsia="Arial" w:hAnsi="Arial"/>
          <w:sz w:val="18"/>
          <w:szCs w:val="18"/>
          <w:b w:val="1"/>
          <w:bCs w:val="1"/>
          <w:color w:val="auto"/>
        </w:rPr>
      </w:pPr>
    </w:p>
    <w:p>
      <w:pPr>
        <w:jc w:val="both"/>
        <w:ind w:left="400" w:right="60" w:hanging="3"/>
        <w:spacing w:after="0" w:line="265" w:lineRule="auto"/>
        <w:tabs>
          <w:tab w:leader="none" w:pos="650" w:val="left"/>
        </w:tabs>
        <w:numPr>
          <w:ilvl w:val="2"/>
          <w:numId w:val="350"/>
        </w:numPr>
        <w:rPr>
          <w:rFonts w:ascii="Arial" w:cs="Arial" w:eastAsia="Arial" w:hAnsi="Arial"/>
          <w:sz w:val="17"/>
          <w:szCs w:val="17"/>
          <w:color w:val="auto"/>
        </w:rPr>
      </w:pPr>
      <w:r>
        <w:rPr>
          <w:rFonts w:ascii="Arial" w:cs="Arial" w:eastAsia="Arial" w:hAnsi="Arial"/>
          <w:sz w:val="17"/>
          <w:szCs w:val="17"/>
          <w:color w:val="auto"/>
        </w:rPr>
        <w:t>earnings per share; (iii) return on common equity including return on tangible common equity; (iv) expense management;</w:t>
      </w:r>
    </w:p>
    <w:p>
      <w:pPr>
        <w:ind w:left="660" w:hanging="263"/>
        <w:spacing w:after="0"/>
        <w:tabs>
          <w:tab w:leader="none" w:pos="660" w:val="left"/>
        </w:tabs>
        <w:numPr>
          <w:ilvl w:val="2"/>
          <w:numId w:val="351"/>
        </w:numPr>
        <w:rPr>
          <w:rFonts w:ascii="Arial" w:cs="Arial" w:eastAsia="Arial" w:hAnsi="Arial"/>
          <w:sz w:val="18"/>
          <w:szCs w:val="18"/>
          <w:color w:val="auto"/>
        </w:rPr>
      </w:pPr>
      <w:r>
        <w:rPr>
          <w:rFonts w:ascii="Arial" w:cs="Arial" w:eastAsia="Arial" w:hAnsi="Arial"/>
          <w:sz w:val="18"/>
          <w:szCs w:val="18"/>
          <w:color w:val="auto"/>
        </w:rPr>
        <w:t>return on investment; (vi) stock price; (vii) revenue growth;</w:t>
      </w:r>
    </w:p>
    <w:p>
      <w:pPr>
        <w:spacing w:after="0" w:line="9" w:lineRule="exact"/>
        <w:rPr>
          <w:rFonts w:ascii="Arial" w:cs="Arial" w:eastAsia="Arial" w:hAnsi="Arial"/>
          <w:sz w:val="18"/>
          <w:szCs w:val="18"/>
          <w:color w:val="auto"/>
        </w:rPr>
      </w:pPr>
    </w:p>
    <w:p>
      <w:pPr>
        <w:ind w:left="400" w:hanging="3"/>
        <w:spacing w:after="0" w:line="252" w:lineRule="auto"/>
        <w:tabs>
          <w:tab w:leader="none" w:pos="780" w:val="left"/>
        </w:tabs>
        <w:numPr>
          <w:ilvl w:val="2"/>
          <w:numId w:val="352"/>
        </w:numPr>
        <w:rPr>
          <w:rFonts w:ascii="Arial" w:cs="Arial" w:eastAsia="Arial" w:hAnsi="Arial"/>
          <w:sz w:val="18"/>
          <w:szCs w:val="18"/>
          <w:color w:val="auto"/>
        </w:rPr>
      </w:pPr>
      <w:r>
        <w:rPr>
          <w:rFonts w:ascii="Arial" w:cs="Arial" w:eastAsia="Arial" w:hAnsi="Arial"/>
          <w:sz w:val="18"/>
          <w:szCs w:val="18"/>
          <w:color w:val="auto"/>
        </w:rPr>
        <w:t>efficiency ratio; (ix) credit quality; (x) ratio of non-performing assets to performing assets; (xi) shareholder value added; (xii) return on assets; (xiii) profitability or performance of identifiable business units; or (xiv) any other criteria as determined by the Committee in its sole discretion. Additionally, the foregoing criteria may relate to JPMC, one or more of its Subsidiaries or one or more of its divisions or units. In addition, the performance goals may be calculated without regard to extraordinary items.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96" w:right="160"/>
        <w:spacing w:after="0" w:line="253" w:lineRule="auto"/>
        <w:rPr>
          <w:sz w:val="20"/>
          <w:szCs w:val="20"/>
          <w:color w:val="auto"/>
        </w:rPr>
      </w:pPr>
      <w:r>
        <w:rPr>
          <w:rFonts w:ascii="Arial" w:cs="Arial" w:eastAsia="Arial" w:hAnsi="Arial"/>
          <w:sz w:val="18"/>
          <w:szCs w:val="18"/>
          <w:color w:val="auto"/>
        </w:rPr>
        <w:t>The Committee shall determine whether, with respect to a performance period, the applicable performance goals have been met with respect to a given Participant and, if they have, to ascertain the amount of the applicable Performance-Based Award. The amount of the Performance-Based Award actually paid to a given Participant may be less than the amount determined by the applicable performance goal formula, at the discretion of the Committee. The amount of the Performance-Based Award determined by the Committee for a performance period shall be paid to the Participant at such time as determined by the Committee in its sole discretion after the end of such performance period.</w:t>
      </w:r>
    </w:p>
    <w:p>
      <w:pPr>
        <w:spacing w:after="0" w:line="82" w:lineRule="exact"/>
        <w:rPr>
          <w:sz w:val="20"/>
          <w:szCs w:val="20"/>
          <w:color w:val="auto"/>
        </w:rPr>
      </w:pPr>
    </w:p>
    <w:p>
      <w:pPr>
        <w:ind w:left="336" w:right="120" w:hanging="336"/>
        <w:spacing w:after="0" w:line="253" w:lineRule="auto"/>
        <w:tabs>
          <w:tab w:leader="none" w:pos="329"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equivalents and voting rights. </w:t>
      </w:r>
      <w:r>
        <w:rPr>
          <w:rFonts w:ascii="Arial" w:cs="Arial" w:eastAsia="Arial" w:hAnsi="Arial"/>
          <w:sz w:val="18"/>
          <w:szCs w:val="18"/>
          <w:color w:val="auto"/>
        </w:rPr>
        <w:t>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Other Stock-Based Awards of restricted stock and restricted stock units may provide the Participant with dividends or dividend equivalents payable prior to vesting; and Awards of Other Stock-Based Awards of restricted stock may provide for voting rights prior to vesting. Notwithstanding the foregoing, with respect to Awards of restricted stock or restricted stock units specifically designated in the award agreement as performance-based, dividends shall be accumulated and shall be paid to the Participants only in an amount based on the number of shares, if any, that vest under the terms of the Award.</w:t>
      </w:r>
    </w:p>
    <w:p>
      <w:pPr>
        <w:spacing w:after="0" w:line="81" w:lineRule="exact"/>
        <w:rPr>
          <w:rFonts w:ascii="Arial" w:cs="Arial" w:eastAsia="Arial" w:hAnsi="Arial"/>
          <w:sz w:val="18"/>
          <w:szCs w:val="18"/>
          <w:b w:val="1"/>
          <w:bCs w:val="1"/>
          <w:color w:val="auto"/>
        </w:rPr>
      </w:pPr>
    </w:p>
    <w:p>
      <w:pPr>
        <w:ind w:left="336" w:hanging="336"/>
        <w:spacing w:after="0"/>
        <w:tabs>
          <w:tab w:leader="none" w:pos="336"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Director compensation.</w:t>
      </w:r>
    </w:p>
    <w:p>
      <w:pPr>
        <w:spacing w:after="0" w:line="117" w:lineRule="exact"/>
        <w:rPr>
          <w:rFonts w:ascii="Arial" w:cs="Arial" w:eastAsia="Arial" w:hAnsi="Arial"/>
          <w:sz w:val="18"/>
          <w:szCs w:val="18"/>
          <w:b w:val="1"/>
          <w:bCs w:val="1"/>
          <w:color w:val="auto"/>
        </w:rPr>
      </w:pPr>
    </w:p>
    <w:p>
      <w:pPr>
        <w:ind w:left="776" w:right="120" w:hanging="387"/>
        <w:spacing w:after="0" w:line="254" w:lineRule="auto"/>
        <w:tabs>
          <w:tab w:leader="none" w:pos="769" w:val="left"/>
        </w:tabs>
        <w:numPr>
          <w:ilvl w:val="1"/>
          <w:numId w:val="353"/>
        </w:numPr>
        <w:rPr>
          <w:rFonts w:ascii="Arial" w:cs="Arial" w:eastAsia="Arial" w:hAnsi="Arial"/>
          <w:sz w:val="18"/>
          <w:szCs w:val="18"/>
          <w:color w:val="auto"/>
        </w:rPr>
      </w:pPr>
      <w:r>
        <w:rPr>
          <w:rFonts w:ascii="Arial" w:cs="Arial" w:eastAsia="Arial" w:hAnsi="Arial"/>
          <w:sz w:val="18"/>
          <w:szCs w:val="18"/>
          <w:color w:val="auto"/>
        </w:rPr>
        <w:t>For each calendar year for service on the Board, each Director shall receive an annual cash retainer of $110,000 and, if the Director is on the Board at the time when annual performance year equity awards are granted, an annual grant of deferred stock units valued at $265,000. During the term set forth in Section 3(a), with respect to which Awards may be granted under the Plan, the Board is specifically authorized in its discretion to increase the cash retainer and/or the equity award described in this Section 12(a) by a combined total of up to $25,000 or to decrease them.</w:t>
      </w:r>
    </w:p>
    <w:p>
      <w:pPr>
        <w:spacing w:after="0" w:line="74" w:lineRule="exact"/>
        <w:rPr>
          <w:rFonts w:ascii="Arial" w:cs="Arial" w:eastAsia="Arial" w:hAnsi="Arial"/>
          <w:sz w:val="18"/>
          <w:szCs w:val="18"/>
          <w:color w:val="auto"/>
        </w:rPr>
      </w:pPr>
    </w:p>
    <w:p>
      <w:pPr>
        <w:ind w:left="776" w:right="260" w:hanging="387"/>
        <w:spacing w:after="0" w:line="252" w:lineRule="auto"/>
        <w:tabs>
          <w:tab w:leader="none" w:pos="769" w:val="left"/>
        </w:tabs>
        <w:numPr>
          <w:ilvl w:val="1"/>
          <w:numId w:val="353"/>
        </w:numPr>
        <w:rPr>
          <w:rFonts w:ascii="Arial" w:cs="Arial" w:eastAsia="Arial" w:hAnsi="Arial"/>
          <w:sz w:val="18"/>
          <w:szCs w:val="18"/>
          <w:color w:val="auto"/>
        </w:rPr>
      </w:pPr>
      <w:r>
        <w:rPr>
          <w:rFonts w:ascii="Arial" w:cs="Arial" w:eastAsia="Arial" w:hAnsi="Arial"/>
          <w:sz w:val="18"/>
          <w:szCs w:val="18"/>
          <w:color w:val="auto"/>
        </w:rPr>
        <w:t>For each calendar year, each Director who serves in the following designated roles shall receive an annual cash retainer of: (i) $35,000 for serving as the Lead Independent Director; (ii) $25,000 for chairing the JPMorgan Chase Bank, N.A. (“Bank”) board, Audit Committee or Risk Committee; and (iii) $20,000 for chairing any other principal standing committee and for serving on any of the Bank board, Audit Committee or Risk Committee. During the terms set forth in Section</w:t>
      </w:r>
    </w:p>
    <w:p>
      <w:pPr>
        <w:spacing w:after="0" w:line="5" w:lineRule="exact"/>
        <w:rPr>
          <w:rFonts w:ascii="Arial" w:cs="Arial" w:eastAsia="Arial" w:hAnsi="Arial"/>
          <w:sz w:val="18"/>
          <w:szCs w:val="18"/>
          <w:color w:val="auto"/>
        </w:rPr>
      </w:pPr>
    </w:p>
    <w:p>
      <w:pPr>
        <w:ind w:left="776" w:right="140"/>
        <w:spacing w:after="0" w:line="254" w:lineRule="auto"/>
        <w:rPr>
          <w:rFonts w:ascii="Arial" w:cs="Arial" w:eastAsia="Arial" w:hAnsi="Arial"/>
          <w:sz w:val="18"/>
          <w:szCs w:val="18"/>
          <w:color w:val="auto"/>
        </w:rPr>
      </w:pPr>
      <w:r>
        <w:rPr>
          <w:rFonts w:ascii="Arial" w:cs="Arial" w:eastAsia="Arial" w:hAnsi="Arial"/>
          <w:sz w:val="18"/>
          <w:szCs w:val="18"/>
          <w:color w:val="auto"/>
        </w:rPr>
        <w:t>3(a), with respect to which Awards may be granted under the Plan, the Board is authorized in its discretion to increase the designated role cash retainer described in (i) by up to $65,000, and the retainers described in (ii) and (iii) by up to $5,000.</w:t>
      </w:r>
    </w:p>
    <w:p>
      <w:pPr>
        <w:spacing w:after="0" w:line="200" w:lineRule="exact"/>
        <w:rPr>
          <w:sz w:val="20"/>
          <w:szCs w:val="20"/>
          <w:color w:val="auto"/>
        </w:rPr>
      </w:pPr>
    </w:p>
    <w:p>
      <w:pPr>
        <w:sectPr>
          <w:pgSz w:w="11900" w:h="16838" w:orient="portrait"/>
          <w:cols w:equalWidth="0" w:num="2">
            <w:col w:w="5360" w:space="384"/>
            <w:col w:w="5496"/>
          </w:cols>
          <w:pgMar w:left="320" w:top="157" w:right="339" w:bottom="1440" w:gutter="0" w:footer="0" w:header="0"/>
          <w:type w:val="continuous"/>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118</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AMENDED AND RESTATED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7" w:lineRule="exact"/>
        <w:rPr>
          <w:sz w:val="20"/>
          <w:szCs w:val="20"/>
          <w:color w:val="auto"/>
        </w:rPr>
      </w:pPr>
    </w:p>
    <w:p>
      <w:pPr>
        <w:ind w:left="780" w:right="480"/>
        <w:spacing w:after="0" w:line="287" w:lineRule="auto"/>
        <w:rPr>
          <w:sz w:val="20"/>
          <w:szCs w:val="20"/>
          <w:color w:val="auto"/>
        </w:rPr>
      </w:pPr>
      <w:r>
        <w:rPr>
          <w:rFonts w:ascii="Arial" w:cs="Arial" w:eastAsia="Arial" w:hAnsi="Arial"/>
          <w:sz w:val="18"/>
          <w:szCs w:val="18"/>
          <w:color w:val="auto"/>
        </w:rPr>
        <w:t>The Board is authorized to decrease retainers, or to change their form.</w:t>
      </w:r>
    </w:p>
    <w:p>
      <w:pPr>
        <w:spacing w:after="0" w:line="45" w:lineRule="exact"/>
        <w:rPr>
          <w:sz w:val="20"/>
          <w:szCs w:val="20"/>
          <w:color w:val="auto"/>
        </w:rPr>
      </w:pPr>
    </w:p>
    <w:p>
      <w:pPr>
        <w:ind w:left="780" w:right="80" w:hanging="383"/>
        <w:spacing w:after="0" w:line="256" w:lineRule="auto"/>
        <w:tabs>
          <w:tab w:leader="none" w:pos="776"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 Board may at any time provide any Director with a retainer or other fee in addition to those provided for in Sections 12(a) and (b), including for service on a specific purpose committee or for any other special service, in each case determined in the discretion of the Board. The Board also may decrease any retainer provided for in Sections 12(a) and (b).</w:t>
      </w:r>
    </w:p>
    <w:p>
      <w:pPr>
        <w:spacing w:after="0" w:line="74" w:lineRule="exact"/>
        <w:rPr>
          <w:rFonts w:ascii="Arial" w:cs="Arial" w:eastAsia="Arial" w:hAnsi="Arial"/>
          <w:sz w:val="18"/>
          <w:szCs w:val="18"/>
          <w:color w:val="auto"/>
        </w:rPr>
      </w:pPr>
    </w:p>
    <w:p>
      <w:pPr>
        <w:ind w:left="780" w:hanging="383"/>
        <w:spacing w:after="0" w:line="256" w:lineRule="auto"/>
        <w:tabs>
          <w:tab w:leader="none" w:pos="773" w:val="left"/>
        </w:tabs>
        <w:numPr>
          <w:ilvl w:val="1"/>
          <w:numId w:val="354"/>
        </w:numPr>
        <w:rPr>
          <w:rFonts w:ascii="Arial" w:cs="Arial" w:eastAsia="Arial" w:hAnsi="Arial"/>
          <w:sz w:val="18"/>
          <w:szCs w:val="18"/>
          <w:color w:val="auto"/>
        </w:rPr>
      </w:pPr>
      <w:r>
        <w:rPr>
          <w:rFonts w:ascii="Arial" w:cs="Arial" w:eastAsia="Arial" w:hAnsi="Arial"/>
          <w:sz w:val="18"/>
          <w:szCs w:val="18"/>
          <w:color w:val="auto"/>
        </w:rPr>
        <w:t>Any retainer or fee pursuant to this Section 12 may be payable in the form of cash, an Other Stock-Based Award or any combination, as determined in the discretion of the Board, and shall have such terms and conditions as the Board may specify and any Award of restricted stock units shall provide for dividend equivalents that shall be payable as additional restricted stock units.</w:t>
      </w:r>
    </w:p>
    <w:p>
      <w:pPr>
        <w:spacing w:after="0" w:line="74" w:lineRule="exact"/>
        <w:rPr>
          <w:rFonts w:ascii="Arial" w:cs="Arial" w:eastAsia="Arial" w:hAnsi="Arial"/>
          <w:sz w:val="18"/>
          <w:szCs w:val="18"/>
          <w:color w:val="auto"/>
        </w:rPr>
      </w:pPr>
    </w:p>
    <w:p>
      <w:pPr>
        <w:ind w:left="780" w:right="80" w:hanging="383"/>
        <w:spacing w:after="0" w:line="262" w:lineRule="auto"/>
        <w:tabs>
          <w:tab w:leader="none" w:pos="773" w:val="left"/>
        </w:tabs>
        <w:numPr>
          <w:ilvl w:val="1"/>
          <w:numId w:val="354"/>
        </w:numPr>
        <w:rPr>
          <w:rFonts w:ascii="Arial" w:cs="Arial" w:eastAsia="Arial" w:hAnsi="Arial"/>
          <w:sz w:val="18"/>
          <w:szCs w:val="18"/>
          <w:color w:val="auto"/>
        </w:rPr>
      </w:pPr>
      <w:r>
        <w:rPr>
          <w:rFonts w:ascii="Arial" w:cs="Arial" w:eastAsia="Arial" w:hAnsi="Arial"/>
          <w:sz w:val="18"/>
          <w:szCs w:val="18"/>
          <w:color w:val="auto"/>
        </w:rPr>
        <w:t>Unless the Board determines otherwise in its discretion, the Corporate Governance &amp; Nominating Committee of the Board (or any successor committee) is delegated the authority of the Board under this Section 12.</w:t>
      </w:r>
    </w:p>
    <w:p>
      <w:pPr>
        <w:spacing w:after="0" w:line="68" w:lineRule="exact"/>
        <w:rPr>
          <w:rFonts w:ascii="Arial" w:cs="Arial" w:eastAsia="Arial" w:hAnsi="Arial"/>
          <w:sz w:val="18"/>
          <w:szCs w:val="18"/>
          <w:color w:val="auto"/>
        </w:rPr>
      </w:pPr>
    </w:p>
    <w:p>
      <w:pPr>
        <w:ind w:left="400" w:right="20" w:hanging="392"/>
        <w:spacing w:after="0" w:line="256" w:lineRule="auto"/>
        <w:tabs>
          <w:tab w:leader="none" w:pos="396"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 agreements. </w:t>
      </w:r>
      <w:r>
        <w:rPr>
          <w:rFonts w:ascii="Arial" w:cs="Arial" w:eastAsia="Arial" w:hAnsi="Arial"/>
          <w:sz w:val="18"/>
          <w:szCs w:val="18"/>
          <w:color w:val="auto"/>
        </w:rPr>
        <w:t>Each Award under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by a document setting forth the terms and conditions, not inconsistent with the provisions of the Plan, as determined by the Committee, which shall apply to such Award. Such document may be delivered by mail or electronic means, including the internet. The Committee may amend any Award Agreement to conform to the requirements of law.</w:t>
      </w:r>
    </w:p>
    <w:p>
      <w:pPr>
        <w:spacing w:after="0" w:line="74" w:lineRule="exact"/>
        <w:rPr>
          <w:rFonts w:ascii="Arial" w:cs="Arial" w:eastAsia="Arial" w:hAnsi="Arial"/>
          <w:sz w:val="18"/>
          <w:szCs w:val="18"/>
          <w:b w:val="1"/>
          <w:bCs w:val="1"/>
          <w:color w:val="auto"/>
        </w:rPr>
      </w:pPr>
    </w:p>
    <w:p>
      <w:pPr>
        <w:ind w:left="400" w:hanging="392"/>
        <w:spacing w:after="0"/>
        <w:tabs>
          <w:tab w:leader="none" w:pos="40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and right of offset.</w:t>
      </w:r>
    </w:p>
    <w:p>
      <w:pPr>
        <w:spacing w:after="0" w:line="117" w:lineRule="exact"/>
        <w:rPr>
          <w:rFonts w:ascii="Arial" w:cs="Arial" w:eastAsia="Arial" w:hAnsi="Arial"/>
          <w:sz w:val="18"/>
          <w:szCs w:val="18"/>
          <w:b w:val="1"/>
          <w:bCs w:val="1"/>
          <w:color w:val="auto"/>
        </w:rPr>
      </w:pPr>
    </w:p>
    <w:p>
      <w:pPr>
        <w:ind w:left="780" w:right="20" w:hanging="383"/>
        <w:spacing w:after="0" w:line="253" w:lineRule="auto"/>
        <w:tabs>
          <w:tab w:leader="none" w:pos="773"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Company shall have the right to deduct from all amounts paid to any Participant in cash (whether under this Plan or otherwise) any taxes required by law to be withheld therefrom. In the case of payments of Awards in the form of Common Stock, at the Committee’s discretion, the Participant may be required to pay, in such form as the Committee may specify, to the Company the amount of any taxes required to be withheld with respect to such Common Stock prior to its receipt, or, in lieu thereof, the Company shall have the right to retain the number of shares of Common Stock the Fair Market Value of which equals the amount required to be withheld.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776" w:right="140" w:hanging="387"/>
        <w:spacing w:after="0" w:line="270" w:lineRule="auto"/>
        <w:tabs>
          <w:tab w:leader="none" w:pos="769" w:val="left"/>
        </w:tabs>
        <w:numPr>
          <w:ilvl w:val="1"/>
          <w:numId w:val="356"/>
        </w:numPr>
        <w:rPr>
          <w:rFonts w:ascii="Arial" w:cs="Arial" w:eastAsia="Arial" w:hAnsi="Arial"/>
          <w:sz w:val="17"/>
          <w:szCs w:val="17"/>
          <w:color w:val="auto"/>
        </w:rPr>
      </w:pPr>
      <w:r>
        <w:rPr>
          <w:rFonts w:ascii="Arial" w:cs="Arial" w:eastAsia="Arial" w:hAnsi="Arial"/>
          <w:sz w:val="17"/>
          <w:szCs w:val="17"/>
          <w:color w:val="auto"/>
        </w:rPr>
        <w:t>To the extent that any amounts hereunder are not deferred compensation within the meaning of Section 409A of the Code, the Company shall have the right to offset against its obligation to deliver shares of Common Stock or cash under the Plan or any Award Agreement any amounts (including, without limitation, travel and entertainment expenses or advances, loans, credit card obligations, repayment obligations under any Awards, or amounts repayable pursuant to tax equalization, housing, automobile or other employee programs), the Participant</w:t>
      </w:r>
    </w:p>
    <w:p>
      <w:pPr>
        <w:spacing w:after="0" w:line="1" w:lineRule="exact"/>
        <w:rPr>
          <w:rFonts w:ascii="Arial" w:cs="Arial" w:eastAsia="Arial" w:hAnsi="Arial"/>
          <w:sz w:val="17"/>
          <w:szCs w:val="17"/>
          <w:color w:val="auto"/>
        </w:rPr>
      </w:pPr>
    </w:p>
    <w:p>
      <w:pPr>
        <w:ind w:left="776" w:right="220"/>
        <w:spacing w:after="0" w:line="257" w:lineRule="auto"/>
        <w:rPr>
          <w:rFonts w:ascii="Arial" w:cs="Arial" w:eastAsia="Arial" w:hAnsi="Arial"/>
          <w:sz w:val="17"/>
          <w:szCs w:val="17"/>
          <w:color w:val="auto"/>
        </w:rPr>
      </w:pPr>
      <w:r>
        <w:rPr>
          <w:rFonts w:ascii="Arial" w:cs="Arial" w:eastAsia="Arial" w:hAnsi="Arial"/>
          <w:sz w:val="18"/>
          <w:szCs w:val="18"/>
          <w:color w:val="auto"/>
        </w:rPr>
        <w:t>then owes to the Company. Additionally, in situations where such amounts are owed to the Company or the amount owed has not been determined in full, the Company may preclude a Participant from exercising an Award of stock options or stock appreciation rights until such amount is paid or established in full.</w:t>
      </w:r>
    </w:p>
    <w:p>
      <w:pPr>
        <w:spacing w:after="0" w:line="74" w:lineRule="exact"/>
        <w:rPr>
          <w:rFonts w:ascii="Arial" w:cs="Arial" w:eastAsia="Arial" w:hAnsi="Arial"/>
          <w:sz w:val="17"/>
          <w:szCs w:val="17"/>
          <w:color w:val="auto"/>
        </w:rPr>
      </w:pPr>
    </w:p>
    <w:p>
      <w:pPr>
        <w:ind w:left="396" w:right="160" w:hanging="396"/>
        <w:spacing w:after="0" w:line="254" w:lineRule="auto"/>
        <w:tabs>
          <w:tab w:leader="none" w:pos="39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Nontransferability. </w:t>
      </w:r>
      <w:r>
        <w:rPr>
          <w:rFonts w:ascii="Arial" w:cs="Arial" w:eastAsia="Arial" w:hAnsi="Arial"/>
          <w:sz w:val="18"/>
          <w:szCs w:val="18"/>
          <w:color w:val="auto"/>
        </w:rPr>
        <w:t>No Award shall be assignable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transferable, and no right or interest of any Participant in any Award shall be subject to any lien, obligation or liability of the Participant, except by will, the laws of descent and distribution, or as otherwise set forth in the Award agreement; provided that with respect to Awards (other than an Award of an incentive stock option), the Committee may, in its sole discretion, permit certain Participants or classes of Participants to transfer Awards of nonqualified stock options and stock appreciation rights or Other Stock-Based Awards to such individuals or entities as the Committee may specify.</w:t>
      </w:r>
    </w:p>
    <w:p>
      <w:pPr>
        <w:spacing w:after="0" w:line="74" w:lineRule="exact"/>
        <w:rPr>
          <w:rFonts w:ascii="Arial" w:cs="Arial" w:eastAsia="Arial" w:hAnsi="Arial"/>
          <w:sz w:val="18"/>
          <w:szCs w:val="18"/>
          <w:b w:val="1"/>
          <w:bCs w:val="1"/>
          <w:color w:val="auto"/>
        </w:rPr>
      </w:pPr>
    </w:p>
    <w:p>
      <w:pPr>
        <w:ind w:left="396" w:right="120" w:hanging="396"/>
        <w:spacing w:after="0" w:line="253" w:lineRule="auto"/>
        <w:tabs>
          <w:tab w:leader="none" w:pos="392"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 to employment or continued participation in plan. </w:t>
      </w:r>
      <w:r>
        <w:rPr>
          <w:rFonts w:ascii="Arial" w:cs="Arial" w:eastAsia="Arial" w:hAnsi="Arial"/>
          <w:sz w:val="18"/>
          <w:szCs w:val="18"/>
          <w:color w:val="auto"/>
        </w:rPr>
        <w:t>No person shall have any claim or right to the grant of an Award prior to the date that an Award agreement is delivered to such person and the satisfaction of the appropriate formalities specified in the Award agreement, and the grant of an Award shall not be construed as giving a Participant the right to be retained in the employ of the Company or to be eligible for any subsequent Awards. Further, the Company expressly reserves the right to dismiss at any time a Participant free from any liability or any claim under the Plan, except as provided herein or in any agreement entered into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1007110</wp:posOffset>
            </wp:positionV>
            <wp:extent cx="27432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133" w:lineRule="exact"/>
        <w:rPr>
          <w:sz w:val="20"/>
          <w:szCs w:val="20"/>
          <w:color w:val="auto"/>
        </w:rPr>
      </w:pPr>
    </w:p>
    <w:p>
      <w:pPr>
        <w:sectPr>
          <w:pgSz w:w="11900" w:h="16838" w:orient="portrait"/>
          <w:cols w:equalWidth="0" w:num="2">
            <w:col w:w="5380" w:space="364"/>
            <w:col w:w="5476"/>
          </w:cols>
          <w:pgMar w:left="320" w:top="157" w:right="35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119 </w:t>
      </w:r>
      <w:r>
        <w:rPr>
          <w:sz w:val="1"/>
          <w:szCs w:val="1"/>
          <w:color w:val="auto"/>
        </w:rPr>
        <w:drawing>
          <wp:inline distT="0" distB="0" distL="0" distR="0">
            <wp:extent cx="2203450" cy="154305"/>
            <wp:effectExtent l="0" t="0" r="0" b="0"/>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AMENDED AND RESTATED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89" w:lineRule="exact"/>
        <w:rPr>
          <w:sz w:val="20"/>
          <w:szCs w:val="20"/>
          <w:color w:val="auto"/>
        </w:rPr>
      </w:pPr>
    </w:p>
    <w:p>
      <w:pPr>
        <w:ind w:left="400" w:hanging="392"/>
        <w:spacing w:after="0" w:line="252" w:lineRule="auto"/>
        <w:tabs>
          <w:tab w:leader="none" w:pos="396"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 of and changes in common stock. </w:t>
      </w:r>
      <w:r>
        <w:rPr>
          <w:rFonts w:ascii="Arial" w:cs="Arial" w:eastAsia="Arial" w:hAnsi="Arial"/>
          <w:sz w:val="18"/>
          <w:szCs w:val="18"/>
          <w:color w:val="auto"/>
        </w:rPr>
        <w:t>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change in the outstanding shares of Common Stock by reason of any stock dividend or split, recapitalization, issuance of a new class of common stock, merger, consolidation, spin-off, combination or exchange of shares or other similar corporate change, or any distributions to shareholders of Common Stock other than regular cash dividends, the Committee will make such substitution or adjustment, if any, as it deems to be equitable, as to the number or kind of shares of Common Stock or other securities issued or reserved for issuance pursuant to the Plan, including, but not limited to, adjustments with respect to the limitations imposed by Sections 3 and 5 and to make appropriate adjustments (including the number of shares and the exercise price) to outstanding Awards (without regard to the re-pricing restrictions set forth in Sections 7 and 8).</w:t>
      </w:r>
    </w:p>
    <w:p>
      <w:pPr>
        <w:spacing w:after="0" w:line="86" w:lineRule="exact"/>
        <w:rPr>
          <w:rFonts w:ascii="Arial" w:cs="Arial" w:eastAsia="Arial" w:hAnsi="Arial"/>
          <w:sz w:val="18"/>
          <w:szCs w:val="18"/>
          <w:b w:val="1"/>
          <w:bCs w:val="1"/>
          <w:color w:val="auto"/>
        </w:rPr>
      </w:pPr>
    </w:p>
    <w:p>
      <w:pPr>
        <w:ind w:left="400" w:right="40" w:hanging="392"/>
        <w:spacing w:after="0" w:line="253" w:lineRule="auto"/>
        <w:tabs>
          <w:tab w:leader="none" w:pos="396"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Board may amend, suspend or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or any portion hereof at any time without shareholder approval, except to the extent otherwise required by the Act or New York Stock Exchange listing requirements. Notwithstanding the foregoing, except in the case of an adjustment under Section 17, any amendment by the Board shall be conditioned on shareholder approval if it increases (i) the number of shares of Common Stock authorized for grant under Section 3, (ii) the number of shares authorized for grant to individual participants under any form of an Award as set forth in Section 5, or (iii) if such amendment eliminates restrictions applicable to the reduction of the exercise price of an option or stock appreciation right or the surrender of such Award in consideration for a new Award with a lower exercise price as set forth in Sections 7 and 8.</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96" w:right="260" w:hanging="396"/>
        <w:spacing w:after="0" w:line="259" w:lineRule="auto"/>
        <w:tabs>
          <w:tab w:leader="none" w:pos="392"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Unfunded status of plan. </w:t>
      </w:r>
      <w:r>
        <w:rPr>
          <w:rFonts w:ascii="Arial" w:cs="Arial" w:eastAsia="Arial" w:hAnsi="Arial"/>
          <w:sz w:val="18"/>
          <w:szCs w:val="18"/>
          <w:color w:val="auto"/>
        </w:rPr>
        <w:t>The Plan is intended to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an “unfunded” plan for long-term incentive compensation. Nothing herein shall be construed to give any Participant any rights with respect to unpaid Awards that are greater than those of a general unsecured creditor of JPMC.</w:t>
      </w:r>
    </w:p>
    <w:p>
      <w:pPr>
        <w:spacing w:after="0" w:line="71" w:lineRule="exact"/>
        <w:rPr>
          <w:rFonts w:ascii="Arial" w:cs="Arial" w:eastAsia="Arial" w:hAnsi="Arial"/>
          <w:sz w:val="18"/>
          <w:szCs w:val="18"/>
          <w:b w:val="1"/>
          <w:bCs w:val="1"/>
          <w:color w:val="auto"/>
        </w:rPr>
      </w:pPr>
    </w:p>
    <w:p>
      <w:pPr>
        <w:ind w:left="396" w:right="300" w:hanging="396"/>
        <w:spacing w:after="0" w:line="256" w:lineRule="auto"/>
        <w:tabs>
          <w:tab w:leader="none" w:pos="392"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Plan and Awards made</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shall be binding on all successors and assigns of the Company and each Participant, including without limitation, the estate of such Participant and the executor, administrator or trustee of such estate, or any receiver or trustee in bankruptcy or representative of the Participant’s creditors.</w:t>
      </w:r>
    </w:p>
    <w:p>
      <w:pPr>
        <w:spacing w:after="0" w:line="74" w:lineRule="exact"/>
        <w:rPr>
          <w:rFonts w:ascii="Arial" w:cs="Arial" w:eastAsia="Arial" w:hAnsi="Arial"/>
          <w:sz w:val="18"/>
          <w:szCs w:val="18"/>
          <w:b w:val="1"/>
          <w:bCs w:val="1"/>
          <w:color w:val="auto"/>
        </w:rPr>
      </w:pPr>
    </w:p>
    <w:p>
      <w:pPr>
        <w:ind w:left="396" w:right="120" w:hanging="396"/>
        <w:spacing w:after="0" w:line="259" w:lineRule="auto"/>
        <w:tabs>
          <w:tab w:leader="none" w:pos="392"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construction and effect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any rules and regulations relating to the Plan and any Award Agreement shall be determined in accordance with the laws of the State of New York without reference to principles of conflict of laws.</w:t>
      </w:r>
    </w:p>
    <w:p>
      <w:pPr>
        <w:spacing w:after="0" w:line="71" w:lineRule="exact"/>
        <w:rPr>
          <w:rFonts w:ascii="Arial" w:cs="Arial" w:eastAsia="Arial" w:hAnsi="Arial"/>
          <w:sz w:val="18"/>
          <w:szCs w:val="18"/>
          <w:b w:val="1"/>
          <w:bCs w:val="1"/>
          <w:color w:val="auto"/>
        </w:rPr>
      </w:pPr>
    </w:p>
    <w:p>
      <w:pPr>
        <w:ind w:left="376" w:hanging="376"/>
        <w:spacing w:after="0"/>
        <w:tabs>
          <w:tab w:leader="none" w:pos="376"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The effective date of this Plan is May 21,</w:t>
      </w:r>
    </w:p>
    <w:p>
      <w:pPr>
        <w:spacing w:after="0" w:line="27" w:lineRule="exact"/>
        <w:rPr>
          <w:rFonts w:ascii="Arial" w:cs="Arial" w:eastAsia="Arial" w:hAnsi="Arial"/>
          <w:sz w:val="18"/>
          <w:szCs w:val="18"/>
          <w:b w:val="1"/>
          <w:bCs w:val="1"/>
          <w:color w:val="auto"/>
        </w:rPr>
      </w:pPr>
    </w:p>
    <w:p>
      <w:pPr>
        <w:ind w:left="396"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2024. No Awards shall be granted under the Plan after May 31, 2028, or the date the Plan is earlier terminated by the Board; provided, however, that the termination of the Plan shall not preclude the Company from complying with the terms of Awards outstanding on the date the Plan terminates.</w:t>
      </w:r>
    </w:p>
    <w:p>
      <w:pPr>
        <w:spacing w:after="0" w:line="1711" w:lineRule="exact"/>
        <w:rPr>
          <w:sz w:val="20"/>
          <w:szCs w:val="20"/>
          <w:color w:val="auto"/>
        </w:rPr>
      </w:pPr>
    </w:p>
    <w:p>
      <w:pPr>
        <w:sectPr>
          <w:pgSz w:w="11900" w:h="16838" w:orient="portrait"/>
          <w:cols w:equalWidth="0" w:num="2">
            <w:col w:w="5380" w:space="364"/>
            <w:col w:w="5496"/>
          </w:cols>
          <w:pgMar w:left="320" w:top="157" w:right="339" w:bottom="1440" w:gutter="0" w:footer="0" w:header="0"/>
          <w:type w:val="continuous"/>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940" w:type="dxa"/>
            <w:vAlign w:val="bottom"/>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120</w:t>
            </w:r>
          </w:p>
        </w:tc>
        <w:tc>
          <w:tcPr>
            <w:tcW w:w="3460" w:type="dxa"/>
            <w:vAlign w:val="bottom"/>
            <w:tcBorders>
              <w:bottom w:val="single" w:sz="8" w:color="8A8C8F"/>
            </w:tcBorders>
          </w:tcPr>
          <w:p>
            <w:pPr>
              <w:spacing w:after="0"/>
              <w:rPr>
                <w:sz w:val="9"/>
                <w:szCs w:val="9"/>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2024 PROXY STATEMENT</w:t>
            </w: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43"/>
          <w:szCs w:val="43"/>
          <w:color w:val="074A75"/>
        </w:rPr>
        <w:t>Glossary of Selected Terms and Acronyms</w:t>
      </w:r>
    </w:p>
    <w:p>
      <w:pPr>
        <w:sectPr>
          <w:pgSz w:w="11900" w:h="16838" w:orient="portrait"/>
          <w:cols w:equalWidth="0" w:num="1">
            <w:col w:w="11220"/>
          </w:cols>
          <w:pgMar w:left="320" w:top="157" w:right="359" w:bottom="1440" w:gutter="0" w:footer="0" w:header="0"/>
        </w:sectPr>
      </w:pPr>
    </w:p>
    <w:p>
      <w:pPr>
        <w:spacing w:after="0" w:line="24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2023 Form 10-K: </w:t>
      </w:r>
      <w:r>
        <w:rPr>
          <w:rFonts w:ascii="Arial" w:cs="Arial" w:eastAsia="Arial" w:hAnsi="Arial"/>
          <w:sz w:val="18"/>
          <w:szCs w:val="18"/>
          <w:color w:val="auto"/>
        </w:rPr>
        <w:t>JPMorgan Chase &amp; Co.’s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year ended December 31,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AUM: </w:t>
      </w:r>
      <w:r>
        <w:rPr>
          <w:rFonts w:ascii="Arial" w:cs="Arial" w:eastAsia="Arial" w:hAnsi="Arial"/>
          <w:sz w:val="18"/>
          <w:szCs w:val="18"/>
          <w:color w:val="auto"/>
        </w:rPr>
        <w:t>Assets under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AWM: </w:t>
      </w:r>
      <w:r>
        <w:rPr>
          <w:rFonts w:ascii="Arial" w:cs="Arial" w:eastAsia="Arial" w:hAnsi="Arial"/>
          <w:sz w:val="18"/>
          <w:szCs w:val="18"/>
          <w:color w:val="auto"/>
        </w:rPr>
        <w:t>Asset &amp; Wealth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Bank: </w:t>
      </w:r>
      <w:r>
        <w:rPr>
          <w:rFonts w:ascii="Arial" w:cs="Arial" w:eastAsia="Arial" w:hAnsi="Arial"/>
          <w:sz w:val="18"/>
          <w:szCs w:val="18"/>
          <w:color w:val="auto"/>
        </w:rPr>
        <w:t>JPMorgan Chase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BlackRock: </w:t>
      </w:r>
      <w:r>
        <w:rPr>
          <w:rFonts w:ascii="Arial" w:cs="Arial" w:eastAsia="Arial" w:hAnsi="Arial"/>
          <w:sz w:val="18"/>
          <w:szCs w:val="18"/>
          <w:color w:val="auto"/>
        </w:rPr>
        <w:t>BlackRock, Inc. and affiliated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BRG: </w:t>
      </w:r>
      <w:r>
        <w:rPr>
          <w:rFonts w:ascii="Arial" w:cs="Arial" w:eastAsia="Arial" w:hAnsi="Arial"/>
          <w:sz w:val="18"/>
          <w:szCs w:val="18"/>
          <w:color w:val="auto"/>
        </w:rPr>
        <w:t>Business Resource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BVPS: </w:t>
      </w:r>
      <w:r>
        <w:rPr>
          <w:rFonts w:ascii="Arial" w:cs="Arial" w:eastAsia="Arial" w:hAnsi="Arial"/>
          <w:sz w:val="18"/>
          <w:szCs w:val="18"/>
          <w:color w:val="auto"/>
        </w:rPr>
        <w:t>Book value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 </w:t>
      </w:r>
      <w:r>
        <w:rPr>
          <w:rFonts w:ascii="Arial" w:cs="Arial" w:eastAsia="Arial" w:hAnsi="Arial"/>
          <w:sz w:val="18"/>
          <w:szCs w:val="18"/>
          <w:color w:val="auto"/>
        </w:rPr>
        <w:t>Compensation Actually Paid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CCAR: </w:t>
      </w:r>
      <w:r>
        <w:rPr>
          <w:rFonts w:ascii="Arial" w:cs="Arial" w:eastAsia="Arial" w:hAnsi="Arial"/>
          <w:sz w:val="18"/>
          <w:szCs w:val="18"/>
          <w:color w:val="auto"/>
        </w:rPr>
        <w:t>Comprehensive Capital Analysis and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CB: </w:t>
      </w:r>
      <w:r>
        <w:rPr>
          <w:rFonts w:ascii="Arial" w:cs="Arial" w:eastAsia="Arial" w:hAnsi="Arial"/>
          <w:sz w:val="18"/>
          <w:szCs w:val="18"/>
          <w:color w:val="auto"/>
        </w:rPr>
        <w:t>Commercial Banking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CCB: </w:t>
      </w:r>
      <w:r>
        <w:rPr>
          <w:rFonts w:ascii="Arial" w:cs="Arial" w:eastAsia="Arial" w:hAnsi="Arial"/>
          <w:sz w:val="18"/>
          <w:szCs w:val="18"/>
          <w:color w:val="auto"/>
        </w:rPr>
        <w:t>Consumer &amp; Community Banking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CD&amp;A: </w:t>
      </w:r>
      <w:r>
        <w:rPr>
          <w:rFonts w:ascii="Arial" w:cs="Arial" w:eastAsia="Arial" w:hAnsi="Arial"/>
          <w:sz w:val="18"/>
          <w:szCs w:val="18"/>
          <w:color w:val="auto"/>
        </w:rPr>
        <w:t>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CEO: </w:t>
      </w:r>
      <w:r>
        <w:rPr>
          <w:rFonts w:ascii="Arial" w:cs="Arial" w:eastAsia="Arial" w:hAnsi="Arial"/>
          <w:sz w:val="18"/>
          <w:szCs w:val="18"/>
          <w:color w:val="auto"/>
        </w:rPr>
        <w:t>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CET1: </w:t>
      </w:r>
      <w:r>
        <w:rPr>
          <w:rFonts w:ascii="Arial" w:cs="Arial" w:eastAsia="Arial" w:hAnsi="Arial"/>
          <w:sz w:val="18"/>
          <w:szCs w:val="18"/>
          <w:color w:val="auto"/>
        </w:rPr>
        <w:t>Common equity Tier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CFO: </w:t>
      </w:r>
      <w:r>
        <w:rPr>
          <w:rFonts w:ascii="Arial" w:cs="Arial" w:eastAsia="Arial" w:hAnsi="Arial"/>
          <w:sz w:val="18"/>
          <w:szCs w:val="18"/>
          <w:color w:val="auto"/>
        </w:rPr>
        <w:t>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CIB: </w:t>
      </w:r>
      <w:r>
        <w:rPr>
          <w:rFonts w:ascii="Arial" w:cs="Arial" w:eastAsia="Arial" w:hAnsi="Arial"/>
          <w:sz w:val="18"/>
          <w:szCs w:val="18"/>
          <w:color w:val="auto"/>
        </w:rPr>
        <w:t>Corporate &amp; Investment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CMDC: </w:t>
      </w:r>
      <w:r>
        <w:rPr>
          <w:rFonts w:ascii="Arial" w:cs="Arial" w:eastAsia="Arial" w:hAnsi="Arial"/>
          <w:sz w:val="18"/>
          <w:szCs w:val="18"/>
          <w:color w:val="auto"/>
        </w:rPr>
        <w:t>Compensation &amp; Management Development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COO: </w:t>
      </w:r>
      <w:r>
        <w:rPr>
          <w:rFonts w:ascii="Arial" w:cs="Arial" w:eastAsia="Arial" w:hAnsi="Arial"/>
          <w:sz w:val="18"/>
          <w:szCs w:val="18"/>
          <w:color w:val="auto"/>
        </w:rPr>
        <w:t>Chief Operating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DEI: </w:t>
      </w:r>
      <w:r>
        <w:rPr>
          <w:rFonts w:ascii="Arial" w:cs="Arial" w:eastAsia="Arial" w:hAnsi="Arial"/>
          <w:sz w:val="18"/>
          <w:szCs w:val="18"/>
          <w:color w:val="auto"/>
        </w:rPr>
        <w:t>Diversity, equity and inclusion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Designated Employees: </w:t>
      </w:r>
      <w:r>
        <w:rPr>
          <w:rFonts w:ascii="Arial" w:cs="Arial" w:eastAsia="Arial" w:hAnsi="Arial"/>
          <w:sz w:val="18"/>
          <w:szCs w:val="18"/>
          <w:color w:val="auto"/>
        </w:rPr>
        <w:t>Tier 1 Employees, Identified Staff,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employees who are material risk-takers identified under other similar standards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EPS: </w:t>
      </w:r>
      <w:r>
        <w:rPr>
          <w:rFonts w:ascii="Arial" w:cs="Arial" w:eastAsia="Arial" w:hAnsi="Arial"/>
          <w:sz w:val="18"/>
          <w:szCs w:val="18"/>
          <w:color w:val="auto"/>
        </w:rPr>
        <w:t>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ESG: </w:t>
      </w:r>
      <w:r>
        <w:rPr>
          <w:rFonts w:ascii="Arial" w:cs="Arial" w:eastAsia="Arial" w:hAnsi="Arial"/>
          <w:sz w:val="18"/>
          <w:szCs w:val="18"/>
          <w:color w:val="auto"/>
        </w:rPr>
        <w:t>Environmental, social and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E.U.: </w:t>
      </w:r>
      <w:r>
        <w:rPr>
          <w:rFonts w:ascii="Arial" w:cs="Arial" w:eastAsia="Arial" w:hAnsi="Arial"/>
          <w:sz w:val="18"/>
          <w:szCs w:val="18"/>
          <w:color w:val="auto"/>
        </w:rPr>
        <w:t>European Union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 LLR: </w:t>
      </w:r>
      <w:r>
        <w:rPr>
          <w:rFonts w:ascii="Arial" w:cs="Arial" w:eastAsia="Arial" w:hAnsi="Arial"/>
          <w:sz w:val="18"/>
          <w:szCs w:val="18"/>
          <w:color w:val="auto"/>
        </w:rPr>
        <w:t>Excluding loan loss reserves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FDIC: </w:t>
      </w:r>
      <w:r>
        <w:rPr>
          <w:rFonts w:ascii="Arial" w:cs="Arial" w:eastAsia="Arial" w:hAnsi="Arial"/>
          <w:sz w:val="18"/>
          <w:szCs w:val="18"/>
          <w:color w:val="auto"/>
        </w:rPr>
        <w:t>Federal Deposit Insurance Corporation</w:t>
      </w:r>
    </w:p>
    <w:p>
      <w:pPr>
        <w:spacing w:after="0" w:line="117"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b w:val="1"/>
          <w:bCs w:val="1"/>
          <w:color w:val="auto"/>
        </w:rPr>
        <w:t xml:space="preserve">Federal Reserve: </w:t>
      </w:r>
      <w:r>
        <w:rPr>
          <w:rFonts w:ascii="Arial" w:cs="Arial" w:eastAsia="Arial" w:hAnsi="Arial"/>
          <w:sz w:val="18"/>
          <w:szCs w:val="18"/>
          <w:color w:val="auto"/>
        </w:rPr>
        <w:t>Board of Governors of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System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Firm: </w:t>
      </w:r>
      <w:r>
        <w:rPr>
          <w:rFonts w:ascii="Arial" w:cs="Arial" w:eastAsia="Arial" w:hAnsi="Arial"/>
          <w:sz w:val="18"/>
          <w:szCs w:val="18"/>
          <w:color w:val="auto"/>
        </w:rPr>
        <w:t>JPMorgan Chase &amp; Co.</w:t>
      </w:r>
    </w:p>
    <w:p>
      <w:pPr>
        <w:spacing w:after="0" w:line="117" w:lineRule="exact"/>
        <w:rPr>
          <w:sz w:val="20"/>
          <w:szCs w:val="20"/>
          <w:color w:val="auto"/>
        </w:rPr>
      </w:pPr>
    </w:p>
    <w:p>
      <w:pPr>
        <w:ind w:right="1200"/>
        <w:spacing w:after="0" w:line="287" w:lineRule="auto"/>
        <w:rPr>
          <w:sz w:val="20"/>
          <w:szCs w:val="20"/>
          <w:color w:val="auto"/>
        </w:rPr>
      </w:pPr>
      <w:r>
        <w:rPr>
          <w:rFonts w:ascii="Arial" w:cs="Arial" w:eastAsia="Arial" w:hAnsi="Arial"/>
          <w:sz w:val="18"/>
          <w:szCs w:val="18"/>
          <w:b w:val="1"/>
          <w:bCs w:val="1"/>
          <w:color w:val="auto"/>
        </w:rPr>
        <w:t xml:space="preserve">Governance Committee: </w:t>
      </w:r>
      <w:r>
        <w:rPr>
          <w:rFonts w:ascii="Arial" w:cs="Arial" w:eastAsia="Arial" w:hAnsi="Arial"/>
          <w:sz w:val="18"/>
          <w:szCs w:val="18"/>
          <w:color w:val="auto"/>
        </w:rPr>
        <w:t>Corporate Governance &amp;</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Committee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Governance Principles: </w:t>
      </w:r>
      <w:r>
        <w:rPr>
          <w:rFonts w:ascii="Arial" w:cs="Arial" w:eastAsia="Arial" w:hAnsi="Arial"/>
          <w:sz w:val="18"/>
          <w:szCs w:val="18"/>
          <w:color w:val="auto"/>
        </w:rPr>
        <w:t>Corporate Governance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HR: </w:t>
      </w:r>
      <w:r>
        <w:rPr>
          <w:rFonts w:ascii="Arial" w:cs="Arial" w:eastAsia="Arial" w:hAnsi="Arial"/>
          <w:sz w:val="18"/>
          <w:szCs w:val="18"/>
          <w:color w:val="auto"/>
        </w:rPr>
        <w:t>Human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IB: </w:t>
      </w: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 xml:space="preserve">Identified Staff: </w:t>
      </w:r>
      <w:r>
        <w:rPr>
          <w:rFonts w:ascii="Arial" w:cs="Arial" w:eastAsia="Arial" w:hAnsi="Arial"/>
          <w:sz w:val="18"/>
          <w:szCs w:val="18"/>
          <w:color w:val="auto"/>
        </w:rPr>
        <w:t>Employees who are material risk-takers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U.K. and/or European Union standards</w:t>
      </w:r>
    </w:p>
    <w:p>
      <w:pPr>
        <w:spacing w:after="0" w:line="45" w:lineRule="exact"/>
        <w:rPr>
          <w:sz w:val="20"/>
          <w:szCs w:val="20"/>
          <w:color w:val="auto"/>
        </w:rPr>
      </w:pPr>
    </w:p>
    <w:p>
      <w:pPr>
        <w:ind w:right="1200"/>
        <w:spacing w:after="0" w:line="287" w:lineRule="auto"/>
        <w:rPr>
          <w:sz w:val="20"/>
          <w:szCs w:val="20"/>
          <w:color w:val="auto"/>
        </w:rPr>
      </w:pPr>
      <w:r>
        <w:rPr>
          <w:rFonts w:ascii="Arial" w:cs="Arial" w:eastAsia="Arial" w:hAnsi="Arial"/>
          <w:sz w:val="18"/>
          <w:szCs w:val="18"/>
          <w:b w:val="1"/>
          <w:bCs w:val="1"/>
          <w:color w:val="auto"/>
        </w:rPr>
        <w:t xml:space="preserve">IHC: </w:t>
      </w:r>
      <w:r>
        <w:rPr>
          <w:rFonts w:ascii="Arial" w:cs="Arial" w:eastAsia="Arial" w:hAnsi="Arial"/>
          <w:sz w:val="18"/>
          <w:szCs w:val="18"/>
          <w:color w:val="auto"/>
        </w:rPr>
        <w:t>JPMorgan Chase Holdings LLC, an intermediate</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JPMorgan Chase: </w:t>
      </w:r>
      <w:r>
        <w:rPr>
          <w:rFonts w:ascii="Arial" w:cs="Arial" w:eastAsia="Arial" w:hAnsi="Arial"/>
          <w:sz w:val="18"/>
          <w:szCs w:val="18"/>
          <w:color w:val="auto"/>
        </w:rPr>
        <w:t>JPMorgan Chase &amp;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LGBTQ+: </w:t>
      </w:r>
      <w:r>
        <w:rPr>
          <w:rFonts w:ascii="Arial" w:cs="Arial" w:eastAsia="Arial" w:hAnsi="Arial"/>
          <w:sz w:val="18"/>
          <w:szCs w:val="18"/>
          <w:color w:val="auto"/>
        </w:rPr>
        <w:t>Lesbian, Gay, Bisexual, Transgender, Queer plus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LOB: </w:t>
      </w:r>
      <w:r>
        <w:rPr>
          <w:rFonts w:ascii="Arial" w:cs="Arial" w:eastAsia="Arial" w:hAnsi="Arial"/>
          <w:sz w:val="18"/>
          <w:szCs w:val="18"/>
          <w:color w:val="auto"/>
        </w:rPr>
        <w:t>Line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LTIP: </w:t>
      </w:r>
      <w:r>
        <w:rPr>
          <w:rFonts w:ascii="Arial" w:cs="Arial" w:eastAsia="Arial" w:hAnsi="Arial"/>
          <w:sz w:val="18"/>
          <w:szCs w:val="18"/>
          <w:color w:val="auto"/>
        </w:rPr>
        <w:t>Long-Term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NEO: </w:t>
      </w:r>
      <w:r>
        <w:rPr>
          <w:rFonts w:ascii="Arial" w:cs="Arial" w:eastAsia="Arial" w:hAnsi="Arial"/>
          <w:sz w:val="18"/>
          <w:szCs w:val="18"/>
          <w:color w:val="auto"/>
        </w:rPr>
        <w:t>Named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 of Internet Availability of Proxy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NYSE: </w:t>
      </w:r>
      <w:r>
        <w:rPr>
          <w:rFonts w:ascii="Arial" w:cs="Arial" w:eastAsia="Arial" w:hAnsi="Arial"/>
          <w:sz w:val="18"/>
          <w:szCs w:val="18"/>
          <w:color w:val="auto"/>
        </w:rPr>
        <w:t>New York Stock Exchange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OC: </w:t>
      </w:r>
      <w:r>
        <w:rPr>
          <w:rFonts w:ascii="Arial" w:cs="Arial" w:eastAsia="Arial" w:hAnsi="Arial"/>
          <w:sz w:val="18"/>
          <w:szCs w:val="18"/>
          <w:color w:val="auto"/>
        </w:rPr>
        <w:t>Operating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PAC: </w:t>
      </w:r>
      <w:r>
        <w:rPr>
          <w:rFonts w:ascii="Arial" w:cs="Arial" w:eastAsia="Arial" w:hAnsi="Arial"/>
          <w:sz w:val="18"/>
          <w:szCs w:val="18"/>
          <w:color w:val="auto"/>
        </w:rPr>
        <w:t>Political Action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PCAOB: </w:t>
      </w:r>
      <w:r>
        <w:rPr>
          <w:rFonts w:ascii="Arial" w:cs="Arial" w:eastAsia="Arial" w:hAnsi="Arial"/>
          <w:sz w:val="18"/>
          <w:szCs w:val="18"/>
          <w:color w:val="auto"/>
        </w:rPr>
        <w:t>Public Company Accounting Oversight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PRC: </w:t>
      </w:r>
      <w:r>
        <w:rPr>
          <w:rFonts w:ascii="Arial" w:cs="Arial" w:eastAsia="Arial" w:hAnsi="Arial"/>
          <w:sz w:val="18"/>
          <w:szCs w:val="18"/>
          <w:color w:val="auto"/>
        </w:rPr>
        <w:t>Public Responsibility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w:t>
      </w:r>
      <w:r>
        <w:rPr>
          <w:rFonts w:ascii="Arial" w:cs="Arial" w:eastAsia="Arial" w:hAnsi="Arial"/>
          <w:sz w:val="18"/>
          <w:szCs w:val="18"/>
          <w:color w:val="auto"/>
        </w:rPr>
        <w:t>Performance share unit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PwC: </w:t>
      </w:r>
      <w:r>
        <w:rPr>
          <w:rFonts w:ascii="Arial" w:cs="Arial" w:eastAsia="Arial" w:hAnsi="Arial"/>
          <w:sz w:val="18"/>
          <w:szCs w:val="18"/>
          <w:color w:val="auto"/>
        </w:rPr>
        <w:t>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ROE: </w:t>
      </w:r>
      <w:r>
        <w:rPr>
          <w:rFonts w:ascii="Arial" w:cs="Arial" w:eastAsia="Arial" w:hAnsi="Arial"/>
          <w:sz w:val="18"/>
          <w:szCs w:val="18"/>
          <w:color w:val="auto"/>
        </w:rPr>
        <w:t>Return on common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ROTCE: </w:t>
      </w:r>
      <w:r>
        <w:rPr>
          <w:rFonts w:ascii="Arial" w:cs="Arial" w:eastAsia="Arial" w:hAnsi="Arial"/>
          <w:sz w:val="18"/>
          <w:szCs w:val="18"/>
          <w:color w:val="auto"/>
        </w:rPr>
        <w:t>Return on tangible common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Restricted stock unit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 </w:t>
      </w:r>
      <w:r>
        <w:rPr>
          <w:rFonts w:ascii="Arial" w:cs="Arial" w:eastAsia="Arial" w:hAnsi="Arial"/>
          <w:sz w:val="18"/>
          <w:szCs w:val="18"/>
          <w:color w:val="auto"/>
        </w:rPr>
        <w:t>Stock appreciation right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SCT: </w:t>
      </w:r>
      <w:r>
        <w:rPr>
          <w:rFonts w:ascii="Arial" w:cs="Arial" w:eastAsia="Arial" w:hAnsi="Arial"/>
          <w:sz w:val="18"/>
          <w:szCs w:val="18"/>
          <w:color w:val="auto"/>
        </w:rPr>
        <w:t>Summary compensation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SDG: </w:t>
      </w:r>
      <w:r>
        <w:rPr>
          <w:rFonts w:ascii="Arial" w:cs="Arial" w:eastAsia="Arial" w:hAnsi="Arial"/>
          <w:sz w:val="18"/>
          <w:szCs w:val="18"/>
          <w:color w:val="auto"/>
        </w:rPr>
        <w:t>United Nations Sustainable Development Goals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United States Securities and Exchange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TBVPS: </w:t>
      </w:r>
      <w:r>
        <w:rPr>
          <w:rFonts w:ascii="Arial" w:cs="Arial" w:eastAsia="Arial" w:hAnsi="Arial"/>
          <w:sz w:val="18"/>
          <w:szCs w:val="18"/>
          <w:color w:val="auto"/>
        </w:rPr>
        <w:t>Tangible book value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TCE: </w:t>
      </w:r>
      <w:r>
        <w:rPr>
          <w:rFonts w:ascii="Arial" w:cs="Arial" w:eastAsia="Arial" w:hAnsi="Arial"/>
          <w:sz w:val="18"/>
          <w:szCs w:val="18"/>
          <w:color w:val="auto"/>
        </w:rPr>
        <w:t>Tangible common equity</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color w:val="auto"/>
        </w:rPr>
        <w:t xml:space="preserve">Tier 1 Employees: </w:t>
      </w:r>
      <w:r>
        <w:rPr>
          <w:rFonts w:ascii="Arial" w:cs="Arial" w:eastAsia="Arial" w:hAnsi="Arial"/>
          <w:sz w:val="18"/>
          <w:szCs w:val="18"/>
          <w:color w:val="auto"/>
        </w:rPr>
        <w:t>Employees who are material risk-takers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under Federal Reserve standards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TSR: </w:t>
      </w:r>
      <w:r>
        <w:rPr>
          <w:rFonts w:ascii="Arial" w:cs="Arial" w:eastAsia="Arial" w:hAnsi="Arial"/>
          <w:sz w:val="18"/>
          <w:szCs w:val="18"/>
          <w:color w:val="auto"/>
        </w:rPr>
        <w:t>Total shareholder return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U.K.: </w:t>
      </w: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GAAP: </w:t>
      </w:r>
      <w:r>
        <w:rPr>
          <w:rFonts w:ascii="Arial" w:cs="Arial" w:eastAsia="Arial" w:hAnsi="Arial"/>
          <w:sz w:val="18"/>
          <w:szCs w:val="18"/>
          <w:color w:val="auto"/>
        </w:rPr>
        <w:t>Accounting principles generally accepted in the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Vanguard: </w:t>
      </w:r>
      <w:r>
        <w:rPr>
          <w:rFonts w:ascii="Arial" w:cs="Arial" w:eastAsia="Arial" w:hAnsi="Arial"/>
          <w:sz w:val="18"/>
          <w:szCs w:val="18"/>
          <w:color w:val="auto"/>
        </w:rPr>
        <w:t>The Vanguard Group and affiliated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WOTM: </w:t>
      </w:r>
      <w:r>
        <w:rPr>
          <w:rFonts w:ascii="Arial" w:cs="Arial" w:eastAsia="Arial" w:hAnsi="Arial"/>
          <w:sz w:val="18"/>
          <w:szCs w:val="18"/>
          <w:color w:val="auto"/>
        </w:rPr>
        <w:t>Women on the 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566420</wp:posOffset>
            </wp:positionV>
            <wp:extent cx="27432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5340" w:space="400"/>
            <w:col w:w="5480"/>
          </w:cols>
          <w:pgMar w:left="320" w:top="157" w:right="359" w:bottom="1440" w:gutter="0" w:footer="0" w:header="0"/>
          <w:type w:val="continuous"/>
        </w:sect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2024 PROXY STATEMENT  </w:t>
      </w:r>
      <w:r>
        <w:rPr>
          <w:sz w:val="1"/>
          <w:szCs w:val="1"/>
          <w:color w:val="auto"/>
        </w:rPr>
        <w:drawing>
          <wp:inline distT="0" distB="0" distL="0" distR="0">
            <wp:extent cx="2211705" cy="154305"/>
            <wp:effectExtent l="0" t="0" r="0" b="0"/>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121 </w:t>
      </w:r>
      <w:r>
        <w:rPr>
          <w:sz w:val="1"/>
          <w:szCs w:val="1"/>
          <w:color w:val="auto"/>
        </w:rPr>
        <w:drawing>
          <wp:inline distT="0" distB="0" distL="0" distR="0">
            <wp:extent cx="2203450" cy="154305"/>
            <wp:effectExtent l="0" t="0" r="0"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57720" cy="900557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0" w:num="1">
            <w:col w:w="10139"/>
          </w:cols>
          <w:pgMar w:left="320" w:top="157" w:right="1440"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3240405" cy="28321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clrChange>
                        <a:clrFrom>
                          <a:srgbClr val="FFFFFF"/>
                        </a:clrFrom>
                        <a:clrTo>
                          <a:srgbClr val="FFFFFF">
                            <a:alpha val="0"/>
                          </a:srgbClr>
                        </a:clrTo>
                      </a:clrChange>
                      <a:extLst>
                        <a:ext uri="{28A0092B-C50C-407E-A947-70E740481C1C}"/>
                      </a:extLst>
                    </a:blip>
                    <a:srcRect/>
                    <a:stretch>
                      <a:fillRect/>
                    </a:stretch>
                  </pic:blipFill>
                  <pic:spPr bwMode="auto">
                    <a:xfrm>
                      <a:off x="0" y="0"/>
                      <a:ext cx="3240405" cy="283210"/>
                    </a:xfrm>
                    <a:prstGeom prst="rect">
                      <a:avLst/>
                    </a:prstGeom>
                    <a:noFill/>
                  </pic:spPr>
                </pic:pic>
              </a:graphicData>
            </a:graphic>
          </wp:anchor>
        </w:drawing>
        <w:t>COMPUTERSHARE</w:t>
      </w:r>
    </w:p>
    <w:p>
      <w:pPr>
        <w:spacing w:after="0" w:line="203" w:lineRule="auto"/>
        <w:rPr>
          <w:sz w:val="20"/>
          <w:szCs w:val="20"/>
          <w:color w:val="auto"/>
        </w:rPr>
      </w:pPr>
      <w:r>
        <w:rPr>
          <w:rFonts w:ascii="Arial" w:cs="Arial" w:eastAsia="Arial" w:hAnsi="Arial"/>
          <w:sz w:val="18"/>
          <w:szCs w:val="18"/>
          <w:color w:val="auto"/>
        </w:rPr>
        <w:t>P.O. Box 43078</w:t>
      </w:r>
    </w:p>
    <w:p>
      <w:pPr>
        <w:spacing w:after="0"/>
        <w:rPr>
          <w:sz w:val="20"/>
          <w:szCs w:val="20"/>
          <w:color w:val="auto"/>
        </w:rPr>
      </w:pPr>
      <w:r>
        <w:rPr>
          <w:rFonts w:ascii="Arial" w:cs="Arial" w:eastAsia="Arial" w:hAnsi="Arial"/>
          <w:sz w:val="18"/>
          <w:szCs w:val="18"/>
          <w:color w:val="auto"/>
        </w:rPr>
        <w:t>Providence, RI 02940-3078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-566420</wp:posOffset>
            </wp:positionV>
            <wp:extent cx="1619885" cy="3257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619885" cy="3257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 xml:space="preserve">Before The Meeting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Go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www.proxyvote.com or scan the QR code above</w:t>
      </w:r>
    </w:p>
    <w:p>
      <w:pPr>
        <w:spacing w:after="0" w:line="125" w:lineRule="exact"/>
        <w:rPr>
          <w:sz w:val="20"/>
          <w:szCs w:val="20"/>
          <w:color w:val="auto"/>
        </w:rPr>
      </w:pPr>
    </w:p>
    <w:p>
      <w:pPr>
        <w:ind w:right="20"/>
        <w:spacing w:after="0" w:line="23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May 20, 2024. Have your proxy card in hand when you access the website and follow the instructions to obtain your records and to create an electronic voting instruction form.</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During the Meeting - Go to www.virtualshareholdermeeting.com/JPM2024</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3"/>
          <w:szCs w:val="13"/>
          <w:color w:val="auto"/>
        </w:rPr>
        <w:t>You may attend the meeting via the Internet and vote during the meeting. Have the information that is printed in the box marked by the arrow available and follow the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PHONE — 1-800-690-6903</w:t>
      </w:r>
    </w:p>
    <w:p>
      <w:pPr>
        <w:spacing w:after="0" w:line="141" w:lineRule="exact"/>
        <w:rPr>
          <w:sz w:val="20"/>
          <w:szCs w:val="20"/>
          <w:color w:val="auto"/>
        </w:rPr>
      </w:pPr>
    </w:p>
    <w:p>
      <w:pPr>
        <w:ind w:right="80"/>
        <w:spacing w:after="0" w:line="259" w:lineRule="auto"/>
        <w:rPr>
          <w:sz w:val="20"/>
          <w:szCs w:val="20"/>
          <w:color w:val="auto"/>
        </w:rPr>
      </w:pPr>
      <w:r>
        <w:rPr>
          <w:rFonts w:ascii="Arial" w:cs="Arial" w:eastAsia="Arial" w:hAnsi="Arial"/>
          <w:sz w:val="13"/>
          <w:szCs w:val="13"/>
          <w:color w:val="auto"/>
        </w:rPr>
        <w:t>Use any touch-tone telephone to transmit your voting instructions up until 11:59 P.M. Eastern Time on May 20, 2024. Have your proxy card in hand when you call and then follow the instructions.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MAIL</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Mark, sign and date your proxy card and return it in the postage-paid envelope we have</w:t>
      </w:r>
    </w:p>
    <w:p>
      <w:pPr>
        <w:spacing w:after="0" w:line="2" w:lineRule="exact"/>
        <w:rPr>
          <w:sz w:val="20"/>
          <w:szCs w:val="20"/>
          <w:color w:val="auto"/>
        </w:rPr>
      </w:pPr>
    </w:p>
    <w:p>
      <w:pPr>
        <w:ind w:right="700"/>
        <w:spacing w:after="0" w:line="231" w:lineRule="auto"/>
        <w:rPr>
          <w:sz w:val="20"/>
          <w:szCs w:val="20"/>
          <w:color w:val="auto"/>
        </w:rPr>
      </w:pPr>
      <w:r>
        <w:rPr>
          <w:rFonts w:ascii="Arial" w:cs="Arial" w:eastAsia="Arial" w:hAnsi="Arial"/>
          <w:sz w:val="14"/>
          <w:szCs w:val="14"/>
          <w:color w:val="auto"/>
        </w:rPr>
        <w:t>provided or return it to JPMorgan Chase &amp; Co., c/o Broadridge, 51 Mercedes Way, Edgewood, NY 11717.</w:t>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Your voting instructions are confidential.</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E19087-P87837 KEEP THIS PORTION FOR YOUR RECORDS</w:t>
      </w:r>
    </w:p>
    <w:p>
      <w:pPr>
        <w:spacing w:after="0" w:line="44" w:lineRule="exact"/>
        <w:rPr>
          <w:sz w:val="20"/>
          <w:szCs w:val="20"/>
          <w:color w:val="auto"/>
        </w:rPr>
      </w:pPr>
    </w:p>
    <w:p>
      <w:pPr>
        <w:sectPr>
          <w:pgSz w:w="11900" w:h="16838" w:orient="portrait"/>
          <w:cols w:equalWidth="0" w:num="2">
            <w:col w:w="4980" w:space="280"/>
            <w:col w:w="5940"/>
          </w:cols>
          <w:pgMar w:left="340" w:top="1120" w:right="359" w:bottom="1440" w:gutter="0" w:footer="0" w:header="0"/>
        </w:sectPr>
      </w:pPr>
    </w:p>
    <w:p>
      <w:pPr>
        <w:jc w:val="center"/>
        <w:ind w:left="120" w:right="100"/>
        <w:spacing w:after="0" w:line="279" w:lineRule="auto"/>
        <w:rPr>
          <w:sz w:val="20"/>
          <w:szCs w:val="20"/>
          <w:color w:val="auto"/>
        </w:rPr>
      </w:pPr>
      <w:r>
        <w:rPr>
          <w:rFonts w:ascii="Arial" w:cs="Arial" w:eastAsia="Arial" w:hAnsi="Arial"/>
          <w:sz w:val="18"/>
          <w:szCs w:val="18"/>
          <w:color w:val="auto"/>
        </w:rPr>
        <w:t>— — — — — — — — — — — — — — — — — — — — — — — — — — — — — — — — — — — — — — — — — — — — — — — — — — — — — — — — — — — — — — — — — — — — — — — —</w:t>
      </w:r>
    </w:p>
    <w:p>
      <w:pPr>
        <w:spacing w:after="0" w:line="1" w:lineRule="exact"/>
        <w:rPr>
          <w:sz w:val="20"/>
          <w:szCs w:val="20"/>
          <w:color w:val="auto"/>
        </w:rPr>
      </w:pPr>
    </w:p>
    <w:p>
      <w:pPr>
        <w:jc w:val="right"/>
        <w:ind w:left="5260"/>
        <w:spacing w:after="0" w:line="264" w:lineRule="auto"/>
        <w:rPr>
          <w:sz w:val="20"/>
          <w:szCs w:val="20"/>
          <w:color w:val="auto"/>
        </w:rPr>
      </w:pPr>
      <w:r>
        <w:rPr>
          <w:rFonts w:ascii="Arial" w:cs="Arial" w:eastAsia="Arial" w:hAnsi="Arial"/>
          <w:sz w:val="14"/>
          <w:szCs w:val="14"/>
          <w:color w:val="auto"/>
        </w:rPr>
        <w:t>THIS PROXY CARD IS VALID ONLY WHEN SIGNED AND DATED.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308610</wp:posOffset>
            </wp:positionV>
            <wp:extent cx="7157720" cy="425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20" w:right="35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4"/>
          <w:szCs w:val="14"/>
          <w:b w:val="1"/>
          <w:bCs w:val="1"/>
          <w:color w:val="auto"/>
        </w:rPr>
        <w:t>JPMORGAN CHASE &amp; CO.</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following proposals:</w:t>
      </w:r>
    </w:p>
    <w:p>
      <w:pPr>
        <w:spacing w:after="0" w:line="33" w:lineRule="exact"/>
        <w:rPr>
          <w:sz w:val="20"/>
          <w:szCs w:val="20"/>
          <w:color w:val="auto"/>
        </w:rPr>
      </w:pPr>
    </w:p>
    <w:p>
      <w:pPr>
        <w:ind w:left="200" w:hanging="198"/>
        <w:spacing w:after="0"/>
        <w:tabs>
          <w:tab w:leader="none" w:pos="200" w:val="left"/>
        </w:tabs>
        <w:numPr>
          <w:ilvl w:val="0"/>
          <w:numId w:val="360"/>
        </w:numPr>
        <w:rPr>
          <w:rFonts w:ascii="Arial" w:cs="Arial" w:eastAsia="Arial" w:hAnsi="Arial"/>
          <w:sz w:val="29"/>
          <w:szCs w:val="29"/>
          <w:color w:val="auto"/>
          <w:vertAlign w:val="subscript"/>
        </w:rPr>
      </w:pPr>
      <w:r>
        <w:rPr>
          <w:rFonts w:ascii="Arial" w:cs="Arial" w:eastAsia="Arial" w:hAnsi="Arial"/>
          <w:sz w:val="14"/>
          <w:szCs w:val="14"/>
          <w:color w:val="auto"/>
        </w:rPr>
        <w:t>Election of directors</w:t>
      </w:r>
    </w:p>
    <w:p>
      <w:pPr>
        <w:spacing w:after="0" w:line="147" w:lineRule="exact"/>
        <w:rPr>
          <w:rFonts w:ascii="Arial" w:cs="Arial" w:eastAsia="Arial" w:hAnsi="Arial"/>
          <w:sz w:val="29"/>
          <w:szCs w:val="29"/>
          <w:color w:val="auto"/>
          <w:vertAlign w:val="subscript"/>
        </w:rPr>
      </w:pPr>
    </w:p>
    <w:p>
      <w:pPr>
        <w:ind w:left="200"/>
        <w:spacing w:after="0"/>
        <w:rPr>
          <w:rFonts w:ascii="Arial" w:cs="Arial" w:eastAsia="Arial" w:hAnsi="Arial"/>
          <w:sz w:val="29"/>
          <w:szCs w:val="29"/>
          <w:color w:val="auto"/>
          <w:vertAlign w:val="subscript"/>
        </w:rPr>
      </w:pPr>
      <w:r>
        <w:rPr>
          <w:rFonts w:ascii="Arial" w:cs="Arial" w:eastAsia="Arial" w:hAnsi="Arial"/>
          <w:sz w:val="14"/>
          <w:szCs w:val="14"/>
          <w:color w:val="auto"/>
        </w:rPr>
        <w:t>1a. Linda B. Bammann</w:t>
      </w:r>
    </w:p>
    <w:p>
      <w:pPr>
        <w:spacing w:after="0" w:line="230" w:lineRule="exact"/>
        <w:rPr>
          <w:rFonts w:ascii="Arial" w:cs="Arial" w:eastAsia="Arial" w:hAnsi="Arial"/>
          <w:sz w:val="29"/>
          <w:szCs w:val="29"/>
          <w:color w:val="auto"/>
          <w:vertAlign w:val="subscript"/>
        </w:rPr>
      </w:pPr>
    </w:p>
    <w:p>
      <w:pPr>
        <w:ind w:left="200"/>
        <w:spacing w:after="0"/>
        <w:rPr>
          <w:rFonts w:ascii="Arial" w:cs="Arial" w:eastAsia="Arial" w:hAnsi="Arial"/>
          <w:sz w:val="29"/>
          <w:szCs w:val="29"/>
          <w:color w:val="auto"/>
          <w:vertAlign w:val="subscript"/>
        </w:rPr>
      </w:pPr>
      <w:r>
        <w:rPr>
          <w:rFonts w:ascii="Arial" w:cs="Arial" w:eastAsia="Arial" w:hAnsi="Arial"/>
          <w:sz w:val="14"/>
          <w:szCs w:val="14"/>
          <w:color w:val="auto"/>
        </w:rPr>
        <w:t>1b. Stephen B. Burke</w:t>
      </w:r>
    </w:p>
    <w:p>
      <w:pPr>
        <w:spacing w:after="0" w:line="200" w:lineRule="exact"/>
        <w:rPr>
          <w:rFonts w:ascii="Arial" w:cs="Arial" w:eastAsia="Arial" w:hAnsi="Arial"/>
          <w:sz w:val="29"/>
          <w:szCs w:val="29"/>
          <w:color w:val="auto"/>
          <w:vertAlign w:val="subscript"/>
        </w:rPr>
      </w:pPr>
    </w:p>
    <w:p>
      <w:pPr>
        <w:spacing w:after="0" w:line="260" w:lineRule="exact"/>
        <w:rPr>
          <w:rFonts w:ascii="Arial" w:cs="Arial" w:eastAsia="Arial" w:hAnsi="Arial"/>
          <w:sz w:val="29"/>
          <w:szCs w:val="29"/>
          <w:color w:val="auto"/>
          <w:vertAlign w:val="subscript"/>
        </w:rPr>
      </w:pPr>
    </w:p>
    <w:p>
      <w:pPr>
        <w:ind w:left="200"/>
        <w:spacing w:after="0"/>
        <w:rPr>
          <w:rFonts w:ascii="Arial" w:cs="Arial" w:eastAsia="Arial" w:hAnsi="Arial"/>
          <w:sz w:val="29"/>
          <w:szCs w:val="29"/>
          <w:color w:val="auto"/>
          <w:vertAlign w:val="subscript"/>
        </w:rPr>
      </w:pPr>
      <w:r>
        <w:rPr>
          <w:rFonts w:ascii="Arial" w:cs="Arial" w:eastAsia="Arial" w:hAnsi="Arial"/>
          <w:sz w:val="14"/>
          <w:szCs w:val="14"/>
          <w:color w:val="auto"/>
        </w:rPr>
        <w:t>1c. Todd A. Combs</w:t>
      </w:r>
    </w:p>
    <w:p>
      <w:pPr>
        <w:spacing w:after="0" w:line="392" w:lineRule="exact"/>
        <w:rPr>
          <w:rFonts w:ascii="Arial" w:cs="Arial" w:eastAsia="Arial" w:hAnsi="Arial"/>
          <w:sz w:val="29"/>
          <w:szCs w:val="29"/>
          <w:color w:val="auto"/>
          <w:vertAlign w:val="subscript"/>
        </w:rPr>
      </w:pPr>
    </w:p>
    <w:p>
      <w:pPr>
        <w:ind w:left="200"/>
        <w:spacing w:after="0"/>
        <w:rPr>
          <w:rFonts w:ascii="Arial" w:cs="Arial" w:eastAsia="Arial" w:hAnsi="Arial"/>
          <w:sz w:val="29"/>
          <w:szCs w:val="29"/>
          <w:color w:val="auto"/>
          <w:vertAlign w:val="subscript"/>
        </w:rPr>
      </w:pPr>
      <w:r>
        <w:rPr>
          <w:rFonts w:ascii="Arial" w:cs="Arial" w:eastAsia="Arial" w:hAnsi="Arial"/>
          <w:sz w:val="14"/>
          <w:szCs w:val="14"/>
          <w:color w:val="auto"/>
        </w:rPr>
        <w:t>1d. Alicia Boler Davis</w:t>
      </w:r>
    </w:p>
    <w:p>
      <w:pPr>
        <w:spacing w:after="0" w:line="284" w:lineRule="exact"/>
        <w:rPr>
          <w:rFonts w:ascii="Arial" w:cs="Arial" w:eastAsia="Arial" w:hAnsi="Arial"/>
          <w:sz w:val="29"/>
          <w:szCs w:val="29"/>
          <w:color w:val="auto"/>
          <w:vertAlign w:val="subscript"/>
        </w:rPr>
      </w:pPr>
    </w:p>
    <w:p>
      <w:pPr>
        <w:ind w:left="200"/>
        <w:spacing w:after="0"/>
        <w:rPr>
          <w:rFonts w:ascii="Arial" w:cs="Arial" w:eastAsia="Arial" w:hAnsi="Arial"/>
          <w:sz w:val="29"/>
          <w:szCs w:val="29"/>
          <w:color w:val="auto"/>
          <w:vertAlign w:val="subscript"/>
        </w:rPr>
      </w:pPr>
      <w:r>
        <w:rPr>
          <w:rFonts w:ascii="Arial" w:cs="Arial" w:eastAsia="Arial" w:hAnsi="Arial"/>
          <w:sz w:val="14"/>
          <w:szCs w:val="14"/>
          <w:color w:val="auto"/>
        </w:rPr>
        <w:t>1e. James Dimon</w:t>
      </w:r>
    </w:p>
    <w:p>
      <w:pPr>
        <w:spacing w:after="0" w:line="200" w:lineRule="exact"/>
        <w:rPr>
          <w:rFonts w:ascii="Arial" w:cs="Arial" w:eastAsia="Arial" w:hAnsi="Arial"/>
          <w:sz w:val="29"/>
          <w:szCs w:val="29"/>
          <w:color w:val="auto"/>
          <w:vertAlign w:val="subscript"/>
        </w:rPr>
      </w:pPr>
    </w:p>
    <w:p>
      <w:pPr>
        <w:spacing w:after="0" w:line="260" w:lineRule="exact"/>
        <w:rPr>
          <w:rFonts w:ascii="Arial" w:cs="Arial" w:eastAsia="Arial" w:hAnsi="Arial"/>
          <w:sz w:val="29"/>
          <w:szCs w:val="29"/>
          <w:color w:val="auto"/>
          <w:vertAlign w:val="subscript"/>
        </w:rPr>
      </w:pPr>
    </w:p>
    <w:p>
      <w:pPr>
        <w:ind w:left="200"/>
        <w:spacing w:after="0"/>
        <w:rPr>
          <w:rFonts w:ascii="Arial" w:cs="Arial" w:eastAsia="Arial" w:hAnsi="Arial"/>
          <w:sz w:val="29"/>
          <w:szCs w:val="29"/>
          <w:color w:val="auto"/>
          <w:vertAlign w:val="subscript"/>
        </w:rPr>
      </w:pPr>
      <w:r>
        <w:rPr>
          <w:rFonts w:ascii="Arial" w:cs="Arial" w:eastAsia="Arial" w:hAnsi="Arial"/>
          <w:sz w:val="14"/>
          <w:szCs w:val="14"/>
          <w:color w:val="auto"/>
        </w:rPr>
        <w:t>1f. Alex Gorsky</w:t>
      </w:r>
    </w:p>
    <w:p>
      <w:pPr>
        <w:spacing w:after="0" w:line="200" w:lineRule="exact"/>
        <w:rPr>
          <w:rFonts w:ascii="Arial" w:cs="Arial" w:eastAsia="Arial" w:hAnsi="Arial"/>
          <w:sz w:val="29"/>
          <w:szCs w:val="29"/>
          <w:color w:val="auto"/>
          <w:vertAlign w:val="subscript"/>
        </w:rPr>
      </w:pPr>
    </w:p>
    <w:p>
      <w:pPr>
        <w:spacing w:after="0" w:line="260" w:lineRule="exact"/>
        <w:rPr>
          <w:rFonts w:ascii="Arial" w:cs="Arial" w:eastAsia="Arial" w:hAnsi="Arial"/>
          <w:sz w:val="29"/>
          <w:szCs w:val="29"/>
          <w:color w:val="auto"/>
          <w:vertAlign w:val="subscript"/>
        </w:rPr>
      </w:pPr>
    </w:p>
    <w:p>
      <w:pPr>
        <w:ind w:left="200"/>
        <w:spacing w:after="0"/>
        <w:rPr>
          <w:rFonts w:ascii="Arial" w:cs="Arial" w:eastAsia="Arial" w:hAnsi="Arial"/>
          <w:sz w:val="29"/>
          <w:szCs w:val="29"/>
          <w:color w:val="auto"/>
          <w:vertAlign w:val="subscript"/>
        </w:rPr>
      </w:pPr>
      <w:r>
        <w:rPr>
          <w:rFonts w:ascii="Arial" w:cs="Arial" w:eastAsia="Arial" w:hAnsi="Arial"/>
          <w:sz w:val="14"/>
          <w:szCs w:val="14"/>
          <w:color w:val="auto"/>
        </w:rPr>
        <w:t>1g. Mellody Hobson</w:t>
      </w:r>
    </w:p>
    <w:p>
      <w:pPr>
        <w:spacing w:after="0" w:line="200" w:lineRule="exact"/>
        <w:rPr>
          <w:rFonts w:ascii="Arial" w:cs="Arial" w:eastAsia="Arial" w:hAnsi="Arial"/>
          <w:sz w:val="29"/>
          <w:szCs w:val="29"/>
          <w:color w:val="auto"/>
          <w:vertAlign w:val="subscript"/>
        </w:rPr>
      </w:pPr>
    </w:p>
    <w:p>
      <w:pPr>
        <w:spacing w:after="0" w:line="260" w:lineRule="exact"/>
        <w:rPr>
          <w:rFonts w:ascii="Arial" w:cs="Arial" w:eastAsia="Arial" w:hAnsi="Arial"/>
          <w:sz w:val="29"/>
          <w:szCs w:val="29"/>
          <w:color w:val="auto"/>
          <w:vertAlign w:val="subscript"/>
        </w:rPr>
      </w:pPr>
    </w:p>
    <w:p>
      <w:pPr>
        <w:ind w:left="200"/>
        <w:spacing w:after="0"/>
        <w:rPr>
          <w:rFonts w:ascii="Arial" w:cs="Arial" w:eastAsia="Arial" w:hAnsi="Arial"/>
          <w:sz w:val="29"/>
          <w:szCs w:val="29"/>
          <w:color w:val="auto"/>
          <w:vertAlign w:val="subscript"/>
        </w:rPr>
      </w:pPr>
      <w:r>
        <w:rPr>
          <w:rFonts w:ascii="Arial" w:cs="Arial" w:eastAsia="Arial" w:hAnsi="Arial"/>
          <w:sz w:val="14"/>
          <w:szCs w:val="14"/>
          <w:color w:val="auto"/>
        </w:rPr>
        <w:t>1h. Phebe N. Novakovic</w:t>
      </w:r>
    </w:p>
    <w:p>
      <w:pPr>
        <w:spacing w:after="0" w:line="284" w:lineRule="exact"/>
        <w:rPr>
          <w:rFonts w:ascii="Arial" w:cs="Arial" w:eastAsia="Arial" w:hAnsi="Arial"/>
          <w:sz w:val="29"/>
          <w:szCs w:val="29"/>
          <w:color w:val="auto"/>
          <w:vertAlign w:val="subscript"/>
        </w:rPr>
      </w:pPr>
    </w:p>
    <w:p>
      <w:pPr>
        <w:ind w:left="200"/>
        <w:spacing w:after="0"/>
        <w:rPr>
          <w:rFonts w:ascii="Arial" w:cs="Arial" w:eastAsia="Arial" w:hAnsi="Arial"/>
          <w:sz w:val="29"/>
          <w:szCs w:val="29"/>
          <w:color w:val="auto"/>
          <w:vertAlign w:val="subscript"/>
        </w:rPr>
      </w:pPr>
      <w:r>
        <w:rPr>
          <w:rFonts w:ascii="Arial" w:cs="Arial" w:eastAsia="Arial" w:hAnsi="Arial"/>
          <w:sz w:val="14"/>
          <w:szCs w:val="14"/>
          <w:color w:val="auto"/>
        </w:rPr>
        <w:t>1i. Virgina M. Rometty</w:t>
      </w:r>
    </w:p>
    <w:p>
      <w:pPr>
        <w:spacing w:after="0" w:line="284" w:lineRule="exact"/>
        <w:rPr>
          <w:rFonts w:ascii="Arial" w:cs="Arial" w:eastAsia="Arial" w:hAnsi="Arial"/>
          <w:sz w:val="29"/>
          <w:szCs w:val="29"/>
          <w:color w:val="auto"/>
          <w:vertAlign w:val="subscript"/>
        </w:rPr>
      </w:pPr>
    </w:p>
    <w:p>
      <w:pPr>
        <w:ind w:left="200"/>
        <w:spacing w:after="0"/>
        <w:rPr>
          <w:rFonts w:ascii="Arial" w:cs="Arial" w:eastAsia="Arial" w:hAnsi="Arial"/>
          <w:sz w:val="29"/>
          <w:szCs w:val="29"/>
          <w:color w:val="auto"/>
          <w:vertAlign w:val="subscript"/>
        </w:rPr>
      </w:pPr>
      <w:r>
        <w:rPr>
          <w:rFonts w:ascii="Arial" w:cs="Arial" w:eastAsia="Arial" w:hAnsi="Arial"/>
          <w:sz w:val="14"/>
          <w:szCs w:val="14"/>
          <w:color w:val="auto"/>
        </w:rPr>
        <w:t>1j. Mark A. Weinberger</w:t>
      </w:r>
    </w:p>
    <w:p>
      <w:pPr>
        <w:spacing w:after="0" w:line="200" w:lineRule="exact"/>
        <w:rPr>
          <w:rFonts w:ascii="Arial" w:cs="Arial" w:eastAsia="Arial" w:hAnsi="Arial"/>
          <w:sz w:val="29"/>
          <w:szCs w:val="29"/>
          <w:color w:val="auto"/>
          <w:vertAlign w:val="subscript"/>
        </w:rPr>
      </w:pPr>
    </w:p>
    <w:p>
      <w:pPr>
        <w:spacing w:after="0" w:line="200" w:lineRule="exact"/>
        <w:rPr>
          <w:rFonts w:ascii="Arial" w:cs="Arial" w:eastAsia="Arial" w:hAnsi="Arial"/>
          <w:sz w:val="29"/>
          <w:szCs w:val="29"/>
          <w:color w:val="auto"/>
          <w:vertAlign w:val="subscript"/>
        </w:rPr>
      </w:pPr>
    </w:p>
    <w:p>
      <w:pPr>
        <w:spacing w:after="0" w:line="200" w:lineRule="exact"/>
        <w:rPr>
          <w:rFonts w:ascii="Arial" w:cs="Arial" w:eastAsia="Arial" w:hAnsi="Arial"/>
          <w:sz w:val="29"/>
          <w:szCs w:val="29"/>
          <w:color w:val="auto"/>
          <w:vertAlign w:val="subscript"/>
        </w:rPr>
      </w:pPr>
    </w:p>
    <w:p>
      <w:pPr>
        <w:spacing w:after="0" w:line="200" w:lineRule="exact"/>
        <w:rPr>
          <w:rFonts w:ascii="Arial" w:cs="Arial" w:eastAsia="Arial" w:hAnsi="Arial"/>
          <w:sz w:val="29"/>
          <w:szCs w:val="29"/>
          <w:color w:val="auto"/>
          <w:vertAlign w:val="subscript"/>
        </w:rPr>
      </w:pPr>
    </w:p>
    <w:p>
      <w:pPr>
        <w:spacing w:after="0" w:line="294" w:lineRule="exact"/>
        <w:rPr>
          <w:rFonts w:ascii="Arial" w:cs="Arial" w:eastAsia="Arial" w:hAnsi="Arial"/>
          <w:sz w:val="29"/>
          <w:szCs w:val="29"/>
          <w:color w:val="auto"/>
          <w:vertAlign w:val="subscript"/>
        </w:rPr>
      </w:pPr>
    </w:p>
    <w:p>
      <w:pPr>
        <w:ind w:left="200" w:right="340" w:hanging="198"/>
        <w:spacing w:after="0" w:line="181" w:lineRule="auto"/>
        <w:tabs>
          <w:tab w:leader="none" w:pos="200" w:val="left"/>
        </w:tabs>
        <w:numPr>
          <w:ilvl w:val="0"/>
          <w:numId w:val="360"/>
        </w:numPr>
        <w:rPr>
          <w:rFonts w:ascii="Arial" w:cs="Arial" w:eastAsia="Arial" w:hAnsi="Arial"/>
          <w:sz w:val="28"/>
          <w:szCs w:val="28"/>
          <w:color w:val="auto"/>
          <w:vertAlign w:val="subscript"/>
        </w:rPr>
      </w:pPr>
      <w:r>
        <w:rPr>
          <w:rFonts w:ascii="Arial" w:cs="Arial" w:eastAsia="Arial" w:hAnsi="Arial"/>
          <w:sz w:val="14"/>
          <w:szCs w:val="14"/>
          <w:color w:val="auto"/>
        </w:rPr>
        <w:t>Advisory resolution to approve executive compensation</w:t>
      </w:r>
    </w:p>
    <w:p>
      <w:pPr>
        <w:spacing w:after="0" w:line="202" w:lineRule="exact"/>
        <w:rPr>
          <w:rFonts w:ascii="Arial" w:cs="Arial" w:eastAsia="Arial" w:hAnsi="Arial"/>
          <w:sz w:val="28"/>
          <w:szCs w:val="28"/>
          <w:color w:val="auto"/>
          <w:vertAlign w:val="subscript"/>
        </w:rPr>
      </w:pPr>
    </w:p>
    <w:p>
      <w:pPr>
        <w:ind w:left="200"/>
        <w:spacing w:after="0"/>
        <w:rPr>
          <w:rFonts w:ascii="Arial" w:cs="Arial" w:eastAsia="Arial" w:hAnsi="Arial"/>
          <w:sz w:val="28"/>
          <w:szCs w:val="28"/>
          <w:color w:val="auto"/>
          <w:vertAlign w:val="subscript"/>
        </w:rPr>
      </w:pPr>
      <w:r>
        <w:rPr>
          <w:rFonts w:ascii="Arial" w:cs="Arial" w:eastAsia="Arial" w:hAnsi="Arial"/>
          <w:sz w:val="14"/>
          <w:szCs w:val="14"/>
          <w:color w:val="auto"/>
        </w:rPr>
        <w:t>Approval of amended and restated long-</w:t>
      </w:r>
    </w:p>
    <w:p>
      <w:pPr>
        <w:spacing w:after="0" w:line="28" w:lineRule="exact"/>
        <w:rPr>
          <w:rFonts w:ascii="Arial" w:cs="Arial" w:eastAsia="Arial" w:hAnsi="Arial"/>
          <w:sz w:val="28"/>
          <w:szCs w:val="28"/>
          <w:color w:val="auto"/>
          <w:vertAlign w:val="subscript"/>
        </w:rPr>
      </w:pPr>
    </w:p>
    <w:p>
      <w:pPr>
        <w:ind w:left="200" w:right="580" w:hanging="198"/>
        <w:spacing w:after="0" w:line="284" w:lineRule="auto"/>
        <w:tabs>
          <w:tab w:leader="none" w:pos="200" w:val="left"/>
        </w:tabs>
        <w:numPr>
          <w:ilvl w:val="0"/>
          <w:numId w:val="360"/>
        </w:numPr>
        <w:rPr>
          <w:rFonts w:ascii="Arial" w:cs="Arial" w:eastAsia="Arial" w:hAnsi="Arial"/>
          <w:sz w:val="14"/>
          <w:szCs w:val="14"/>
          <w:color w:val="auto"/>
        </w:rPr>
      </w:pPr>
      <w:r>
        <w:rPr>
          <w:rFonts w:ascii="Arial" w:cs="Arial" w:eastAsia="Arial" w:hAnsi="Arial"/>
          <w:sz w:val="14"/>
          <w:szCs w:val="14"/>
          <w:color w:val="auto"/>
        </w:rPr>
        <w:t>term incentive plan effective May 21, 2024</w:t>
      </w:r>
    </w:p>
    <w:p>
      <w:pPr>
        <w:spacing w:after="0" w:line="266" w:lineRule="exact"/>
        <w:rPr>
          <w:rFonts w:ascii="Arial" w:cs="Arial" w:eastAsia="Arial" w:hAnsi="Arial"/>
          <w:sz w:val="14"/>
          <w:szCs w:val="14"/>
          <w:color w:val="auto"/>
        </w:rPr>
      </w:pPr>
    </w:p>
    <w:p>
      <w:pPr>
        <w:ind w:left="200" w:right="540" w:hanging="198"/>
        <w:spacing w:after="0" w:line="181" w:lineRule="auto"/>
        <w:tabs>
          <w:tab w:leader="none" w:pos="200" w:val="left"/>
        </w:tabs>
        <w:numPr>
          <w:ilvl w:val="0"/>
          <w:numId w:val="360"/>
        </w:numPr>
        <w:rPr>
          <w:rFonts w:ascii="Arial" w:cs="Arial" w:eastAsia="Arial" w:hAnsi="Arial"/>
          <w:sz w:val="28"/>
          <w:szCs w:val="28"/>
          <w:color w:val="auto"/>
          <w:vertAlign w:val="subscript"/>
        </w:rPr>
      </w:pPr>
      <w:r>
        <w:rPr>
          <w:rFonts w:ascii="Arial" w:cs="Arial" w:eastAsia="Arial" w:hAnsi="Arial"/>
          <w:sz w:val="14"/>
          <w:szCs w:val="14"/>
          <w:color w:val="auto"/>
        </w:rPr>
        <w:t>Ratification of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20"/>
                <w:szCs w:val="20"/>
                <w:color w:val="auto"/>
              </w:rPr>
            </w:pPr>
            <w:r>
              <w:rPr>
                <w:rFonts w:ascii="Arial" w:cs="Arial" w:eastAsia="Arial" w:hAnsi="Arial"/>
                <w:sz w:val="14"/>
                <w:szCs w:val="14"/>
                <w:color w:val="auto"/>
              </w:rPr>
              <w:t>For</w:t>
            </w:r>
          </w:p>
        </w:tc>
        <w:tc>
          <w:tcPr>
            <w:tcW w:w="720" w:type="dxa"/>
            <w:vAlign w:val="bottom"/>
          </w:tcPr>
          <w:p>
            <w:pPr>
              <w:ind w:left="180"/>
              <w:spacing w:after="0"/>
              <w:rPr>
                <w:sz w:val="20"/>
                <w:szCs w:val="20"/>
                <w:color w:val="auto"/>
              </w:rPr>
            </w:pPr>
            <w:r>
              <w:rPr>
                <w:rFonts w:ascii="Arial" w:cs="Arial" w:eastAsia="Arial" w:hAnsi="Arial"/>
                <w:sz w:val="14"/>
                <w:szCs w:val="14"/>
                <w:color w:val="auto"/>
              </w:rPr>
              <w:t>Against</w:t>
            </w:r>
          </w:p>
        </w:tc>
        <w:tc>
          <w:tcPr>
            <w:tcW w:w="540" w:type="dxa"/>
            <w:vAlign w:val="bottom"/>
          </w:tcPr>
          <w:p>
            <w:pPr>
              <w:ind w:left="60"/>
              <w:spacing w:after="0"/>
              <w:rPr>
                <w:sz w:val="20"/>
                <w:szCs w:val="20"/>
                <w:color w:val="auto"/>
              </w:rPr>
            </w:pPr>
            <w:r>
              <w:rPr>
                <w:rFonts w:ascii="Arial" w:cs="Arial" w:eastAsia="Arial" w:hAnsi="Arial"/>
                <w:sz w:val="14"/>
                <w:szCs w:val="14"/>
                <w:color w:val="auto"/>
                <w:w w:val="98"/>
              </w:rPr>
              <w:t>Abstain</w:t>
            </w:r>
          </w:p>
        </w:tc>
      </w:tr>
      <w:tr>
        <w:trPr>
          <w:trHeight w:val="484"/>
        </w:trPr>
        <w:tc>
          <w:tcPr>
            <w:tcW w:w="38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391"/>
        </w:trPr>
        <w:tc>
          <w:tcPr>
            <w:tcW w:w="38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621"/>
        </w:trPr>
        <w:tc>
          <w:tcPr>
            <w:tcW w:w="38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445"/>
        </w:trPr>
        <w:tc>
          <w:tcPr>
            <w:tcW w:w="38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446"/>
        </w:trPr>
        <w:tc>
          <w:tcPr>
            <w:tcW w:w="38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621"/>
        </w:trPr>
        <w:tc>
          <w:tcPr>
            <w:tcW w:w="38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621"/>
        </w:trPr>
        <w:tc>
          <w:tcPr>
            <w:tcW w:w="38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621"/>
        </w:trPr>
        <w:tc>
          <w:tcPr>
            <w:tcW w:w="38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446"/>
        </w:trPr>
        <w:tc>
          <w:tcPr>
            <w:tcW w:w="38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445"/>
        </w:trPr>
        <w:tc>
          <w:tcPr>
            <w:tcW w:w="38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540" w:val="left"/>
          <w:tab w:leader="none" w:pos="1140" w:val="left"/>
        </w:tabs>
        <w:rPr>
          <w:sz w:val="20"/>
          <w:szCs w:val="20"/>
          <w:color w:val="auto"/>
        </w:rPr>
      </w:pP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p>
    <w:p>
      <w:pPr>
        <w:spacing w:after="0" w:line="200" w:lineRule="exact"/>
        <w:rPr>
          <w:sz w:val="20"/>
          <w:szCs w:val="20"/>
          <w:color w:val="auto"/>
        </w:rPr>
      </w:pPr>
    </w:p>
    <w:p>
      <w:pPr>
        <w:spacing w:after="0" w:line="293" w:lineRule="exact"/>
        <w:rPr>
          <w:sz w:val="20"/>
          <w:szCs w:val="20"/>
          <w:color w:val="auto"/>
        </w:rPr>
      </w:pPr>
    </w:p>
    <w:p>
      <w:pPr>
        <w:spacing w:after="0"/>
        <w:tabs>
          <w:tab w:leader="none" w:pos="540" w:val="left"/>
          <w:tab w:leader="none" w:pos="1140" w:val="left"/>
        </w:tabs>
        <w:rPr>
          <w:sz w:val="20"/>
          <w:szCs w:val="20"/>
          <w:color w:val="auto"/>
        </w:rPr>
      </w:pP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p>
    <w:p>
      <w:pPr>
        <w:spacing w:after="0" w:line="200" w:lineRule="exact"/>
        <w:rPr>
          <w:sz w:val="20"/>
          <w:szCs w:val="20"/>
          <w:color w:val="auto"/>
        </w:rPr>
      </w:pPr>
    </w:p>
    <w:p>
      <w:pPr>
        <w:spacing w:after="0" w:line="293" w:lineRule="exact"/>
        <w:rPr>
          <w:sz w:val="20"/>
          <w:szCs w:val="20"/>
          <w:color w:val="auto"/>
        </w:rPr>
      </w:pPr>
    </w:p>
    <w:p>
      <w:pPr>
        <w:spacing w:after="0"/>
        <w:tabs>
          <w:tab w:leader="none" w:pos="540" w:val="left"/>
          <w:tab w:leader="none" w:pos="1140" w:val="left"/>
        </w:tabs>
        <w:rPr>
          <w:sz w:val="20"/>
          <w:szCs w:val="20"/>
          <w:color w:val="auto"/>
        </w:rPr>
      </w:pP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-267335</wp:posOffset>
            </wp:positionV>
            <wp:extent cx="7080885" cy="724344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080885" cy="7243445"/>
                    </a:xfrm>
                    <a:prstGeom prst="rect">
                      <a:avLst/>
                    </a:prstGeom>
                    <a:noFill/>
                  </pic:spPr>
                </pic:pic>
              </a:graphicData>
            </a:graphic>
          </wp:anchor>
        </w:drawing>
      </w:r>
    </w:p>
    <w:p>
      <w:pPr>
        <w:spacing w:after="0" w:line="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AGAINST the following shareholder proposals: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20" w:type="dxa"/>
            <w:vAlign w:val="bottom"/>
          </w:tcPr>
          <w:p>
            <w:pPr>
              <w:ind w:left="220"/>
              <w:spacing w:after="0"/>
              <w:rPr>
                <w:sz w:val="20"/>
                <w:szCs w:val="20"/>
                <w:color w:val="auto"/>
              </w:rPr>
            </w:pPr>
            <w:r>
              <w:rPr>
                <w:rFonts w:ascii="Arial" w:cs="Arial" w:eastAsia="Arial" w:hAnsi="Arial"/>
                <w:sz w:val="14"/>
                <w:szCs w:val="14"/>
                <w:color w:val="auto"/>
              </w:rPr>
              <w:t>For</w:t>
            </w:r>
          </w:p>
        </w:tc>
        <w:tc>
          <w:tcPr>
            <w:tcW w:w="720" w:type="dxa"/>
            <w:vAlign w:val="bottom"/>
          </w:tcPr>
          <w:p>
            <w:pPr>
              <w:ind w:left="160"/>
              <w:spacing w:after="0"/>
              <w:rPr>
                <w:sz w:val="20"/>
                <w:szCs w:val="20"/>
                <w:color w:val="auto"/>
              </w:rPr>
            </w:pPr>
            <w:r>
              <w:rPr>
                <w:rFonts w:ascii="Arial" w:cs="Arial" w:eastAsia="Arial" w:hAnsi="Arial"/>
                <w:sz w:val="14"/>
                <w:szCs w:val="14"/>
                <w:color w:val="auto"/>
              </w:rPr>
              <w:t>Against</w:t>
            </w:r>
          </w:p>
        </w:tc>
        <w:tc>
          <w:tcPr>
            <w:tcW w:w="540" w:type="dxa"/>
            <w:vAlign w:val="bottom"/>
          </w:tcPr>
          <w:p>
            <w:pPr>
              <w:ind w:left="60"/>
              <w:spacing w:after="0"/>
              <w:rPr>
                <w:sz w:val="20"/>
                <w:szCs w:val="20"/>
                <w:color w:val="auto"/>
              </w:rPr>
            </w:pPr>
            <w:r>
              <w:rPr>
                <w:rFonts w:ascii="Arial" w:cs="Arial" w:eastAsia="Arial" w:hAnsi="Arial"/>
                <w:sz w:val="14"/>
                <w:szCs w:val="14"/>
                <w:color w:val="auto"/>
                <w:w w:val="98"/>
              </w:rPr>
              <w:t>Abstain</w:t>
            </w:r>
          </w:p>
        </w:tc>
        <w:tc>
          <w:tcPr>
            <w:tcW w:w="0" w:type="dxa"/>
            <w:vAlign w:val="bottom"/>
          </w:tcPr>
          <w:p>
            <w:pPr>
              <w:spacing w:after="0"/>
              <w:rPr>
                <w:sz w:val="1"/>
                <w:szCs w:val="1"/>
                <w:color w:val="auto"/>
              </w:rPr>
            </w:pPr>
          </w:p>
        </w:tc>
      </w:tr>
      <w:tr>
        <w:trPr>
          <w:trHeight w:val="418"/>
        </w:trPr>
        <w:tc>
          <w:tcPr>
            <w:tcW w:w="240" w:type="dxa"/>
            <w:vAlign w:val="bottom"/>
          </w:tcPr>
          <w:p>
            <w:pPr>
              <w:spacing w:after="0"/>
              <w:rPr>
                <w:sz w:val="20"/>
                <w:szCs w:val="20"/>
                <w:color w:val="auto"/>
              </w:rPr>
            </w:pPr>
            <w:r>
              <w:rPr>
                <w:rFonts w:ascii="Arial" w:cs="Arial" w:eastAsia="Arial" w:hAnsi="Arial"/>
                <w:sz w:val="14"/>
                <w:szCs w:val="14"/>
                <w:color w:val="auto"/>
              </w:rPr>
              <w:t>5.</w:t>
            </w:r>
          </w:p>
        </w:tc>
        <w:tc>
          <w:tcPr>
            <w:tcW w:w="3260" w:type="dxa"/>
            <w:vAlign w:val="bottom"/>
          </w:tcPr>
          <w:p>
            <w:pPr>
              <w:ind w:left="60"/>
              <w:spacing w:after="0"/>
              <w:rPr>
                <w:sz w:val="20"/>
                <w:szCs w:val="20"/>
                <w:color w:val="auto"/>
              </w:rPr>
            </w:pPr>
            <w:r>
              <w:rPr>
                <w:rFonts w:ascii="Arial" w:cs="Arial" w:eastAsia="Arial" w:hAnsi="Arial"/>
                <w:sz w:val="14"/>
                <w:szCs w:val="14"/>
                <w:color w:val="auto"/>
              </w:rPr>
              <w:t>Independent board chairman</w:t>
            </w:r>
          </w:p>
        </w:tc>
        <w:tc>
          <w:tcPr>
            <w:tcW w:w="62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vMerge w:val="restart"/>
          </w:tcPr>
          <w:p>
            <w:pPr>
              <w:ind w:left="16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32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240" w:type="dxa"/>
            <w:vAlign w:val="bottom"/>
            <w:vMerge w:val="restart"/>
          </w:tcPr>
          <w:p>
            <w:pPr>
              <w:spacing w:after="0"/>
              <w:rPr>
                <w:sz w:val="20"/>
                <w:szCs w:val="20"/>
                <w:color w:val="auto"/>
              </w:rPr>
            </w:pPr>
            <w:r>
              <w:rPr>
                <w:rFonts w:ascii="Arial" w:cs="Arial" w:eastAsia="Arial" w:hAnsi="Arial"/>
                <w:sz w:val="14"/>
                <w:szCs w:val="14"/>
                <w:color w:val="auto"/>
              </w:rPr>
              <w:t>6.</w:t>
            </w:r>
          </w:p>
        </w:tc>
        <w:tc>
          <w:tcPr>
            <w:tcW w:w="3260" w:type="dxa"/>
            <w:vAlign w:val="bottom"/>
          </w:tcPr>
          <w:p>
            <w:pPr>
              <w:ind w:left="60"/>
              <w:spacing w:after="0"/>
              <w:rPr>
                <w:sz w:val="20"/>
                <w:szCs w:val="20"/>
                <w:color w:val="auto"/>
              </w:rPr>
            </w:pPr>
            <w:r>
              <w:rPr>
                <w:rFonts w:ascii="Arial" w:cs="Arial" w:eastAsia="Arial" w:hAnsi="Arial"/>
                <w:sz w:val="14"/>
                <w:szCs w:val="14"/>
                <w:color w:val="auto"/>
              </w:rPr>
              <w:t>Humanitarian risks due to climate change</w:t>
            </w:r>
          </w:p>
        </w:tc>
        <w:tc>
          <w:tcPr>
            <w:tcW w:w="62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vMerge w:val="restart"/>
          </w:tcPr>
          <w:p>
            <w:pPr>
              <w:ind w:left="16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vMerge w:val="restart"/>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96"/>
        </w:trPr>
        <w:tc>
          <w:tcPr>
            <w:tcW w:w="240" w:type="dxa"/>
            <w:vAlign w:val="bottom"/>
            <w:vMerge w:val="continue"/>
          </w:tcPr>
          <w:p>
            <w:pPr>
              <w:spacing w:after="0"/>
              <w:rPr>
                <w:sz w:val="8"/>
                <w:szCs w:val="8"/>
                <w:color w:val="auto"/>
              </w:rPr>
            </w:pPr>
          </w:p>
        </w:tc>
        <w:tc>
          <w:tcPr>
            <w:tcW w:w="3260" w:type="dxa"/>
            <w:vAlign w:val="bottom"/>
            <w:vMerge w:val="restart"/>
          </w:tcPr>
          <w:p>
            <w:pPr>
              <w:ind w:left="60"/>
              <w:spacing w:after="0"/>
              <w:rPr>
                <w:sz w:val="20"/>
                <w:szCs w:val="20"/>
                <w:color w:val="auto"/>
              </w:rPr>
            </w:pPr>
            <w:r>
              <w:rPr>
                <w:rFonts w:ascii="Arial" w:cs="Arial" w:eastAsia="Arial" w:hAnsi="Arial"/>
                <w:sz w:val="14"/>
                <w:szCs w:val="14"/>
                <w:color w:val="auto"/>
              </w:rPr>
              <w:t>policies</w:t>
            </w:r>
          </w:p>
        </w:tc>
        <w:tc>
          <w:tcPr>
            <w:tcW w:w="6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4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240" w:type="dxa"/>
            <w:vAlign w:val="bottom"/>
          </w:tcPr>
          <w:p>
            <w:pPr>
              <w:spacing w:after="0"/>
              <w:rPr>
                <w:sz w:val="20"/>
                <w:szCs w:val="20"/>
                <w:color w:val="auto"/>
              </w:rPr>
            </w:pPr>
            <w:r>
              <w:rPr>
                <w:rFonts w:ascii="Arial" w:cs="Arial" w:eastAsia="Arial" w:hAnsi="Arial"/>
                <w:sz w:val="14"/>
                <w:szCs w:val="14"/>
                <w:color w:val="auto"/>
              </w:rPr>
              <w:t>7.</w:t>
            </w:r>
          </w:p>
        </w:tc>
        <w:tc>
          <w:tcPr>
            <w:tcW w:w="3260" w:type="dxa"/>
            <w:vAlign w:val="bottom"/>
          </w:tcPr>
          <w:p>
            <w:pPr>
              <w:ind w:left="60"/>
              <w:spacing w:after="0"/>
              <w:rPr>
                <w:sz w:val="20"/>
                <w:szCs w:val="20"/>
                <w:color w:val="auto"/>
              </w:rPr>
            </w:pPr>
            <w:r>
              <w:rPr>
                <w:rFonts w:ascii="Arial" w:cs="Arial" w:eastAsia="Arial" w:hAnsi="Arial"/>
                <w:sz w:val="14"/>
                <w:szCs w:val="14"/>
                <w:color w:val="auto"/>
              </w:rPr>
              <w:t>Indigenous peoples' rights indicators</w:t>
            </w:r>
          </w:p>
        </w:tc>
        <w:tc>
          <w:tcPr>
            <w:tcW w:w="62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6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445"/>
        </w:trPr>
        <w:tc>
          <w:tcPr>
            <w:tcW w:w="240" w:type="dxa"/>
            <w:vAlign w:val="bottom"/>
          </w:tcPr>
          <w:p>
            <w:pPr>
              <w:spacing w:after="0"/>
              <w:rPr>
                <w:sz w:val="20"/>
                <w:szCs w:val="20"/>
                <w:color w:val="auto"/>
              </w:rPr>
            </w:pPr>
            <w:r>
              <w:rPr>
                <w:rFonts w:ascii="Arial" w:cs="Arial" w:eastAsia="Arial" w:hAnsi="Arial"/>
                <w:sz w:val="14"/>
                <w:szCs w:val="14"/>
                <w:color w:val="auto"/>
              </w:rPr>
              <w:t>8.</w:t>
            </w:r>
          </w:p>
        </w:tc>
        <w:tc>
          <w:tcPr>
            <w:tcW w:w="3260" w:type="dxa"/>
            <w:vAlign w:val="bottom"/>
          </w:tcPr>
          <w:p>
            <w:pPr>
              <w:ind w:left="60"/>
              <w:spacing w:after="0"/>
              <w:rPr>
                <w:sz w:val="20"/>
                <w:szCs w:val="20"/>
                <w:color w:val="auto"/>
              </w:rPr>
            </w:pPr>
            <w:r>
              <w:rPr>
                <w:rFonts w:ascii="Arial" w:cs="Arial" w:eastAsia="Arial" w:hAnsi="Arial"/>
                <w:sz w:val="14"/>
                <w:szCs w:val="14"/>
                <w:color w:val="auto"/>
              </w:rPr>
              <w:t>Proxy voting alignment</w:t>
            </w:r>
          </w:p>
        </w:tc>
        <w:tc>
          <w:tcPr>
            <w:tcW w:w="62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6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407"/>
        </w:trPr>
        <w:tc>
          <w:tcPr>
            <w:tcW w:w="240" w:type="dxa"/>
            <w:vAlign w:val="bottom"/>
            <w:vMerge w:val="restart"/>
          </w:tcPr>
          <w:p>
            <w:pPr>
              <w:spacing w:after="0"/>
              <w:rPr>
                <w:sz w:val="20"/>
                <w:szCs w:val="20"/>
                <w:color w:val="auto"/>
              </w:rPr>
            </w:pPr>
            <w:r>
              <w:rPr>
                <w:rFonts w:ascii="Arial" w:cs="Arial" w:eastAsia="Arial" w:hAnsi="Arial"/>
                <w:sz w:val="14"/>
                <w:szCs w:val="14"/>
                <w:color w:val="auto"/>
              </w:rPr>
              <w:t>9.</w:t>
            </w:r>
          </w:p>
        </w:tc>
        <w:tc>
          <w:tcPr>
            <w:tcW w:w="3260" w:type="dxa"/>
            <w:vAlign w:val="bottom"/>
          </w:tcPr>
          <w:p>
            <w:pPr>
              <w:ind w:left="60"/>
              <w:spacing w:after="0"/>
              <w:rPr>
                <w:sz w:val="20"/>
                <w:szCs w:val="20"/>
                <w:color w:val="auto"/>
              </w:rPr>
            </w:pPr>
            <w:r>
              <w:rPr>
                <w:rFonts w:ascii="Arial" w:cs="Arial" w:eastAsia="Arial" w:hAnsi="Arial"/>
                <w:sz w:val="14"/>
                <w:szCs w:val="14"/>
                <w:color w:val="auto"/>
              </w:rPr>
              <w:t>Report on due diligence in conflict-affected and</w:t>
            </w:r>
          </w:p>
        </w:tc>
        <w:tc>
          <w:tcPr>
            <w:tcW w:w="62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6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90"/>
        </w:trPr>
        <w:tc>
          <w:tcPr>
            <w:tcW w:w="240" w:type="dxa"/>
            <w:vAlign w:val="bottom"/>
            <w:vMerge w:val="continue"/>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color w:val="auto"/>
              </w:rPr>
              <w:t>high-risk areas</w:t>
            </w: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240" w:type="dxa"/>
            <w:vAlign w:val="bottom"/>
            <w:vMerge w:val="restart"/>
          </w:tcPr>
          <w:p>
            <w:pPr>
              <w:spacing w:after="0"/>
              <w:rPr>
                <w:sz w:val="20"/>
                <w:szCs w:val="20"/>
                <w:color w:val="auto"/>
              </w:rPr>
            </w:pPr>
            <w:r>
              <w:rPr>
                <w:rFonts w:ascii="Arial" w:cs="Arial" w:eastAsia="Arial" w:hAnsi="Arial"/>
                <w:sz w:val="14"/>
                <w:szCs w:val="14"/>
                <w:color w:val="auto"/>
              </w:rPr>
              <w:t>10.</w:t>
            </w:r>
          </w:p>
        </w:tc>
        <w:tc>
          <w:tcPr>
            <w:tcW w:w="3260" w:type="dxa"/>
            <w:vAlign w:val="bottom"/>
          </w:tcPr>
          <w:p>
            <w:pPr>
              <w:ind w:left="60"/>
              <w:spacing w:after="0"/>
              <w:rPr>
                <w:sz w:val="20"/>
                <w:szCs w:val="20"/>
                <w:color w:val="auto"/>
              </w:rPr>
            </w:pPr>
            <w:r>
              <w:rPr>
                <w:rFonts w:ascii="Arial" w:cs="Arial" w:eastAsia="Arial" w:hAnsi="Arial"/>
                <w:sz w:val="14"/>
                <w:szCs w:val="14"/>
                <w:color w:val="auto"/>
              </w:rPr>
              <w:t>Shareholder opportunity to vote on excessive</w:t>
            </w:r>
          </w:p>
        </w:tc>
        <w:tc>
          <w:tcPr>
            <w:tcW w:w="62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6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90"/>
        </w:trPr>
        <w:tc>
          <w:tcPr>
            <w:tcW w:w="240" w:type="dxa"/>
            <w:vAlign w:val="bottom"/>
            <w:vMerge w:val="continue"/>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color w:val="auto"/>
              </w:rPr>
              <w:t>golden parachutes</w:t>
            </w: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240" w:type="dxa"/>
            <w:vAlign w:val="bottom"/>
            <w:vMerge w:val="restart"/>
          </w:tcPr>
          <w:p>
            <w:pPr>
              <w:spacing w:after="0"/>
              <w:rPr>
                <w:sz w:val="20"/>
                <w:szCs w:val="20"/>
                <w:color w:val="auto"/>
              </w:rPr>
            </w:pPr>
            <w:r>
              <w:rPr>
                <w:rFonts w:ascii="Arial" w:cs="Arial" w:eastAsia="Arial" w:hAnsi="Arial"/>
                <w:sz w:val="14"/>
                <w:szCs w:val="14"/>
                <w:color w:val="auto"/>
              </w:rPr>
              <w:t>11.</w:t>
            </w:r>
          </w:p>
        </w:tc>
        <w:tc>
          <w:tcPr>
            <w:tcW w:w="3260" w:type="dxa"/>
            <w:vAlign w:val="bottom"/>
          </w:tcPr>
          <w:p>
            <w:pPr>
              <w:ind w:left="60"/>
              <w:spacing w:after="0"/>
              <w:rPr>
                <w:sz w:val="20"/>
                <w:szCs w:val="20"/>
                <w:color w:val="auto"/>
              </w:rPr>
            </w:pPr>
            <w:r>
              <w:rPr>
                <w:rFonts w:ascii="Arial" w:cs="Arial" w:eastAsia="Arial" w:hAnsi="Arial"/>
                <w:sz w:val="14"/>
                <w:szCs w:val="14"/>
                <w:color w:val="auto"/>
              </w:rPr>
              <w:t>Report on respecting workforce civil</w:t>
            </w:r>
          </w:p>
        </w:tc>
        <w:tc>
          <w:tcPr>
            <w:tcW w:w="62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720" w:type="dxa"/>
            <w:vAlign w:val="bottom"/>
          </w:tcPr>
          <w:p>
            <w:pPr>
              <w:ind w:left="16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90"/>
        </w:trPr>
        <w:tc>
          <w:tcPr>
            <w:tcW w:w="240" w:type="dxa"/>
            <w:vAlign w:val="bottom"/>
            <w:vMerge w:val="continue"/>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color w:val="auto"/>
              </w:rPr>
              <w:t>liberties</w:t>
            </w: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20"/>
        <w:spacing w:after="0"/>
        <w:tabs>
          <w:tab w:leader="none" w:pos="426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Please indicate if you plan to attend this</w:t>
      </w:r>
    </w:p>
    <w:p>
      <w:pPr>
        <w:spacing w:after="0" w:line="14" w:lineRule="exact"/>
        <w:rPr>
          <w:sz w:val="20"/>
          <w:szCs w:val="20"/>
          <w:color w:val="auto"/>
        </w:rPr>
      </w:pPr>
    </w:p>
    <w:p>
      <w:pPr>
        <w:spacing w:after="0"/>
        <w:tabs>
          <w:tab w:leader="none" w:pos="3700" w:val="left"/>
          <w:tab w:leader="none" w:pos="4260" w:val="left"/>
        </w:tabs>
        <w:rPr>
          <w:sz w:val="20"/>
          <w:szCs w:val="20"/>
          <w:color w:val="auto"/>
        </w:rPr>
      </w:pPr>
      <w:r>
        <w:rPr>
          <w:rFonts w:ascii="Arial" w:cs="Arial" w:eastAsia="Arial" w:hAnsi="Arial"/>
          <w:sz w:val="14"/>
          <w:szCs w:val="14"/>
          <w:color w:val="auto"/>
        </w:rPr>
        <w:t>meeting.</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p>
    <w:p>
      <w:pPr>
        <w:spacing w:after="0" w:line="69" w:lineRule="exact"/>
        <w:rPr>
          <w:sz w:val="20"/>
          <w:szCs w:val="20"/>
          <w:color w:val="auto"/>
        </w:rPr>
      </w:pPr>
    </w:p>
    <w:p>
      <w:pPr>
        <w:ind w:right="200"/>
        <w:spacing w:after="0" w:line="272" w:lineRule="auto"/>
        <w:rPr>
          <w:sz w:val="20"/>
          <w:szCs w:val="20"/>
          <w:color w:val="auto"/>
        </w:rPr>
      </w:pPr>
      <w:r>
        <w:rPr>
          <w:rFonts w:ascii="Arial" w:cs="Arial" w:eastAsia="Arial" w:hAnsi="Arial"/>
          <w:sz w:val="14"/>
          <w:szCs w:val="14"/>
          <w:color w:val="auto"/>
        </w:rPr>
        <w:t>Please sign exactly as your name(s) appear(s) hereon. When signing as attorney, executor, administrator,</w:t>
      </w:r>
    </w:p>
    <w:p>
      <w:pPr>
        <w:ind w:right="480"/>
        <w:spacing w:after="0" w:line="251" w:lineRule="auto"/>
        <w:rPr>
          <w:sz w:val="20"/>
          <w:szCs w:val="20"/>
          <w:color w:val="auto"/>
        </w:rPr>
      </w:pPr>
      <w:r>
        <w:rPr>
          <w:rFonts w:ascii="Arial" w:cs="Arial" w:eastAsia="Arial" w:hAnsi="Arial"/>
          <w:sz w:val="14"/>
          <w:szCs w:val="14"/>
          <w:color w:val="auto"/>
        </w:rPr>
        <w:t>or other fiduciary, please give full title as such. Joint owners should each sign personally. All holders must</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sign. If a corporation or partnership, please sign in full corporate or partnership name by authorized officer.</w:t>
      </w:r>
    </w:p>
    <w:p>
      <w:pPr>
        <w:spacing w:after="0" w:line="200" w:lineRule="exact"/>
        <w:rPr>
          <w:sz w:val="20"/>
          <w:szCs w:val="20"/>
          <w:color w:val="auto"/>
        </w:rPr>
      </w:pPr>
    </w:p>
    <w:p>
      <w:pPr>
        <w:sectPr>
          <w:pgSz w:w="11900" w:h="16838" w:orient="portrait"/>
          <w:cols w:equalWidth="0" w:num="3">
            <w:col w:w="3120" w:space="440"/>
            <w:col w:w="1640" w:space="220"/>
            <w:col w:w="5380"/>
          </w:cols>
          <w:pgMar w:left="540" w:top="873" w:right="559" w:bottom="1440" w:gutter="0" w:footer="0" w:header="0"/>
        </w:sectPr>
      </w:pPr>
    </w:p>
    <w:p>
      <w:pPr>
        <w:spacing w:after="0" w:line="147" w:lineRule="exact"/>
        <w:rPr>
          <w:sz w:val="20"/>
          <w:szCs w:val="20"/>
          <w:color w:val="auto"/>
        </w:rPr>
      </w:pPr>
    </w:p>
    <w:p>
      <w:pPr>
        <w:spacing w:after="0"/>
        <w:tabs>
          <w:tab w:leader="none" w:pos="2980" w:val="left"/>
          <w:tab w:leader="none" w:pos="5400" w:val="left"/>
          <w:tab w:leader="none" w:pos="85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525145</wp:posOffset>
            </wp:positionV>
            <wp:extent cx="7157720" cy="4254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873" w:right="559" w:bottom="1440" w:gutter="0" w:footer="0" w:header="0"/>
          <w:type w:val="continuous"/>
        </w:sectPr>
      </w:pPr>
    </w:p>
    <w:bookmarkStart w:id="131" w:name="page132"/>
    <w:bookmarkEnd w:id="131"/>
    <w:p>
      <w:pPr>
        <w:jc w:val="center"/>
        <w:ind w:right="-19"/>
        <w:spacing w:after="0"/>
        <w:rPr>
          <w:sz w:val="20"/>
          <w:szCs w:val="20"/>
          <w:color w:val="auto"/>
        </w:rPr>
      </w:pPr>
      <w:r>
        <w:rPr>
          <w:rFonts w:ascii="Arial" w:cs="Arial" w:eastAsia="Arial" w:hAnsi="Arial"/>
          <w:sz w:val="29"/>
          <w:szCs w:val="29"/>
          <w:b w:val="1"/>
          <w:bCs w:val="1"/>
          <w:color w:val="auto"/>
        </w:rPr>
        <w:t>JPMorgan Chase &amp; Co.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2024 Annual Meeting of Shareholders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Tuesday, May 21, 2024 10:00 a.m. Eastern Time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www.virtualshareholdermeeting.com/JPM2024</w:t>
      </w:r>
    </w:p>
    <w:p>
      <w:pPr>
        <w:spacing w:after="0" w:line="396" w:lineRule="exact"/>
        <w:rPr>
          <w:sz w:val="20"/>
          <w:szCs w:val="20"/>
          <w:color w:val="auto"/>
        </w:rPr>
      </w:pPr>
    </w:p>
    <w:p>
      <w:pPr>
        <w:ind w:right="120"/>
        <w:spacing w:after="0" w:line="300" w:lineRule="auto"/>
        <w:rPr>
          <w:sz w:val="20"/>
          <w:szCs w:val="20"/>
          <w:color w:val="auto"/>
        </w:rPr>
      </w:pPr>
      <w:r>
        <w:rPr>
          <w:rFonts w:ascii="Arial" w:cs="Arial" w:eastAsia="Arial" w:hAnsi="Arial"/>
          <w:sz w:val="18"/>
          <w:szCs w:val="18"/>
          <w:b w:val="1"/>
          <w:bCs w:val="1"/>
          <w:color w:val="auto"/>
        </w:rPr>
        <w:t xml:space="preserve">If you plan to attend the meeting at </w:t>
      </w:r>
      <w:r>
        <w:rPr>
          <w:rFonts w:ascii="Arial" w:cs="Arial" w:eastAsia="Arial" w:hAnsi="Arial"/>
          <w:sz w:val="18"/>
          <w:szCs w:val="18"/>
          <w:color w:val="auto"/>
        </w:rPr>
        <w:t>www.virtualshareholdermeeting.com/JPM2024, you will be required to enter the control number found</w:t>
      </w:r>
      <w:r>
        <w:rPr>
          <w:rFonts w:ascii="Arial" w:cs="Arial" w:eastAsia="Arial" w:hAnsi="Arial"/>
          <w:sz w:val="18"/>
          <w:szCs w:val="18"/>
          <w:b w:val="1"/>
          <w:bCs w:val="1"/>
          <w:color w:val="auto"/>
        </w:rPr>
        <w:t xml:space="preserve"> </w:t>
      </w:r>
      <w:r>
        <w:rPr>
          <w:rFonts w:ascii="Arial" w:cs="Arial" w:eastAsia="Arial" w:hAnsi="Arial"/>
          <w:sz w:val="18"/>
          <w:szCs w:val="18"/>
          <w:color w:val="auto"/>
        </w:rPr>
        <w:t>on your proxy card, voting instruction form or Notice you previously received. The Annual Meeting will be held in a virtual meeting format only. For more information see “Information about the annual shareholder meeting” in the proxy statement.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 2024 Annual Meeting: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and Proxy Statement and Annual Report are available at https://www.jpmorganchase.com/ir/annual-report</w:t>
      </w:r>
    </w:p>
    <w:p>
      <w:pPr>
        <w:spacing w:after="0" w:line="347" w:lineRule="exact"/>
        <w:rPr>
          <w:sz w:val="20"/>
          <w:szCs w:val="20"/>
          <w:color w:val="auto"/>
        </w:rPr>
      </w:pPr>
    </w:p>
    <w:p>
      <w:pPr>
        <w:jc w:val="center"/>
        <w:ind w:left="340" w:right="20"/>
        <w:spacing w:after="0" w:line="287" w:lineRule="auto"/>
        <w:rPr>
          <w:sz w:val="20"/>
          <w:szCs w:val="20"/>
          <w:color w:val="auto"/>
        </w:rPr>
      </w:pPr>
      <w:r>
        <w:rPr>
          <w:rFonts w:ascii="Arial" w:cs="Arial" w:eastAsia="Arial" w:hAnsi="Arial"/>
          <w:sz w:val="18"/>
          <w:szCs w:val="18"/>
          <w:color w:val="auto"/>
        </w:rPr>
        <w:t>— — — — — — — — — — — — — — — — — — — — — — — — — — — — — — — — — — —— — — — — — — — — — — — — — — — — — — — — — — — — — — — — — — — —</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E19088-P87837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49465" cy="271716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49465" cy="2717165"/>
                    </a:xfrm>
                    <a:prstGeom prst="rect">
                      <a:avLst/>
                    </a:prstGeom>
                    <a:noFill/>
                  </pic:spPr>
                </pic:pic>
              </a:graphicData>
            </a:graphic>
          </wp:anchor>
        </w:drawing>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&amp; CO.</w:t>
      </w:r>
    </w:p>
    <w:p>
      <w:pPr>
        <w:spacing w:after="0" w:line="160" w:lineRule="exact"/>
        <w:rPr>
          <w:sz w:val="20"/>
          <w:szCs w:val="20"/>
          <w:color w:val="auto"/>
        </w:rPr>
      </w:pPr>
    </w:p>
    <w:p>
      <w:pPr>
        <w:jc w:val="both"/>
        <w:ind w:left="420" w:right="480" w:firstLine="213"/>
        <w:spacing w:after="0" w:line="249" w:lineRule="auto"/>
        <w:rPr>
          <w:sz w:val="20"/>
          <w:szCs w:val="20"/>
          <w:color w:val="auto"/>
        </w:rPr>
      </w:pPr>
      <w:r>
        <w:rPr>
          <w:rFonts w:ascii="Arial" w:cs="Arial" w:eastAsia="Arial" w:hAnsi="Arial"/>
          <w:sz w:val="18"/>
          <w:szCs w:val="18"/>
          <w:b w:val="1"/>
          <w:bCs w:val="1"/>
          <w:color w:val="auto"/>
        </w:rPr>
        <w:t>This proxy is solicited from you by the Board of Directors for use at the Annual Meeting of Shareholders of JPMorgan Chase &amp; Co. on May 21, 2024.</w:t>
      </w:r>
    </w:p>
    <w:p>
      <w:pPr>
        <w:spacing w:after="0" w:line="111" w:lineRule="exact"/>
        <w:rPr>
          <w:sz w:val="20"/>
          <w:szCs w:val="20"/>
          <w:color w:val="auto"/>
        </w:rPr>
      </w:pPr>
    </w:p>
    <w:p>
      <w:pPr>
        <w:jc w:val="both"/>
        <w:ind w:left="420" w:right="480" w:firstLine="215"/>
        <w:spacing w:after="0" w:line="215" w:lineRule="auto"/>
        <w:rPr>
          <w:sz w:val="20"/>
          <w:szCs w:val="20"/>
          <w:color w:val="auto"/>
        </w:rPr>
      </w:pPr>
      <w:r>
        <w:rPr>
          <w:rFonts w:ascii="Arial" w:cs="Arial" w:eastAsia="Arial" w:hAnsi="Arial"/>
          <w:sz w:val="18"/>
          <w:szCs w:val="18"/>
          <w:color w:val="auto"/>
        </w:rPr>
        <w:t>You, the undersigned shareholder, appoint each of John Tribolati and Jeremy Barnum, your attorney-in-fact and proxy, with full power of substitution, to vote on your behalf shares of JPMorgan Chase common stock that you would be entitled to vote at the 2024 Annual Meeting, and any adjournment of the meeting, with all powers that you would have if you were personally present at</w:t>
      </w:r>
    </w:p>
    <w:p>
      <w:pPr>
        <w:spacing w:after="0" w:line="2" w:lineRule="exact"/>
        <w:rPr>
          <w:sz w:val="20"/>
          <w:szCs w:val="20"/>
          <w:color w:val="auto"/>
        </w:rPr>
      </w:pPr>
    </w:p>
    <w:p>
      <w:pPr>
        <w:jc w:val="both"/>
        <w:ind w:left="420" w:right="480"/>
        <w:spacing w:after="0" w:line="208" w:lineRule="auto"/>
        <w:rPr>
          <w:sz w:val="20"/>
          <w:szCs w:val="20"/>
          <w:color w:val="auto"/>
        </w:rPr>
      </w:pPr>
      <w:r>
        <w:rPr>
          <w:rFonts w:ascii="Arial" w:cs="Arial" w:eastAsia="Arial" w:hAnsi="Arial"/>
          <w:sz w:val="18"/>
          <w:szCs w:val="18"/>
          <w:color w:val="auto"/>
        </w:rPr>
        <w:t xml:space="preserve">the meeting. </w:t>
      </w:r>
      <w:r>
        <w:rPr>
          <w:rFonts w:ascii="Arial" w:cs="Arial" w:eastAsia="Arial" w:hAnsi="Arial"/>
          <w:sz w:val="18"/>
          <w:szCs w:val="18"/>
          <w:b w:val="1"/>
          <w:bCs w:val="1"/>
          <w:color w:val="auto"/>
        </w:rPr>
        <w:t>The shares represented by this proxy will be voted as instructed by you on the reverse side of this card with</w:t>
      </w:r>
      <w:r>
        <w:rPr>
          <w:rFonts w:ascii="Arial" w:cs="Arial" w:eastAsia="Arial" w:hAnsi="Arial"/>
          <w:sz w:val="18"/>
          <w:szCs w:val="18"/>
          <w:color w:val="auto"/>
        </w:rPr>
        <w:t xml:space="preserve"> </w:t>
      </w:r>
      <w:r>
        <w:rPr>
          <w:rFonts w:ascii="Arial" w:cs="Arial" w:eastAsia="Arial" w:hAnsi="Arial"/>
          <w:sz w:val="18"/>
          <w:szCs w:val="18"/>
          <w:b w:val="1"/>
          <w:bCs w:val="1"/>
          <w:color w:val="auto"/>
        </w:rPr>
        <w:t>respect to the proposals set forth in the proxy statement, and in the discretion of the proxies on all other matters which may properly come before the 2024 Annual Meeting and any adjournment thereof. If the card is signed but no</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instructions are given, shares will be voted in accordance with the recommendations of the Board of Directors.</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Participants in the 401(k) Savings Plan: </w:t>
      </w:r>
      <w:r>
        <w:rPr>
          <w:rFonts w:ascii="Arial" w:cs="Arial" w:eastAsia="Arial" w:hAnsi="Arial"/>
          <w:sz w:val="18"/>
          <w:szCs w:val="18"/>
          <w:color w:val="auto"/>
        </w:rPr>
        <w:t>If you have an interest in JPMorgan Chase common stock through an investment in</w:t>
      </w:r>
    </w:p>
    <w:p>
      <w:pPr>
        <w:jc w:val="both"/>
        <w:ind w:left="420" w:right="480"/>
        <w:spacing w:after="0" w:line="221" w:lineRule="auto"/>
        <w:rPr>
          <w:sz w:val="20"/>
          <w:szCs w:val="20"/>
          <w:color w:val="auto"/>
        </w:rPr>
      </w:pPr>
      <w:r>
        <w:rPr>
          <w:rFonts w:ascii="Arial" w:cs="Arial" w:eastAsia="Arial" w:hAnsi="Arial"/>
          <w:sz w:val="18"/>
          <w:szCs w:val="18"/>
          <w:color w:val="auto"/>
        </w:rPr>
        <w:t>the JPMorgan Chase Common Stock Fund within the 401(k) Savings Plan, your vote will provide voting instructions to the trustee of the plan to vote the proportionate interest as of the record date. If no instructions are given, the trustee will vote unvoted shares in the same proportion as voted shares.</w:t>
      </w:r>
    </w:p>
    <w:p>
      <w:pPr>
        <w:spacing w:after="0" w:line="126" w:lineRule="exact"/>
        <w:rPr>
          <w:sz w:val="20"/>
          <w:szCs w:val="20"/>
          <w:color w:val="auto"/>
        </w:rPr>
      </w:pPr>
    </w:p>
    <w:p>
      <w:pPr>
        <w:jc w:val="both"/>
        <w:ind w:left="420" w:right="480" w:firstLine="243"/>
        <w:spacing w:after="0"/>
        <w:rPr>
          <w:sz w:val="20"/>
          <w:szCs w:val="20"/>
          <w:color w:val="auto"/>
        </w:rPr>
      </w:pPr>
      <w:r>
        <w:rPr>
          <w:rFonts w:ascii="Arial" w:cs="Arial" w:eastAsia="Arial" w:hAnsi="Arial"/>
          <w:sz w:val="18"/>
          <w:szCs w:val="18"/>
          <w:b w:val="1"/>
          <w:bCs w:val="1"/>
          <w:color w:val="auto"/>
        </w:rPr>
        <w:t xml:space="preserve">Voting Methods: </w:t>
      </w:r>
      <w:r>
        <w:rPr>
          <w:rFonts w:ascii="Arial" w:cs="Arial" w:eastAsia="Arial" w:hAnsi="Arial"/>
          <w:sz w:val="18"/>
          <w:szCs w:val="18"/>
          <w:color w:val="auto"/>
        </w:rPr>
        <w:t>If you wish to vote by mail, please sign your name exactly as it appears on this proxy and mark,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it in the enclosed envelope. If you wish to vote by Internet or telephone, please follow the instructions on the reverse side.</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20"/>
      </w:cols>
      <w:pgMar w:left="320" w:top="5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75E256A"/>
    <w:multiLevelType w:val="hybridMultilevel"/>
    <w:lvl w:ilvl="0">
      <w:lvlJc w:val="left"/>
      <w:lvlText w:val="☑"/>
      <w:numFmt w:val="bullet"/>
      <w:start w:val="1"/>
    </w:lvl>
  </w:abstractNum>
  <w:abstractNum w:abstractNumId="1">
    <w:nsid w:val="368DB37E"/>
    <w:multiLevelType w:val="hybridMultilevel"/>
    <w:lvl w:ilvl="0">
      <w:lvlJc w:val="left"/>
      <w:lvlText w:val="☐"/>
      <w:numFmt w:val="bullet"/>
      <w:start w:val="1"/>
    </w:lvl>
  </w:abstractNum>
  <w:abstractNum w:abstractNumId="2">
    <w:nsid w:val="6A3B714C"/>
    <w:multiLevelType w:val="hybridMultilevel"/>
    <w:lvl w:ilvl="0">
      <w:lvlJc w:val="left"/>
      <w:lvlText w:val="☐"/>
      <w:numFmt w:val="bullet"/>
      <w:start w:val="1"/>
    </w:lvl>
  </w:abstractNum>
  <w:abstractNum w:abstractNumId="3">
    <w:nsid w:val="327B517E"/>
    <w:multiLevelType w:val="hybridMultilevel"/>
    <w:lvl w:ilvl="0">
      <w:lvlJc w:val="left"/>
      <w:lvlText w:val="☑"/>
      <w:numFmt w:val="bullet"/>
      <w:start w:val="1"/>
    </w:lvl>
  </w:abstractNum>
  <w:abstractNum w:abstractNumId="4">
    <w:nsid w:val="1F461B51"/>
    <w:multiLevelType w:val="hybridMultilevel"/>
    <w:lvl w:ilvl="0">
      <w:lvlJc w:val="left"/>
      <w:lvlText w:val="☐"/>
      <w:numFmt w:val="bullet"/>
      <w:start w:val="1"/>
    </w:lvl>
  </w:abstractNum>
  <w:abstractNum w:abstractNumId="5">
    <w:nsid w:val="29BACF25"/>
    <w:multiLevelType w:val="hybridMultilevel"/>
    <w:lvl w:ilvl="0">
      <w:lvlJc w:val="left"/>
      <w:lvlText w:val="☑"/>
      <w:numFmt w:val="bullet"/>
      <w:start w:val="1"/>
    </w:lvl>
  </w:abstractNum>
  <w:abstractNum w:abstractNumId="6">
    <w:nsid w:val="5D5BABB3"/>
    <w:multiLevelType w:val="hybridMultilevel"/>
    <w:lvl w:ilvl="0">
      <w:lvlJc w:val="left"/>
      <w:lvlText w:val="☐"/>
      <w:numFmt w:val="bullet"/>
      <w:start w:val="1"/>
    </w:lvl>
  </w:abstractNum>
  <w:abstractNum w:abstractNumId="7">
    <w:nsid w:val="51BF6B48"/>
    <w:multiLevelType w:val="hybridMultilevel"/>
    <w:lvl w:ilvl="0">
      <w:lvlJc w:val="left"/>
      <w:lvlText w:val="•"/>
      <w:numFmt w:val="bullet"/>
      <w:start w:val="1"/>
    </w:lvl>
  </w:abstractNum>
  <w:abstractNum w:abstractNumId="8">
    <w:nsid w:val="7E0F6384"/>
    <w:multiLevelType w:val="hybridMultilevel"/>
    <w:lvl w:ilvl="0">
      <w:lvlJc w:val="left"/>
      <w:lvlText w:val="•"/>
      <w:numFmt w:val="bullet"/>
      <w:start w:val="1"/>
    </w:lvl>
  </w:abstractNum>
  <w:abstractNum w:abstractNumId="9">
    <w:nsid w:val="2B4B8B53"/>
    <w:multiLevelType w:val="hybridMultilevel"/>
    <w:lvl w:ilvl="0">
      <w:lvlJc w:val="left"/>
      <w:lvlText w:val="•"/>
      <w:numFmt w:val="bullet"/>
      <w:start w:val="1"/>
    </w:lvl>
  </w:abstractNum>
  <w:abstractNum w:abstractNumId="10">
    <w:nsid w:val="72E3413A"/>
    <w:multiLevelType w:val="hybridMultilevel"/>
    <w:lvl w:ilvl="0">
      <w:lvlJc w:val="left"/>
      <w:lvlText w:val="•"/>
      <w:numFmt w:val="bullet"/>
      <w:start w:val="1"/>
    </w:lvl>
  </w:abstractNum>
  <w:abstractNum w:abstractNumId="11">
    <w:nsid w:val="116AE494"/>
    <w:multiLevelType w:val="hybridMultilevel"/>
    <w:lvl w:ilvl="0">
      <w:lvlJc w:val="left"/>
      <w:lvlText w:val="•"/>
      <w:numFmt w:val="bullet"/>
      <w:start w:val="1"/>
    </w:lvl>
  </w:abstractNum>
  <w:abstractNum w:abstractNumId="12">
    <w:nsid w:val="3494B2FB"/>
    <w:multiLevelType w:val="hybridMultilevel"/>
    <w:lvl w:ilvl="0">
      <w:lvlJc w:val="left"/>
      <w:lvlText w:val="•"/>
      <w:numFmt w:val="bullet"/>
      <w:start w:val="1"/>
    </w:lvl>
  </w:abstractNum>
  <w:abstractNum w:abstractNumId="13">
    <w:nsid w:val="B13A31"/>
    <w:multiLevelType w:val="hybridMultilevel"/>
    <w:lvl w:ilvl="0">
      <w:lvlJc w:val="left"/>
      <w:lvlText w:val="1"/>
      <w:numFmt w:val="bullet"/>
      <w:start w:val="1"/>
    </w:lvl>
  </w:abstractNum>
  <w:abstractNum w:abstractNumId="14">
    <w:nsid w:val="64429599"/>
    <w:multiLevelType w:val="hybridMultilevel"/>
    <w:lvl w:ilvl="0">
      <w:lvlJc w:val="left"/>
      <w:lvlText w:val="2"/>
      <w:numFmt w:val="bullet"/>
      <w:start w:val="1"/>
    </w:lvl>
  </w:abstractNum>
  <w:abstractNum w:abstractNumId="15">
    <w:nsid w:val="631F1690"/>
    <w:multiLevelType w:val="hybridMultilevel"/>
    <w:lvl w:ilvl="0">
      <w:lvlJc w:val="left"/>
      <w:lvlText w:val="3"/>
      <w:numFmt w:val="bullet"/>
      <w:start w:val="1"/>
    </w:lvl>
  </w:abstractNum>
  <w:abstractNum w:abstractNumId="16">
    <w:nsid w:val="25973E32"/>
    <w:multiLevelType w:val="hybridMultilevel"/>
    <w:lvl w:ilvl="0">
      <w:lvlJc w:val="left"/>
      <w:lvlText w:val="4"/>
      <w:numFmt w:val="bullet"/>
      <w:start w:val="1"/>
    </w:lvl>
  </w:abstractNum>
  <w:abstractNum w:abstractNumId="17">
    <w:nsid w:val="EAD6F57"/>
    <w:multiLevelType w:val="hybridMultilevel"/>
    <w:lvl w:ilvl="0">
      <w:lvlJc w:val="left"/>
      <w:lvlText w:val="5"/>
      <w:numFmt w:val="bullet"/>
      <w:start w:val="1"/>
    </w:lvl>
  </w:abstractNum>
  <w:abstractNum w:abstractNumId="18">
    <w:nsid w:val="6EC9D844"/>
    <w:multiLevelType w:val="hybridMultilevel"/>
    <w:lvl w:ilvl="0">
      <w:lvlJc w:val="left"/>
      <w:lvlText w:val="6"/>
      <w:numFmt w:val="bullet"/>
      <w:start w:val="1"/>
    </w:lvl>
  </w:abstractNum>
  <w:abstractNum w:abstractNumId="19">
    <w:nsid w:val="5C49EAEE"/>
    <w:multiLevelType w:val="hybridMultilevel"/>
    <w:lvl w:ilvl="0">
      <w:lvlJc w:val="left"/>
      <w:lvlText w:val="7"/>
      <w:numFmt w:val="bullet"/>
      <w:start w:val="1"/>
    </w:lvl>
  </w:abstractNum>
  <w:abstractNum w:abstractNumId="20">
    <w:nsid w:val="64AF49B"/>
    <w:multiLevelType w:val="hybridMultilevel"/>
    <w:lvl w:ilvl="0">
      <w:lvlJc w:val="left"/>
      <w:lvlText w:val="8"/>
      <w:numFmt w:val="bullet"/>
      <w:start w:val="1"/>
    </w:lvl>
  </w:abstractNum>
  <w:abstractNum w:abstractNumId="21">
    <w:nsid w:val="397C46BC"/>
    <w:multiLevelType w:val="hybridMultilevel"/>
    <w:lvl w:ilvl="0">
      <w:lvlJc w:val="left"/>
      <w:lvlText w:val="9"/>
      <w:numFmt w:val="bullet"/>
      <w:start w:val="1"/>
    </w:lvl>
  </w:abstractNum>
  <w:abstractNum w:abstractNumId="22">
    <w:nsid w:val="7E448DE9"/>
    <w:multiLevelType w:val="hybridMultilevel"/>
    <w:lvl w:ilvl="0">
      <w:lvlJc w:val="left"/>
      <w:lvlText w:val="•"/>
      <w:numFmt w:val="bullet"/>
      <w:start w:val="1"/>
    </w:lvl>
  </w:abstractNum>
  <w:abstractNum w:abstractNumId="23">
    <w:nsid w:val="5A9CC3E5"/>
    <w:multiLevelType w:val="hybridMultilevel"/>
    <w:lvl w:ilvl="0">
      <w:lvlJc w:val="left"/>
      <w:lvlText w:val="•"/>
      <w:numFmt w:val="bullet"/>
      <w:start w:val="1"/>
    </w:lvl>
  </w:abstractNum>
  <w:abstractNum w:abstractNumId="24">
    <w:nsid w:val="1AFE3625"/>
    <w:multiLevelType w:val="hybridMultilevel"/>
    <w:lvl w:ilvl="0">
      <w:lvlJc w:val="left"/>
      <w:lvlText w:val="•"/>
      <w:numFmt w:val="bullet"/>
      <w:start w:val="1"/>
    </w:lvl>
  </w:abstractNum>
  <w:abstractNum w:abstractNumId="25">
    <w:nsid w:val="3CA88ECF"/>
    <w:multiLevelType w:val="hybridMultilevel"/>
    <w:lvl w:ilvl="0">
      <w:lvlJc w:val="left"/>
      <w:lvlText w:val="•"/>
      <w:numFmt w:val="bullet"/>
      <w:start w:val="1"/>
    </w:lvl>
  </w:abstractNum>
  <w:abstractNum w:abstractNumId="26">
    <w:nsid w:val="6EBE4208"/>
    <w:multiLevelType w:val="hybridMultilevel"/>
    <w:lvl w:ilvl="0">
      <w:lvlJc w:val="left"/>
      <w:lvlText w:val="•"/>
      <w:numFmt w:val="bullet"/>
      <w:start w:val="1"/>
    </w:lvl>
  </w:abstractNum>
  <w:abstractNum w:abstractNumId="27">
    <w:nsid w:val="C058DF5"/>
    <w:multiLevelType w:val="hybridMultilevel"/>
    <w:lvl w:ilvl="0">
      <w:lvlJc w:val="left"/>
      <w:lvlText w:val="•"/>
      <w:numFmt w:val="bullet"/>
      <w:start w:val="1"/>
    </w:lvl>
    <w:lvl w:ilvl="1">
      <w:lvlJc w:val="left"/>
      <w:lvlText w:val="\endash "/>
      <w:numFmt w:val="bullet"/>
      <w:start w:val="1"/>
    </w:lvl>
  </w:abstractNum>
  <w:abstractNum w:abstractNumId="28">
    <w:nsid w:val="CBE5BE9"/>
    <w:multiLevelType w:val="hybridMultilevel"/>
    <w:lvl w:ilvl="0">
      <w:lvlJc w:val="left"/>
      <w:lvlText w:val="1"/>
      <w:numFmt w:val="bullet"/>
      <w:start w:val="1"/>
    </w:lvl>
  </w:abstractNum>
  <w:abstractNum w:abstractNumId="29">
    <w:nsid w:val="3102BBE2"/>
    <w:multiLevelType w:val="hybridMultilevel"/>
    <w:lvl w:ilvl="0">
      <w:lvlJc w:val="left"/>
      <w:lvlText w:val="2"/>
      <w:numFmt w:val="bullet"/>
      <w:start w:val="1"/>
    </w:lvl>
  </w:abstractNum>
  <w:abstractNum w:abstractNumId="30">
    <w:nsid w:val="26A02C5E"/>
    <w:multiLevelType w:val="hybridMultilevel"/>
    <w:lvl w:ilvl="0">
      <w:lvlJc w:val="left"/>
      <w:lvlText w:val="3"/>
      <w:numFmt w:val="bullet"/>
      <w:start w:val="1"/>
    </w:lvl>
  </w:abstractNum>
  <w:abstractNum w:abstractNumId="31">
    <w:nsid w:val="541C8153"/>
    <w:multiLevelType w:val="hybridMultilevel"/>
    <w:lvl w:ilvl="0">
      <w:lvlJc w:val="left"/>
      <w:lvlText w:val="4"/>
      <w:numFmt w:val="bullet"/>
      <w:start w:val="1"/>
    </w:lvl>
  </w:abstractNum>
  <w:abstractNum w:abstractNumId="32">
    <w:nsid w:val="67906F60"/>
    <w:multiLevelType w:val="hybridMultilevel"/>
    <w:lvl w:ilvl="0">
      <w:lvlJc w:val="left"/>
      <w:lvlText w:val="1"/>
      <w:numFmt w:val="bullet"/>
      <w:start w:val="1"/>
    </w:lvl>
  </w:abstractNum>
  <w:abstractNum w:abstractNumId="33">
    <w:nsid w:val="10DB9DAA"/>
    <w:multiLevelType w:val="hybridMultilevel"/>
    <w:lvl w:ilvl="0">
      <w:lvlJc w:val="left"/>
      <w:lvlText w:val="•"/>
      <w:numFmt w:val="bullet"/>
      <w:start w:val="1"/>
    </w:lvl>
  </w:abstractNum>
  <w:abstractNum w:abstractNumId="34">
    <w:nsid w:val="697D2D2"/>
    <w:multiLevelType w:val="hybridMultilevel"/>
    <w:lvl w:ilvl="0">
      <w:lvlJc w:val="left"/>
      <w:lvlText w:val="4"/>
      <w:numFmt w:val="bullet"/>
      <w:start w:val="1"/>
    </w:lvl>
    <w:lvl w:ilvl="1">
      <w:lvlJc w:val="left"/>
      <w:lvlText w:val="•"/>
      <w:numFmt w:val="bullet"/>
      <w:start w:val="1"/>
    </w:lvl>
  </w:abstractNum>
  <w:abstractNum w:abstractNumId="35">
    <w:nsid w:val="6D68AB2"/>
    <w:multiLevelType w:val="hybridMultilevel"/>
    <w:lvl w:ilvl="0">
      <w:lvlJc w:val="left"/>
      <w:lvlText w:val="1"/>
      <w:numFmt w:val="bullet"/>
      <w:start w:val="1"/>
    </w:lvl>
  </w:abstractNum>
  <w:abstractNum w:abstractNumId="36">
    <w:nsid w:val="3A966CD0"/>
    <w:multiLevelType w:val="hybridMultilevel"/>
    <w:lvl w:ilvl="0">
      <w:lvlJc w:val="left"/>
      <w:lvlText w:val="•"/>
      <w:numFmt w:val="bullet"/>
      <w:start w:val="1"/>
    </w:lvl>
  </w:abstractNum>
  <w:abstractNum w:abstractNumId="37">
    <w:nsid w:val="63F37E85"/>
    <w:multiLevelType w:val="hybridMultilevel"/>
    <w:lvl w:ilvl="0">
      <w:lvlJc w:val="left"/>
      <w:lvlText w:val="•"/>
      <w:numFmt w:val="bullet"/>
      <w:start w:val="1"/>
    </w:lvl>
  </w:abstractNum>
  <w:abstractNum w:abstractNumId="38">
    <w:nsid w:val="5895F5FA"/>
    <w:multiLevelType w:val="hybridMultilevel"/>
    <w:lvl w:ilvl="0">
      <w:lvlJc w:val="left"/>
      <w:lvlText w:val="•"/>
      <w:numFmt w:val="bullet"/>
      <w:start w:val="1"/>
    </w:lvl>
  </w:abstractNum>
  <w:abstractNum w:abstractNumId="39">
    <w:nsid w:val="38A5D054"/>
    <w:multiLevelType w:val="hybridMultilevel"/>
    <w:lvl w:ilvl="0">
      <w:lvlJc w:val="left"/>
      <w:lvlText w:val="•"/>
      <w:numFmt w:val="bullet"/>
      <w:start w:val="1"/>
    </w:lvl>
  </w:abstractNum>
  <w:abstractNum w:abstractNumId="40">
    <w:nsid w:val="F3F09D8"/>
    <w:multiLevelType w:val="hybridMultilevel"/>
    <w:lvl w:ilvl="0">
      <w:lvlJc w:val="left"/>
      <w:lvlText w:val="•"/>
      <w:numFmt w:val="bullet"/>
      <w:start w:val="1"/>
    </w:lvl>
  </w:abstractNum>
  <w:abstractNum w:abstractNumId="41">
    <w:nsid w:val="4B793735"/>
    <w:multiLevelType w:val="hybridMultilevel"/>
    <w:lvl w:ilvl="0">
      <w:lvlJc w:val="left"/>
      <w:lvlText w:val="•"/>
      <w:numFmt w:val="bullet"/>
      <w:start w:val="1"/>
    </w:lvl>
  </w:abstractNum>
  <w:abstractNum w:abstractNumId="42">
    <w:nsid w:val="4A10B4E8"/>
    <w:multiLevelType w:val="hybridMultilevel"/>
    <w:lvl w:ilvl="0">
      <w:lvlJc w:val="left"/>
      <w:lvlText w:val="•"/>
      <w:numFmt w:val="bullet"/>
      <w:start w:val="1"/>
    </w:lvl>
  </w:abstractNum>
  <w:abstractNum w:abstractNumId="43">
    <w:nsid w:val="43D3BCD4"/>
    <w:multiLevelType w:val="hybridMultilevel"/>
    <w:lvl w:ilvl="0">
      <w:lvlJc w:val="left"/>
      <w:lvlText w:val="•"/>
      <w:numFmt w:val="bullet"/>
      <w:start w:val="1"/>
    </w:lvl>
  </w:abstractNum>
  <w:abstractNum w:abstractNumId="44">
    <w:nsid w:val="4C2A7166"/>
    <w:multiLevelType w:val="hybridMultilevel"/>
    <w:lvl w:ilvl="0">
      <w:lvlJc w:val="left"/>
      <w:lvlText w:val="•"/>
      <w:numFmt w:val="bullet"/>
      <w:start w:val="1"/>
    </w:lvl>
  </w:abstractNum>
  <w:abstractNum w:abstractNumId="45">
    <w:nsid w:val="2E534A82"/>
    <w:multiLevelType w:val="hybridMultilevel"/>
    <w:lvl w:ilvl="0">
      <w:lvlJc w:val="left"/>
      <w:lvlText w:val="•"/>
      <w:numFmt w:val="bullet"/>
      <w:start w:val="1"/>
    </w:lvl>
  </w:abstractNum>
  <w:abstractNum w:abstractNumId="46">
    <w:nsid w:val="26F2D364"/>
    <w:multiLevelType w:val="hybridMultilevel"/>
    <w:lvl w:ilvl="0">
      <w:lvlJc w:val="left"/>
      <w:lvlText w:val="•"/>
      <w:numFmt w:val="bullet"/>
      <w:start w:val="1"/>
    </w:lvl>
  </w:abstractNum>
  <w:abstractNum w:abstractNumId="47">
    <w:nsid w:val="71C1AF98"/>
    <w:multiLevelType w:val="hybridMultilevel"/>
    <w:lvl w:ilvl="0">
      <w:lvlJc w:val="left"/>
      <w:lvlText w:val="•"/>
      <w:numFmt w:val="bullet"/>
      <w:start w:val="1"/>
    </w:lvl>
  </w:abstractNum>
  <w:abstractNum w:abstractNumId="48">
    <w:nsid w:val="3D00B9D9"/>
    <w:multiLevelType w:val="hybridMultilevel"/>
    <w:lvl w:ilvl="0">
      <w:lvlJc w:val="left"/>
      <w:lvlText w:val="•"/>
      <w:numFmt w:val="bullet"/>
      <w:start w:val="1"/>
    </w:lvl>
  </w:abstractNum>
  <w:abstractNum w:abstractNumId="49">
    <w:nsid w:val="15BCABA8"/>
    <w:multiLevelType w:val="hybridMultilevel"/>
    <w:lvl w:ilvl="0">
      <w:lvlJc w:val="left"/>
      <w:lvlText w:val="•"/>
      <w:numFmt w:val="bullet"/>
      <w:start w:val="1"/>
    </w:lvl>
  </w:abstractNum>
  <w:abstractNum w:abstractNumId="50">
    <w:nsid w:val="4E0B9A87"/>
    <w:multiLevelType w:val="hybridMultilevel"/>
    <w:lvl w:ilvl="0">
      <w:lvlJc w:val="left"/>
      <w:lvlText w:val="•"/>
      <w:numFmt w:val="bullet"/>
      <w:start w:val="1"/>
    </w:lvl>
  </w:abstractNum>
  <w:abstractNum w:abstractNumId="51">
    <w:nsid w:val="434BAE75"/>
    <w:multiLevelType w:val="hybridMultilevel"/>
    <w:lvl w:ilvl="0">
      <w:lvlJc w:val="left"/>
      <w:lvlText w:val="•"/>
      <w:numFmt w:val="bullet"/>
      <w:start w:val="1"/>
    </w:lvl>
  </w:abstractNum>
  <w:abstractNum w:abstractNumId="52">
    <w:nsid w:val="4F38F265"/>
    <w:multiLevelType w:val="hybridMultilevel"/>
    <w:lvl w:ilvl="0">
      <w:lvlJc w:val="left"/>
      <w:lvlText w:val="•"/>
      <w:numFmt w:val="bullet"/>
      <w:start w:val="1"/>
    </w:lvl>
  </w:abstractNum>
  <w:abstractNum w:abstractNumId="53">
    <w:nsid w:val="4C502870"/>
    <w:multiLevelType w:val="hybridMultilevel"/>
    <w:lvl w:ilvl="0">
      <w:lvlJc w:val="left"/>
      <w:lvlText w:val="•"/>
      <w:numFmt w:val="bullet"/>
      <w:start w:val="1"/>
    </w:lvl>
  </w:abstractNum>
  <w:abstractNum w:abstractNumId="54">
    <w:nsid w:val="1DE8725A"/>
    <w:multiLevelType w:val="hybridMultilevel"/>
    <w:lvl w:ilvl="0">
      <w:lvlJc w:val="left"/>
      <w:lvlText w:val="•"/>
      <w:numFmt w:val="bullet"/>
      <w:start w:val="1"/>
    </w:lvl>
  </w:abstractNum>
  <w:abstractNum w:abstractNumId="55">
    <w:nsid w:val="6A37288A"/>
    <w:multiLevelType w:val="hybridMultilevel"/>
    <w:lvl w:ilvl="0">
      <w:lvlJc w:val="left"/>
      <w:lvlText w:val="•"/>
      <w:numFmt w:val="bullet"/>
      <w:start w:val="1"/>
    </w:lvl>
  </w:abstractNum>
  <w:abstractNum w:abstractNumId="56">
    <w:nsid w:val="8F8B73F"/>
    <w:multiLevelType w:val="hybridMultilevel"/>
    <w:lvl w:ilvl="0">
      <w:lvlJc w:val="left"/>
      <w:lvlText w:val="•"/>
      <w:numFmt w:val="bullet"/>
      <w:start w:val="1"/>
    </w:lvl>
  </w:abstractNum>
  <w:abstractNum w:abstractNumId="57">
    <w:nsid w:val="CA6B462"/>
    <w:multiLevelType w:val="hybridMultilevel"/>
    <w:lvl w:ilvl="0">
      <w:lvlJc w:val="left"/>
      <w:lvlText w:val="•"/>
      <w:numFmt w:val="bullet"/>
      <w:start w:val="1"/>
    </w:lvl>
  </w:abstractNum>
  <w:abstractNum w:abstractNumId="58">
    <w:nsid w:val="763CB680"/>
    <w:multiLevelType w:val="hybridMultilevel"/>
    <w:lvl w:ilvl="0">
      <w:lvlJc w:val="left"/>
      <w:lvlText w:val="•"/>
      <w:numFmt w:val="bullet"/>
      <w:start w:val="1"/>
    </w:lvl>
  </w:abstractNum>
  <w:abstractNum w:abstractNumId="59">
    <w:nsid w:val="15B71329"/>
    <w:multiLevelType w:val="hybridMultilevel"/>
    <w:lvl w:ilvl="0">
      <w:lvlJc w:val="left"/>
      <w:lvlText w:val="•"/>
      <w:numFmt w:val="bullet"/>
      <w:start w:val="1"/>
    </w:lvl>
  </w:abstractNum>
  <w:abstractNum w:abstractNumId="60">
    <w:nsid w:val="3DA97044"/>
    <w:multiLevelType w:val="hybridMultilevel"/>
    <w:lvl w:ilvl="0">
      <w:lvlJc w:val="left"/>
      <w:lvlText w:val="•"/>
      <w:numFmt w:val="bullet"/>
      <w:start w:val="1"/>
    </w:lvl>
  </w:abstractNum>
  <w:abstractNum w:abstractNumId="61">
    <w:nsid w:val="1CDCE2DE"/>
    <w:multiLevelType w:val="hybridMultilevel"/>
    <w:lvl w:ilvl="0">
      <w:lvlJc w:val="left"/>
      <w:lvlText w:val="•"/>
      <w:numFmt w:val="bullet"/>
      <w:start w:val="1"/>
    </w:lvl>
  </w:abstractNum>
  <w:abstractNum w:abstractNumId="62">
    <w:nsid w:val="69D3947C"/>
    <w:multiLevelType w:val="hybridMultilevel"/>
    <w:lvl w:ilvl="0">
      <w:lvlJc w:val="left"/>
      <w:lvlText w:val="•"/>
      <w:numFmt w:val="bullet"/>
      <w:start w:val="1"/>
    </w:lvl>
  </w:abstractNum>
  <w:abstractNum w:abstractNumId="63">
    <w:nsid w:val="2539DFA5"/>
    <w:multiLevelType w:val="hybridMultilevel"/>
    <w:lvl w:ilvl="0">
      <w:lvlJc w:val="left"/>
      <w:lvlText w:val="•"/>
      <w:numFmt w:val="bullet"/>
      <w:start w:val="1"/>
    </w:lvl>
  </w:abstractNum>
  <w:abstractNum w:abstractNumId="64">
    <w:nsid w:val="2DB88089"/>
    <w:multiLevelType w:val="hybridMultilevel"/>
    <w:lvl w:ilvl="0">
      <w:lvlJc w:val="left"/>
      <w:lvlText w:val="•"/>
      <w:numFmt w:val="bullet"/>
      <w:start w:val="1"/>
    </w:lvl>
  </w:abstractNum>
  <w:abstractNum w:abstractNumId="65">
    <w:nsid w:val="706B674E"/>
    <w:multiLevelType w:val="hybridMultilevel"/>
    <w:lvl w:ilvl="0">
      <w:lvlJc w:val="left"/>
      <w:lvlText w:val="•"/>
      <w:numFmt w:val="bullet"/>
      <w:start w:val="1"/>
    </w:lvl>
  </w:abstractNum>
  <w:abstractNum w:abstractNumId="66">
    <w:nsid w:val="2C106A57"/>
    <w:multiLevelType w:val="hybridMultilevel"/>
    <w:lvl w:ilvl="0">
      <w:lvlJc w:val="left"/>
      <w:lvlText w:val="•"/>
      <w:numFmt w:val="bullet"/>
      <w:start w:val="1"/>
    </w:lvl>
  </w:abstractNum>
  <w:abstractNum w:abstractNumId="67">
    <w:nsid w:val="684EED59"/>
    <w:multiLevelType w:val="hybridMultilevel"/>
    <w:lvl w:ilvl="0">
      <w:lvlJc w:val="left"/>
      <w:lvlText w:val="•"/>
      <w:numFmt w:val="bullet"/>
      <w:start w:val="1"/>
    </w:lvl>
  </w:abstractNum>
  <w:abstractNum w:abstractNumId="68">
    <w:nsid w:val="545EE5D3"/>
    <w:multiLevelType w:val="hybridMultilevel"/>
    <w:lvl w:ilvl="0">
      <w:lvlJc w:val="left"/>
      <w:lvlText w:val="•"/>
      <w:numFmt w:val="bullet"/>
      <w:start w:val="1"/>
    </w:lvl>
  </w:abstractNum>
  <w:abstractNum w:abstractNumId="69">
    <w:nsid w:val="4A66051"/>
    <w:multiLevelType w:val="hybridMultilevel"/>
    <w:lvl w:ilvl="0">
      <w:lvlJc w:val="left"/>
      <w:lvlText w:val="•"/>
      <w:numFmt w:val="bullet"/>
      <w:start w:val="1"/>
    </w:lvl>
  </w:abstractNum>
  <w:abstractNum w:abstractNumId="70">
    <w:nsid w:val="20F4BDAD"/>
    <w:multiLevelType w:val="hybridMultilevel"/>
    <w:lvl w:ilvl="0">
      <w:lvlJc w:val="left"/>
      <w:lvlText w:val="•"/>
      <w:numFmt w:val="bullet"/>
      <w:start w:val="1"/>
    </w:lvl>
  </w:abstractNum>
  <w:abstractNum w:abstractNumId="71">
    <w:nsid w:val="639DEFAC"/>
    <w:multiLevelType w:val="hybridMultilevel"/>
    <w:lvl w:ilvl="0">
      <w:lvlJc w:val="left"/>
      <w:lvlText w:val="•"/>
      <w:numFmt w:val="bullet"/>
      <w:start w:val="1"/>
    </w:lvl>
  </w:abstractNum>
  <w:abstractNum w:abstractNumId="72">
    <w:nsid w:val="501F9786"/>
    <w:multiLevelType w:val="hybridMultilevel"/>
    <w:lvl w:ilvl="0">
      <w:lvlJc w:val="left"/>
      <w:lvlText w:val="•"/>
      <w:numFmt w:val="bullet"/>
      <w:start w:val="1"/>
    </w:lvl>
  </w:abstractNum>
  <w:abstractNum w:abstractNumId="73">
    <w:nsid w:val="6B057295"/>
    <w:multiLevelType w:val="hybridMultilevel"/>
    <w:lvl w:ilvl="0">
      <w:lvlJc w:val="left"/>
      <w:lvlText w:val="•"/>
      <w:numFmt w:val="bullet"/>
      <w:start w:val="1"/>
    </w:lvl>
  </w:abstractNum>
  <w:abstractNum w:abstractNumId="74">
    <w:nsid w:val="2771AC80"/>
    <w:multiLevelType w:val="hybridMultilevel"/>
    <w:lvl w:ilvl="0">
      <w:lvlJc w:val="left"/>
      <w:lvlText w:val="•"/>
      <w:numFmt w:val="bullet"/>
      <w:start w:val="1"/>
    </w:lvl>
  </w:abstractNum>
  <w:abstractNum w:abstractNumId="75">
    <w:nsid w:val="1C4A08EC"/>
    <w:multiLevelType w:val="hybridMultilevel"/>
    <w:lvl w:ilvl="0">
      <w:lvlJc w:val="left"/>
      <w:lvlText w:val="•"/>
      <w:numFmt w:val="bullet"/>
      <w:start w:val="1"/>
    </w:lvl>
  </w:abstractNum>
  <w:abstractNum w:abstractNumId="76">
    <w:nsid w:val="1958BD17"/>
    <w:multiLevelType w:val="hybridMultilevel"/>
    <w:lvl w:ilvl="0">
      <w:lvlJc w:val="left"/>
      <w:lvlText w:val="•"/>
      <w:numFmt w:val="bullet"/>
      <w:start w:val="1"/>
    </w:lvl>
  </w:abstractNum>
  <w:abstractNum w:abstractNumId="77">
    <w:nsid w:val="4E647FE4"/>
    <w:multiLevelType w:val="hybridMultilevel"/>
    <w:lvl w:ilvl="0">
      <w:lvlJc w:val="left"/>
      <w:lvlText w:val="•"/>
      <w:numFmt w:val="bullet"/>
      <w:start w:val="1"/>
    </w:lvl>
  </w:abstractNum>
  <w:abstractNum w:abstractNumId="78">
    <w:nsid w:val="E0BB885"/>
    <w:multiLevelType w:val="hybridMultilevel"/>
    <w:lvl w:ilvl="0">
      <w:lvlJc w:val="left"/>
      <w:lvlText w:val="•"/>
      <w:numFmt w:val="bullet"/>
      <w:start w:val="1"/>
    </w:lvl>
  </w:abstractNum>
  <w:abstractNum w:abstractNumId="79">
    <w:nsid w:val="565976F1"/>
    <w:multiLevelType w:val="hybridMultilevel"/>
    <w:lvl w:ilvl="0">
      <w:lvlJc w:val="left"/>
      <w:lvlText w:val="•"/>
      <w:numFmt w:val="bullet"/>
      <w:start w:val="1"/>
    </w:lvl>
  </w:abstractNum>
  <w:abstractNum w:abstractNumId="80">
    <w:nsid w:val="64212B8C"/>
    <w:multiLevelType w:val="hybridMultilevel"/>
    <w:lvl w:ilvl="0">
      <w:lvlJc w:val="left"/>
      <w:lvlText w:val="•"/>
      <w:numFmt w:val="bullet"/>
      <w:start w:val="1"/>
    </w:lvl>
  </w:abstractNum>
  <w:abstractNum w:abstractNumId="81">
    <w:nsid w:val="5C17530C"/>
    <w:multiLevelType w:val="hybridMultilevel"/>
    <w:lvl w:ilvl="0">
      <w:lvlJc w:val="left"/>
      <w:lvlText w:val="•"/>
      <w:numFmt w:val="bullet"/>
      <w:start w:val="1"/>
    </w:lvl>
  </w:abstractNum>
  <w:abstractNum w:abstractNumId="82">
    <w:nsid w:val="19A52566"/>
    <w:multiLevelType w:val="hybridMultilevel"/>
    <w:lvl w:ilvl="0">
      <w:lvlJc w:val="left"/>
      <w:lvlText w:val="•"/>
      <w:numFmt w:val="bullet"/>
      <w:start w:val="1"/>
    </w:lvl>
  </w:abstractNum>
  <w:abstractNum w:abstractNumId="83">
    <w:nsid w:val="335A1DF1"/>
    <w:multiLevelType w:val="hybridMultilevel"/>
    <w:lvl w:ilvl="0">
      <w:lvlJc w:val="left"/>
      <w:lvlText w:val="•"/>
      <w:numFmt w:val="bullet"/>
      <w:start w:val="1"/>
    </w:lvl>
  </w:abstractNum>
  <w:abstractNum w:abstractNumId="84">
    <w:nsid w:val="28677B7C"/>
    <w:multiLevelType w:val="hybridMultilevel"/>
    <w:lvl w:ilvl="0">
      <w:lvlJc w:val="left"/>
      <w:lvlText w:val="•"/>
      <w:numFmt w:val="bullet"/>
      <w:start w:val="1"/>
    </w:lvl>
  </w:abstractNum>
  <w:abstractNum w:abstractNumId="85">
    <w:nsid w:val="378D97C0"/>
    <w:multiLevelType w:val="hybridMultilevel"/>
    <w:lvl w:ilvl="0">
      <w:lvlJc w:val="left"/>
      <w:lvlText w:val="•"/>
      <w:numFmt w:val="bullet"/>
      <w:start w:val="1"/>
    </w:lvl>
  </w:abstractNum>
  <w:abstractNum w:abstractNumId="86">
    <w:nsid w:val="1D91467C"/>
    <w:multiLevelType w:val="hybridMultilevel"/>
    <w:lvl w:ilvl="0">
      <w:lvlJc w:val="left"/>
      <w:lvlText w:val="•"/>
      <w:numFmt w:val="bullet"/>
      <w:start w:val="1"/>
    </w:lvl>
  </w:abstractNum>
  <w:abstractNum w:abstractNumId="87">
    <w:nsid w:val="316032BB"/>
    <w:multiLevelType w:val="hybridMultilevel"/>
    <w:lvl w:ilvl="0">
      <w:lvlJc w:val="left"/>
      <w:lvlText w:val="•"/>
      <w:numFmt w:val="bullet"/>
      <w:start w:val="1"/>
    </w:lvl>
  </w:abstractNum>
  <w:abstractNum w:abstractNumId="88">
    <w:nsid w:val="44344C22"/>
    <w:multiLevelType w:val="hybridMultilevel"/>
    <w:lvl w:ilvl="0">
      <w:lvlJc w:val="left"/>
      <w:lvlText w:val="1"/>
      <w:numFmt w:val="bullet"/>
      <w:start w:val="1"/>
    </w:lvl>
  </w:abstractNum>
  <w:abstractNum w:abstractNumId="89">
    <w:nsid w:val="13CDFCFC"/>
    <w:multiLevelType w:val="hybridMultilevel"/>
    <w:lvl w:ilvl="0">
      <w:lvlJc w:val="left"/>
      <w:lvlText w:val="•"/>
      <w:numFmt w:val="bullet"/>
      <w:start w:val="1"/>
    </w:lvl>
    <w:lvl w:ilvl="1">
      <w:lvlJc w:val="left"/>
      <w:lvlText w:val="•"/>
      <w:numFmt w:val="bullet"/>
      <w:start w:val="1"/>
    </w:lvl>
  </w:abstractNum>
  <w:abstractNum w:abstractNumId="90">
    <w:nsid w:val="471745E4"/>
    <w:multiLevelType w:val="hybridMultilevel"/>
    <w:lvl w:ilvl="0">
      <w:lvlJc w:val="left"/>
      <w:lvlText w:val="•"/>
      <w:numFmt w:val="bullet"/>
      <w:start w:val="1"/>
    </w:lvl>
  </w:abstractNum>
  <w:abstractNum w:abstractNumId="91">
    <w:nsid w:val="1DDBC66"/>
    <w:multiLevelType w:val="hybridMultilevel"/>
    <w:lvl w:ilvl="0">
      <w:lvlJc w:val="left"/>
      <w:lvlText w:val="•"/>
      <w:numFmt w:val="bullet"/>
      <w:start w:val="1"/>
    </w:lvl>
    <w:lvl w:ilvl="1">
      <w:lvlJc w:val="left"/>
      <w:lvlText w:val="•"/>
      <w:numFmt w:val="bullet"/>
      <w:start w:val="1"/>
    </w:lvl>
  </w:abstractNum>
  <w:abstractNum w:abstractNumId="92">
    <w:nsid w:val="30AADFDA"/>
    <w:multiLevelType w:val="hybridMultilevel"/>
    <w:lvl w:ilvl="0">
      <w:lvlJc w:val="left"/>
      <w:lvlText w:val="•"/>
      <w:numFmt w:val="bullet"/>
      <w:start w:val="1"/>
    </w:lvl>
  </w:abstractNum>
  <w:abstractNum w:abstractNumId="93">
    <w:nsid w:val="30EADA61"/>
    <w:multiLevelType w:val="hybridMultilevel"/>
    <w:lvl w:ilvl="0">
      <w:lvlJc w:val="left"/>
      <w:lvlText w:val="•"/>
      <w:numFmt w:val="bullet"/>
      <w:start w:val="1"/>
    </w:lvl>
  </w:abstractNum>
  <w:abstractNum w:abstractNumId="94">
    <w:nsid w:val="27179C0B"/>
    <w:multiLevelType w:val="hybridMultilevel"/>
    <w:lvl w:ilvl="0">
      <w:lvlJc w:val="left"/>
      <w:lvlText w:val="1"/>
      <w:numFmt w:val="bullet"/>
      <w:start w:val="1"/>
    </w:lvl>
  </w:abstractNum>
  <w:abstractNum w:abstractNumId="95">
    <w:nsid w:val="5E636063"/>
    <w:multiLevelType w:val="hybridMultilevel"/>
    <w:lvl w:ilvl="0">
      <w:lvlJc w:val="left"/>
      <w:lvlText w:val="2"/>
      <w:numFmt w:val="bullet"/>
      <w:start w:val="1"/>
    </w:lvl>
  </w:abstractNum>
  <w:abstractNum w:abstractNumId="96">
    <w:nsid w:val="215641AF"/>
    <w:multiLevelType w:val="hybridMultilevel"/>
    <w:lvl w:ilvl="0">
      <w:lvlJc w:val="left"/>
      <w:lvlText w:val="3"/>
      <w:numFmt w:val="bullet"/>
      <w:start w:val="1"/>
    </w:lvl>
  </w:abstractNum>
  <w:abstractNum w:abstractNumId="97">
    <w:nsid w:val="53280662"/>
    <w:multiLevelType w:val="hybridMultilevel"/>
    <w:lvl w:ilvl="0">
      <w:lvlJc w:val="left"/>
      <w:lvlText w:val="4"/>
      <w:numFmt w:val="bullet"/>
      <w:start w:val="1"/>
    </w:lvl>
  </w:abstractNum>
  <w:abstractNum w:abstractNumId="98">
    <w:nsid w:val="46B24DBC"/>
    <w:multiLevelType w:val="hybridMultilevel"/>
    <w:lvl w:ilvl="0">
      <w:lvlJc w:val="left"/>
      <w:lvlText w:val="5"/>
      <w:numFmt w:val="bullet"/>
      <w:start w:val="1"/>
    </w:lvl>
  </w:abstractNum>
  <w:abstractNum w:abstractNumId="99">
    <w:nsid w:val="75B52783"/>
    <w:multiLevelType w:val="hybridMultilevel"/>
    <w:lvl w:ilvl="0">
      <w:lvlJc w:val="left"/>
      <w:lvlText w:val="6"/>
      <w:numFmt w:val="bullet"/>
      <w:start w:val="1"/>
    </w:lvl>
  </w:abstractNum>
  <w:abstractNum w:abstractNumId="100">
    <w:nsid w:val="57CE66B4"/>
    <w:multiLevelType w:val="hybridMultilevel"/>
    <w:lvl w:ilvl="0">
      <w:lvlJc w:val="left"/>
      <w:lvlText w:val="•"/>
      <w:numFmt w:val="bullet"/>
      <w:start w:val="1"/>
    </w:lvl>
  </w:abstractNum>
  <w:abstractNum w:abstractNumId="101">
    <w:nsid w:val="67A70B69"/>
    <w:multiLevelType w:val="hybridMultilevel"/>
    <w:lvl w:ilvl="0">
      <w:lvlJc w:val="left"/>
      <w:lvlText w:val="•"/>
      <w:numFmt w:val="bullet"/>
      <w:start w:val="1"/>
    </w:lvl>
  </w:abstractNum>
  <w:abstractNum w:abstractNumId="102">
    <w:nsid w:val="5953172F"/>
    <w:multiLevelType w:val="hybridMultilevel"/>
    <w:lvl w:ilvl="0">
      <w:lvlJc w:val="left"/>
      <w:lvlText w:val="•"/>
      <w:numFmt w:val="bullet"/>
      <w:start w:val="1"/>
    </w:lvl>
  </w:abstractNum>
  <w:abstractNum w:abstractNumId="103">
    <w:nsid w:val="27EDFE3A"/>
    <w:multiLevelType w:val="hybridMultilevel"/>
    <w:lvl w:ilvl="0">
      <w:lvlJc w:val="left"/>
      <w:lvlText w:val="•"/>
      <w:numFmt w:val="bullet"/>
      <w:start w:val="1"/>
    </w:lvl>
  </w:abstractNum>
  <w:abstractNum w:abstractNumId="104">
    <w:nsid w:val="52AC7DFF"/>
    <w:multiLevelType w:val="hybridMultilevel"/>
    <w:lvl w:ilvl="0">
      <w:lvlJc w:val="left"/>
      <w:lvlText w:val="•"/>
      <w:numFmt w:val="bullet"/>
      <w:start w:val="1"/>
    </w:lvl>
  </w:abstractNum>
  <w:abstractNum w:abstractNumId="105">
    <w:nsid w:val="C4C3AF"/>
    <w:multiLevelType w:val="hybridMultilevel"/>
    <w:lvl w:ilvl="0">
      <w:lvlJc w:val="left"/>
      <w:lvlText w:val="•"/>
      <w:numFmt w:val="bullet"/>
      <w:start w:val="1"/>
    </w:lvl>
  </w:abstractNum>
  <w:abstractNum w:abstractNumId="106">
    <w:nsid w:val="4438072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7">
    <w:nsid w:val="6C053B16"/>
    <w:multiLevelType w:val="hybridMultilevel"/>
    <w:lvl w:ilvl="0">
      <w:lvlJc w:val="left"/>
      <w:lvlText w:val="1"/>
      <w:numFmt w:val="bullet"/>
      <w:start w:val="1"/>
    </w:lvl>
  </w:abstractNum>
  <w:abstractNum w:abstractNumId="108">
    <w:nsid w:val="4F294393"/>
    <w:multiLevelType w:val="hybridMultilevel"/>
    <w:lvl w:ilvl="0">
      <w:lvlJc w:val="left"/>
      <w:lvlText w:val="1"/>
      <w:numFmt w:val="bullet"/>
      <w:start w:val="1"/>
    </w:lvl>
  </w:abstractNum>
  <w:abstractNum w:abstractNumId="109">
    <w:nsid w:val="5243BFAC"/>
    <w:multiLevelType w:val="hybridMultilevel"/>
    <w:lvl w:ilvl="0">
      <w:lvlJc w:val="left"/>
      <w:lvlText w:val="2"/>
      <w:numFmt w:val="bullet"/>
      <w:start w:val="1"/>
    </w:lvl>
  </w:abstractNum>
  <w:abstractNum w:abstractNumId="110">
    <w:nsid w:val="425EB207"/>
    <w:multiLevelType w:val="hybridMultilevel"/>
    <w:lvl w:ilvl="0">
      <w:lvlJc w:val="left"/>
      <w:lvlText w:val="3"/>
      <w:numFmt w:val="bullet"/>
      <w:start w:val="1"/>
    </w:lvl>
  </w:abstractNum>
  <w:abstractNum w:abstractNumId="111">
    <w:nsid w:val="334A6F1F"/>
    <w:multiLevelType w:val="hybridMultilevel"/>
    <w:lvl w:ilvl="0">
      <w:lvlJc w:val="left"/>
      <w:lvlText w:val="4"/>
      <w:numFmt w:val="bullet"/>
      <w:start w:val="1"/>
    </w:lvl>
  </w:abstractNum>
  <w:abstractNum w:abstractNumId="112">
    <w:nsid w:val="2E5B12B8"/>
    <w:multiLevelType w:val="hybridMultilevel"/>
    <w:lvl w:ilvl="0">
      <w:lvlJc w:val="left"/>
      <w:lvlText w:val="•"/>
      <w:numFmt w:val="bullet"/>
      <w:start w:val="1"/>
    </w:lvl>
  </w:abstractNum>
  <w:abstractNum w:abstractNumId="113">
    <w:nsid w:val="5C03D76D"/>
    <w:multiLevelType w:val="hybridMultilevel"/>
    <w:lvl w:ilvl="0">
      <w:lvlJc w:val="left"/>
      <w:lvlText w:val="•"/>
      <w:numFmt w:val="bullet"/>
      <w:start w:val="1"/>
    </w:lvl>
  </w:abstractNum>
  <w:abstractNum w:abstractNumId="114">
    <w:nsid w:val="66A48D11"/>
    <w:multiLevelType w:val="hybridMultilevel"/>
    <w:lvl w:ilvl="0">
      <w:lvlJc w:val="left"/>
      <w:lvlText w:val="2"/>
      <w:numFmt w:val="bullet"/>
      <w:start w:val="1"/>
    </w:lvl>
  </w:abstractNum>
  <w:abstractNum w:abstractNumId="115">
    <w:nsid w:val="56C28E34"/>
    <w:multiLevelType w:val="hybridMultilevel"/>
    <w:lvl w:ilvl="0">
      <w:lvlJc w:val="left"/>
      <w:lvlText w:val="•"/>
      <w:numFmt w:val="bullet"/>
      <w:start w:val="1"/>
    </w:lvl>
  </w:abstractNum>
  <w:abstractNum w:abstractNumId="116">
    <w:nsid w:val="13916F2D"/>
    <w:multiLevelType w:val="hybridMultilevel"/>
    <w:lvl w:ilvl="0">
      <w:lvlJc w:val="left"/>
      <w:lvlText w:val="1"/>
      <w:numFmt w:val="bullet"/>
      <w:start w:val="1"/>
    </w:lvl>
  </w:abstractNum>
  <w:abstractNum w:abstractNumId="117">
    <w:nsid w:val="435D38D"/>
    <w:multiLevelType w:val="hybridMultilevel"/>
    <w:lvl w:ilvl="0">
      <w:lvlJc w:val="left"/>
      <w:lvlText w:val="•"/>
      <w:numFmt w:val="bullet"/>
      <w:start w:val="1"/>
    </w:lvl>
  </w:abstractNum>
  <w:abstractNum w:abstractNumId="118">
    <w:nsid w:val="822C0EF"/>
    <w:multiLevelType w:val="hybridMultilevel"/>
    <w:lvl w:ilvl="0">
      <w:lvlJc w:val="left"/>
      <w:lvlText w:val="•"/>
      <w:numFmt w:val="bullet"/>
      <w:start w:val="1"/>
    </w:lvl>
    <w:lvl w:ilvl="1">
      <w:lvlJc w:val="left"/>
      <w:lvlText w:val="◦"/>
      <w:numFmt w:val="bullet"/>
      <w:start w:val="1"/>
    </w:lvl>
  </w:abstractNum>
  <w:abstractNum w:abstractNumId="119">
    <w:nsid w:val="57C5BB4F"/>
    <w:multiLevelType w:val="hybridMultilevel"/>
    <w:lvl w:ilvl="0">
      <w:lvlJc w:val="left"/>
      <w:lvlText w:val="•"/>
      <w:numFmt w:val="bullet"/>
      <w:start w:val="1"/>
    </w:lvl>
    <w:lvl w:ilvl="1">
      <w:lvlJc w:val="left"/>
      <w:lvlText w:val="◦"/>
      <w:numFmt w:val="bullet"/>
      <w:start w:val="1"/>
    </w:lvl>
  </w:abstractNum>
  <w:abstractNum w:abstractNumId="120">
    <w:nsid w:val="1803D089"/>
    <w:multiLevelType w:val="hybridMultilevel"/>
    <w:lvl w:ilvl="0">
      <w:lvlJc w:val="left"/>
      <w:lvlText w:val="•"/>
      <w:numFmt w:val="bullet"/>
      <w:start w:val="1"/>
    </w:lvl>
  </w:abstractNum>
  <w:abstractNum w:abstractNumId="121">
    <w:nsid w:val="4F3A06D4"/>
    <w:multiLevelType w:val="hybridMultilevel"/>
    <w:lvl w:ilvl="0">
      <w:lvlJc w:val="left"/>
      <w:lvlText w:val="•"/>
      <w:numFmt w:val="bullet"/>
      <w:start w:val="1"/>
    </w:lvl>
  </w:abstractNum>
  <w:abstractNum w:abstractNumId="122">
    <w:nsid w:val="59A377B6"/>
    <w:multiLevelType w:val="hybridMultilevel"/>
    <w:lvl w:ilvl="0">
      <w:lvlJc w:val="left"/>
      <w:lvlText w:val="1"/>
      <w:numFmt w:val="bullet"/>
      <w:start w:val="1"/>
    </w:lvl>
  </w:abstractNum>
  <w:abstractNum w:abstractNumId="123">
    <w:nsid w:val="48AEB063"/>
    <w:multiLevelType w:val="hybridMultilevel"/>
    <w:lvl w:ilvl="0">
      <w:lvlJc w:val="left"/>
      <w:lvlText w:val="2"/>
      <w:numFmt w:val="bullet"/>
      <w:start w:val="1"/>
    </w:lvl>
  </w:abstractNum>
  <w:abstractNum w:abstractNumId="124">
    <w:nsid w:val="24E135"/>
    <w:multiLevelType w:val="hybridMultilevel"/>
    <w:lvl w:ilvl="0">
      <w:lvlJc w:val="left"/>
      <w:lvlText w:val="3"/>
      <w:numFmt w:val="bullet"/>
      <w:start w:val="1"/>
    </w:lvl>
  </w:abstractNum>
  <w:abstractNum w:abstractNumId="125">
    <w:nsid w:val="BB13C1"/>
    <w:multiLevelType w:val="hybridMultilevel"/>
    <w:lvl w:ilvl="0">
      <w:lvlJc w:val="left"/>
      <w:lvlText w:val="•"/>
      <w:numFmt w:val="bullet"/>
      <w:start w:val="1"/>
    </w:lvl>
  </w:abstractNum>
  <w:abstractNum w:abstractNumId="126">
    <w:nsid w:val="271210C7"/>
    <w:multiLevelType w:val="hybridMultilevel"/>
    <w:lvl w:ilvl="0">
      <w:lvlJc w:val="left"/>
      <w:lvlText w:val="1"/>
      <w:numFmt w:val="bullet"/>
      <w:start w:val="1"/>
    </w:lvl>
  </w:abstractNum>
  <w:abstractNum w:abstractNumId="127">
    <w:nsid w:val="217B22E4"/>
    <w:multiLevelType w:val="hybridMultilevel"/>
    <w:lvl w:ilvl="0">
      <w:lvlJc w:val="left"/>
      <w:lvlText w:val="2"/>
      <w:numFmt w:val="bullet"/>
      <w:start w:val="1"/>
    </w:lvl>
  </w:abstractNum>
  <w:abstractNum w:abstractNumId="128">
    <w:nsid w:val="53E31A24"/>
    <w:multiLevelType w:val="hybridMultilevel"/>
    <w:lvl w:ilvl="0">
      <w:lvlJc w:val="left"/>
      <w:lvlText w:val="3"/>
      <w:numFmt w:val="bullet"/>
      <w:start w:val="1"/>
    </w:lvl>
  </w:abstractNum>
  <w:abstractNum w:abstractNumId="129">
    <w:nsid w:val="6DC45E83"/>
    <w:multiLevelType w:val="hybridMultilevel"/>
    <w:lvl w:ilvl="0">
      <w:lvlJc w:val="left"/>
      <w:lvlText w:val="4"/>
      <w:numFmt w:val="bullet"/>
      <w:start w:val="1"/>
    </w:lvl>
  </w:abstractNum>
  <w:abstractNum w:abstractNumId="130">
    <w:nsid w:val="17304A67"/>
    <w:multiLevelType w:val="hybridMultilevel"/>
    <w:lvl w:ilvl="0">
      <w:lvlJc w:val="left"/>
      <w:lvlText w:val="•"/>
      <w:numFmt w:val="bullet"/>
      <w:start w:val="1"/>
    </w:lvl>
  </w:abstractNum>
  <w:abstractNum w:abstractNumId="131">
    <w:nsid w:val="2BB180D8"/>
    <w:multiLevelType w:val="hybridMultilevel"/>
    <w:lvl w:ilvl="0">
      <w:lvlJc w:val="left"/>
      <w:lvlText w:val="•"/>
      <w:numFmt w:val="bullet"/>
      <w:start w:val="1"/>
    </w:lvl>
  </w:abstractNum>
  <w:abstractNum w:abstractNumId="132">
    <w:nsid w:val="556B69ED"/>
    <w:multiLevelType w:val="hybridMultilevel"/>
    <w:lvl w:ilvl="0">
      <w:lvlJc w:val="left"/>
      <w:lvlText w:val="•"/>
      <w:numFmt w:val="bullet"/>
      <w:start w:val="1"/>
    </w:lvl>
  </w:abstractNum>
  <w:abstractNum w:abstractNumId="133">
    <w:nsid w:val="70836196"/>
    <w:multiLevelType w:val="hybridMultilevel"/>
    <w:lvl w:ilvl="0">
      <w:lvlJc w:val="left"/>
      <w:lvlText w:val="•"/>
      <w:numFmt w:val="bullet"/>
      <w:start w:val="1"/>
    </w:lvl>
  </w:abstractNum>
  <w:abstractNum w:abstractNumId="134">
    <w:nsid w:val="539F7F12"/>
    <w:multiLevelType w:val="hybridMultilevel"/>
    <w:lvl w:ilvl="0">
      <w:lvlJc w:val="left"/>
      <w:lvlText w:val="◦"/>
      <w:numFmt w:val="bullet"/>
      <w:start w:val="1"/>
    </w:lvl>
  </w:abstractNum>
  <w:abstractNum w:abstractNumId="135">
    <w:nsid w:val="2817E7EC"/>
    <w:multiLevelType w:val="hybridMultilevel"/>
    <w:lvl w:ilvl="0">
      <w:lvlJc w:val="left"/>
      <w:lvlText w:val="•"/>
      <w:numFmt w:val="bullet"/>
      <w:start w:val="1"/>
    </w:lvl>
  </w:abstractNum>
  <w:abstractNum w:abstractNumId="136">
    <w:nsid w:val="71482545"/>
    <w:multiLevelType w:val="hybridMultilevel"/>
    <w:lvl w:ilvl="0">
      <w:lvlJc w:val="left"/>
      <w:lvlText w:val="1"/>
      <w:numFmt w:val="bullet"/>
      <w:start w:val="1"/>
    </w:lvl>
  </w:abstractNum>
  <w:abstractNum w:abstractNumId="137">
    <w:nsid w:val="17D78639"/>
    <w:multiLevelType w:val="hybridMultilevel"/>
    <w:lvl w:ilvl="0">
      <w:lvlJc w:val="left"/>
      <w:lvlText w:val="1"/>
      <w:numFmt w:val="bullet"/>
      <w:start w:val="1"/>
    </w:lvl>
  </w:abstractNum>
  <w:abstractNum w:abstractNumId="138">
    <w:nsid w:val="141D2302"/>
    <w:multiLevelType w:val="hybridMultilevel"/>
    <w:lvl w:ilvl="0">
      <w:lvlJc w:val="left"/>
      <w:lvlText w:val="•"/>
      <w:numFmt w:val="bullet"/>
      <w:start w:val="1"/>
    </w:lvl>
  </w:abstractNum>
  <w:abstractNum w:abstractNumId="139">
    <w:nsid w:val="407168D8"/>
    <w:multiLevelType w:val="hybridMultilevel"/>
    <w:lvl w:ilvl="0">
      <w:lvlJc w:val="left"/>
      <w:lvlText w:val="1"/>
      <w:numFmt w:val="bullet"/>
      <w:start w:val="1"/>
    </w:lvl>
  </w:abstractNum>
  <w:abstractNum w:abstractNumId="140">
    <w:nsid w:val="6A1B45E5"/>
    <w:multiLevelType w:val="hybridMultilevel"/>
    <w:lvl w:ilvl="0">
      <w:lvlJc w:val="left"/>
      <w:lvlText w:val="1"/>
      <w:numFmt w:val="bullet"/>
      <w:start w:val="1"/>
    </w:lvl>
  </w:abstractNum>
  <w:abstractNum w:abstractNumId="141">
    <w:nsid w:val="567BD50A"/>
    <w:multiLevelType w:val="hybridMultilevel"/>
    <w:lvl w:ilvl="0">
      <w:lvlJc w:val="left"/>
      <w:lvlText w:val="2"/>
      <w:numFmt w:val="bullet"/>
      <w:start w:val="1"/>
    </w:lvl>
  </w:abstractNum>
  <w:abstractNum w:abstractNumId="142">
    <w:nsid w:val="73BBD7F8"/>
    <w:multiLevelType w:val="hybridMultilevel"/>
    <w:lvl w:ilvl="0">
      <w:lvlJc w:val="left"/>
      <w:lvlText w:val="•"/>
      <w:numFmt w:val="bullet"/>
      <w:start w:val="1"/>
    </w:lvl>
  </w:abstractNum>
  <w:abstractNum w:abstractNumId="143">
    <w:nsid w:val="1876589D"/>
    <w:multiLevelType w:val="hybridMultilevel"/>
    <w:lvl w:ilvl="0">
      <w:lvlJc w:val="left"/>
      <w:lvlText w:val="•"/>
      <w:numFmt w:val="bullet"/>
      <w:start w:val="1"/>
    </w:lvl>
  </w:abstractNum>
  <w:abstractNum w:abstractNumId="144">
    <w:nsid w:val="327FAC77"/>
    <w:multiLevelType w:val="hybridMultilevel"/>
    <w:lvl w:ilvl="0">
      <w:lvlJc w:val="left"/>
      <w:lvlText w:val="•"/>
      <w:numFmt w:val="bullet"/>
      <w:start w:val="1"/>
    </w:lvl>
  </w:abstractNum>
  <w:abstractNum w:abstractNumId="145">
    <w:nsid w:val="5A606509"/>
    <w:multiLevelType w:val="hybridMultilevel"/>
    <w:lvl w:ilvl="0">
      <w:lvlJc w:val="left"/>
      <w:lvlText w:val="1"/>
      <w:numFmt w:val="bullet"/>
      <w:start w:val="1"/>
    </w:lvl>
  </w:abstractNum>
  <w:abstractNum w:abstractNumId="146">
    <w:nsid w:val="6F38E6D1"/>
    <w:multiLevelType w:val="hybridMultilevel"/>
    <w:lvl w:ilvl="0">
      <w:lvlJc w:val="left"/>
      <w:lvlText w:val="2"/>
      <w:numFmt w:val="bullet"/>
      <w:start w:val="1"/>
    </w:lvl>
  </w:abstractNum>
  <w:abstractNum w:abstractNumId="147">
    <w:nsid w:val="46111BA5"/>
    <w:multiLevelType w:val="hybridMultilevel"/>
    <w:lvl w:ilvl="0">
      <w:lvlJc w:val="left"/>
      <w:lvlText w:val="•"/>
      <w:numFmt w:val="bullet"/>
      <w:start w:val="1"/>
    </w:lvl>
    <w:lvl w:ilvl="1">
      <w:lvlJc w:val="left"/>
      <w:lvlText w:val="•"/>
      <w:numFmt w:val="bullet"/>
      <w:start w:val="1"/>
    </w:lvl>
  </w:abstractNum>
  <w:abstractNum w:abstractNumId="148">
    <w:nsid w:val="5E963896"/>
    <w:multiLevelType w:val="hybridMultilevel"/>
    <w:lvl w:ilvl="0">
      <w:lvlJc w:val="left"/>
      <w:lvlText w:val="•"/>
      <w:numFmt w:val="bullet"/>
      <w:start w:val="1"/>
    </w:lvl>
  </w:abstractNum>
  <w:abstractNum w:abstractNumId="149">
    <w:nsid w:val="775BA7C1"/>
    <w:multiLevelType w:val="hybridMultilevel"/>
    <w:lvl w:ilvl="0">
      <w:lvlJc w:val="left"/>
      <w:lvlText w:val="•"/>
      <w:numFmt w:val="bullet"/>
      <w:start w:val="1"/>
    </w:lvl>
  </w:abstractNum>
  <w:abstractNum w:abstractNumId="150">
    <w:nsid w:val="1DD6D6F4"/>
    <w:multiLevelType w:val="hybridMultilevel"/>
    <w:lvl w:ilvl="0">
      <w:lvlJc w:val="left"/>
      <w:lvlText w:val="•"/>
      <w:numFmt w:val="bullet"/>
      <w:start w:val="1"/>
    </w:lvl>
  </w:abstractNum>
  <w:abstractNum w:abstractNumId="151">
    <w:nsid w:val="769A091F"/>
    <w:multiLevelType w:val="hybridMultilevel"/>
    <w:lvl w:ilvl="0">
      <w:lvlJc w:val="left"/>
      <w:lvlText w:val="1"/>
      <w:numFmt w:val="bullet"/>
      <w:start w:val="1"/>
    </w:lvl>
  </w:abstractNum>
  <w:abstractNum w:abstractNumId="152">
    <w:nsid w:val="4695AE95"/>
    <w:multiLevelType w:val="hybridMultilevel"/>
    <w:lvl w:ilvl="0">
      <w:lvlJc w:val="left"/>
      <w:lvlText w:val="%1."/>
      <w:numFmt w:val="upperLetter"/>
      <w:start w:val="9"/>
    </w:lvl>
  </w:abstractNum>
  <w:abstractNum w:abstractNumId="153">
    <w:nsid w:val="777A4EAA"/>
    <w:multiLevelType w:val="hybridMultilevel"/>
    <w:lvl w:ilvl="0">
      <w:lvlJc w:val="left"/>
      <w:lvlText w:val="%1."/>
      <w:numFmt w:val="upperLetter"/>
      <w:start w:val="61"/>
    </w:lvl>
  </w:abstractNum>
  <w:abstractNum w:abstractNumId="154">
    <w:nsid w:val="3F48B982"/>
    <w:multiLevelType w:val="hybridMultilevel"/>
    <w:lvl w:ilvl="0">
      <w:lvlJc w:val="left"/>
      <w:lvlText w:val="\}"/>
      <w:numFmt w:val="bullet"/>
      <w:start w:val="1"/>
    </w:lvl>
    <w:lvl w:ilvl="1">
      <w:lvlJc w:val="left"/>
      <w:lvlText w:val="1"/>
      <w:numFmt w:val="bullet"/>
      <w:start w:val="1"/>
    </w:lvl>
  </w:abstractNum>
  <w:abstractNum w:abstractNumId="155">
    <w:nsid w:val="46BA8FCA"/>
    <w:multiLevelType w:val="hybridMultilevel"/>
    <w:lvl w:ilvl="0">
      <w:lvlJc w:val="left"/>
      <w:lvlText w:val="\}"/>
      <w:numFmt w:val="bullet"/>
      <w:start w:val="1"/>
    </w:lvl>
    <w:lvl w:ilvl="1">
      <w:lvlJc w:val="left"/>
      <w:lvlText w:val="2"/>
      <w:numFmt w:val="bullet"/>
      <w:start w:val="1"/>
    </w:lvl>
  </w:abstractNum>
  <w:abstractNum w:abstractNumId="156">
    <w:nsid w:val="7835626C"/>
    <w:multiLevelType w:val="hybridMultilevel"/>
    <w:lvl w:ilvl="0">
      <w:lvlJc w:val="left"/>
      <w:lvlText w:val="\}"/>
      <w:numFmt w:val="bullet"/>
      <w:start w:val="1"/>
    </w:lvl>
  </w:abstractNum>
  <w:abstractNum w:abstractNumId="157">
    <w:nsid w:val="665ACA49"/>
    <w:multiLevelType w:val="hybridMultilevel"/>
    <w:lvl w:ilvl="0">
      <w:lvlJc w:val="left"/>
      <w:lvlText w:val="3"/>
      <w:numFmt w:val="bullet"/>
      <w:start w:val="1"/>
    </w:lvl>
  </w:abstractNum>
  <w:abstractNum w:abstractNumId="158">
    <w:nsid w:val="6835B2AE"/>
    <w:multiLevelType w:val="hybridMultilevel"/>
    <w:lvl w:ilvl="0">
      <w:lvlJc w:val="left"/>
      <w:lvlText w:val="1"/>
      <w:numFmt w:val="bullet"/>
      <w:start w:val="1"/>
    </w:lvl>
  </w:abstractNum>
  <w:abstractNum w:abstractNumId="159">
    <w:nsid w:val="4C187C90"/>
    <w:multiLevelType w:val="hybridMultilevel"/>
    <w:lvl w:ilvl="0">
      <w:lvlJc w:val="left"/>
      <w:lvlText w:val="2"/>
      <w:numFmt w:val="bullet"/>
      <w:start w:val="1"/>
    </w:lvl>
  </w:abstractNum>
  <w:abstractNum w:abstractNumId="160">
    <w:nsid w:val="541F28CD"/>
    <w:multiLevelType w:val="hybridMultilevel"/>
    <w:lvl w:ilvl="0">
      <w:lvlJc w:val="left"/>
      <w:lvlText w:val="•"/>
      <w:numFmt w:val="bullet"/>
      <w:start w:val="1"/>
    </w:lvl>
  </w:abstractNum>
  <w:abstractNum w:abstractNumId="161">
    <w:nsid w:val="7F65FD16"/>
    <w:multiLevelType w:val="hybridMultilevel"/>
    <w:lvl w:ilvl="0">
      <w:lvlJc w:val="left"/>
      <w:lvlText w:val="•"/>
      <w:numFmt w:val="bullet"/>
      <w:start w:val="1"/>
    </w:lvl>
  </w:abstractNum>
  <w:abstractNum w:abstractNumId="162">
    <w:nsid w:val="77C9FD68"/>
    <w:multiLevelType w:val="hybridMultilevel"/>
    <w:lvl w:ilvl="0">
      <w:lvlJc w:val="left"/>
      <w:lvlText w:val="1"/>
      <w:numFmt w:val="bullet"/>
      <w:start w:val="1"/>
    </w:lvl>
  </w:abstractNum>
  <w:abstractNum w:abstractNumId="163">
    <w:nsid w:val="298A92BA"/>
    <w:multiLevelType w:val="hybridMultilevel"/>
    <w:lvl w:ilvl="0">
      <w:lvlJc w:val="left"/>
      <w:lvlText w:val="2"/>
      <w:numFmt w:val="bullet"/>
      <w:start w:val="1"/>
    </w:lvl>
  </w:abstractNum>
  <w:abstractNum w:abstractNumId="164">
    <w:nsid w:val="6FE95EAC"/>
    <w:multiLevelType w:val="hybridMultilevel"/>
    <w:lvl w:ilvl="0">
      <w:lvlJc w:val="left"/>
      <w:lvlText w:val="3"/>
      <w:numFmt w:val="bullet"/>
      <w:start w:val="1"/>
    </w:lvl>
  </w:abstractNum>
  <w:abstractNum w:abstractNumId="165">
    <w:nsid w:val="4B697C7A"/>
    <w:multiLevelType w:val="hybridMultilevel"/>
    <w:lvl w:ilvl="0">
      <w:lvlJc w:val="left"/>
      <w:lvlText w:val="4"/>
      <w:numFmt w:val="bullet"/>
      <w:start w:val="1"/>
    </w:lvl>
  </w:abstractNum>
  <w:abstractNum w:abstractNumId="166">
    <w:nsid w:val="51A27AA6"/>
    <w:multiLevelType w:val="hybridMultilevel"/>
    <w:lvl w:ilvl="0">
      <w:lvlJc w:val="left"/>
      <w:lvlText w:val="5"/>
      <w:numFmt w:val="bullet"/>
      <w:start w:val="1"/>
    </w:lvl>
  </w:abstractNum>
  <w:abstractNum w:abstractNumId="167">
    <w:nsid w:val="613183F2"/>
    <w:multiLevelType w:val="hybridMultilevel"/>
    <w:lvl w:ilvl="0">
      <w:lvlJc w:val="left"/>
      <w:lvlText w:val="6"/>
      <w:numFmt w:val="bullet"/>
      <w:start w:val="1"/>
    </w:lvl>
  </w:abstractNum>
  <w:abstractNum w:abstractNumId="168">
    <w:nsid w:val="634102B4"/>
    <w:multiLevelType w:val="hybridMultilevel"/>
    <w:lvl w:ilvl="0">
      <w:lvlJc w:val="left"/>
      <w:lvlText w:val="7"/>
      <w:numFmt w:val="bullet"/>
      <w:start w:val="1"/>
    </w:lvl>
  </w:abstractNum>
  <w:abstractNum w:abstractNumId="169">
    <w:nsid w:val="65BF9DA8"/>
    <w:multiLevelType w:val="hybridMultilevel"/>
    <w:lvl w:ilvl="0">
      <w:lvlJc w:val="left"/>
      <w:lvlText w:val="8"/>
      <w:numFmt w:val="bullet"/>
      <w:start w:val="1"/>
    </w:lvl>
  </w:abstractNum>
  <w:abstractNum w:abstractNumId="170">
    <w:nsid w:val="21A2ECCA"/>
    <w:multiLevelType w:val="hybridMultilevel"/>
    <w:lvl w:ilvl="0">
      <w:lvlJc w:val="left"/>
      <w:lvlText w:val="•"/>
      <w:numFmt w:val="bullet"/>
      <w:start w:val="1"/>
    </w:lvl>
    <w:lvl w:ilvl="1">
      <w:lvlJc w:val="left"/>
      <w:lvlText w:val="◦"/>
      <w:numFmt w:val="bullet"/>
      <w:start w:val="1"/>
    </w:lvl>
  </w:abstractNum>
  <w:abstractNum w:abstractNumId="171">
    <w:nsid w:val="4D5C4899"/>
    <w:multiLevelType w:val="hybridMultilevel"/>
    <w:lvl w:ilvl="0">
      <w:lvlJc w:val="left"/>
      <w:lvlText w:val="•"/>
      <w:numFmt w:val="bullet"/>
      <w:start w:val="1"/>
    </w:lvl>
  </w:abstractNum>
  <w:abstractNum w:abstractNumId="172">
    <w:nsid w:val="3C3B72B2"/>
    <w:multiLevelType w:val="hybridMultilevel"/>
    <w:lvl w:ilvl="0">
      <w:lvlJc w:val="left"/>
      <w:lvlText w:val="1"/>
      <w:numFmt w:val="bullet"/>
      <w:start w:val="1"/>
    </w:lvl>
  </w:abstractNum>
  <w:abstractNum w:abstractNumId="173">
    <w:nsid w:val="155EC4C2"/>
    <w:multiLevelType w:val="hybridMultilevel"/>
    <w:lvl w:ilvl="0">
      <w:lvlJc w:val="left"/>
      <w:lvlText w:val="2"/>
      <w:numFmt w:val="bullet"/>
      <w:start w:val="1"/>
    </w:lvl>
  </w:abstractNum>
  <w:abstractNum w:abstractNumId="174">
    <w:nsid w:val="65D2A137"/>
    <w:multiLevelType w:val="hybridMultilevel"/>
    <w:lvl w:ilvl="0">
      <w:lvlJc w:val="left"/>
      <w:lvlText w:val="3"/>
      <w:numFmt w:val="bullet"/>
      <w:start w:val="1"/>
    </w:lvl>
  </w:abstractNum>
  <w:abstractNum w:abstractNumId="175">
    <w:nsid w:val="6EBB1F2A"/>
    <w:multiLevelType w:val="hybridMultilevel"/>
    <w:lvl w:ilvl="0">
      <w:lvlJc w:val="left"/>
      <w:lvlText w:val="4"/>
      <w:numFmt w:val="bullet"/>
      <w:start w:val="1"/>
    </w:lvl>
  </w:abstractNum>
  <w:abstractNum w:abstractNumId="176">
    <w:nsid w:val="6FBF29CB"/>
    <w:multiLevelType w:val="hybridMultilevel"/>
    <w:lvl w:ilvl="0">
      <w:lvlJc w:val="left"/>
      <w:lvlText w:val="5"/>
      <w:numFmt w:val="bullet"/>
      <w:start w:val="1"/>
    </w:lvl>
  </w:abstractNum>
  <w:abstractNum w:abstractNumId="177">
    <w:nsid w:val="550B8808"/>
    <w:multiLevelType w:val="hybridMultilevel"/>
    <w:lvl w:ilvl="0">
      <w:lvlJc w:val="left"/>
      <w:lvlText w:val="6"/>
      <w:numFmt w:val="bullet"/>
      <w:start w:val="1"/>
    </w:lvl>
  </w:abstractNum>
  <w:abstractNum w:abstractNumId="178">
    <w:nsid w:val="34CC3ACF"/>
    <w:multiLevelType w:val="hybridMultilevel"/>
    <w:lvl w:ilvl="0">
      <w:lvlJc w:val="left"/>
      <w:lvlText w:val="%1."/>
      <w:numFmt w:val="decimal"/>
      <w:start w:val="1"/>
    </w:lvl>
  </w:abstractNum>
  <w:abstractNum w:abstractNumId="179">
    <w:nsid w:val="4E556261"/>
    <w:multiLevelType w:val="hybridMultilevel"/>
    <w:lvl w:ilvl="0">
      <w:lvlJc w:val="left"/>
      <w:lvlText w:val="•"/>
      <w:numFmt w:val="bullet"/>
      <w:start w:val="1"/>
    </w:lvl>
  </w:abstractNum>
  <w:abstractNum w:abstractNumId="180">
    <w:nsid w:val="4C672FC9"/>
    <w:multiLevelType w:val="hybridMultilevel"/>
    <w:lvl w:ilvl="0">
      <w:lvlJc w:val="left"/>
      <w:lvlText w:val="•"/>
      <w:numFmt w:val="bullet"/>
      <w:start w:val="1"/>
    </w:lvl>
  </w:abstractNum>
  <w:abstractNum w:abstractNumId="181">
    <w:nsid w:val="52A311C3"/>
    <w:multiLevelType w:val="hybridMultilevel"/>
    <w:lvl w:ilvl="0">
      <w:lvlJc w:val="left"/>
      <w:lvlText w:val="•"/>
      <w:numFmt w:val="bullet"/>
      <w:start w:val="1"/>
    </w:lvl>
  </w:abstractNum>
  <w:abstractNum w:abstractNumId="182">
    <w:nsid w:val="44EF6B80"/>
    <w:multiLevelType w:val="hybridMultilevel"/>
    <w:lvl w:ilvl="0">
      <w:lvlJc w:val="left"/>
      <w:lvlText w:val="•"/>
      <w:numFmt w:val="bullet"/>
      <w:start w:val="1"/>
    </w:lvl>
    <w:lvl w:ilvl="1">
      <w:lvlJc w:val="left"/>
      <w:lvlText w:val="◦"/>
      <w:numFmt w:val="bullet"/>
      <w:start w:val="1"/>
    </w:lvl>
  </w:abstractNum>
  <w:abstractNum w:abstractNumId="183">
    <w:nsid w:val="12FCDE5E"/>
    <w:multiLevelType w:val="hybridMultilevel"/>
    <w:lvl w:ilvl="0">
      <w:lvlJc w:val="left"/>
      <w:lvlText w:val="•"/>
      <w:numFmt w:val="bullet"/>
      <w:start w:val="1"/>
    </w:lvl>
  </w:abstractNum>
  <w:abstractNum w:abstractNumId="184">
    <w:nsid w:val="4A1D606E"/>
    <w:multiLevelType w:val="hybridMultilevel"/>
    <w:lvl w:ilvl="0">
      <w:lvlJc w:val="left"/>
      <w:lvlText w:val="•"/>
      <w:numFmt w:val="bullet"/>
      <w:start w:val="1"/>
    </w:lvl>
  </w:abstractNum>
  <w:abstractNum w:abstractNumId="185">
    <w:nsid w:val="4382503"/>
    <w:multiLevelType w:val="hybridMultilevel"/>
    <w:lvl w:ilvl="0">
      <w:lvlJc w:val="left"/>
      <w:lvlText w:val="1"/>
      <w:numFmt w:val="bullet"/>
      <w:start w:val="1"/>
    </w:lvl>
  </w:abstractNum>
  <w:abstractNum w:abstractNumId="186">
    <w:nsid w:val="59B76E28"/>
    <w:multiLevelType w:val="hybridMultilevel"/>
    <w:lvl w:ilvl="0">
      <w:lvlJc w:val="left"/>
      <w:lvlText w:val="2"/>
      <w:numFmt w:val="bullet"/>
      <w:start w:val="1"/>
    </w:lvl>
  </w:abstractNum>
  <w:abstractNum w:abstractNumId="187">
    <w:nsid w:val="4252C2DA"/>
    <w:multiLevelType w:val="hybridMultilevel"/>
    <w:lvl w:ilvl="0">
      <w:lvlJc w:val="left"/>
      <w:lvlText w:val="•"/>
      <w:numFmt w:val="bullet"/>
      <w:start w:val="1"/>
    </w:lvl>
  </w:abstractNum>
  <w:abstractNum w:abstractNumId="188">
    <w:nsid w:val="6A92EF4C"/>
    <w:multiLevelType w:val="hybridMultilevel"/>
    <w:lvl w:ilvl="0">
      <w:lvlJc w:val="left"/>
      <w:lvlText w:val="•"/>
      <w:numFmt w:val="bullet"/>
      <w:start w:val="1"/>
    </w:lvl>
  </w:abstractNum>
  <w:abstractNum w:abstractNumId="189">
    <w:nsid w:val="41ED20D7"/>
    <w:multiLevelType w:val="hybridMultilevel"/>
    <w:lvl w:ilvl="0">
      <w:lvlJc w:val="left"/>
      <w:lvlText w:val="•"/>
      <w:numFmt w:val="bullet"/>
      <w:start w:val="1"/>
    </w:lvl>
  </w:abstractNum>
  <w:abstractNum w:abstractNumId="190">
    <w:nsid w:val="E6B3F6A"/>
    <w:multiLevelType w:val="hybridMultilevel"/>
    <w:lvl w:ilvl="0">
      <w:lvlJc w:val="left"/>
      <w:lvlText w:val="•"/>
      <w:numFmt w:val="bullet"/>
      <w:start w:val="1"/>
    </w:lvl>
  </w:abstractNum>
  <w:abstractNum w:abstractNumId="191">
    <w:nsid w:val="3EB21819"/>
    <w:multiLevelType w:val="hybridMultilevel"/>
    <w:lvl w:ilvl="0">
      <w:lvlJc w:val="left"/>
      <w:lvlText w:val="•"/>
      <w:numFmt w:val="bullet"/>
      <w:start w:val="1"/>
    </w:lvl>
  </w:abstractNum>
  <w:abstractNum w:abstractNumId="192">
    <w:nsid w:val="41531DED"/>
    <w:multiLevelType w:val="hybridMultilevel"/>
    <w:lvl w:ilvl="0">
      <w:lvlJc w:val="left"/>
      <w:lvlText w:val="1"/>
      <w:numFmt w:val="bullet"/>
      <w:start w:val="1"/>
    </w:lvl>
  </w:abstractNum>
  <w:abstractNum w:abstractNumId="193">
    <w:nsid w:val="6353CD2"/>
    <w:multiLevelType w:val="hybridMultilevel"/>
    <w:lvl w:ilvl="0">
      <w:lvlJc w:val="left"/>
      <w:lvlText w:val="2"/>
      <w:numFmt w:val="bullet"/>
      <w:start w:val="1"/>
    </w:lvl>
  </w:abstractNum>
  <w:abstractNum w:abstractNumId="194">
    <w:nsid w:val="683CAAD3"/>
    <w:multiLevelType w:val="hybridMultilevel"/>
    <w:lvl w:ilvl="0">
      <w:lvlJc w:val="left"/>
      <w:lvlText w:val="3"/>
      <w:numFmt w:val="bullet"/>
      <w:start w:val="1"/>
    </w:lvl>
  </w:abstractNum>
  <w:abstractNum w:abstractNumId="195">
    <w:nsid w:val="313C7C99"/>
    <w:multiLevelType w:val="hybridMultilevel"/>
    <w:lvl w:ilvl="0">
      <w:lvlJc w:val="left"/>
      <w:lvlText w:val="4"/>
      <w:numFmt w:val="bullet"/>
      <w:start w:val="1"/>
    </w:lvl>
  </w:abstractNum>
  <w:abstractNum w:abstractNumId="196">
    <w:nsid w:val="519EB94C"/>
    <w:multiLevelType w:val="hybridMultilevel"/>
    <w:lvl w:ilvl="0">
      <w:lvlJc w:val="left"/>
      <w:lvlText w:val="•"/>
      <w:numFmt w:val="bullet"/>
      <w:start w:val="1"/>
    </w:lvl>
  </w:abstractNum>
  <w:abstractNum w:abstractNumId="197">
    <w:nsid w:val="39DF2579"/>
    <w:multiLevelType w:val="hybridMultilevel"/>
    <w:lvl w:ilvl="0">
      <w:lvlJc w:val="left"/>
      <w:lvlText w:val="•"/>
      <w:numFmt w:val="bullet"/>
      <w:start w:val="1"/>
    </w:lvl>
  </w:abstractNum>
  <w:abstractNum w:abstractNumId="198">
    <w:nsid w:val="126E008B"/>
    <w:multiLevelType w:val="hybridMultilevel"/>
    <w:lvl w:ilvl="0">
      <w:lvlJc w:val="left"/>
      <w:lvlText w:val="•"/>
      <w:numFmt w:val="bullet"/>
      <w:start w:val="1"/>
    </w:lvl>
  </w:abstractNum>
  <w:abstractNum w:abstractNumId="199">
    <w:nsid w:val="34DFBC00"/>
    <w:multiLevelType w:val="hybridMultilevel"/>
    <w:lvl w:ilvl="0">
      <w:lvlJc w:val="left"/>
      <w:lvlText w:val="•"/>
      <w:numFmt w:val="bullet"/>
      <w:start w:val="1"/>
    </w:lvl>
  </w:abstractNum>
  <w:abstractNum w:abstractNumId="200">
    <w:nsid w:val="1F9EC322"/>
    <w:multiLevelType w:val="hybridMultilevel"/>
    <w:lvl w:ilvl="0">
      <w:lvlJc w:val="left"/>
      <w:lvlText w:val="•"/>
      <w:numFmt w:val="bullet"/>
      <w:start w:val="1"/>
    </w:lvl>
  </w:abstractNum>
  <w:abstractNum w:abstractNumId="201">
    <w:nsid w:val="3410ED56"/>
    <w:multiLevelType w:val="hybridMultilevel"/>
    <w:lvl w:ilvl="0">
      <w:lvlJc w:val="left"/>
      <w:lvlText w:val="1"/>
      <w:numFmt w:val="bullet"/>
      <w:start w:val="1"/>
    </w:lvl>
  </w:abstractNum>
  <w:abstractNum w:abstractNumId="202">
    <w:nsid w:val="23C049A"/>
    <w:multiLevelType w:val="hybridMultilevel"/>
    <w:lvl w:ilvl="0">
      <w:lvlJc w:val="left"/>
      <w:lvlText w:val="2"/>
      <w:numFmt w:val="bullet"/>
      <w:start w:val="1"/>
    </w:lvl>
  </w:abstractNum>
  <w:abstractNum w:abstractNumId="203">
    <w:nsid w:val="5BDA35D4"/>
    <w:multiLevelType w:val="hybridMultilevel"/>
    <w:lvl w:ilvl="0">
      <w:lvlJc w:val="left"/>
      <w:lvlText w:val="•"/>
      <w:numFmt w:val="bullet"/>
      <w:start w:val="1"/>
    </w:lvl>
  </w:abstractNum>
  <w:abstractNum w:abstractNumId="204">
    <w:nsid w:val="496FB218"/>
    <w:multiLevelType w:val="hybridMultilevel"/>
    <w:lvl w:ilvl="0">
      <w:lvlJc w:val="left"/>
      <w:lvlText w:val="•"/>
      <w:numFmt w:val="bullet"/>
      <w:start w:val="1"/>
    </w:lvl>
  </w:abstractNum>
  <w:abstractNum w:abstractNumId="205">
    <w:nsid w:val="680EA5D1"/>
    <w:multiLevelType w:val="hybridMultilevel"/>
    <w:lvl w:ilvl="0">
      <w:lvlJc w:val="left"/>
      <w:lvlText w:val="•"/>
      <w:numFmt w:val="bullet"/>
      <w:start w:val="1"/>
    </w:lvl>
  </w:abstractNum>
  <w:abstractNum w:abstractNumId="206">
    <w:nsid w:val="4A9554FE"/>
    <w:multiLevelType w:val="hybridMultilevel"/>
    <w:lvl w:ilvl="0">
      <w:lvlJc w:val="left"/>
      <w:lvlText w:val="•"/>
      <w:numFmt w:val="bullet"/>
      <w:start w:val="1"/>
    </w:lvl>
  </w:abstractNum>
  <w:abstractNum w:abstractNumId="207">
    <w:nsid w:val="392EDBE4"/>
    <w:multiLevelType w:val="hybridMultilevel"/>
    <w:lvl w:ilvl="0">
      <w:lvlJc w:val="left"/>
      <w:lvlText w:val="•"/>
      <w:numFmt w:val="bullet"/>
      <w:start w:val="1"/>
    </w:lvl>
  </w:abstractNum>
  <w:abstractNum w:abstractNumId="208">
    <w:nsid w:val="3D1A2DD9"/>
    <w:multiLevelType w:val="hybridMultilevel"/>
    <w:lvl w:ilvl="0">
      <w:lvlJc w:val="left"/>
      <w:lvlText w:val="1"/>
      <w:numFmt w:val="bullet"/>
      <w:start w:val="1"/>
    </w:lvl>
  </w:abstractNum>
  <w:abstractNum w:abstractNumId="209">
    <w:nsid w:val="7F618FCD"/>
    <w:multiLevelType w:val="hybridMultilevel"/>
    <w:lvl w:ilvl="0">
      <w:lvlJc w:val="left"/>
      <w:lvlText w:val="2"/>
      <w:numFmt w:val="bullet"/>
      <w:start w:val="1"/>
    </w:lvl>
  </w:abstractNum>
  <w:abstractNum w:abstractNumId="210">
    <w:nsid w:val="7843E45"/>
    <w:multiLevelType w:val="hybridMultilevel"/>
    <w:lvl w:ilvl="0">
      <w:lvlJc w:val="left"/>
      <w:lvlText w:val="3"/>
      <w:numFmt w:val="bullet"/>
      <w:start w:val="1"/>
    </w:lvl>
  </w:abstractNum>
  <w:abstractNum w:abstractNumId="211">
    <w:nsid w:val="9815DA3"/>
    <w:multiLevelType w:val="hybridMultilevel"/>
    <w:lvl w:ilvl="0">
      <w:lvlJc w:val="left"/>
      <w:lvlText w:val="4"/>
      <w:numFmt w:val="bullet"/>
      <w:start w:val="1"/>
    </w:lvl>
  </w:abstractNum>
  <w:abstractNum w:abstractNumId="212">
    <w:nsid w:val="5204A191"/>
    <w:multiLevelType w:val="hybridMultilevel"/>
    <w:lvl w:ilvl="0">
      <w:lvlJc w:val="left"/>
      <w:lvlText w:val="•"/>
      <w:numFmt w:val="bullet"/>
      <w:start w:val="1"/>
    </w:lvl>
  </w:abstractNum>
  <w:abstractNum w:abstractNumId="213">
    <w:nsid w:val="4C73A9C6"/>
    <w:multiLevelType w:val="hybridMultilevel"/>
    <w:lvl w:ilvl="0">
      <w:lvlJc w:val="left"/>
      <w:lvlText w:val="•"/>
      <w:numFmt w:val="bullet"/>
      <w:start w:val="1"/>
    </w:lvl>
  </w:abstractNum>
  <w:abstractNum w:abstractNumId="214">
    <w:nsid w:val="1C7E3C01"/>
    <w:multiLevelType w:val="hybridMultilevel"/>
    <w:lvl w:ilvl="0">
      <w:lvlJc w:val="left"/>
      <w:lvlText w:val="•"/>
      <w:numFmt w:val="bullet"/>
      <w:start w:val="1"/>
    </w:lvl>
  </w:abstractNum>
  <w:abstractNum w:abstractNumId="215">
    <w:nsid w:val="1C2201FF"/>
    <w:multiLevelType w:val="hybridMultilevel"/>
    <w:lvl w:ilvl="0">
      <w:lvlJc w:val="left"/>
      <w:lvlText w:val="•"/>
      <w:numFmt w:val="bullet"/>
      <w:start w:val="1"/>
    </w:lvl>
  </w:abstractNum>
  <w:abstractNum w:abstractNumId="216">
    <w:nsid w:val="50ABCEC9"/>
    <w:multiLevelType w:val="hybridMultilevel"/>
    <w:lvl w:ilvl="0">
      <w:lvlJc w:val="left"/>
      <w:lvlText w:val="•"/>
      <w:numFmt w:val="bullet"/>
      <w:start w:val="1"/>
    </w:lvl>
  </w:abstractNum>
  <w:abstractNum w:abstractNumId="217">
    <w:nsid w:val="7635AA2A"/>
    <w:multiLevelType w:val="hybridMultilevel"/>
    <w:lvl w:ilvl="0">
      <w:lvlJc w:val="left"/>
      <w:lvlText w:val="1"/>
      <w:numFmt w:val="bullet"/>
      <w:start w:val="1"/>
    </w:lvl>
  </w:abstractNum>
  <w:abstractNum w:abstractNumId="218">
    <w:nsid w:val="5E74C4D9"/>
    <w:multiLevelType w:val="hybridMultilevel"/>
    <w:lvl w:ilvl="0">
      <w:lvlJc w:val="left"/>
      <w:lvlText w:val="2"/>
      <w:numFmt w:val="bullet"/>
      <w:start w:val="1"/>
    </w:lvl>
  </w:abstractNum>
  <w:abstractNum w:abstractNumId="219">
    <w:nsid w:val="3B3EBE15"/>
    <w:multiLevelType w:val="hybridMultilevel"/>
    <w:lvl w:ilvl="0">
      <w:lvlJc w:val="left"/>
      <w:lvlText w:val="3"/>
      <w:numFmt w:val="bullet"/>
      <w:start w:val="1"/>
    </w:lvl>
  </w:abstractNum>
  <w:abstractNum w:abstractNumId="220">
    <w:nsid w:val="3822CB01"/>
    <w:multiLevelType w:val="hybridMultilevel"/>
    <w:lvl w:ilvl="0">
      <w:lvlJc w:val="left"/>
      <w:lvlText w:val="4"/>
      <w:numFmt w:val="bullet"/>
      <w:start w:val="1"/>
    </w:lvl>
  </w:abstractNum>
  <w:abstractNum w:abstractNumId="221">
    <w:nsid w:val="6CE00443"/>
    <w:multiLevelType w:val="hybridMultilevel"/>
    <w:lvl w:ilvl="0">
      <w:lvlJc w:val="left"/>
      <w:lvlText w:val="•"/>
      <w:numFmt w:val="bullet"/>
      <w:start w:val="1"/>
    </w:lvl>
  </w:abstractNum>
  <w:abstractNum w:abstractNumId="222">
    <w:nsid w:val="79F0D62F"/>
    <w:multiLevelType w:val="hybridMultilevel"/>
    <w:lvl w:ilvl="0">
      <w:lvlJc w:val="left"/>
      <w:lvlText w:val="•"/>
      <w:numFmt w:val="bullet"/>
      <w:start w:val="1"/>
    </w:lvl>
  </w:abstractNum>
  <w:abstractNum w:abstractNumId="223">
    <w:nsid w:val="7975E8EE"/>
    <w:multiLevelType w:val="hybridMultilevel"/>
    <w:lvl w:ilvl="0">
      <w:lvlJc w:val="left"/>
      <w:lvlText w:val="•"/>
      <w:numFmt w:val="bullet"/>
      <w:start w:val="1"/>
    </w:lvl>
  </w:abstractNum>
  <w:abstractNum w:abstractNumId="224">
    <w:nsid w:val="73154115"/>
    <w:multiLevelType w:val="hybridMultilevel"/>
    <w:lvl w:ilvl="0">
      <w:lvlJc w:val="left"/>
      <w:lvlText w:val="•"/>
      <w:numFmt w:val="bullet"/>
      <w:start w:val="1"/>
    </w:lvl>
  </w:abstractNum>
  <w:abstractNum w:abstractNumId="225">
    <w:nsid w:val="622D8102"/>
    <w:multiLevelType w:val="hybridMultilevel"/>
    <w:lvl w:ilvl="0">
      <w:lvlJc w:val="left"/>
      <w:lvlText w:val="•"/>
      <w:numFmt w:val="bullet"/>
      <w:start w:val="1"/>
    </w:lvl>
  </w:abstractNum>
  <w:abstractNum w:abstractNumId="226">
    <w:nsid w:val="2AB26587"/>
    <w:multiLevelType w:val="hybridMultilevel"/>
    <w:lvl w:ilvl="0">
      <w:lvlJc w:val="left"/>
      <w:lvlText w:val="1"/>
      <w:numFmt w:val="bullet"/>
      <w:start w:val="1"/>
    </w:lvl>
  </w:abstractNum>
  <w:abstractNum w:abstractNumId="227">
    <w:nsid w:val="44B3FA61"/>
    <w:multiLevelType w:val="hybridMultilevel"/>
    <w:lvl w:ilvl="0">
      <w:lvlJc w:val="left"/>
      <w:lvlText w:val="2"/>
      <w:numFmt w:val="bullet"/>
      <w:start w:val="1"/>
    </w:lvl>
  </w:abstractNum>
  <w:abstractNum w:abstractNumId="228">
    <w:nsid w:val="1C0CA67C"/>
    <w:multiLevelType w:val="hybridMultilevel"/>
    <w:lvl w:ilvl="0">
      <w:lvlJc w:val="left"/>
      <w:lvlText w:val="3"/>
      <w:numFmt w:val="bullet"/>
      <w:start w:val="1"/>
    </w:lvl>
  </w:abstractNum>
  <w:abstractNum w:abstractNumId="229">
    <w:nsid w:val="3D206613"/>
    <w:multiLevelType w:val="hybridMultilevel"/>
    <w:lvl w:ilvl="0">
      <w:lvlJc w:val="left"/>
      <w:lvlText w:val="4"/>
      <w:numFmt w:val="bullet"/>
      <w:start w:val="1"/>
    </w:lvl>
  </w:abstractNum>
  <w:abstractNum w:abstractNumId="230">
    <w:nsid w:val="7993B662"/>
    <w:multiLevelType w:val="hybridMultilevel"/>
    <w:lvl w:ilvl="0">
      <w:lvlJc w:val="left"/>
      <w:lvlText w:val="5"/>
      <w:numFmt w:val="bullet"/>
      <w:start w:val="1"/>
    </w:lvl>
  </w:abstractNum>
  <w:abstractNum w:abstractNumId="231">
    <w:nsid w:val="3BAB699E"/>
    <w:multiLevelType w:val="hybridMultilevel"/>
    <w:lvl w:ilvl="0">
      <w:lvlJc w:val="left"/>
      <w:lvlText w:val="6"/>
      <w:numFmt w:val="bullet"/>
      <w:start w:val="1"/>
    </w:lvl>
  </w:abstractNum>
  <w:abstractNum w:abstractNumId="232">
    <w:nsid w:val="71315369"/>
    <w:multiLevelType w:val="hybridMultilevel"/>
    <w:lvl w:ilvl="0">
      <w:lvlJc w:val="left"/>
      <w:lvlText w:val="7"/>
      <w:numFmt w:val="bullet"/>
      <w:start w:val="1"/>
    </w:lvl>
  </w:abstractNum>
  <w:abstractNum w:abstractNumId="233">
    <w:nsid w:val="7BCFBAFC"/>
    <w:multiLevelType w:val="hybridMultilevel"/>
    <w:lvl w:ilvl="0">
      <w:lvlJc w:val="left"/>
      <w:lvlText w:val="◦"/>
      <w:numFmt w:val="bullet"/>
      <w:start w:val="1"/>
    </w:lvl>
  </w:abstractNum>
  <w:abstractNum w:abstractNumId="234">
    <w:nsid w:val="17859F72"/>
    <w:multiLevelType w:val="hybridMultilevel"/>
    <w:lvl w:ilvl="0">
      <w:lvlJc w:val="left"/>
      <w:lvlText w:val="8"/>
      <w:numFmt w:val="bullet"/>
      <w:start w:val="1"/>
    </w:lvl>
  </w:abstractNum>
  <w:abstractNum w:abstractNumId="235">
    <w:nsid w:val="3AA10581"/>
    <w:multiLevelType w:val="hybridMultilevel"/>
    <w:lvl w:ilvl="0">
      <w:lvlJc w:val="left"/>
      <w:lvlText w:val="9"/>
      <w:numFmt w:val="bullet"/>
      <w:start w:val="1"/>
    </w:lvl>
  </w:abstractNum>
  <w:abstractNum w:abstractNumId="236">
    <w:nsid w:val="63DE60CD"/>
    <w:multiLevelType w:val="hybridMultilevel"/>
    <w:lvl w:ilvl="0">
      <w:lvlJc w:val="left"/>
      <w:lvlText w:val="%1"/>
      <w:numFmt w:val="decimal"/>
      <w:start w:val="10"/>
    </w:lvl>
  </w:abstractNum>
  <w:abstractNum w:abstractNumId="237">
    <w:nsid w:val="621AF471"/>
    <w:multiLevelType w:val="hybridMultilevel"/>
    <w:lvl w:ilvl="0">
      <w:lvlJc w:val="left"/>
      <w:lvlText w:val="1"/>
      <w:numFmt w:val="bullet"/>
      <w:start w:val="1"/>
    </w:lvl>
  </w:abstractNum>
  <w:abstractNum w:abstractNumId="238">
    <w:nsid w:val="73CFE165"/>
    <w:multiLevelType w:val="hybridMultilevel"/>
    <w:lvl w:ilvl="0">
      <w:lvlJc w:val="left"/>
      <w:lvlText w:val="2"/>
      <w:numFmt w:val="bullet"/>
      <w:start w:val="1"/>
    </w:lvl>
  </w:abstractNum>
  <w:abstractNum w:abstractNumId="239">
    <w:nsid w:val="20F88EA6"/>
    <w:multiLevelType w:val="hybridMultilevel"/>
    <w:lvl w:ilvl="0">
      <w:lvlJc w:val="left"/>
      <w:lvlText w:val="3"/>
      <w:numFmt w:val="bullet"/>
      <w:start w:val="1"/>
    </w:lvl>
  </w:abstractNum>
  <w:abstractNum w:abstractNumId="240">
    <w:nsid w:val="617C843E"/>
    <w:multiLevelType w:val="hybridMultilevel"/>
    <w:lvl w:ilvl="0">
      <w:lvlJc w:val="left"/>
      <w:lvlText w:val="4"/>
      <w:numFmt w:val="bullet"/>
      <w:start w:val="1"/>
    </w:lvl>
  </w:abstractNum>
  <w:abstractNum w:abstractNumId="241">
    <w:nsid w:val="7B541FAB"/>
    <w:multiLevelType w:val="hybridMultilevel"/>
    <w:lvl w:ilvl="0">
      <w:lvlJc w:val="left"/>
      <w:lvlText w:val="1"/>
      <w:numFmt w:val="bullet"/>
      <w:start w:val="1"/>
    </w:lvl>
  </w:abstractNum>
  <w:abstractNum w:abstractNumId="242">
    <w:nsid w:val="2A79EC49"/>
    <w:multiLevelType w:val="hybridMultilevel"/>
    <w:lvl w:ilvl="0">
      <w:lvlJc w:val="left"/>
      <w:lvlText w:val="a"/>
      <w:numFmt w:val="bullet"/>
      <w:start w:val="1"/>
    </w:lvl>
  </w:abstractNum>
  <w:abstractNum w:abstractNumId="243">
    <w:nsid w:val="338125CF"/>
    <w:multiLevelType w:val="hybridMultilevel"/>
    <w:lvl w:ilvl="0">
      <w:lvlJc w:val="left"/>
      <w:lvlText w:val="b"/>
      <w:numFmt w:val="bullet"/>
      <w:start w:val="1"/>
    </w:lvl>
  </w:abstractNum>
  <w:abstractNum w:abstractNumId="244">
    <w:nsid w:val="47C7C971"/>
    <w:multiLevelType w:val="hybridMultilevel"/>
    <w:lvl w:ilvl="0">
      <w:lvlJc w:val="left"/>
      <w:lvlText w:val="c"/>
      <w:numFmt w:val="bullet"/>
      <w:start w:val="1"/>
    </w:lvl>
  </w:abstractNum>
  <w:abstractNum w:abstractNumId="245">
    <w:nsid w:val="46F8284B"/>
    <w:multiLevelType w:val="hybridMultilevel"/>
    <w:lvl w:ilvl="0">
      <w:lvlJc w:val="left"/>
      <w:lvlText w:val="d"/>
      <w:numFmt w:val="bullet"/>
      <w:start w:val="1"/>
    </w:lvl>
  </w:abstractNum>
  <w:abstractNum w:abstractNumId="246">
    <w:nsid w:val="4FA327CE"/>
    <w:multiLevelType w:val="hybridMultilevel"/>
    <w:lvl w:ilvl="0">
      <w:lvlJc w:val="left"/>
      <w:lvlText w:val="e"/>
      <w:numFmt w:val="bullet"/>
      <w:start w:val="1"/>
    </w:lvl>
  </w:abstractNum>
  <w:abstractNum w:abstractNumId="247">
    <w:nsid w:val="1873983A"/>
    <w:multiLevelType w:val="hybridMultilevel"/>
    <w:lvl w:ilvl="0">
      <w:lvlJc w:val="left"/>
      <w:lvlText w:val="2"/>
      <w:numFmt w:val="bullet"/>
      <w:start w:val="1"/>
    </w:lvl>
  </w:abstractNum>
  <w:abstractNum w:abstractNumId="248">
    <w:nsid w:val="3D2DD275"/>
    <w:multiLevelType w:val="hybridMultilevel"/>
    <w:lvl w:ilvl="0">
      <w:lvlJc w:val="left"/>
      <w:lvlText w:val="3"/>
      <w:numFmt w:val="bullet"/>
      <w:start w:val="1"/>
    </w:lvl>
  </w:abstractNum>
  <w:abstractNum w:abstractNumId="249">
    <w:nsid w:val="2E17ECA7"/>
    <w:multiLevelType w:val="hybridMultilevel"/>
    <w:lvl w:ilvl="0">
      <w:lvlJc w:val="left"/>
      <w:lvlText w:val="4"/>
      <w:numFmt w:val="bullet"/>
      <w:start w:val="1"/>
    </w:lvl>
  </w:abstractNum>
  <w:abstractNum w:abstractNumId="250">
    <w:nsid w:val="53B2564F"/>
    <w:multiLevelType w:val="hybridMultilevel"/>
    <w:lvl w:ilvl="0">
      <w:lvlJc w:val="left"/>
      <w:lvlText w:val="5"/>
      <w:numFmt w:val="bullet"/>
      <w:start w:val="1"/>
    </w:lvl>
  </w:abstractNum>
  <w:abstractNum w:abstractNumId="251">
    <w:nsid w:val="75509D76"/>
    <w:multiLevelType w:val="hybridMultilevel"/>
    <w:lvl w:ilvl="0">
      <w:lvlJc w:val="left"/>
      <w:lvlText w:val="1"/>
      <w:numFmt w:val="bullet"/>
      <w:start w:val="1"/>
    </w:lvl>
  </w:abstractNum>
  <w:abstractNum w:abstractNumId="252">
    <w:nsid w:val="1AF7F0EA"/>
    <w:multiLevelType w:val="hybridMultilevel"/>
    <w:lvl w:ilvl="0">
      <w:lvlJc w:val="left"/>
      <w:lvlText w:val="1"/>
      <w:numFmt w:val="bullet"/>
      <w:start w:val="1"/>
    </w:lvl>
  </w:abstractNum>
  <w:abstractNum w:abstractNumId="253">
    <w:nsid w:val="4DA32C7E"/>
    <w:multiLevelType w:val="hybridMultilevel"/>
    <w:lvl w:ilvl="0">
      <w:lvlJc w:val="left"/>
      <w:lvlText w:val="1"/>
      <w:numFmt w:val="bullet"/>
      <w:start w:val="1"/>
    </w:lvl>
  </w:abstractNum>
  <w:abstractNum w:abstractNumId="254">
    <w:nsid w:val="6EC68664"/>
    <w:multiLevelType w:val="hybridMultilevel"/>
    <w:lvl w:ilvl="0">
      <w:lvlJc w:val="left"/>
      <w:lvlText w:val="1"/>
      <w:numFmt w:val="bullet"/>
      <w:start w:val="1"/>
    </w:lvl>
  </w:abstractNum>
  <w:abstractNum w:abstractNumId="255">
    <w:nsid w:val="E0D31FF"/>
    <w:multiLevelType w:val="hybridMultilevel"/>
    <w:lvl w:ilvl="0">
      <w:lvlJc w:val="left"/>
      <w:lvlText w:val="2"/>
      <w:numFmt w:val="bullet"/>
      <w:start w:val="1"/>
    </w:lvl>
  </w:abstractNum>
  <w:abstractNum w:abstractNumId="256">
    <w:nsid w:val="2FD0AD81"/>
    <w:multiLevelType w:val="hybridMultilevel"/>
    <w:lvl w:ilvl="0">
      <w:lvlJc w:val="left"/>
      <w:lvlText w:val="3"/>
      <w:numFmt w:val="bullet"/>
      <w:start w:val="1"/>
    </w:lvl>
  </w:abstractNum>
  <w:abstractNum w:abstractNumId="257">
    <w:nsid w:val="1978EBEB"/>
    <w:multiLevelType w:val="hybridMultilevel"/>
    <w:lvl w:ilvl="0">
      <w:lvlJc w:val="left"/>
      <w:lvlText w:val="4"/>
      <w:numFmt w:val="bullet"/>
      <w:start w:val="1"/>
    </w:lvl>
  </w:abstractNum>
  <w:abstractNum w:abstractNumId="258">
    <w:nsid w:val="52C12C61"/>
    <w:multiLevelType w:val="hybridMultilevel"/>
    <w:lvl w:ilvl="0">
      <w:lvlJc w:val="left"/>
      <w:lvlText w:val="5"/>
      <w:numFmt w:val="bullet"/>
      <w:start w:val="1"/>
    </w:lvl>
  </w:abstractNum>
  <w:abstractNum w:abstractNumId="259">
    <w:nsid w:val="4BDD53FD"/>
    <w:multiLevelType w:val="hybridMultilevel"/>
    <w:lvl w:ilvl="0">
      <w:lvlJc w:val="left"/>
      <w:lvlText w:val="6"/>
      <w:numFmt w:val="bullet"/>
      <w:start w:val="1"/>
    </w:lvl>
  </w:abstractNum>
  <w:abstractNum w:abstractNumId="260">
    <w:nsid w:val="569951FE"/>
    <w:multiLevelType w:val="hybridMultilevel"/>
    <w:lvl w:ilvl="0">
      <w:lvlJc w:val="left"/>
      <w:lvlText w:val="7"/>
      <w:numFmt w:val="bullet"/>
      <w:start w:val="1"/>
    </w:lvl>
  </w:abstractNum>
  <w:abstractNum w:abstractNumId="261">
    <w:nsid w:val="4C54E2C3"/>
    <w:multiLevelType w:val="hybridMultilevel"/>
    <w:lvl w:ilvl="0">
      <w:lvlJc w:val="left"/>
      <w:lvlText w:val="1"/>
      <w:numFmt w:val="bullet"/>
      <w:start w:val="1"/>
    </w:lvl>
  </w:abstractNum>
  <w:abstractNum w:abstractNumId="262">
    <w:nsid w:val="788BD9B"/>
    <w:multiLevelType w:val="hybridMultilevel"/>
    <w:lvl w:ilvl="0">
      <w:lvlJc w:val="left"/>
      <w:lvlText w:val="2"/>
      <w:numFmt w:val="bullet"/>
      <w:start w:val="1"/>
    </w:lvl>
  </w:abstractNum>
  <w:abstractNum w:abstractNumId="263">
    <w:nsid w:val="47CAA567"/>
    <w:multiLevelType w:val="hybridMultilevel"/>
    <w:lvl w:ilvl="0">
      <w:lvlJc w:val="left"/>
      <w:lvlText w:val="3"/>
      <w:numFmt w:val="bullet"/>
      <w:start w:val="1"/>
    </w:lvl>
  </w:abstractNum>
  <w:abstractNum w:abstractNumId="264">
    <w:nsid w:val="48249DBF"/>
    <w:multiLevelType w:val="hybridMultilevel"/>
    <w:lvl w:ilvl="0">
      <w:lvlJc w:val="left"/>
      <w:lvlText w:val="4"/>
      <w:numFmt w:val="bullet"/>
      <w:start w:val="1"/>
    </w:lvl>
  </w:abstractNum>
  <w:abstractNum w:abstractNumId="265">
    <w:nsid w:val="1F0E5D0D"/>
    <w:multiLevelType w:val="hybridMultilevel"/>
    <w:lvl w:ilvl="0">
      <w:lvlJc w:val="left"/>
      <w:lvlText w:val="5"/>
      <w:numFmt w:val="bullet"/>
      <w:start w:val="1"/>
    </w:lvl>
  </w:abstractNum>
  <w:abstractNum w:abstractNumId="266">
    <w:nsid w:val="26BAAE9"/>
    <w:multiLevelType w:val="hybridMultilevel"/>
    <w:lvl w:ilvl="0">
      <w:lvlJc w:val="left"/>
      <w:lvlText w:val="6"/>
      <w:numFmt w:val="bullet"/>
      <w:start w:val="1"/>
    </w:lvl>
  </w:abstractNum>
  <w:abstractNum w:abstractNumId="267">
    <w:nsid w:val="2C02FE8C"/>
    <w:multiLevelType w:val="hybridMultilevel"/>
    <w:lvl w:ilvl="0">
      <w:lvlJc w:val="left"/>
      <w:lvlText w:val="7"/>
      <w:numFmt w:val="bullet"/>
      <w:start w:val="1"/>
    </w:lvl>
  </w:abstractNum>
  <w:abstractNum w:abstractNumId="268">
    <w:nsid w:val="129517E"/>
    <w:multiLevelType w:val="hybridMultilevel"/>
    <w:lvl w:ilvl="0">
      <w:lvlJc w:val="left"/>
      <w:lvlText w:val="•"/>
      <w:numFmt w:val="bullet"/>
      <w:start w:val="1"/>
    </w:lvl>
  </w:abstractNum>
  <w:abstractNum w:abstractNumId="269">
    <w:nsid w:val="763B8C4E"/>
    <w:multiLevelType w:val="hybridMultilevel"/>
    <w:lvl w:ilvl="0">
      <w:lvlJc w:val="left"/>
      <w:lvlText w:val="•"/>
      <w:numFmt w:val="bullet"/>
      <w:start w:val="1"/>
    </w:lvl>
  </w:abstractNum>
  <w:abstractNum w:abstractNumId="270">
    <w:nsid w:val="4CFB8D32"/>
    <w:multiLevelType w:val="hybridMultilevel"/>
    <w:lvl w:ilvl="0">
      <w:lvlJc w:val="left"/>
      <w:lvlText w:val="•"/>
      <w:numFmt w:val="bullet"/>
      <w:start w:val="1"/>
    </w:lvl>
  </w:abstractNum>
  <w:abstractNum w:abstractNumId="271">
    <w:nsid w:val="62A5D5BD"/>
    <w:multiLevelType w:val="hybridMultilevel"/>
    <w:lvl w:ilvl="0">
      <w:lvlJc w:val="left"/>
      <w:lvlText w:val="1"/>
      <w:numFmt w:val="bullet"/>
      <w:start w:val="1"/>
    </w:lvl>
  </w:abstractNum>
  <w:abstractNum w:abstractNumId="272">
    <w:nsid w:val="718FABF9"/>
    <w:multiLevelType w:val="hybridMultilevel"/>
    <w:lvl w:ilvl="0">
      <w:lvlJc w:val="left"/>
      <w:lvlText w:val="2"/>
      <w:numFmt w:val="bullet"/>
      <w:start w:val="1"/>
    </w:lvl>
  </w:abstractNum>
  <w:abstractNum w:abstractNumId="273">
    <w:nsid w:val="7775797C"/>
    <w:multiLevelType w:val="hybridMultilevel"/>
    <w:lvl w:ilvl="0">
      <w:lvlJc w:val="left"/>
      <w:lvlText w:val="1"/>
      <w:numFmt w:val="bullet"/>
      <w:start w:val="1"/>
    </w:lvl>
  </w:abstractNum>
  <w:abstractNum w:abstractNumId="274">
    <w:nsid w:val="1626FB8C"/>
    <w:multiLevelType w:val="hybridMultilevel"/>
    <w:lvl w:ilvl="0">
      <w:lvlJc w:val="left"/>
      <w:lvlText w:val="2"/>
      <w:numFmt w:val="bullet"/>
      <w:start w:val="1"/>
    </w:lvl>
  </w:abstractNum>
  <w:abstractNum w:abstractNumId="275">
    <w:nsid w:val="3957756A"/>
    <w:multiLevelType w:val="hybridMultilevel"/>
    <w:lvl w:ilvl="0">
      <w:lvlJc w:val="left"/>
      <w:lvlText w:val="3"/>
      <w:numFmt w:val="bullet"/>
      <w:start w:val="1"/>
    </w:lvl>
  </w:abstractNum>
  <w:abstractNum w:abstractNumId="276">
    <w:nsid w:val="3E6DA1C7"/>
    <w:multiLevelType w:val="hybridMultilevel"/>
    <w:lvl w:ilvl="0">
      <w:lvlJc w:val="left"/>
      <w:lvlText w:val="4"/>
      <w:numFmt w:val="bullet"/>
      <w:start w:val="1"/>
    </w:lvl>
  </w:abstractNum>
  <w:abstractNum w:abstractNumId="277">
    <w:nsid w:val="65CA235B"/>
    <w:multiLevelType w:val="hybridMultilevel"/>
    <w:lvl w:ilvl="0">
      <w:lvlJc w:val="left"/>
      <w:lvlText w:val="1"/>
      <w:numFmt w:val="bullet"/>
      <w:start w:val="1"/>
    </w:lvl>
  </w:abstractNum>
  <w:abstractNum w:abstractNumId="278">
    <w:nsid w:val="51CB0DA4"/>
    <w:multiLevelType w:val="hybridMultilevel"/>
    <w:lvl w:ilvl="0">
      <w:lvlJc w:val="left"/>
      <w:lvlText w:val="2"/>
      <w:numFmt w:val="bullet"/>
      <w:start w:val="1"/>
    </w:lvl>
  </w:abstractNum>
  <w:abstractNum w:abstractNumId="279">
    <w:nsid w:val="7B9B743C"/>
    <w:multiLevelType w:val="hybridMultilevel"/>
    <w:lvl w:ilvl="0">
      <w:lvlJc w:val="left"/>
      <w:lvlText w:val="•"/>
      <w:numFmt w:val="bullet"/>
      <w:start w:val="1"/>
    </w:lvl>
    <w:lvl w:ilvl="1">
      <w:lvlJc w:val="left"/>
      <w:lvlText w:val="\endash "/>
      <w:numFmt w:val="bullet"/>
      <w:start w:val="1"/>
    </w:lvl>
  </w:abstractNum>
  <w:abstractNum w:abstractNumId="280">
    <w:nsid w:val="13E21002"/>
    <w:multiLevelType w:val="hybridMultilevel"/>
    <w:lvl w:ilvl="0">
      <w:lvlJc w:val="left"/>
      <w:lvlText w:val="•"/>
      <w:numFmt w:val="bullet"/>
      <w:start w:val="1"/>
    </w:lvl>
  </w:abstractNum>
  <w:abstractNum w:abstractNumId="281">
    <w:nsid w:val="257D63F4"/>
    <w:multiLevelType w:val="hybridMultilevel"/>
    <w:lvl w:ilvl="0">
      <w:lvlJc w:val="left"/>
      <w:lvlText w:val="•"/>
      <w:numFmt w:val="bullet"/>
      <w:start w:val="1"/>
    </w:lvl>
  </w:abstractNum>
  <w:abstractNum w:abstractNumId="282">
    <w:nsid w:val="70EC11B2"/>
    <w:multiLevelType w:val="hybridMultilevel"/>
    <w:lvl w:ilvl="0">
      <w:lvlJc w:val="left"/>
      <w:lvlText w:val="•"/>
      <w:numFmt w:val="bullet"/>
      <w:start w:val="1"/>
    </w:lvl>
  </w:abstractNum>
  <w:abstractNum w:abstractNumId="283">
    <w:nsid w:val="2EDA00ED"/>
    <w:multiLevelType w:val="hybridMultilevel"/>
    <w:lvl w:ilvl="0">
      <w:lvlJc w:val="left"/>
      <w:lvlText w:val="•"/>
      <w:numFmt w:val="bullet"/>
      <w:start w:val="1"/>
    </w:lvl>
  </w:abstractNum>
  <w:abstractNum w:abstractNumId="284">
    <w:nsid w:val="73209072"/>
    <w:multiLevelType w:val="hybridMultilevel"/>
    <w:lvl w:ilvl="0">
      <w:lvlJc w:val="left"/>
      <w:lvlText w:val="•"/>
      <w:numFmt w:val="bullet"/>
      <w:start w:val="1"/>
    </w:lvl>
  </w:abstractNum>
  <w:abstractNum w:abstractNumId="285">
    <w:nsid w:val="5FB29816"/>
    <w:multiLevelType w:val="hybridMultilevel"/>
    <w:lvl w:ilvl="0">
      <w:lvlJc w:val="left"/>
      <w:lvlText w:val="•"/>
      <w:numFmt w:val="bullet"/>
      <w:start w:val="1"/>
    </w:lvl>
  </w:abstractNum>
  <w:abstractNum w:abstractNumId="286">
    <w:nsid w:val="3CE732EC"/>
    <w:multiLevelType w:val="hybridMultilevel"/>
    <w:lvl w:ilvl="0">
      <w:lvlJc w:val="left"/>
      <w:lvlText w:val="•"/>
      <w:numFmt w:val="bullet"/>
      <w:start w:val="1"/>
    </w:lvl>
  </w:abstractNum>
  <w:abstractNum w:abstractNumId="287">
    <w:nsid w:val="22F13DF3"/>
    <w:multiLevelType w:val="hybridMultilevel"/>
    <w:lvl w:ilvl="0">
      <w:lvlJc w:val="left"/>
      <w:lvlText w:val="•"/>
      <w:numFmt w:val="bullet"/>
      <w:start w:val="1"/>
    </w:lvl>
  </w:abstractNum>
  <w:abstractNum w:abstractNumId="288">
    <w:nsid w:val="792B8401"/>
    <w:multiLevelType w:val="hybridMultilevel"/>
    <w:lvl w:ilvl="0">
      <w:lvlJc w:val="left"/>
      <w:lvlText w:val="%1."/>
      <w:numFmt w:val="decimal"/>
      <w:start w:val="1"/>
    </w:lvl>
  </w:abstractNum>
  <w:abstractNum w:abstractNumId="289">
    <w:nsid w:val="FA85F4D"/>
    <w:multiLevelType w:val="hybridMultilevel"/>
    <w:lvl w:ilvl="0">
      <w:lvlJc w:val="left"/>
      <w:lvlText w:val="1"/>
      <w:numFmt w:val="bullet"/>
      <w:start w:val="1"/>
    </w:lvl>
  </w:abstractNum>
  <w:abstractNum w:abstractNumId="290">
    <w:nsid w:val="6ECE91F0"/>
    <w:multiLevelType w:val="hybridMultilevel"/>
    <w:lvl w:ilvl="0">
      <w:lvlJc w:val="left"/>
      <w:lvlText w:val="1"/>
      <w:numFmt w:val="bullet"/>
      <w:start w:val="1"/>
    </w:lvl>
  </w:abstractNum>
  <w:abstractNum w:abstractNumId="291">
    <w:nsid w:val="4FC4D600"/>
    <w:multiLevelType w:val="hybridMultilevel"/>
    <w:lvl w:ilvl="0">
      <w:lvlJc w:val="left"/>
      <w:lvlText w:val="2"/>
      <w:numFmt w:val="bullet"/>
      <w:start w:val="1"/>
    </w:lvl>
  </w:abstractNum>
  <w:abstractNum w:abstractNumId="292">
    <w:nsid w:val="5BFD4210"/>
    <w:multiLevelType w:val="hybridMultilevel"/>
    <w:lvl w:ilvl="0">
      <w:lvlJc w:val="left"/>
      <w:lvlText w:val="3"/>
      <w:numFmt w:val="bullet"/>
      <w:start w:val="1"/>
    </w:lvl>
  </w:abstractNum>
  <w:abstractNum w:abstractNumId="293">
    <w:nsid w:val="76574F8B"/>
    <w:multiLevelType w:val="hybridMultilevel"/>
    <w:lvl w:ilvl="0">
      <w:lvlJc w:val="left"/>
      <w:lvlText w:val="4"/>
      <w:numFmt w:val="bullet"/>
      <w:start w:val="1"/>
    </w:lvl>
  </w:abstractNum>
  <w:abstractNum w:abstractNumId="294">
    <w:nsid w:val="178F7B67"/>
    <w:multiLevelType w:val="hybridMultilevel"/>
    <w:lvl w:ilvl="0">
      <w:lvlJc w:val="left"/>
      <w:lvlText w:val="5"/>
      <w:numFmt w:val="bullet"/>
      <w:start w:val="1"/>
    </w:lvl>
  </w:abstractNum>
  <w:abstractNum w:abstractNumId="295">
    <w:nsid w:val="2421DFCF"/>
    <w:multiLevelType w:val="hybridMultilevel"/>
    <w:lvl w:ilvl="0">
      <w:lvlJc w:val="left"/>
      <w:lvlText w:val="1"/>
      <w:numFmt w:val="bullet"/>
      <w:start w:val="1"/>
    </w:lvl>
  </w:abstractNum>
  <w:abstractNum w:abstractNumId="296">
    <w:nsid w:val="1565AC99"/>
    <w:multiLevelType w:val="hybridMultilevel"/>
    <w:lvl w:ilvl="0">
      <w:lvlJc w:val="left"/>
      <w:lvlText w:val="2"/>
      <w:numFmt w:val="bullet"/>
      <w:start w:val="1"/>
    </w:lvl>
  </w:abstractNum>
  <w:abstractNum w:abstractNumId="297">
    <w:nsid w:val="19FB2650"/>
    <w:multiLevelType w:val="hybridMultilevel"/>
    <w:lvl w:ilvl="0">
      <w:lvlJc w:val="left"/>
      <w:lvlText w:val="3"/>
      <w:numFmt w:val="bullet"/>
      <w:start w:val="1"/>
    </w:lvl>
  </w:abstractNum>
  <w:abstractNum w:abstractNumId="298">
    <w:nsid w:val="5024DE5B"/>
    <w:multiLevelType w:val="hybridMultilevel"/>
    <w:lvl w:ilvl="0">
      <w:lvlJc w:val="left"/>
      <w:lvlText w:val="4"/>
      <w:numFmt w:val="bullet"/>
      <w:start w:val="1"/>
    </w:lvl>
  </w:abstractNum>
  <w:abstractNum w:abstractNumId="299">
    <w:nsid w:val="168EFE17"/>
    <w:multiLevelType w:val="hybridMultilevel"/>
    <w:lvl w:ilvl="0">
      <w:lvlJc w:val="left"/>
      <w:lvlText w:val="•"/>
      <w:numFmt w:val="bullet"/>
      <w:start w:val="1"/>
    </w:lvl>
  </w:abstractNum>
  <w:abstractNum w:abstractNumId="300">
    <w:nsid w:val="1036B29F"/>
    <w:multiLevelType w:val="hybridMultilevel"/>
    <w:lvl w:ilvl="0">
      <w:lvlJc w:val="left"/>
      <w:lvlText w:val="•"/>
      <w:numFmt w:val="bullet"/>
      <w:start w:val="1"/>
    </w:lvl>
  </w:abstractNum>
  <w:abstractNum w:abstractNumId="301">
    <w:nsid w:val="1D206B8E"/>
    <w:multiLevelType w:val="hybridMultilevel"/>
    <w:lvl w:ilvl="0">
      <w:lvlJc w:val="left"/>
      <w:lvlText w:val="•"/>
      <w:numFmt w:val="bullet"/>
      <w:start w:val="1"/>
    </w:lvl>
  </w:abstractNum>
  <w:abstractNum w:abstractNumId="302">
    <w:nsid w:val="7934D3D4"/>
    <w:multiLevelType w:val="hybridMultilevel"/>
    <w:lvl w:ilvl="0">
      <w:lvlJc w:val="left"/>
      <w:lvlText w:val="•"/>
      <w:numFmt w:val="bullet"/>
      <w:start w:val="1"/>
    </w:lvl>
  </w:abstractNum>
  <w:abstractNum w:abstractNumId="303">
    <w:nsid w:val="1C65E98"/>
    <w:multiLevelType w:val="hybridMultilevel"/>
    <w:lvl w:ilvl="0">
      <w:lvlJc w:val="left"/>
      <w:lvlText w:val="1"/>
      <w:numFmt w:val="bullet"/>
      <w:start w:val="1"/>
    </w:lvl>
  </w:abstractNum>
  <w:abstractNum w:abstractNumId="304">
    <w:nsid w:val="1495E50A"/>
    <w:multiLevelType w:val="hybridMultilevel"/>
    <w:lvl w:ilvl="0">
      <w:lvlJc w:val="left"/>
      <w:lvlText w:val="•"/>
      <w:numFmt w:val="bullet"/>
      <w:start w:val="1"/>
    </w:lvl>
  </w:abstractNum>
  <w:abstractNum w:abstractNumId="305">
    <w:nsid w:val="F5BCF61"/>
    <w:multiLevelType w:val="hybridMultilevel"/>
    <w:lvl w:ilvl="0">
      <w:lvlJc w:val="left"/>
      <w:lvlText w:val="•"/>
      <w:numFmt w:val="bullet"/>
      <w:start w:val="1"/>
    </w:lvl>
  </w:abstractNum>
  <w:abstractNum w:abstractNumId="306">
    <w:nsid w:val="3B1DD403"/>
    <w:multiLevelType w:val="hybridMultilevel"/>
    <w:lvl w:ilvl="0">
      <w:lvlJc w:val="left"/>
      <w:lvlText w:val="•"/>
      <w:numFmt w:val="bullet"/>
      <w:start w:val="1"/>
    </w:lvl>
  </w:abstractNum>
  <w:abstractNum w:abstractNumId="307">
    <w:nsid w:val="530386D1"/>
    <w:multiLevelType w:val="hybridMultilevel"/>
    <w:lvl w:ilvl="0">
      <w:lvlJc w:val="left"/>
      <w:lvlText w:val="1"/>
      <w:numFmt w:val="bullet"/>
      <w:start w:val="1"/>
    </w:lvl>
  </w:abstractNum>
  <w:abstractNum w:abstractNumId="308">
    <w:nsid w:val="7525F2BC"/>
    <w:multiLevelType w:val="hybridMultilevel"/>
    <w:lvl w:ilvl="0">
      <w:lvlJc w:val="left"/>
      <w:lvlText w:val="•"/>
      <w:numFmt w:val="bullet"/>
      <w:start w:val="1"/>
    </w:lvl>
  </w:abstractNum>
  <w:abstractNum w:abstractNumId="309">
    <w:nsid w:val="CE8E1A7"/>
    <w:multiLevelType w:val="hybridMultilevel"/>
    <w:lvl w:ilvl="0">
      <w:lvlJc w:val="left"/>
      <w:lvlText w:val="1"/>
      <w:numFmt w:val="bullet"/>
      <w:start w:val="1"/>
    </w:lvl>
  </w:abstractNum>
  <w:abstractNum w:abstractNumId="310">
    <w:nsid w:val="4E9EFB0D"/>
    <w:multiLevelType w:val="hybridMultilevel"/>
    <w:lvl w:ilvl="0">
      <w:lvlJc w:val="left"/>
      <w:lvlText w:val="2"/>
      <w:numFmt w:val="bullet"/>
      <w:start w:val="1"/>
    </w:lvl>
  </w:abstractNum>
  <w:abstractNum w:abstractNumId="311">
    <w:nsid w:val="90802BE"/>
    <w:multiLevelType w:val="hybridMultilevel"/>
    <w:lvl w:ilvl="0">
      <w:lvlJc w:val="left"/>
      <w:lvlText w:val="•"/>
      <w:numFmt w:val="bullet"/>
      <w:start w:val="1"/>
    </w:lvl>
  </w:abstractNum>
  <w:abstractNum w:abstractNumId="312">
    <w:nsid w:val="3266459B"/>
    <w:multiLevelType w:val="hybridMultilevel"/>
    <w:lvl w:ilvl="0">
      <w:lvlJc w:val="left"/>
      <w:lvlText w:val="1"/>
      <w:numFmt w:val="bullet"/>
      <w:start w:val="1"/>
    </w:lvl>
  </w:abstractNum>
  <w:abstractNum w:abstractNumId="313">
    <w:nsid w:val="3F8B0CBF"/>
    <w:multiLevelType w:val="hybridMultilevel"/>
    <w:lvl w:ilvl="0">
      <w:lvlJc w:val="left"/>
      <w:lvlText w:val="•"/>
      <w:numFmt w:val="bullet"/>
      <w:start w:val="1"/>
    </w:lvl>
  </w:abstractNum>
  <w:abstractNum w:abstractNumId="314">
    <w:nsid w:val="37E203AB"/>
    <w:multiLevelType w:val="hybridMultilevel"/>
    <w:lvl w:ilvl="0">
      <w:lvlJc w:val="left"/>
      <w:lvlText w:val="•"/>
      <w:numFmt w:val="bullet"/>
      <w:start w:val="1"/>
    </w:lvl>
  </w:abstractNum>
  <w:abstractNum w:abstractNumId="315">
    <w:nsid w:val="2586D60E"/>
    <w:multiLevelType w:val="hybridMultilevel"/>
    <w:lvl w:ilvl="0">
      <w:lvlJc w:val="left"/>
      <w:lvlText w:val="•"/>
      <w:numFmt w:val="bullet"/>
      <w:start w:val="1"/>
    </w:lvl>
  </w:abstractNum>
  <w:abstractNum w:abstractNumId="316">
    <w:nsid w:val="1F3DA4D5"/>
    <w:multiLevelType w:val="hybridMultilevel"/>
    <w:lvl w:ilvl="0">
      <w:lvlJc w:val="left"/>
      <w:lvlText w:val="2"/>
      <w:numFmt w:val="bullet"/>
      <w:start w:val="1"/>
    </w:lvl>
  </w:abstractNum>
  <w:abstractNum w:abstractNumId="317">
    <w:nsid w:val="74C93698"/>
    <w:multiLevelType w:val="hybridMultilevel"/>
    <w:lvl w:ilvl="0">
      <w:lvlJc w:val="left"/>
      <w:lvlText w:val="3"/>
      <w:numFmt w:val="bullet"/>
      <w:start w:val="1"/>
    </w:lvl>
  </w:abstractNum>
  <w:abstractNum w:abstractNumId="318">
    <w:nsid w:val="48781401"/>
    <w:multiLevelType w:val="hybridMultilevel"/>
    <w:lvl w:ilvl="0">
      <w:lvlJc w:val="left"/>
      <w:lvlText w:val="4"/>
      <w:numFmt w:val="bullet"/>
      <w:start w:val="1"/>
    </w:lvl>
  </w:abstractNum>
  <w:abstractNum w:abstractNumId="319">
    <w:nsid w:val="186928D6"/>
    <w:multiLevelType w:val="hybridMultilevel"/>
    <w:lvl w:ilvl="0">
      <w:lvlJc w:val="left"/>
      <w:lvlText w:val="•"/>
      <w:numFmt w:val="bullet"/>
      <w:start w:val="1"/>
    </w:lvl>
  </w:abstractNum>
  <w:abstractNum w:abstractNumId="320">
    <w:nsid w:val="47195E5"/>
    <w:multiLevelType w:val="hybridMultilevel"/>
    <w:lvl w:ilvl="0">
      <w:lvlJc w:val="left"/>
      <w:lvlText w:val="1"/>
      <w:numFmt w:val="bullet"/>
      <w:start w:val="1"/>
    </w:lvl>
  </w:abstractNum>
  <w:abstractNum w:abstractNumId="321">
    <w:nsid w:val="3746A5F2"/>
    <w:multiLevelType w:val="hybridMultilevel"/>
    <w:lvl w:ilvl="0">
      <w:lvlJc w:val="left"/>
      <w:lvlText w:val="2"/>
      <w:numFmt w:val="bullet"/>
      <w:start w:val="1"/>
    </w:lvl>
  </w:abstractNum>
  <w:abstractNum w:abstractNumId="322">
    <w:nsid w:val="682DFED6"/>
    <w:multiLevelType w:val="hybridMultilevel"/>
    <w:lvl w:ilvl="0">
      <w:lvlJc w:val="left"/>
      <w:lvlText w:val="•"/>
      <w:numFmt w:val="bullet"/>
      <w:start w:val="1"/>
    </w:lvl>
  </w:abstractNum>
  <w:abstractNum w:abstractNumId="323">
    <w:nsid w:val="606ED7F6"/>
    <w:multiLevelType w:val="hybridMultilevel"/>
    <w:lvl w:ilvl="0">
      <w:lvlJc w:val="left"/>
      <w:lvlText w:val="•"/>
      <w:numFmt w:val="bullet"/>
      <w:start w:val="1"/>
    </w:lvl>
  </w:abstractNum>
  <w:abstractNum w:abstractNumId="324">
    <w:nsid w:val="2D9DF57D"/>
    <w:multiLevelType w:val="hybridMultilevel"/>
    <w:lvl w:ilvl="0">
      <w:lvlJc w:val="left"/>
      <w:lvlText w:val="•"/>
      <w:numFmt w:val="bullet"/>
      <w:start w:val="1"/>
    </w:lvl>
  </w:abstractNum>
  <w:abstractNum w:abstractNumId="325">
    <w:nsid w:val="7FBD7A3E"/>
    <w:multiLevelType w:val="hybridMultilevel"/>
    <w:lvl w:ilvl="0">
      <w:lvlJc w:val="left"/>
      <w:lvlText w:val="1"/>
      <w:numFmt w:val="bullet"/>
      <w:start w:val="1"/>
    </w:lvl>
  </w:abstractNum>
  <w:abstractNum w:abstractNumId="326">
    <w:nsid w:val="490B7C5"/>
    <w:multiLevelType w:val="hybridMultilevel"/>
    <w:lvl w:ilvl="0">
      <w:lvlJc w:val="left"/>
      <w:lvlText w:val="•"/>
      <w:numFmt w:val="bullet"/>
      <w:start w:val="1"/>
    </w:lvl>
  </w:abstractNum>
  <w:abstractNum w:abstractNumId="327">
    <w:nsid w:val="4303A216"/>
    <w:multiLevelType w:val="hybridMultilevel"/>
    <w:lvl w:ilvl="0">
      <w:lvlJc w:val="left"/>
      <w:lvlText w:val="7"/>
      <w:numFmt w:val="bullet"/>
      <w:start w:val="1"/>
    </w:lvl>
  </w:abstractNum>
  <w:abstractNum w:abstractNumId="328">
    <w:nsid w:val="19B8A08E"/>
    <w:multiLevelType w:val="hybridMultilevel"/>
    <w:lvl w:ilvl="0">
      <w:lvlJc w:val="left"/>
      <w:lvlText w:val="•"/>
      <w:numFmt w:val="bullet"/>
      <w:start w:val="1"/>
    </w:lvl>
  </w:abstractNum>
  <w:abstractNum w:abstractNumId="329">
    <w:nsid w:val="54B59621"/>
    <w:multiLevelType w:val="hybridMultilevel"/>
    <w:lvl w:ilvl="0">
      <w:lvlJc w:val="left"/>
      <w:lvlText w:val="•"/>
      <w:numFmt w:val="bullet"/>
      <w:start w:val="1"/>
    </w:lvl>
  </w:abstractNum>
  <w:abstractNum w:abstractNumId="330">
    <w:nsid w:val="5992A02E"/>
    <w:multiLevelType w:val="hybridMultilevel"/>
    <w:lvl w:ilvl="0">
      <w:lvlJc w:val="left"/>
      <w:lvlText w:val="•"/>
      <w:numFmt w:val="bullet"/>
      <w:start w:val="1"/>
    </w:lvl>
  </w:abstractNum>
  <w:abstractNum w:abstractNumId="331">
    <w:nsid w:val="29EF532D"/>
    <w:multiLevelType w:val="hybridMultilevel"/>
    <w:lvl w:ilvl="0">
      <w:lvlJc w:val="left"/>
      <w:lvlText w:val="•"/>
      <w:numFmt w:val="bullet"/>
      <w:start w:val="1"/>
    </w:lvl>
  </w:abstractNum>
  <w:abstractNum w:abstractNumId="332">
    <w:nsid w:val="71D601AF"/>
    <w:multiLevelType w:val="hybridMultilevel"/>
    <w:lvl w:ilvl="0">
      <w:lvlJc w:val="left"/>
      <w:lvlText w:val="1"/>
      <w:numFmt w:val="bullet"/>
      <w:start w:val="1"/>
    </w:lvl>
  </w:abstractNum>
  <w:abstractNum w:abstractNumId="333">
    <w:nsid w:val="52C77402"/>
    <w:multiLevelType w:val="hybridMultilevel"/>
    <w:lvl w:ilvl="0">
      <w:lvlJc w:val="left"/>
      <w:lvlText w:val="2"/>
      <w:numFmt w:val="bullet"/>
      <w:start w:val="1"/>
    </w:lvl>
  </w:abstractNum>
  <w:abstractNum w:abstractNumId="334">
    <w:nsid w:val="2BB5B1C6"/>
    <w:multiLevelType w:val="hybridMultilevel"/>
    <w:lvl w:ilvl="0">
      <w:lvlJc w:val="left"/>
      <w:lvlText w:val="3"/>
      <w:numFmt w:val="bullet"/>
      <w:start w:val="1"/>
    </w:lvl>
  </w:abstractNum>
  <w:abstractNum w:abstractNumId="335">
    <w:nsid w:val="66BE6B9"/>
    <w:multiLevelType w:val="hybridMultilevel"/>
    <w:lvl w:ilvl="0">
      <w:lvlJc w:val="left"/>
      <w:lvlText w:val="4"/>
      <w:numFmt w:val="bullet"/>
      <w:start w:val="1"/>
    </w:lvl>
  </w:abstractNum>
  <w:abstractNum w:abstractNumId="336">
    <w:nsid w:val="62234363"/>
    <w:multiLevelType w:val="hybridMultilevel"/>
    <w:lvl w:ilvl="0">
      <w:lvlJc w:val="left"/>
      <w:lvlText w:val="•"/>
      <w:numFmt w:val="bullet"/>
      <w:start w:val="1"/>
    </w:lvl>
  </w:abstractNum>
  <w:abstractNum w:abstractNumId="337">
    <w:nsid w:val="66D385C9"/>
    <w:multiLevelType w:val="hybridMultilevel"/>
    <w:lvl w:ilvl="0">
      <w:lvlJc w:val="left"/>
      <w:lvlText w:val="%1."/>
      <w:numFmt w:val="decimal"/>
      <w:start w:val="1"/>
    </w:lvl>
  </w:abstractNum>
  <w:abstractNum w:abstractNumId="338">
    <w:nsid w:val="596F6D8A"/>
    <w:multiLevelType w:val="hybridMultilevel"/>
    <w:lvl w:ilvl="0">
      <w:lvlJc w:val="left"/>
      <w:lvlText w:val="(%1)"/>
      <w:numFmt w:val="lowerLetter"/>
      <w:start w:val="1"/>
    </w:lvl>
  </w:abstractNum>
  <w:abstractNum w:abstractNumId="339">
    <w:nsid w:val="5749361F"/>
    <w:multiLevelType w:val="hybridMultilevel"/>
    <w:lvl w:ilvl="0">
      <w:lvlJc w:val="left"/>
      <w:lvlText w:val="(%1)"/>
      <w:numFmt w:val="lowerLetter"/>
      <w:start w:val="1"/>
    </w:lvl>
  </w:abstractNum>
  <w:abstractNum w:abstractNumId="340">
    <w:nsid w:val="73BC6770"/>
    <w:multiLevelType w:val="hybridMultilevel"/>
    <w:lvl w:ilvl="0">
      <w:lvlJc w:val="left"/>
      <w:lvlText w:val="(%1)"/>
      <w:numFmt w:val="lowerLetter"/>
      <w:start w:val="1"/>
    </w:lvl>
  </w:abstractNum>
  <w:abstractNum w:abstractNumId="341">
    <w:nsid w:val="280E6897"/>
    <w:multiLevelType w:val="hybridMultilevel"/>
    <w:lvl w:ilvl="0">
      <w:lvlJc w:val="left"/>
      <w:lvlText w:val="%1."/>
      <w:numFmt w:val="decimal"/>
      <w:start w:val="1"/>
    </w:lvl>
  </w:abstractNum>
  <w:abstractNum w:abstractNumId="342">
    <w:nsid w:val="605138DE"/>
    <w:multiLevelType w:val="hybridMultilevel"/>
    <w:lvl w:ilvl="0">
      <w:lvlJc w:val="left"/>
      <w:lvlText w:val="%1."/>
      <w:numFmt w:val="decimal"/>
      <w:start w:val="1"/>
    </w:lvl>
    <w:lvl w:ilvl="1">
      <w:lvlJc w:val="left"/>
      <w:lvlText w:val="(%2)"/>
      <w:numFmt w:val="lowerLetter"/>
      <w:start w:val="1"/>
    </w:lvl>
  </w:abstractNum>
  <w:abstractNum w:abstractNumId="343">
    <w:nsid w:val="2622AD0C"/>
    <w:multiLevelType w:val="hybridMultilevel"/>
    <w:lvl w:ilvl="0">
      <w:lvlJc w:val="left"/>
      <w:lvlText w:val="(%1)"/>
      <w:numFmt w:val="lowerLetter"/>
      <w:start w:val="7"/>
    </w:lvl>
  </w:abstractNum>
  <w:abstractNum w:abstractNumId="344">
    <w:nsid w:val="6799755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5">
    <w:nsid w:val="18333C89"/>
    <w:multiLevelType w:val="hybridMultilevel"/>
    <w:lvl w:ilvl="0">
      <w:lvlJc w:val="left"/>
      <w:lvlText w:val="%1."/>
      <w:numFmt w:val="decimal"/>
      <w:start w:val="4"/>
    </w:lvl>
    <w:lvl w:ilvl="1">
      <w:lvlJc w:val="left"/>
      <w:lvlText w:val="(%2)"/>
      <w:numFmt w:val="lowerLetter"/>
      <w:start w:val="1"/>
    </w:lvl>
  </w:abstractNum>
  <w:abstractNum w:abstractNumId="346">
    <w:nsid w:val="4BA9831A"/>
    <w:multiLevelType w:val="hybridMultilevel"/>
    <w:lvl w:ilvl="0">
      <w:lvlJc w:val="left"/>
      <w:lvlText w:val="%1."/>
      <w:numFmt w:val="decimal"/>
      <w:start w:val="7"/>
    </w:lvl>
    <w:lvl w:ilvl="1">
      <w:lvlJc w:val="left"/>
      <w:lvlText w:val="(%2)"/>
      <w:numFmt w:val="lowerLetter"/>
      <w:start w:val="1"/>
    </w:lvl>
  </w:abstractNum>
  <w:abstractNum w:abstractNumId="347">
    <w:nsid w:val="6D71A2B"/>
    <w:multiLevelType w:val="hybridMultilevel"/>
    <w:lvl w:ilvl="0">
      <w:lvlJc w:val="left"/>
      <w:lvlText w:val="%1."/>
      <w:numFmt w:val="decimal"/>
      <w:start w:val="8"/>
    </w:lvl>
    <w:lvl w:ilvl="1">
      <w:lvlJc w:val="left"/>
      <w:lvlText w:val="(%2)"/>
      <w:numFmt w:val="lowerLetter"/>
      <w:start w:val="1"/>
    </w:lvl>
  </w:abstractNum>
  <w:abstractNum w:abstractNumId="348">
    <w:nsid w:val="CFC732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49">
    <w:nsid w:val="1421971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2"/>
    </w:lvl>
  </w:abstractNum>
  <w:abstractNum w:abstractNumId="350">
    <w:nsid w:val="1F4043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51">
    <w:nsid w:val="116E09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352">
    <w:nsid w:val="4B683D0D"/>
    <w:multiLevelType w:val="hybridMultilevel"/>
    <w:lvl w:ilvl="0">
      <w:lvlJc w:val="left"/>
      <w:lvlText w:val="%1."/>
      <w:numFmt w:val="decimal"/>
      <w:start w:val="11"/>
    </w:lvl>
    <w:lvl w:ilvl="1">
      <w:lvlJc w:val="left"/>
      <w:lvlText w:val="(%2)"/>
      <w:numFmt w:val="lowerLetter"/>
      <w:start w:val="1"/>
    </w:lvl>
  </w:abstractNum>
  <w:abstractNum w:abstractNumId="353">
    <w:nsid w:val="76E41D8"/>
    <w:multiLevelType w:val="hybridMultilevel"/>
    <w:lvl w:ilvl="0">
      <w:lvlJc w:val="left"/>
      <w:lvlText w:val="%1"/>
      <w:numFmt w:val="decimal"/>
      <w:start w:val="1"/>
    </w:lvl>
    <w:lvl w:ilvl="1">
      <w:lvlJc w:val="left"/>
      <w:lvlText w:val="(%2)"/>
      <w:numFmt w:val="lowerLetter"/>
      <w:start w:val="3"/>
    </w:lvl>
  </w:abstractNum>
  <w:abstractNum w:abstractNumId="354">
    <w:nsid w:val="71DCE0FD"/>
    <w:multiLevelType w:val="hybridMultilevel"/>
    <w:lvl w:ilvl="0">
      <w:lvlJc w:val="left"/>
      <w:lvlText w:val="%1."/>
      <w:numFmt w:val="decimal"/>
      <w:start w:val="13"/>
    </w:lvl>
    <w:lvl w:ilvl="1">
      <w:lvlJc w:val="left"/>
      <w:lvlText w:val="(%2)"/>
      <w:numFmt w:val="lowerLetter"/>
      <w:start w:val="1"/>
    </w:lvl>
  </w:abstractNum>
  <w:abstractNum w:abstractNumId="355">
    <w:nsid w:val="7906328B"/>
    <w:multiLevelType w:val="hybridMultilevel"/>
    <w:lvl w:ilvl="0">
      <w:lvlJc w:val="left"/>
      <w:lvlText w:val="%1"/>
      <w:numFmt w:val="decimal"/>
      <w:start w:val="1"/>
    </w:lvl>
    <w:lvl w:ilvl="1">
      <w:lvlJc w:val="left"/>
      <w:lvlText w:val="(%2)"/>
      <w:numFmt w:val="lowerLetter"/>
      <w:start w:val="2"/>
    </w:lvl>
  </w:abstractNum>
  <w:abstractNum w:abstractNumId="356">
    <w:nsid w:val="72BBC16"/>
    <w:multiLevelType w:val="hybridMultilevel"/>
    <w:lvl w:ilvl="0">
      <w:lvlJc w:val="left"/>
      <w:lvlText w:val="%1."/>
      <w:numFmt w:val="decimal"/>
      <w:start w:val="15"/>
    </w:lvl>
    <w:lvl w:ilvl="1">
      <w:lvlJc w:val="left"/>
      <w:lvlText w:val="%2"/>
      <w:numFmt w:val="lowerLetter"/>
      <w:start w:val="1"/>
    </w:lvl>
  </w:abstractNum>
  <w:abstractNum w:abstractNumId="357">
    <w:nsid w:val="766D98C2"/>
    <w:multiLevelType w:val="hybridMultilevel"/>
    <w:lvl w:ilvl="0">
      <w:lvlJc w:val="left"/>
      <w:lvlText w:val="%1."/>
      <w:numFmt w:val="decimal"/>
      <w:start w:val="17"/>
    </w:lvl>
  </w:abstractNum>
  <w:abstractNum w:abstractNumId="358">
    <w:nsid w:val="3C09D4A1"/>
    <w:multiLevelType w:val="hybridMultilevel"/>
    <w:lvl w:ilvl="0">
      <w:lvlJc w:val="left"/>
      <w:lvlText w:val="%1."/>
      <w:numFmt w:val="decimal"/>
      <w:start w:val="19"/>
    </w:lvl>
  </w:abstractNum>
  <w:abstractNum w:abstractNumId="359">
    <w:nsid w:val="20E45C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jpe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jpeg"/><Relationship Id="rId692" Type="http://schemas.openxmlformats.org/officeDocument/2006/relationships/image" Target="media/image685.jpeg"/><Relationship Id="rId693" Type="http://schemas.openxmlformats.org/officeDocument/2006/relationships/image" Target="media/image686.jpe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jpeg"/><Relationship Id="rId813" Type="http://schemas.openxmlformats.org/officeDocument/2006/relationships/image" Target="media/image806.jpe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jpe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jpe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jpe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jpe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jpe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jpe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jpe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jpeg"/><Relationship Id="rId933" Type="http://schemas.openxmlformats.org/officeDocument/2006/relationships/image" Target="media/image926.png"/><Relationship Id="rId934" Type="http://schemas.openxmlformats.org/officeDocument/2006/relationships/image" Target="media/image927.jpe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jpe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jpe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jpeg"/><Relationship Id="rId1044" Type="http://schemas.openxmlformats.org/officeDocument/2006/relationships/image" Target="media/image1037.jpe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2024-04-08T05:44:53Z</dcterms:created>
  <dcterms:modified xsi:type="dcterms:W3CDTF">2024-04-08T05:44:53Z</dcterms:modified>
</cp:coreProperties>
</file>