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Date of Report (date of earliest event reported): October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93"/>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Title of each class</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Trading Symbol(s)</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C</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J</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K</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L</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JPM/32</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Alerian MLP Index ETNs due January 28, 2044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AMJB</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Inverse VIX Short-Term Futures ETNs due March 22, 2045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VYLD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bl>
    <w:p>
      <w:pPr>
        <w:spacing w:after="0" w:line="100" w:lineRule="exact"/>
        <w:rPr>
          <w:sz w:val="24"/>
          <w:szCs w:val="24"/>
          <w:color w:val="auto"/>
        </w:rPr>
      </w:pPr>
    </w:p>
    <w:p>
      <w:pPr>
        <w:ind w:right="580"/>
        <w:spacing w:after="0" w:line="146"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October 14, 2025, JPMorgan Chase &amp; Co. (“JPMorganChase” or the “Firm”) held an investor presentation to review 2025 third quarter earnings.</w:t>
      </w:r>
    </w:p>
    <w:p>
      <w:pPr>
        <w:spacing w:after="0" w:line="150"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16" w:lineRule="exact"/>
        <w:rPr>
          <w:sz w:val="20"/>
          <w:szCs w:val="20"/>
          <w:color w:val="auto"/>
        </w:rPr>
      </w:pPr>
    </w:p>
    <w:p>
      <w:pPr>
        <w:ind w:left="8" w:right="40"/>
        <w:spacing w:after="0" w:line="256" w:lineRule="auto"/>
        <w:rPr>
          <w:sz w:val="20"/>
          <w:szCs w:val="20"/>
          <w:color w:val="auto"/>
        </w:rPr>
      </w:pPr>
      <w:r>
        <w:rPr>
          <w:rFonts w:ascii="Arial" w:cs="Arial" w:eastAsia="Arial" w:hAnsi="Arial"/>
          <w:sz w:val="12"/>
          <w:szCs w:val="12"/>
          <w:i w:val="1"/>
          <w:iCs w:val="1"/>
          <w:color w:val="auto"/>
        </w:rPr>
        <w:t xml:space="preserve">This Current Report on Form 8-K (including the Exhibit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2024 and Quarterly Reports on Form 10-Q for the quarters ended March 31, 2025 and June 30, 2025, which have been filed with the Securities and Exchange Commission and are available on JPMorganChase’s website </w:t>
      </w:r>
      <w:r>
        <w:rPr>
          <w:rFonts w:ascii="Arial" w:cs="Arial" w:eastAsia="Arial" w:hAnsi="Arial"/>
          <w:sz w:val="12"/>
          <w:szCs w:val="12"/>
          <w:i w:val="1"/>
          <w:iCs w:val="1"/>
          <w:u w:val="single" w:color="auto"/>
          <w:color w:val="auto"/>
        </w:rPr>
        <w:t>(https://jpmorganchaseco.gcs-web.com/ir/sec-other-filings/overview</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500" w:type="dxa"/>
            <w:vAlign w:val="bottom"/>
            <w:tcBorders>
              <w:bottom w:val="single" w:sz="8" w:color="auto"/>
            </w:tcBorders>
            <w:gridSpan w:val="2"/>
          </w:tcPr>
          <w:p>
            <w:pPr>
              <w:ind w:left="362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0000FF"/>
              </w:rPr>
              <w:t>JPMorgan Chase &amp; Co. Earnings Presentation Slides – Financial Results – 3Q25</w:t>
            </w:r>
          </w:p>
        </w:tc>
      </w:tr>
      <w:tr>
        <w:trPr>
          <w:trHeight w:val="20"/>
        </w:trPr>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156"/>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gridSpan w:val="2"/>
          </w:tcPr>
          <w:p>
            <w:pPr>
              <w:jc w:val="right"/>
              <w:ind w:right="780"/>
              <w:spacing w:after="0"/>
              <w:rPr>
                <w:sz w:val="20"/>
                <w:szCs w:val="20"/>
                <w:color w:val="auto"/>
              </w:rPr>
            </w:pPr>
            <w:r>
              <w:rPr>
                <w:rFonts w:ascii="Arial" w:cs="Arial" w:eastAsia="Arial" w:hAnsi="Arial"/>
                <w:sz w:val="12"/>
                <w:szCs w:val="12"/>
                <w:color w:val="auto"/>
              </w:rPr>
              <w:t>2</w:t>
            </w:r>
          </w:p>
        </w:tc>
        <w:tc>
          <w:tcPr>
            <w:tcW w:w="4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42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90"/>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Elena Korablina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Elena Korablina</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Managing Director and Firmwide Controller</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October 14,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8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3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8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3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2025-10-14T08:51:07Z</dcterms:created>
  <dcterms:modified xsi:type="dcterms:W3CDTF">2025-10-14T08:51:07Z</dcterms:modified>
</cp:coreProperties>
</file>