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4" w:lineRule="auto"/>
        <w:framePr w:w="1360" w:h="878" w:wrap="auto" w:vAnchor="page" w:hAnchor="page" w:x="2160" w:y="9819"/>
        <w:rPr>
          <w:rFonts w:ascii="Arial" w:cs="Arial" w:eastAsia="Arial" w:hAnsi="Arial"/>
          <w:sz w:val="13"/>
          <w:szCs w:val="13"/>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If the final index</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value of </w:t>
      </w:r>
      <w:r>
        <w:rPr>
          <w:rFonts w:ascii="Arial" w:cs="Arial" w:eastAsia="Arial" w:hAnsi="Arial"/>
          <w:sz w:val="13"/>
          <w:szCs w:val="13"/>
          <w:b w:val="1"/>
          <w:bCs w:val="1"/>
          <w:color w:val="auto"/>
        </w:rPr>
        <w:t>any</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underlying index </w:t>
      </w:r>
      <w:r>
        <w:rPr>
          <w:rFonts w:ascii="Arial" w:cs="Arial" w:eastAsia="Arial" w:hAnsi="Arial"/>
          <w:sz w:val="13"/>
          <w:szCs w:val="13"/>
          <w:color w:val="auto"/>
        </w:rPr>
        <w:t>is less than its downside threshold level:</w:t>
      </w:r>
    </w:p>
    <w:p>
      <w:pPr>
        <w:spacing w:after="0" w:line="217" w:lineRule="auto"/>
        <w:framePr w:w="1160" w:h="136" w:wrap="auto" w:vAnchor="page" w:hAnchor="page" w:x="2140" w:y="8482"/>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If the final index</w:t>
      </w:r>
    </w:p>
    <w:p>
      <w:pPr>
        <w:spacing w:after="0" w:line="231" w:lineRule="auto"/>
        <w:framePr w:w="1240" w:h="865" w:wrap="auto" w:vAnchor="page" w:hAnchor="page" w:x="2280" w:y="8644"/>
        <w:rPr>
          <w:rFonts w:ascii="Arial" w:cs="Arial" w:eastAsia="Arial" w:hAnsi="Arial"/>
          <w:sz w:val="13"/>
          <w:szCs w:val="13"/>
          <w:color w:val="auto"/>
        </w:rPr>
      </w:pPr>
      <w:r>
        <w:rPr>
          <w:rFonts w:ascii="Arial" w:cs="Arial" w:eastAsia="Arial" w:hAnsi="Arial"/>
          <w:sz w:val="13"/>
          <w:szCs w:val="13"/>
          <w:b w:val="1"/>
          <w:bCs w:val="1"/>
          <w:color w:val="auto"/>
        </w:rPr>
        <w:t xml:space="preserve">value of each underlying index is greater than or equal to </w:t>
      </w:r>
      <w:r>
        <w:rPr>
          <w:rFonts w:ascii="Arial" w:cs="Arial" w:eastAsia="Arial" w:hAnsi="Arial"/>
          <w:sz w:val="13"/>
          <w:szCs w:val="13"/>
          <w:color w:val="auto"/>
        </w:rPr>
        <w:t>its</w:t>
      </w:r>
      <w:r>
        <w:rPr>
          <w:rFonts w:ascii="Arial" w:cs="Arial" w:eastAsia="Arial" w:hAnsi="Arial"/>
          <w:sz w:val="13"/>
          <w:szCs w:val="13"/>
          <w:b w:val="1"/>
          <w:bCs w:val="1"/>
          <w:color w:val="auto"/>
        </w:rPr>
        <w:t xml:space="preserve"> </w:t>
      </w:r>
      <w:r>
        <w:rPr>
          <w:rFonts w:ascii="Arial" w:cs="Arial" w:eastAsia="Arial" w:hAnsi="Arial"/>
          <w:sz w:val="13"/>
          <w:szCs w:val="13"/>
          <w:color w:val="auto"/>
        </w:rPr>
        <w:t>downside threshold level:</w:t>
      </w:r>
    </w:p>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rFonts w:ascii="Arial" w:cs="Arial" w:eastAsia="Arial" w:hAnsi="Arial"/>
          <w:sz w:val="13"/>
          <w:szCs w:val="13"/>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rFonts w:ascii="Arial" w:cs="Arial" w:eastAsia="Arial" w:hAnsi="Arial"/>
          <w:sz w:val="13"/>
          <w:szCs w:val="13"/>
          <w:color w:val="auto"/>
        </w:rPr>
      </w:pP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29" w:lineRule="auto"/>
        <w:rPr>
          <w:sz w:val="20"/>
          <w:szCs w:val="20"/>
          <w:color w:val="auto"/>
        </w:rPr>
      </w:pPr>
      <w:r>
        <w:rPr>
          <w:rFonts w:ascii="Arial" w:cs="Arial" w:eastAsia="Arial" w:hAnsi="Arial"/>
          <w:sz w:val="14"/>
          <w:szCs w:val="14"/>
          <w:color w:val="808080"/>
        </w:rPr>
        <w:t>Dated June 11, 2026</w:t>
      </w:r>
    </w:p>
    <w:p>
      <w:pPr>
        <w:spacing w:after="0" w:line="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29"/>
          <w:szCs w:val="29"/>
          <w:color w:val="296DC1"/>
        </w:rPr>
        <w:t>2-Year SX5E/SPW/MID Contingent Income Callable Securities</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80" w:right="640"/>
        <w:spacing w:after="0" w:line="247"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and prospectus and the“Risk Considerations” on the following page, prior to making an investment decision.</w:t>
      </w:r>
    </w:p>
    <w:p>
      <w:pPr>
        <w:sectPr>
          <w:pgSz w:w="11900" w:h="16838" w:orient="portrait"/>
          <w:cols w:equalWidth="0" w:num="1">
            <w:col w:w="11240"/>
          </w:cols>
          <w:pgMar w:left="320" w:top="219" w:right="339" w:bottom="1440" w:gutter="0" w:footer="0" w:header="0"/>
        </w:sectPr>
      </w:pPr>
    </w:p>
    <w:p>
      <w:pPr>
        <w:spacing w:after="0" w:line="46" w:lineRule="exact"/>
        <w:rPr>
          <w:rFonts w:ascii="Arial" w:cs="Arial" w:eastAsia="Arial" w:hAnsi="Arial"/>
          <w:sz w:val="13"/>
          <w:szCs w:val="13"/>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55" w:lineRule="exact"/>
        <w:rPr>
          <w:rFonts w:ascii="Arial" w:cs="Arial" w:eastAsia="Arial" w:hAnsi="Arial"/>
          <w:sz w:val="13"/>
          <w:szCs w:val="13"/>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136" w:lineRule="exact"/>
        <w:rPr>
          <w:rFonts w:ascii="Arial" w:cs="Arial" w:eastAsia="Arial" w:hAnsi="Arial"/>
          <w:sz w:val="13"/>
          <w:szCs w:val="13"/>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15" w:lineRule="exact"/>
        <w:rPr>
          <w:rFonts w:ascii="Arial" w:cs="Arial" w:eastAsia="Arial" w:hAnsi="Arial"/>
          <w:sz w:val="13"/>
          <w:szCs w:val="13"/>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89" w:lineRule="exact"/>
        <w:rPr>
          <w:rFonts w:ascii="Arial" w:cs="Arial" w:eastAsia="Arial" w:hAnsi="Arial"/>
          <w:sz w:val="13"/>
          <w:szCs w:val="13"/>
          <w:color w:val="auto"/>
        </w:rPr>
      </w:pPr>
    </w:p>
    <w:p>
      <w:pPr>
        <w:ind w:left="100" w:right="380"/>
        <w:spacing w:after="0" w:line="294" w:lineRule="auto"/>
        <w:rPr>
          <w:sz w:val="20"/>
          <w:szCs w:val="20"/>
          <w:color w:val="auto"/>
        </w:rPr>
      </w:pPr>
      <w:r>
        <w:rPr>
          <w:rFonts w:ascii="Arial" w:cs="Arial" w:eastAsia="Arial" w:hAnsi="Arial"/>
          <w:sz w:val="14"/>
          <w:szCs w:val="14"/>
          <w:b w:val="1"/>
          <w:bCs w:val="1"/>
          <w:color w:val="296DC1"/>
        </w:rPr>
        <w:t>Optional early redemption:</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line="239"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JPMorgan Chase Financial Company LLC (“JPMorgan</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-1111885</wp:posOffset>
            </wp:positionH>
            <wp:positionV relativeFrom="paragraph">
              <wp:posOffset>-257810</wp:posOffset>
            </wp:positionV>
            <wp:extent cx="348869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88690" cy="1714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Financial”)</w:t>
      </w:r>
    </w:p>
    <w:p>
      <w:pPr>
        <w:spacing w:after="0"/>
        <w:rPr>
          <w:sz w:val="20"/>
          <w:szCs w:val="20"/>
          <w:color w:val="auto"/>
        </w:rPr>
      </w:pPr>
      <w:r>
        <w:rPr>
          <w:rFonts w:ascii="Arial" w:cs="Arial" w:eastAsia="Arial" w:hAnsi="Arial"/>
          <w:sz w:val="13"/>
          <w:szCs w:val="13"/>
          <w:color w:val="auto"/>
        </w:rPr>
        <w:t>JPMorgan Chase &amp; Co.</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-1111885</wp:posOffset>
            </wp:positionH>
            <wp:positionV relativeFrom="paragraph">
              <wp:posOffset>-93980</wp:posOffset>
            </wp:positionV>
            <wp:extent cx="3488690" cy="1028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8690" cy="102870"/>
                    </a:xfrm>
                    <a:prstGeom prst="rect">
                      <a:avLst/>
                    </a:prstGeom>
                    <a:noFill/>
                  </pic:spPr>
                </pic:pic>
              </a:graphicData>
            </a:graphic>
          </wp:anchor>
        </w:drawing>
      </w:r>
    </w:p>
    <w:p>
      <w:pPr>
        <w:spacing w:after="0" w:line="197" w:lineRule="auto"/>
        <w:rPr>
          <w:sz w:val="20"/>
          <w:szCs w:val="20"/>
          <w:color w:val="auto"/>
        </w:rPr>
      </w:pPr>
      <w:r>
        <w:rPr>
          <w:rFonts w:ascii="Arial" w:cs="Arial" w:eastAsia="Arial" w:hAnsi="Arial"/>
          <w:sz w:val="13"/>
          <w:szCs w:val="13"/>
          <w:color w:val="auto"/>
        </w:rPr>
        <w:t>EURO STOXX 50</w:t>
      </w:r>
      <w:r>
        <w:rPr>
          <w:rFonts w:ascii="Arial" w:cs="Arial" w:eastAsia="Arial" w:hAnsi="Arial"/>
          <w:sz w:val="22"/>
          <w:szCs w:val="22"/>
          <w:color w:val="auto"/>
          <w:vertAlign w:val="superscript"/>
        </w:rPr>
        <w:t>®</w:t>
      </w:r>
      <w:r>
        <w:rPr>
          <w:rFonts w:ascii="Arial" w:cs="Arial" w:eastAsia="Arial" w:hAnsi="Arial"/>
          <w:sz w:val="13"/>
          <w:szCs w:val="13"/>
          <w:color w:val="auto"/>
        </w:rPr>
        <w:t xml:space="preserve"> Index (Bloomberg ticker: SX5E Index)</w:t>
      </w:r>
    </w:p>
    <w:p>
      <w:pPr>
        <w:spacing w:after="0" w:line="1" w:lineRule="exact"/>
        <w:rPr>
          <w:rFonts w:ascii="Arial" w:cs="Arial" w:eastAsia="Arial" w:hAnsi="Arial"/>
          <w:sz w:val="13"/>
          <w:szCs w:val="13"/>
          <w:color w:val="auto"/>
        </w:rPr>
      </w:pPr>
    </w:p>
    <w:p>
      <w:pPr>
        <w:ind w:right="100"/>
        <w:spacing w:after="0" w:line="201" w:lineRule="auto"/>
        <w:rPr>
          <w:sz w:val="20"/>
          <w:szCs w:val="20"/>
          <w:color w:val="auto"/>
        </w:rPr>
      </w:pPr>
      <w:r>
        <w:rPr>
          <w:rFonts w:ascii="Arial" w:cs="Arial" w:eastAsia="Arial" w:hAnsi="Arial"/>
          <w:sz w:val="13"/>
          <w:szCs w:val="13"/>
          <w:color w:val="auto"/>
        </w:rPr>
        <w:t>(the “SX5E Index”), S&amp;P 500</w:t>
      </w:r>
      <w:r>
        <w:rPr>
          <w:rFonts w:ascii="Arial" w:cs="Arial" w:eastAsia="Arial" w:hAnsi="Arial"/>
          <w:sz w:val="22"/>
          <w:szCs w:val="22"/>
          <w:color w:val="auto"/>
          <w:vertAlign w:val="superscript"/>
        </w:rPr>
        <w:t>®</w:t>
      </w:r>
      <w:r>
        <w:rPr>
          <w:rFonts w:ascii="Arial" w:cs="Arial" w:eastAsia="Arial" w:hAnsi="Arial"/>
          <w:sz w:val="13"/>
          <w:szCs w:val="13"/>
          <w:color w:val="auto"/>
        </w:rPr>
        <w:t xml:space="preserve"> Equal Weight Index (Bloomberg ticker: SPW Index) (the “SPW Index”) and S&amp;P</w:t>
      </w:r>
    </w:p>
    <w:p>
      <w:pPr>
        <w:ind w:right="20"/>
        <w:spacing w:after="0" w:line="197" w:lineRule="auto"/>
        <w:rPr>
          <w:sz w:val="20"/>
          <w:szCs w:val="20"/>
          <w:color w:val="auto"/>
        </w:rPr>
      </w:pPr>
      <w:r>
        <w:rPr>
          <w:rFonts w:ascii="Arial" w:cs="Arial" w:eastAsia="Arial" w:hAnsi="Arial"/>
          <w:sz w:val="13"/>
          <w:szCs w:val="13"/>
          <w:color w:val="auto"/>
        </w:rPr>
        <w:t>MidCap 400</w:t>
      </w:r>
      <w:r>
        <w:rPr>
          <w:rFonts w:ascii="Arial" w:cs="Arial" w:eastAsia="Arial" w:hAnsi="Arial"/>
          <w:sz w:val="22"/>
          <w:szCs w:val="22"/>
          <w:color w:val="auto"/>
          <w:vertAlign w:val="superscript"/>
        </w:rPr>
        <w:t>®</w:t>
      </w:r>
      <w:r>
        <w:rPr>
          <w:rFonts w:ascii="Arial" w:cs="Arial" w:eastAsia="Arial" w:hAnsi="Arial"/>
          <w:sz w:val="13"/>
          <w:szCs w:val="13"/>
          <w:color w:val="auto"/>
        </w:rPr>
        <w:t xml:space="preserve"> Index (Bloomberg ticker: MID Index) (the “MID Index”) (each an “underlying index”)</w:t>
      </w:r>
    </w:p>
    <w:p>
      <w:pPr>
        <w:spacing w:after="0" w:line="243"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auto"/>
        </w:rPr>
        <w:t>at our discretion</w:t>
      </w:r>
      <w:r>
        <w:rPr>
          <w:rFonts w:ascii="Arial" w:cs="Arial" w:eastAsia="Arial" w:hAnsi="Arial"/>
          <w:sz w:val="13"/>
          <w:szCs w:val="13"/>
          <w:color w:val="auto"/>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-1111885</wp:posOffset>
            </wp:positionH>
            <wp:positionV relativeFrom="paragraph">
              <wp:posOffset>-575945</wp:posOffset>
            </wp:positionV>
            <wp:extent cx="3488690" cy="1036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88690" cy="1036955"/>
                    </a:xfrm>
                    <a:prstGeom prst="rect">
                      <a:avLst/>
                    </a:prstGeom>
                    <a:noFill/>
                  </pic:spPr>
                </pic:pic>
              </a:graphicData>
            </a:graphic>
          </wp:anchor>
        </w:drawing>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ind w:right="420"/>
        <w:spacing w:after="0" w:line="245" w:lineRule="auto"/>
        <w:rPr>
          <w:sz w:val="20"/>
          <w:szCs w:val="20"/>
          <w:color w:val="auto"/>
        </w:rPr>
      </w:pPr>
      <w:r>
        <w:rPr>
          <w:rFonts w:ascii="Arial" w:cs="Arial" w:eastAsia="Arial" w:hAnsi="Arial"/>
          <w:sz w:val="14"/>
          <w:szCs w:val="14"/>
          <w:b w:val="1"/>
          <w:bCs w:val="1"/>
          <w:color w:val="296DC1"/>
        </w:rPr>
        <w:t>Stated principal amount:</w:t>
      </w:r>
    </w:p>
    <w:p>
      <w:pPr>
        <w:spacing w:after="0" w:line="1" w:lineRule="exact"/>
        <w:rPr>
          <w:rFonts w:ascii="Arial" w:cs="Arial" w:eastAsia="Arial" w:hAnsi="Arial"/>
          <w:sz w:val="13"/>
          <w:szCs w:val="13"/>
          <w:color w:val="auto"/>
        </w:rPr>
      </w:pPr>
    </w:p>
    <w:p>
      <w:pPr>
        <w:ind w:right="220"/>
        <w:spacing w:after="0" w:line="239" w:lineRule="auto"/>
        <w:rPr>
          <w:sz w:val="20"/>
          <w:szCs w:val="20"/>
          <w:color w:val="auto"/>
        </w:rPr>
      </w:pPr>
      <w:r>
        <w:rPr>
          <w:rFonts w:ascii="Arial" w:cs="Arial" w:eastAsia="Arial" w:hAnsi="Arial"/>
          <w:sz w:val="14"/>
          <w:szCs w:val="14"/>
          <w:b w:val="1"/>
          <w:bCs w:val="1"/>
          <w:color w:val="296DC1"/>
        </w:rPr>
        <w:t>Issue price: Pricing date: Original issue date (settlement date):</w:t>
      </w:r>
    </w:p>
    <w:p>
      <w:pPr>
        <w:spacing w:after="0" w:line="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4"/>
          <w:szCs w:val="14"/>
          <w:b w:val="1"/>
          <w:bCs w:val="1"/>
          <w:color w:val="296DC1"/>
        </w:rPr>
        <w:t>Determination 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spacing w:after="0" w:line="172" w:lineRule="exact"/>
        <w:rPr>
          <w:rFonts w:ascii="Arial" w:cs="Arial" w:eastAsia="Arial" w:hAnsi="Arial"/>
          <w:sz w:val="13"/>
          <w:szCs w:val="13"/>
          <w:color w:val="auto"/>
        </w:rPr>
      </w:pPr>
    </w:p>
    <w:p>
      <w:pPr>
        <w:ind w:right="120"/>
        <w:spacing w:after="0" w:line="256" w:lineRule="auto"/>
        <w:rPr>
          <w:sz w:val="20"/>
          <w:szCs w:val="20"/>
          <w:color w:val="auto"/>
        </w:rPr>
      </w:pPr>
      <w:r>
        <w:rPr>
          <w:rFonts w:ascii="Arial" w:cs="Arial" w:eastAsia="Arial" w:hAnsi="Arial"/>
          <w:sz w:val="14"/>
          <w:szCs w:val="14"/>
          <w:b w:val="1"/>
          <w:bCs w:val="1"/>
          <w:color w:val="296DC1"/>
        </w:rPr>
        <w:t>Contingent payment dates</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p>
      <w:pPr>
        <w:ind w:right="200"/>
        <w:spacing w:after="0" w:line="216" w:lineRule="auto"/>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 CUSIP / ISIN: Preliminary pricing supplement:</w:t>
      </w:r>
    </w:p>
    <w:p>
      <w:pPr>
        <w:spacing w:after="0" w:line="20" w:lineRule="exact"/>
        <w:rPr>
          <w:rFonts w:ascii="Arial" w:cs="Arial" w:eastAsia="Arial" w:hAnsi="Arial"/>
          <w:sz w:val="13"/>
          <w:szCs w:val="13"/>
          <w:color w:val="auto"/>
        </w:rPr>
      </w:pPr>
      <w:r>
        <w:rPr>
          <w:rFonts w:ascii="Arial" w:cs="Arial" w:eastAsia="Arial" w:hAnsi="Arial"/>
          <w:sz w:val="13"/>
          <w:szCs w:val="13"/>
          <w:color w:val="auto"/>
        </w:rPr>
        <w:br w:type="column"/>
      </w:r>
    </w:p>
    <w:p>
      <w:pPr>
        <w:spacing w:after="0"/>
        <w:rPr>
          <w:sz w:val="20"/>
          <w:szCs w:val="20"/>
          <w:color w:val="auto"/>
        </w:rPr>
      </w:pPr>
      <w:r>
        <w:rPr>
          <w:rFonts w:ascii="Arial" w:cs="Arial" w:eastAsia="Arial" w:hAnsi="Arial"/>
          <w:sz w:val="13"/>
          <w:szCs w:val="13"/>
          <w:color w:val="auto"/>
        </w:rPr>
        <w:t>$1,000 per security</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-1147445</wp:posOffset>
            </wp:positionH>
            <wp:positionV relativeFrom="paragraph">
              <wp:posOffset>-93980</wp:posOffset>
            </wp:positionV>
            <wp:extent cx="348869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8690" cy="205740"/>
                    </a:xfrm>
                    <a:prstGeom prst="rect">
                      <a:avLst/>
                    </a:prstGeom>
                    <a:noFill/>
                  </pic:spPr>
                </pic:pic>
              </a:graphicData>
            </a:graphic>
          </wp:anchor>
        </w:drawing>
      </w:r>
    </w:p>
    <w:p>
      <w:pPr>
        <w:spacing w:after="0" w:line="143"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$1,000 per security</w:t>
      </w:r>
    </w:p>
    <w:p>
      <w:pPr>
        <w:spacing w:after="0" w:line="25"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Expected to be June 15, 2026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-1147445</wp:posOffset>
            </wp:positionH>
            <wp:positionV relativeFrom="paragraph">
              <wp:posOffset>-93980</wp:posOffset>
            </wp:positionV>
            <wp:extent cx="3488690" cy="102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10287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3 business days after the pricing date</w:t>
      </w:r>
    </w:p>
    <w:p>
      <w:pPr>
        <w:spacing w:after="0" w:line="163" w:lineRule="exact"/>
        <w:rPr>
          <w:rFonts w:ascii="Arial" w:cs="Arial" w:eastAsia="Arial" w:hAnsi="Arial"/>
          <w:sz w:val="13"/>
          <w:szCs w:val="13"/>
          <w:color w:val="auto"/>
        </w:rPr>
      </w:pPr>
    </w:p>
    <w:p>
      <w:pPr>
        <w:ind w:right="160"/>
        <w:spacing w:after="0" w:line="244" w:lineRule="auto"/>
        <w:rPr>
          <w:sz w:val="20"/>
          <w:szCs w:val="20"/>
          <w:color w:val="auto"/>
        </w:rPr>
      </w:pPr>
      <w:r>
        <w:rPr>
          <w:rFonts w:ascii="Arial" w:cs="Arial" w:eastAsia="Arial" w:hAnsi="Arial"/>
          <w:sz w:val="13"/>
          <w:szCs w:val="13"/>
          <w:color w:val="auto"/>
        </w:rPr>
        <w:t>September 15, 2026, December 15, 2026, March 15, 2027, June 15, 2027, September 15, 2027, December 15, 2027, March 15, 2028 and June 15, 2028</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-1147445</wp:posOffset>
            </wp:positionH>
            <wp:positionV relativeFrom="paragraph">
              <wp:posOffset>-280670</wp:posOffset>
            </wp:positionV>
            <wp:extent cx="348869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283210"/>
                    </a:xfrm>
                    <a:prstGeom prst="rect">
                      <a:avLst/>
                    </a:prstGeom>
                    <a:noFill/>
                  </pic:spPr>
                </pic:pic>
              </a:graphicData>
            </a:graphic>
          </wp:anchor>
        </w:drawing>
      </w:r>
    </w:p>
    <w:p>
      <w:pPr>
        <w:ind w:right="160"/>
        <w:spacing w:after="0" w:line="247" w:lineRule="auto"/>
        <w:rPr>
          <w:sz w:val="20"/>
          <w:szCs w:val="20"/>
          <w:color w:val="auto"/>
        </w:rPr>
      </w:pPr>
      <w:r>
        <w:rPr>
          <w:rFonts w:ascii="Arial" w:cs="Arial" w:eastAsia="Arial" w:hAnsi="Arial"/>
          <w:sz w:val="13"/>
          <w:szCs w:val="13"/>
          <w:color w:val="auto"/>
        </w:rPr>
        <w:t>September 18, 2026, December 18, 2026, March 18, 2027, June 21, 2027, September 20, 2027, December 20, 2027, March 20, 2028 and the maturity date June 21, 2028</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-1147445</wp:posOffset>
            </wp:positionH>
            <wp:positionV relativeFrom="paragraph">
              <wp:posOffset>-8890</wp:posOffset>
            </wp:positionV>
            <wp:extent cx="348869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88690" cy="120015"/>
                    </a:xfrm>
                    <a:prstGeom prst="rect">
                      <a:avLst/>
                    </a:prstGeom>
                    <a:noFill/>
                  </pic:spPr>
                </pic:pic>
              </a:graphicData>
            </a:graphic>
          </wp:anchor>
        </w:drawing>
      </w:r>
    </w:p>
    <w:p>
      <w:pPr>
        <w:spacing w:after="0" w:line="141" w:lineRule="exact"/>
        <w:rPr>
          <w:rFonts w:ascii="Arial" w:cs="Arial" w:eastAsia="Arial" w:hAnsi="Arial"/>
          <w:sz w:val="13"/>
          <w:szCs w:val="13"/>
          <w:color w:val="auto"/>
        </w:rPr>
      </w:pPr>
    </w:p>
    <w:p>
      <w:pPr>
        <w:spacing w:after="0"/>
        <w:rPr>
          <w:sz w:val="20"/>
          <w:szCs w:val="20"/>
          <w:color w:val="auto"/>
        </w:rPr>
      </w:pPr>
      <w:r>
        <w:rPr>
          <w:rFonts w:ascii="Arial" w:cs="Arial" w:eastAsia="Arial" w:hAnsi="Arial"/>
          <w:sz w:val="13"/>
          <w:szCs w:val="13"/>
          <w:color w:val="auto"/>
        </w:rPr>
        <w:t>46661AZ45 / US46661AZ457</w:t>
      </w:r>
    </w:p>
    <w:p>
      <w:pPr>
        <w:spacing w:after="0" w:line="25" w:lineRule="exact"/>
        <w:rPr>
          <w:rFonts w:ascii="Arial" w:cs="Arial" w:eastAsia="Arial" w:hAnsi="Arial"/>
          <w:sz w:val="13"/>
          <w:szCs w:val="13"/>
          <w:color w:val="auto"/>
        </w:rPr>
      </w:pPr>
    </w:p>
    <w:p>
      <w:pPr>
        <w:ind w:right="300"/>
        <w:spacing w:after="0" w:line="260" w:lineRule="auto"/>
        <w:rPr>
          <w:rFonts w:ascii="Arial" w:cs="Arial" w:eastAsia="Arial" w:hAnsi="Arial"/>
          <w:sz w:val="13"/>
          <w:szCs w:val="13"/>
          <w:u w:val="single" w:color="auto"/>
          <w:color w:val="0000EE"/>
        </w:rPr>
      </w:pPr>
      <w:hyperlink r:id="rId16">
        <w:r>
          <w:rPr>
            <w:rFonts w:ascii="Arial" w:cs="Arial" w:eastAsia="Arial" w:hAnsi="Arial"/>
            <w:sz w:val="13"/>
            <w:szCs w:val="13"/>
            <w:u w:val="single" w:color="auto"/>
            <w:color w:val="0000EE"/>
          </w:rPr>
          <w:t>http://www.sec.gov/Archives/edgar/data/</w:t>
        </w:r>
      </w:hyperlink>
      <w:r>
        <w:rPr>
          <w:rFonts w:ascii="Arial" w:cs="Arial" w:eastAsia="Arial" w:hAnsi="Arial"/>
          <w:sz w:val="13"/>
          <w:szCs w:val="13"/>
          <w:u w:val="single" w:color="auto"/>
          <w:color w:val="0000EE"/>
        </w:rPr>
        <w:t xml:space="preserve"> </w:t>
      </w:r>
      <w:hyperlink r:id="rId16">
        <w:r>
          <w:rPr>
            <w:rFonts w:ascii="Arial" w:cs="Arial" w:eastAsia="Arial" w:hAnsi="Arial"/>
            <w:sz w:val="13"/>
            <w:szCs w:val="13"/>
            <w:u w:val="single" w:color="auto"/>
            <w:color w:val="0000EE"/>
          </w:rPr>
          <w:t>19617/000121390026067509/ea0294423-01_424b2.htm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-204470</wp:posOffset>
            </wp:positionV>
            <wp:extent cx="348869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88690" cy="2057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4">
            <w:col w:w="1440" w:space="320"/>
            <w:col w:w="3640" w:space="440"/>
            <w:col w:w="1500" w:space="200"/>
            <w:col w:w="3700"/>
          </w:cols>
          <w:pgMar w:left="320" w:top="2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right="26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00" w:lineRule="exact"/>
        <w:rPr>
          <w:sz w:val="20"/>
          <w:szCs w:val="20"/>
          <w:color w:val="auto"/>
        </w:rPr>
      </w:pPr>
    </w:p>
    <w:p>
      <w:pPr>
        <w:ind w:left="100" w:right="20"/>
        <w:spacing w:after="0" w:line="294" w:lineRule="auto"/>
        <w:rPr>
          <w:sz w:val="20"/>
          <w:szCs w:val="20"/>
          <w:color w:val="auto"/>
        </w:rPr>
      </w:pPr>
      <w:r>
        <w:rPr>
          <w:rFonts w:ascii="Arial" w:cs="Arial" w:eastAsia="Arial" w:hAnsi="Arial"/>
          <w:sz w:val="14"/>
          <w:szCs w:val="14"/>
          <w:b w:val="1"/>
          <w:bCs w:val="1"/>
          <w:color w:val="296DC1"/>
        </w:rPr>
        <w:t>Contingent quarterly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 w:right="60"/>
        <w:spacing w:after="0" w:line="251" w:lineRule="auto"/>
        <w:rPr>
          <w:sz w:val="20"/>
          <w:szCs w:val="20"/>
          <w:color w:val="auto"/>
        </w:rPr>
      </w:pPr>
      <w:r>
        <w:rPr>
          <w:rFonts w:ascii="Arial" w:cs="Arial" w:eastAsia="Arial" w:hAnsi="Arial"/>
          <w:sz w:val="14"/>
          <w:szCs w:val="14"/>
          <w:b w:val="1"/>
          <w:bCs w:val="1"/>
          <w:color w:val="296DC1"/>
        </w:rPr>
        <w:t>Downside threshold level:</w:t>
      </w:r>
    </w:p>
    <w:p>
      <w:pPr>
        <w:spacing w:after="0" w:line="1" w:lineRule="exact"/>
        <w:rPr>
          <w:sz w:val="20"/>
          <w:szCs w:val="20"/>
          <w:color w:val="auto"/>
        </w:rPr>
      </w:pPr>
    </w:p>
    <w:p>
      <w:pPr>
        <w:ind w:left="100"/>
        <w:spacing w:after="0" w:line="273" w:lineRule="auto"/>
        <w:rPr>
          <w:sz w:val="20"/>
          <w:szCs w:val="20"/>
          <w:color w:val="auto"/>
        </w:rPr>
      </w:pPr>
      <w:r>
        <w:rPr>
          <w:rFonts w:ascii="Arial" w:cs="Arial" w:eastAsia="Arial" w:hAnsi="Arial"/>
          <w:sz w:val="14"/>
          <w:szCs w:val="14"/>
          <w:b w:val="1"/>
          <w:bCs w:val="1"/>
          <w:color w:val="296DC1"/>
        </w:rPr>
        <w:t>Quarterly monitoring period:</w:t>
      </w:r>
    </w:p>
    <w:p>
      <w:pPr>
        <w:spacing w:after="0" w:line="36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Initial index value:</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296DC1"/>
        </w:rPr>
        <w:t>Final index value:</w:t>
      </w:r>
    </w:p>
    <w:p>
      <w:pPr>
        <w:spacing w:after="0" w:line="136" w:lineRule="exact"/>
        <w:rPr>
          <w:sz w:val="20"/>
          <w:szCs w:val="20"/>
          <w:color w:val="auto"/>
        </w:rPr>
      </w:pPr>
    </w:p>
    <w:p>
      <w:pPr>
        <w:ind w:left="100" w:right="140"/>
        <w:spacing w:after="0" w:line="259" w:lineRule="auto"/>
        <w:rPr>
          <w:sz w:val="20"/>
          <w:szCs w:val="20"/>
          <w:color w:val="auto"/>
        </w:rPr>
      </w:pPr>
      <w:r>
        <w:rPr>
          <w:rFonts w:ascii="Arial" w:cs="Arial" w:eastAsia="Arial" w:hAnsi="Arial"/>
          <w:sz w:val="14"/>
          <w:szCs w:val="14"/>
          <w:b w:val="1"/>
          <w:bCs w:val="1"/>
          <w:color w:val="296DC1"/>
        </w:rPr>
        <w:t>Worst performing underlying index: Index performance factor:</w:t>
      </w:r>
    </w:p>
    <w:p>
      <w:pPr>
        <w:spacing w:after="0" w:line="20" w:lineRule="exact"/>
        <w:rPr>
          <w:sz w:val="20"/>
          <w:szCs w:val="20"/>
          <w:color w:val="auto"/>
        </w:rPr>
      </w:pPr>
      <w:r>
        <w:rPr>
          <w:sz w:val="20"/>
          <w:szCs w:val="20"/>
          <w:color w:val="auto"/>
        </w:rPr>
        <w:br w:type="column"/>
      </w:r>
    </w:p>
    <w:p>
      <w:pPr>
        <w:ind w:left="12"/>
        <w:spacing w:after="0" w:line="221" w:lineRule="auto"/>
        <w:rPr>
          <w:sz w:val="20"/>
          <w:szCs w:val="20"/>
          <w:color w:val="auto"/>
        </w:rPr>
      </w:pPr>
      <w:r>
        <w:rPr>
          <w:rFonts w:ascii="Arial" w:cs="Arial" w:eastAsia="Arial" w:hAnsi="Arial"/>
          <w:sz w:val="13"/>
          <w:szCs w:val="13"/>
          <w:color w:val="auto"/>
        </w:rPr>
        <w:t>applicable contingent payment date. Any early redemption of the securities will be at our discretion and will not automatically occur based on the performance of the underlying indices. No further payments will be made on the securities once they have been redeemed.</w:t>
      </w:r>
    </w:p>
    <w:p>
      <w:pPr>
        <w:jc w:val="both"/>
        <w:ind w:left="12" w:right="20"/>
        <w:spacing w:after="0" w:line="243" w:lineRule="auto"/>
        <w:rPr>
          <w:sz w:val="20"/>
          <w:szCs w:val="20"/>
          <w:color w:val="auto"/>
        </w:rPr>
      </w:pPr>
      <w:r>
        <w:rPr>
          <w:rFonts w:ascii="Arial" w:cs="Arial" w:eastAsia="Arial" w:hAnsi="Arial"/>
          <w:sz w:val="13"/>
          <w:szCs w:val="13"/>
          <w:color w:val="auto"/>
        </w:rPr>
        <w:t xml:space="preserve">The early redemption payment will be an amount equal to (i)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any contingent quarterly payment otherwise due with respect to the related quarterly monitoring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-6350</wp:posOffset>
            </wp:positionV>
            <wp:extent cx="3488690" cy="17576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88690" cy="1757680"/>
                    </a:xfrm>
                    <a:prstGeom prst="rect">
                      <a:avLst/>
                    </a:prstGeom>
                    <a:noFill/>
                  </pic:spPr>
                </pic:pic>
              </a:graphicData>
            </a:graphic>
          </wp:anchor>
        </w:drawing>
      </w:r>
    </w:p>
    <w:p>
      <w:pPr>
        <w:ind w:left="152" w:right="40" w:hanging="134"/>
        <w:spacing w:after="0" w:line="244" w:lineRule="auto"/>
        <w:tabs>
          <w:tab w:leader="none" w:pos="122" w:val="left"/>
        </w:tabs>
        <w:numPr>
          <w:ilvl w:val="1"/>
          <w:numId w:val="1"/>
        </w:numPr>
        <w:rPr>
          <w:rFonts w:ascii="Arial" w:cs="Arial" w:eastAsia="Arial" w:hAnsi="Arial"/>
          <w:sz w:val="13"/>
          <w:szCs w:val="13"/>
          <w:b w:val="1"/>
          <w:bCs w:val="1"/>
          <w:color w:val="auto"/>
        </w:rPr>
      </w:pPr>
      <w:r>
        <w:rPr>
          <w:rFonts w:ascii="Arial" w:cs="Arial" w:eastAsia="Arial" w:hAnsi="Arial"/>
          <w:sz w:val="13"/>
          <w:szCs w:val="13"/>
          <w:color w:val="auto"/>
        </w:rPr>
        <w:t>If the closing level of each underlying index is greater than or equal to its downside threshold level on each day during a quarterly monitoring period, we will pay a contingent quarterly payment of at least $27.625 (at least 2.7625% of the stated principal amount) per security on the related contingent payment date. The actual contingent quarterly payment will be provided in the pricing supplement.</w:t>
      </w:r>
    </w:p>
    <w:p>
      <w:pPr>
        <w:spacing w:after="0" w:line="162" w:lineRule="exact"/>
        <w:rPr>
          <w:rFonts w:ascii="Arial" w:cs="Arial" w:eastAsia="Arial" w:hAnsi="Arial"/>
          <w:sz w:val="13"/>
          <w:szCs w:val="13"/>
          <w:b w:val="1"/>
          <w:bCs w:val="1"/>
          <w:color w:val="auto"/>
        </w:rPr>
      </w:pPr>
    </w:p>
    <w:p>
      <w:pPr>
        <w:ind w:left="112" w:right="40" w:hanging="112"/>
        <w:spacing w:after="0" w:line="244" w:lineRule="auto"/>
        <w:tabs>
          <w:tab w:leader="none" w:pos="103"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 xml:space="preserve">If the closing level of </w:t>
      </w:r>
      <w:r>
        <w:rPr>
          <w:rFonts w:ascii="Arial" w:cs="Arial" w:eastAsia="Arial" w:hAnsi="Arial"/>
          <w:sz w:val="13"/>
          <w:szCs w:val="13"/>
          <w:b w:val="1"/>
          <w:bCs w:val="1"/>
          <w:color w:val="auto"/>
        </w:rPr>
        <w:t>any underlying index</w:t>
      </w:r>
      <w:r>
        <w:rPr>
          <w:rFonts w:ascii="Arial" w:cs="Arial" w:eastAsia="Arial" w:hAnsi="Arial"/>
          <w:sz w:val="13"/>
          <w:szCs w:val="13"/>
          <w:color w:val="auto"/>
        </w:rPr>
        <w:t xml:space="preserve"> is less than its downside threshold level on </w:t>
      </w:r>
      <w:r>
        <w:rPr>
          <w:rFonts w:ascii="Arial" w:cs="Arial" w:eastAsia="Arial" w:hAnsi="Arial"/>
          <w:sz w:val="13"/>
          <w:szCs w:val="13"/>
          <w:b w:val="1"/>
          <w:bCs w:val="1"/>
          <w:color w:val="auto"/>
        </w:rPr>
        <w:t>any</w:t>
      </w:r>
      <w:r>
        <w:rPr>
          <w:rFonts w:ascii="Arial" w:cs="Arial" w:eastAsia="Arial" w:hAnsi="Arial"/>
          <w:sz w:val="13"/>
          <w:szCs w:val="13"/>
          <w:color w:val="auto"/>
        </w:rPr>
        <w:t xml:space="preserve"> day during a quarterly monitoring period, no contingent quarterly payment will be payable with respect to that quarterly monitoring period. </w:t>
      </w:r>
      <w:r>
        <w:rPr>
          <w:rFonts w:ascii="Arial" w:cs="Arial" w:eastAsia="Arial" w:hAnsi="Arial"/>
          <w:sz w:val="13"/>
          <w:szCs w:val="13"/>
          <w:b w:val="1"/>
          <w:bCs w:val="1"/>
          <w:color w:val="auto"/>
        </w:rPr>
        <w:t>It</w:t>
      </w:r>
      <w:r>
        <w:rPr>
          <w:rFonts w:ascii="Arial" w:cs="Arial" w:eastAsia="Arial" w:hAnsi="Arial"/>
          <w:sz w:val="13"/>
          <w:szCs w:val="13"/>
          <w:color w:val="auto"/>
        </w:rPr>
        <w:t xml:space="preserve"> </w:t>
      </w:r>
      <w:r>
        <w:rPr>
          <w:rFonts w:ascii="Arial" w:cs="Arial" w:eastAsia="Arial" w:hAnsi="Arial"/>
          <w:sz w:val="13"/>
          <w:szCs w:val="13"/>
          <w:b w:val="1"/>
          <w:bCs w:val="1"/>
          <w:color w:val="auto"/>
        </w:rPr>
        <w:t>is possible that the closing level of one or more of the underlying indices will be below their respective downside threshold levels on at least one day during most or all of the quarterly monitoring periods so that you will receive few or no contingent quarterly payments.</w:t>
      </w:r>
    </w:p>
    <w:p>
      <w:pPr>
        <w:spacing w:after="0" w:line="3" w:lineRule="exact"/>
        <w:rPr>
          <w:sz w:val="20"/>
          <w:szCs w:val="20"/>
          <w:color w:val="auto"/>
        </w:rPr>
      </w:pPr>
    </w:p>
    <w:p>
      <w:pPr>
        <w:ind w:left="1612" w:right="20"/>
        <w:spacing w:after="0" w:line="238" w:lineRule="auto"/>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(ii) if the closing level of</w:t>
      </w:r>
      <w:r>
        <w:rPr>
          <w:rFonts w:ascii="Arial" w:cs="Arial" w:eastAsia="Arial" w:hAnsi="Arial"/>
          <w:sz w:val="13"/>
          <w:szCs w:val="13"/>
          <w:i w:val="1"/>
          <w:iCs w:val="1"/>
          <w:color w:val="auto"/>
        </w:rPr>
        <w:t xml:space="preserve"> </w:t>
      </w:r>
      <w:r>
        <w:rPr>
          <w:rFonts w:ascii="Arial" w:cs="Arial" w:eastAsia="Arial" w:hAnsi="Arial"/>
          <w:sz w:val="13"/>
          <w:szCs w:val="13"/>
          <w:color w:val="auto"/>
        </w:rPr>
        <w:t>each underlying index on each day during the final quarterly monitoring period is greater than or equal to its downside threshold level, the contingent quarterly payment with respect to the final quarterly monitoring period.</w:t>
      </w:r>
    </w:p>
    <w:p>
      <w:pPr>
        <w:spacing w:after="0" w:line="6" w:lineRule="exact"/>
        <w:rPr>
          <w:sz w:val="20"/>
          <w:szCs w:val="20"/>
          <w:color w:val="auto"/>
        </w:rPr>
      </w:pPr>
    </w:p>
    <w:p>
      <w:pPr>
        <w:ind w:left="1612" w:right="20"/>
        <w:spacing w:after="0" w:line="238" w:lineRule="auto"/>
        <w:rPr>
          <w:sz w:val="20"/>
          <w:szCs w:val="20"/>
          <w:color w:val="auto"/>
        </w:rPr>
      </w:pPr>
      <w:r>
        <w:rPr>
          <w:rFonts w:ascii="Arial" w:cs="Arial" w:eastAsia="Arial" w:hAnsi="Arial"/>
          <w:sz w:val="13"/>
          <w:szCs w:val="13"/>
          <w:color w:val="auto"/>
        </w:rPr>
        <w:t xml:space="preserve">(i) the stated principal amount </w:t>
      </w:r>
      <w:r>
        <w:rPr>
          <w:rFonts w:ascii="Arial" w:cs="Arial" w:eastAsia="Arial" w:hAnsi="Arial"/>
          <w:sz w:val="13"/>
          <w:szCs w:val="13"/>
          <w:i w:val="1"/>
          <w:iCs w:val="1"/>
          <w:color w:val="auto"/>
        </w:rPr>
        <w:t xml:space="preserve">times </w:t>
      </w:r>
      <w:r>
        <w:rPr>
          <w:rFonts w:ascii="Arial" w:cs="Arial" w:eastAsia="Arial" w:hAnsi="Arial"/>
          <w:sz w:val="13"/>
          <w:szCs w:val="13"/>
          <w:color w:val="auto"/>
        </w:rPr>
        <w:t>(ii) the index performance</w:t>
      </w:r>
      <w:r>
        <w:rPr>
          <w:rFonts w:ascii="Arial" w:cs="Arial" w:eastAsia="Arial" w:hAnsi="Arial"/>
          <w:sz w:val="13"/>
          <w:szCs w:val="13"/>
          <w:i w:val="1"/>
          <w:iCs w:val="1"/>
          <w:color w:val="auto"/>
        </w:rPr>
        <w:t xml:space="preserve"> </w:t>
      </w:r>
      <w:r>
        <w:rPr>
          <w:rFonts w:ascii="Arial" w:cs="Arial" w:eastAsia="Arial" w:hAnsi="Arial"/>
          <w:sz w:val="13"/>
          <w:szCs w:val="13"/>
          <w:color w:val="auto"/>
        </w:rPr>
        <w:t>factor of the worst performing underlying index. This cash payment will be less than 75% of the stated principal amount of the securities and could be zero.</w:t>
      </w:r>
    </w:p>
    <w:p>
      <w:pPr>
        <w:spacing w:after="0" w:line="2" w:lineRule="exact"/>
        <w:rPr>
          <w:sz w:val="20"/>
          <w:szCs w:val="20"/>
          <w:color w:val="auto"/>
        </w:rPr>
      </w:pPr>
    </w:p>
    <w:p>
      <w:pPr>
        <w:ind w:left="12"/>
        <w:spacing w:after="0" w:line="250" w:lineRule="auto"/>
        <w:rPr>
          <w:sz w:val="20"/>
          <w:szCs w:val="20"/>
          <w:color w:val="auto"/>
        </w:rPr>
      </w:pPr>
      <w:r>
        <w:rPr>
          <w:rFonts w:ascii="Arial" w:cs="Arial" w:eastAsia="Arial" w:hAnsi="Arial"/>
          <w:sz w:val="13"/>
          <w:szCs w:val="13"/>
          <w:color w:val="auto"/>
        </w:rPr>
        <w:t>With respect to each underlying index, 75% of its initial index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-196850</wp:posOffset>
            </wp:positionV>
            <wp:extent cx="348869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88690" cy="205740"/>
                    </a:xfrm>
                    <a:prstGeom prst="rect">
                      <a:avLst/>
                    </a:prstGeom>
                    <a:noFill/>
                  </pic:spPr>
                </pic:pic>
              </a:graphicData>
            </a:graphic>
          </wp:anchor>
        </w:drawing>
      </w:r>
    </w:p>
    <w:p>
      <w:pPr>
        <w:ind w:left="12" w:right="80"/>
        <w:spacing w:after="0" w:line="242" w:lineRule="auto"/>
        <w:rPr>
          <w:sz w:val="20"/>
          <w:szCs w:val="20"/>
          <w:color w:val="auto"/>
        </w:rPr>
      </w:pPr>
      <w:r>
        <w:rPr>
          <w:rFonts w:ascii="Arial" w:cs="Arial" w:eastAsia="Arial" w:hAnsi="Arial"/>
          <w:sz w:val="13"/>
          <w:szCs w:val="13"/>
          <w:color w:val="auto"/>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p>
      <w:pPr>
        <w:ind w:left="12" w:right="200"/>
        <w:spacing w:after="0" w:line="238" w:lineRule="auto"/>
        <w:rPr>
          <w:sz w:val="20"/>
          <w:szCs w:val="20"/>
          <w:color w:val="auto"/>
        </w:rPr>
      </w:pPr>
      <w:r>
        <w:rPr>
          <w:rFonts w:ascii="Arial" w:cs="Arial" w:eastAsia="Arial" w:hAnsi="Arial"/>
          <w:sz w:val="13"/>
          <w:szCs w:val="13"/>
          <w:color w:val="auto"/>
        </w:rPr>
        <w:t>With respect to each underlying index, its closing level on the pricing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-187325</wp:posOffset>
            </wp:positionV>
            <wp:extent cx="348869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88690" cy="188595"/>
                    </a:xfrm>
                    <a:prstGeom prst="rect">
                      <a:avLst/>
                    </a:prstGeom>
                    <a:noFill/>
                  </pic:spPr>
                </pic:pic>
              </a:graphicData>
            </a:graphic>
          </wp:anchor>
        </w:drawing>
      </w:r>
    </w:p>
    <w:p>
      <w:pPr>
        <w:ind w:left="12" w:right="200"/>
        <w:spacing w:after="0" w:line="238" w:lineRule="auto"/>
        <w:rPr>
          <w:sz w:val="20"/>
          <w:szCs w:val="20"/>
          <w:color w:val="auto"/>
        </w:rPr>
      </w:pPr>
      <w:r>
        <w:rPr>
          <w:rFonts w:ascii="Arial" w:cs="Arial" w:eastAsia="Arial" w:hAnsi="Arial"/>
          <w:sz w:val="13"/>
          <w:szCs w:val="13"/>
          <w:color w:val="auto"/>
        </w:rPr>
        <w:t>With respect to each underlying index, its closing level on the final determination date</w:t>
      </w:r>
    </w:p>
    <w:p>
      <w:pPr>
        <w:spacing w:after="0" w:line="1" w:lineRule="exact"/>
        <w:rPr>
          <w:sz w:val="20"/>
          <w:szCs w:val="20"/>
          <w:color w:val="auto"/>
        </w:rPr>
      </w:pPr>
    </w:p>
    <w:p>
      <w:pPr>
        <w:ind w:left="12" w:right="340"/>
        <w:spacing w:after="0" w:line="250" w:lineRule="auto"/>
        <w:rPr>
          <w:sz w:val="20"/>
          <w:szCs w:val="20"/>
          <w:color w:val="auto"/>
        </w:rPr>
      </w:pPr>
      <w:r>
        <w:rPr>
          <w:rFonts w:ascii="Arial" w:cs="Arial" w:eastAsia="Arial" w:hAnsi="Arial"/>
          <w:sz w:val="13"/>
          <w:szCs w:val="13"/>
          <w:color w:val="auto"/>
        </w:rPr>
        <w:t>The underlying index with the worst index performance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-196850</wp:posOffset>
            </wp:positionV>
            <wp:extent cx="348869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88690" cy="205740"/>
                    </a:xfrm>
                    <a:prstGeom prst="rect">
                      <a:avLst/>
                    </a:prstGeom>
                    <a:noFill/>
                  </pic:spPr>
                </pic:pic>
              </a:graphicData>
            </a:graphic>
          </wp:anchor>
        </w:drawing>
      </w:r>
    </w:p>
    <w:p>
      <w:pPr>
        <w:ind w:left="12" w:right="140"/>
        <w:spacing w:after="0" w:line="280" w:lineRule="auto"/>
        <w:rPr>
          <w:sz w:val="20"/>
          <w:szCs w:val="20"/>
          <w:color w:val="auto"/>
        </w:rPr>
      </w:pPr>
      <w:r>
        <w:rPr>
          <w:rFonts w:ascii="Arial" w:cs="Arial" w:eastAsia="Arial" w:hAnsi="Arial"/>
          <w:sz w:val="13"/>
          <w:szCs w:val="13"/>
          <w:color w:val="auto"/>
        </w:rPr>
        <w:t xml:space="preserve">With respect to each underlying index, its final index value </w:t>
      </w:r>
      <w:r>
        <w:rPr>
          <w:rFonts w:ascii="Arial" w:cs="Arial" w:eastAsia="Arial" w:hAnsi="Arial"/>
          <w:sz w:val="13"/>
          <w:szCs w:val="13"/>
          <w:i w:val="1"/>
          <w:iCs w:val="1"/>
          <w:color w:val="auto"/>
        </w:rPr>
        <w:t xml:space="preserve">divided by </w:t>
      </w:r>
      <w:r>
        <w:rPr>
          <w:rFonts w:ascii="Arial" w:cs="Arial" w:eastAsia="Arial" w:hAnsi="Arial"/>
          <w:sz w:val="13"/>
          <w:szCs w:val="13"/>
          <w:color w:val="auto"/>
        </w:rPr>
        <w:t>its initial index value</w:t>
      </w:r>
    </w:p>
    <w:p>
      <w:pPr>
        <w:spacing w:after="0" w:line="20" w:lineRule="exact"/>
        <w:rPr>
          <w:sz w:val="20"/>
          <w:szCs w:val="20"/>
          <w:color w:val="auto"/>
        </w:rPr>
      </w:pPr>
      <w:r>
        <w:rPr>
          <w:sz w:val="20"/>
          <w:szCs w:val="20"/>
          <w:color w:val="auto"/>
        </w:rPr>
        <w:br w:type="column"/>
      </w:r>
    </w:p>
    <w:p>
      <w:pPr>
        <w:ind w:left="100"/>
        <w:spacing w:after="0" w:line="213"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 or early acceleration</w:t>
      </w:r>
    </w:p>
    <w:p>
      <w:pPr>
        <w:ind w:left="100" w:right="40"/>
        <w:spacing w:after="0" w:line="242"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$930.00 per $1,000 stated principal amount security. For information about the estimated value of the securities, which likely will be lower than the price you paid for the securities, please see the hyperlink above.</w:t>
      </w:r>
    </w:p>
    <w:p>
      <w:pPr>
        <w:spacing w:after="0" w:line="161" w:lineRule="exact"/>
        <w:rPr>
          <w:sz w:val="20"/>
          <w:szCs w:val="20"/>
          <w:color w:val="auto"/>
        </w:rPr>
      </w:pPr>
    </w:p>
    <w:p>
      <w:pPr>
        <w:ind w:left="100"/>
        <w:spacing w:after="0" w:line="252"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348869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88690" cy="514350"/>
                    </a:xfrm>
                    <a:prstGeom prst="rect">
                      <a:avLst/>
                    </a:prstGeom>
                    <a:noFill/>
                  </pic:spPr>
                </pic:pic>
              </a:graphicData>
            </a:graphic>
          </wp:anchor>
        </w:drawing>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4"/>
          <w:szCs w:val="14"/>
          <w:b w:val="1"/>
          <w:bCs w:val="1"/>
          <w:color w:val="FFFFFF"/>
        </w:rPr>
        <w:t>Hypothetical Payout at Maturity</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Change in Worst Performing Underlying</w:t>
            </w:r>
          </w:p>
        </w:tc>
        <w:tc>
          <w:tcPr>
            <w:tcW w:w="2540" w:type="dxa"/>
            <w:vAlign w:val="bottom"/>
          </w:tcPr>
          <w:p>
            <w:pPr>
              <w:jc w:val="center"/>
              <w:ind w:left="8"/>
              <w:spacing w:after="0"/>
              <w:rPr>
                <w:sz w:val="20"/>
                <w:szCs w:val="20"/>
                <w:color w:val="auto"/>
              </w:rPr>
            </w:pPr>
            <w:r>
              <w:rPr>
                <w:rFonts w:ascii="Arial" w:cs="Arial" w:eastAsia="Arial" w:hAnsi="Arial"/>
                <w:sz w:val="14"/>
                <w:szCs w:val="14"/>
                <w:b w:val="1"/>
                <w:bCs w:val="1"/>
                <w:color w:val="FFFFFF"/>
              </w:rPr>
              <w:t>Payment at Maturity (excluding any</w:t>
            </w:r>
          </w:p>
        </w:tc>
        <w:tc>
          <w:tcPr>
            <w:tcW w:w="0" w:type="dxa"/>
            <w:vAlign w:val="bottom"/>
          </w:tcPr>
          <w:p>
            <w:pPr>
              <w:spacing w:after="0"/>
              <w:rPr>
                <w:sz w:val="1"/>
                <w:szCs w:val="1"/>
                <w:color w:val="auto"/>
              </w:rPr>
            </w:pPr>
          </w:p>
        </w:tc>
      </w:tr>
      <w:tr>
        <w:trPr>
          <w:trHeight w:val="81"/>
        </w:trPr>
        <w:tc>
          <w:tcPr>
            <w:tcW w:w="2960" w:type="dxa"/>
            <w:vAlign w:val="bottom"/>
            <w:vMerge w:val="continue"/>
          </w:tcPr>
          <w:p>
            <w:pPr>
              <w:spacing w:after="0"/>
              <w:rPr>
                <w:sz w:val="7"/>
                <w:szCs w:val="7"/>
                <w:color w:val="auto"/>
              </w:rPr>
            </w:pPr>
          </w:p>
        </w:tc>
        <w:tc>
          <w:tcPr>
            <w:tcW w:w="25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FFFFFF"/>
              </w:rPr>
              <w:t>contingent quarterly payment</w:t>
            </w:r>
          </w:p>
        </w:tc>
        <w:tc>
          <w:tcPr>
            <w:tcW w:w="0" w:type="dxa"/>
            <w:vAlign w:val="bottom"/>
          </w:tcPr>
          <w:p>
            <w:pPr>
              <w:spacing w:after="0"/>
              <w:rPr>
                <w:sz w:val="1"/>
                <w:szCs w:val="1"/>
                <w:color w:val="auto"/>
              </w:rPr>
            </w:pPr>
          </w:p>
        </w:tc>
      </w:tr>
      <w:tr>
        <w:trPr>
          <w:trHeight w:val="81"/>
        </w:trPr>
        <w:tc>
          <w:tcPr>
            <w:tcW w:w="296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Index</w:t>
            </w: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960" w:type="dxa"/>
            <w:vAlign w:val="bottom"/>
            <w:vMerge w:val="continue"/>
          </w:tcPr>
          <w:p>
            <w:pPr>
              <w:spacing w:after="0"/>
              <w:rPr>
                <w:sz w:val="10"/>
                <w:szCs w:val="10"/>
                <w:color w:val="auto"/>
              </w:rPr>
            </w:pP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FFFFFF"/>
              </w:rPr>
              <w:t>payable at maturity)</w:t>
            </w:r>
          </w:p>
        </w:tc>
        <w:tc>
          <w:tcPr>
            <w:tcW w:w="0" w:type="dxa"/>
            <w:vAlign w:val="bottom"/>
          </w:tcPr>
          <w:p>
            <w:pPr>
              <w:spacing w:after="0"/>
              <w:rPr>
                <w:sz w:val="1"/>
                <w:szCs w:val="1"/>
                <w:color w:val="auto"/>
              </w:rPr>
            </w:pPr>
          </w:p>
        </w:tc>
      </w:tr>
      <w:tr>
        <w:trPr>
          <w:trHeight w:val="81"/>
        </w:trPr>
        <w:tc>
          <w:tcPr>
            <w:tcW w:w="296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50.00%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40.00%</w:t>
            </w:r>
          </w:p>
        </w:tc>
        <w:tc>
          <w:tcPr>
            <w:tcW w:w="254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20.00%</w:t>
            </w:r>
          </w:p>
        </w:tc>
        <w:tc>
          <w:tcPr>
            <w:tcW w:w="254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5.00%</w:t>
            </w:r>
          </w:p>
        </w:tc>
        <w:tc>
          <w:tcPr>
            <w:tcW w:w="254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-10.00%</w:t>
            </w:r>
          </w:p>
        </w:tc>
        <w:tc>
          <w:tcPr>
            <w:tcW w:w="254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-20.00%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-30.00%</w:t>
            </w:r>
          </w:p>
        </w:tc>
        <w:tc>
          <w:tcPr>
            <w:tcW w:w="2540" w:type="dxa"/>
            <w:vAlign w:val="bottom"/>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-35.00%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-35.01%</w:t>
            </w:r>
          </w:p>
        </w:tc>
        <w:tc>
          <w:tcPr>
            <w:tcW w:w="2540" w:type="dxa"/>
            <w:vAlign w:val="bottom"/>
          </w:tcPr>
          <w:p>
            <w:pPr>
              <w:jc w:val="center"/>
              <w:spacing w:after="0"/>
              <w:rPr>
                <w:sz w:val="20"/>
                <w:szCs w:val="20"/>
                <w:color w:val="auto"/>
              </w:rPr>
            </w:pPr>
            <w:r>
              <w:rPr>
                <w:rFonts w:ascii="Arial" w:cs="Arial" w:eastAsia="Arial" w:hAnsi="Arial"/>
                <w:sz w:val="14"/>
                <w:szCs w:val="14"/>
                <w:color w:val="auto"/>
              </w:rPr>
              <w:t>$649.90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-50.00%</w:t>
            </w:r>
          </w:p>
        </w:tc>
        <w:tc>
          <w:tcPr>
            <w:tcW w:w="2540" w:type="dxa"/>
            <w:vAlign w:val="bottom"/>
          </w:tcPr>
          <w:p>
            <w:pPr>
              <w:jc w:val="center"/>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-60.00%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89"/>
        </w:trPr>
        <w:tc>
          <w:tcPr>
            <w:tcW w:w="2960" w:type="dxa"/>
            <w:vAlign w:val="bottom"/>
          </w:tcPr>
          <w:p>
            <w:pPr>
              <w:jc w:val="center"/>
              <w:spacing w:after="0"/>
              <w:rPr>
                <w:sz w:val="20"/>
                <w:szCs w:val="20"/>
                <w:color w:val="auto"/>
              </w:rPr>
            </w:pPr>
            <w:r>
              <w:rPr>
                <w:rFonts w:ascii="Arial" w:cs="Arial" w:eastAsia="Arial" w:hAnsi="Arial"/>
                <w:sz w:val="14"/>
                <w:szCs w:val="14"/>
                <w:color w:val="auto"/>
              </w:rPr>
              <w:t>-80.00%</w:t>
            </w:r>
          </w:p>
        </w:tc>
        <w:tc>
          <w:tcPr>
            <w:tcW w:w="2540" w:type="dxa"/>
            <w:vAlign w:val="bottom"/>
          </w:tcPr>
          <w:p>
            <w:pPr>
              <w:jc w:val="center"/>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89"/>
        </w:trPr>
        <w:tc>
          <w:tcPr>
            <w:tcW w:w="296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-100.00%</w:t>
            </w:r>
          </w:p>
        </w:tc>
        <w:tc>
          <w:tcPr>
            <w:tcW w:w="2540" w:type="dxa"/>
            <w:vAlign w:val="bottom"/>
            <w:shd w:val="clear" w:color="auto" w:fill="D9D9D9"/>
          </w:tcPr>
          <w:p>
            <w:pPr>
              <w:jc w:val="center"/>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ectPr>
          <w:pgSz w:w="11900" w:h="16838" w:orient="portrait"/>
          <w:cols w:equalWidth="0" w:num="3">
            <w:col w:w="1540" w:space="208"/>
            <w:col w:w="3632" w:space="360"/>
            <w:col w:w="550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14" w:lineRule="exact"/>
        <w:rPr>
          <w:sz w:val="20"/>
          <w:szCs w:val="20"/>
          <w:color w:val="auto"/>
        </w:rPr>
      </w:pPr>
    </w:p>
    <w:p>
      <w:pPr>
        <w:spacing w:after="0"/>
        <w:rPr>
          <w:sz w:val="20"/>
          <w:szCs w:val="20"/>
          <w:color w:val="auto"/>
        </w:rPr>
      </w:pPr>
      <w:r>
        <w:rPr>
          <w:rFonts w:ascii="Arial" w:cs="Arial" w:eastAsia="Arial" w:hAnsi="Arial"/>
          <w:sz w:val="29"/>
          <w:szCs w:val="29"/>
          <w:color w:val="296DC1"/>
        </w:rPr>
        <w:t>2-Year SX5E/SPW/MID Contingent Income Callable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296DC1"/>
        </w:rPr>
        <w:t>Underlying Indices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indices,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w:t>
      </w:r>
    </w:p>
    <w:p>
      <w:pPr>
        <w:spacing w:after="0" w:line="231"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2"/>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46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monitoring period if the closing level of any underlying index is less than its downside threshold level on any day during that quarterly monitoring period.</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on the closing levels of the underlying indices during the quarterly monitoring periods.</w:t>
      </w:r>
    </w:p>
    <w:p>
      <w:pPr>
        <w:spacing w:after="0" w:line="31" w:lineRule="exact"/>
        <w:rPr>
          <w:rFonts w:ascii="Wingdings" w:cs="Wingdings" w:eastAsia="Wingdings" w:hAnsi="Wingdings"/>
          <w:sz w:val="22"/>
          <w:szCs w:val="22"/>
          <w:b w:val="1"/>
          <w:bCs w:val="1"/>
          <w:color w:val="A3C4EB"/>
          <w:vertAlign w:val="subscript"/>
        </w:rPr>
      </w:pPr>
    </w:p>
    <w:p>
      <w:pPr>
        <w:ind w:left="340" w:right="620" w:hanging="332"/>
        <w:spacing w:after="0" w:line="233" w:lineRule="auto"/>
        <w:tabs>
          <w:tab w:leader="none" w:pos="340" w:val="left"/>
        </w:tabs>
        <w:numPr>
          <w:ilvl w:val="0"/>
          <w:numId w:val="2"/>
        </w:numPr>
        <w:rPr>
          <w:rFonts w:ascii="Wingdings" w:cs="Wingdings" w:eastAsia="Wingdings" w:hAnsi="Wingdings"/>
          <w:sz w:val="35"/>
          <w:szCs w:val="35"/>
          <w:b w:val="1"/>
          <w:bCs w:val="1"/>
          <w:color w:val="A3C4EB"/>
          <w:vertAlign w:val="subscript"/>
        </w:rPr>
      </w:pPr>
      <w:r>
        <w:rPr>
          <w:rFonts w:ascii="Arial" w:cs="Arial" w:eastAsia="Arial" w:hAnsi="Arial"/>
          <w:sz w:val="14"/>
          <w:szCs w:val="14"/>
          <w:color w:val="auto"/>
        </w:rPr>
        <w:t>You are exposed to the price risk of all three underlying indices, with respect to all the contingent quarterly payments, if any, and the payment at maturity, if any.</w:t>
      </w: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activities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right="30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We may accelerate your securities in our sole discretion and the calculation agent may adjust their final payment in good faith and in a commercially reasonable manner if an acceleration event occurs.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3"/>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4"/>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Indices</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JPMorgan Chase &amp; Co. is currently one of the companies that make up the SPW Index.</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Investing in the securities is not equivalent to investing in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Adjustments to any underlying index could adversely affect the value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subject to risks associated with securities issued by non-U.S. companies with respect to the SX5E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not directly exposed to fluctuations in foreign exchange rates with respect to the SX5E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An investment in the securities is subject to risks associated with mid-size capitalization stocks with respect to the MID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1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26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46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6" Type="http://schemas.openxmlformats.org/officeDocument/2006/relationships/hyperlink" Target="http://www.sec.gov/Archives/edgar/data/19617/000121390026067509/ea0294423-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2026-06-11T13:42:24Z</dcterms:created>
  <dcterms:modified xsi:type="dcterms:W3CDTF">2026-06-11T13:42:24Z</dcterms:modified>
</cp:coreProperties>
</file>