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Leopold Robin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JPMORGAN CHASE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JPM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Head of Human Resources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10017-2014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132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65,785</w:t>
            </w:r>
            <w:r>
              <w:rPr>
                <w:rFonts w:ascii="Times New Roman" w:cs="Times New Roman" w:eastAsia="Times New Roman" w:hAnsi="Times New Roman"/>
                <w:sz w:val="22"/>
                <w:szCs w:val="22"/>
                <w:color w:val="008000"/>
                <w:w w:val="97"/>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02/03/2026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132</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gridSpan w:val="2"/>
          </w:tcPr>
          <w:p>
            <w:pPr>
              <w:jc w:val="center"/>
              <w:ind w:right="20"/>
              <w:spacing w:after="0" w:line="213" w:lineRule="exact"/>
              <w:rPr>
                <w:sz w:val="20"/>
                <w:szCs w:val="20"/>
                <w:color w:val="auto"/>
              </w:rPr>
            </w:pPr>
            <w:r>
              <w:rPr>
                <w:rFonts w:ascii="Times New Roman" w:cs="Times New Roman" w:eastAsia="Times New Roman" w:hAnsi="Times New Roman"/>
                <w:sz w:val="17"/>
                <w:szCs w:val="17"/>
                <w:color w:val="0000FF"/>
                <w:w w:val="93"/>
              </w:rPr>
              <w:t>9,201</w:t>
            </w:r>
            <w:r>
              <w:rPr>
                <w:rFonts w:ascii="Times New Roman" w:cs="Times New Roman" w:eastAsia="Times New Roman" w:hAnsi="Times New Roman"/>
                <w:sz w:val="22"/>
                <w:szCs w:val="22"/>
                <w:color w:val="008000"/>
                <w:w w:val="93"/>
                <w:vertAlign w:val="superscript"/>
              </w:rPr>
              <w:t>(2)</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3"/>
              </w:rPr>
              <w:t>9,201</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(a) 132 shares transferred from Spouse's Grantor Retained Annuity Trust and (b) 132 shares from Grantor Retained Annuity Trust to the Grantor on February 3, 2026. These transfers are exempt from Section 16 pursuant to Rule 16a-13.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132 shares transferred from Spouse's Grantor Retained Annuity Trust to the Grantor on February 3, 2026. This transfer is exempt from Section 16 pursuant to Rule 16a-13.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132 shares transferred from Grantor Retained Annuity Trust to the Grantor on February 3, 2026. This transfer is exempt from Section 16 pursuant to Rule 16a-13.</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Holly Youngwood under</w:t>
            </w:r>
          </w:p>
        </w:tc>
        <w:tc>
          <w:tcPr>
            <w:tcW w:w="12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02/04/2026</w:t>
            </w:r>
          </w:p>
        </w:tc>
        <w:tc>
          <w:tcPr>
            <w:tcW w:w="0" w:type="dxa"/>
            <w:vAlign w:val="bottom"/>
          </w:tcPr>
          <w:p>
            <w:pPr>
              <w:spacing w:after="0"/>
              <w:rPr>
                <w:sz w:val="1"/>
                <w:szCs w:val="1"/>
                <w:color w:val="auto"/>
              </w:rPr>
            </w:pPr>
          </w:p>
        </w:tc>
      </w:tr>
      <w:tr>
        <w:trPr>
          <w:trHeight w:val="87"/>
        </w:trPr>
        <w:tc>
          <w:tcPr>
            <w:tcW w:w="3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POA</w:t>
            </w:r>
          </w:p>
        </w:tc>
        <w:tc>
          <w:tcPr>
            <w:tcW w:w="17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6825" TargetMode="External"/><Relationship Id="rId14"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2026-02-04T15:33:50Z</dcterms:created>
  <dcterms:modified xsi:type="dcterms:W3CDTF">2026-02-04T15:33:50Z</dcterms:modified>
</cp:coreProperties>
</file>