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199-01_fwp.htm"/>
      <w:bookmarkStart w:id="1" w:name="ksea030319901_fwp"/>
      <w:bookmarkStart w:id="2" w:name="ea0303199-01_fwp.htm"/>
      <w:bookmarkStart w:id="3" w:name="ksea030319901_fwp"/>
      <w:bookmarkEnd w:id="2"/>
      <w:bookmarkEnd w:id="3"/>
    </w:p>
    <w:tbl>
      <w:tblPr>
        <w:tblW w:w="9655" w:type="dxa"/>
        <w:jc w:val="left"/>
        <w:tblInd w:w="0" w:type="dxa"/>
        <w:tblLayout w:type="fixed"/>
        <w:tblCellMar>
          <w:top w:w="0" w:type="dxa"/>
          <w:left w:w="0" w:type="dxa"/>
          <w:bottom w:w="0" w:type="dxa"/>
          <w:right w:w="0" w:type="dxa"/>
        </w:tblCellMar>
      </w:tblPr>
      <w:tblGrid>
        <w:gridCol w:w="6740"/>
        <w:gridCol w:w="2915"/>
      </w:tblGrid>
      <w:tr>
        <w:trPr/>
        <w:tc>
          <w:tcPr>
            <w:tcW w:w="6740"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2915"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w:t>
              <w:br/>
              <w:t>and 333-293684-01</w:t>
            </w:r>
          </w:p>
        </w:tc>
      </w:tr>
      <w:tr>
        <w:trPr/>
        <w:tc>
          <w:tcPr>
            <w:tcW w:w="6740"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283"/>
              <w:jc w:val="right"/>
              <w:rPr/>
            </w:pPr>
            <w:r>
              <w:rPr/>
              <w:drawing>
                <wp:inline distT="0" distB="0" distL="0" distR="0">
                  <wp:extent cx="14287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04800"/>
                          </a:xfrm>
                          <a:prstGeom prst="rect">
                            <a:avLst/>
                          </a:prstGeom>
                        </pic:spPr>
                      </pic:pic>
                    </a:graphicData>
                  </a:graphic>
                </wp:inline>
              </w:drawing>
            </w:r>
          </w:p>
        </w:tc>
      </w:tr>
    </w:tbl>
    <w:tbl>
      <w:tblPr>
        <w:tblW w:w="9410" w:type="dxa"/>
        <w:jc w:val="left"/>
        <w:tblInd w:w="0" w:type="dxa"/>
        <w:tblLayout w:type="fixed"/>
        <w:tblCellMar>
          <w:top w:w="0" w:type="dxa"/>
          <w:left w:w="0" w:type="dxa"/>
          <w:bottom w:w="0" w:type="dxa"/>
          <w:right w:w="0" w:type="dxa"/>
        </w:tblCellMar>
      </w:tblPr>
      <w:tblGrid>
        <w:gridCol w:w="9410"/>
      </w:tblGrid>
      <w:tr>
        <w:trPr/>
        <w:tc>
          <w:tcPr>
            <w:tcW w:w="941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 Auto-Callable with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Common Stock of Cummins Inc. due August 31,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August 24, 2026 to Preliminary Pricing Supplement dated August 24,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Cummins Inc. (Bloomberg ticker: CMI)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the call date is greater than or equal to the starting price,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23.45%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greater than the starting price: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upside participation rate);</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or equal to the starting price, but greater than or equal to the threshold price: $1,000; or</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the threshold price: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 of the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46661MF90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Cummins Inc. (Bloomberg ticker: CMI)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the call date is greater than or equal to the starting price,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23.45%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greater than the starting price: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upside participation rate);</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or equal to the starting price, but greater than or equal to the threshold price: $1,000; or</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the threshold price: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 of the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46661MF90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198360"/>
                <wp:effectExtent l="0" t="0" r="0" b="0"/>
                <wp:wrapSquare wrapText="left"/>
                <wp:docPr id="3" name="Frame2"/>
                <a:graphic xmlns:a="http://schemas.openxmlformats.org/drawingml/2006/main">
                  <a:graphicData uri="http://schemas.microsoft.com/office/word/2010/wordprocessingShape">
                    <wps:wsp>
                      <wps:cNvSpPr txBox="1"/>
                      <wps:spPr>
                        <a:xfrm>
                          <a:off x="0" y="0"/>
                          <a:ext cx="3175000" cy="71983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486150" cy="22383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86150" cy="223837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minimum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stock closing price of the Underlying Stock on the call date significantly exceeds the starting price. If the securities are automatically called, you will not have the opportunity to participate in any appreciation of the Underlying Stock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$956.50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http://www.sec.gov/Archives/edgar/data/19617/000121390026092918/</w:t>
                                <w:br/>
                                <w:t>ea0303173-01_424b2.htm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6.8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486150" cy="2238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86150" cy="223837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minimum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stock closing price of the Underlying Stock on the call date significantly exceeds the starting price. If the securities are automatically called, you will not have the opportunity to participate in any appreciation of the Underlying Stock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$956.50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http://www.sec.gov/Archives/edgar/data/19617/000121390026092918/</w:t>
                          <w:br/>
                          <w:t>ea0303173-01_424b2.htm</w:t>
                        </w:r>
                      </w:hyperlink>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510"/>
        <w:gridCol w:w="5695"/>
      </w:tblGrid>
      <w:tr>
        <w:trPr/>
        <w:tc>
          <w:tcPr>
            <w:tcW w:w="45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25%,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6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jc w:val="center"/>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2918/ea030317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2918/ea030317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1447</Words>
  <Characters>7804</Characters>
  <CharactersWithSpaces>9292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