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51999d8k.htm"/>
      <w:bookmarkStart w:id="1" w:name="ksd35199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JPMorgan Chase &amp; Co.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10" w:type="dxa"/>
        <w:jc w:val="left"/>
        <w:tblInd w:w="0" w:type="dxa"/>
        <w:tblLayout w:type="fixed"/>
        <w:tblCellMar>
          <w:top w:w="0" w:type="dxa"/>
          <w:left w:w="0" w:type="dxa"/>
          <w:bottom w:w="0" w:type="dxa"/>
          <w:right w:w="0" w:type="dxa"/>
        </w:tblCellMar>
      </w:tblPr>
      <w:tblGrid>
        <w:gridCol w:w="2285"/>
        <w:gridCol w:w="60"/>
        <w:gridCol w:w="980"/>
        <w:gridCol w:w="60"/>
        <w:gridCol w:w="1325"/>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1-5805</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b/>
              </w:rPr>
            </w:pPr>
            <w:r>
              <w:rPr>
                <w:b/>
              </w:rPr>
              <w:t>13-2624428</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270 Park Avenue,</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10017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(212) 270-6000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245"/>
        <w:gridCol w:w="7505"/>
      </w:tblGrid>
      <w:tr>
        <w:trPr/>
        <w:tc>
          <w:tcPr>
            <w:tcW w:w="245"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Written communications pursuant to Rule 425 under the Securities Act (17 CFR 230.425)</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245"/>
        <w:gridCol w:w="7550"/>
      </w:tblGrid>
      <w:tr>
        <w:trPr/>
        <w:tc>
          <w:tcPr>
            <w:tcW w:w="245"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Soliciting material pursuant to Rule 14a-12 under the Exchange Act (17 CFR 240.14a-12)</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245"/>
        <w:gridCol w:w="9320"/>
      </w:tblGrid>
      <w:tr>
        <w:trPr/>
        <w:tc>
          <w:tcPr>
            <w:tcW w:w="245"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Pre-commencement communications pursuant to Rule 14d-2(b) under the Exchange Act (17 CFR 240.14d-2(b))</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245"/>
        <w:gridCol w:w="9260"/>
      </w:tblGrid>
      <w:tr>
        <w:trPr/>
        <w:tc>
          <w:tcPr>
            <w:tcW w:w="245"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78"/>
        <w:gridCol w:w="60"/>
        <w:gridCol w:w="1306"/>
        <w:gridCol w:w="60"/>
        <w:gridCol w:w="3201"/>
      </w:tblGrid>
      <w:tr>
        <w:trPr/>
        <w:tc>
          <w:tcPr>
            <w:tcW w:w="5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r>
      <w:tr>
        <w:trPr/>
        <w:tc>
          <w:tcPr>
            <w:tcW w:w="557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Trading Symbol(s)</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each exchange on which registered</w:t>
            </w:r>
          </w:p>
        </w:tc>
      </w:tr>
      <w:tr>
        <w:trPr/>
        <w:tc>
          <w:tcPr>
            <w:tcW w:w="5578"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one-four hundredth interest in a share of 5.75% Non-Cumulative Preferred Stock, Series DD</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 PR D</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one-four hundredth interest in a share of 6.00% Non-Cumulative Preferred Stock, Series EE</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 PR C</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one-four hundredth interest in a share of 4.75% Non-Cumulative Preferred Stock, Series GG</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 PR J</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one-four hundredth interest in a share of 4.55% Non-Cumulative Preferred Stock, Series JJ</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 PR K</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one-four hundredth interest in a share of 4.625% Non-Cumulative Preferred Stock, Series LL</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 PR L</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Depositary Shares, each representing a one-four hundredth interest in a share of 4.20% Non-Cumulative Preferred Stock, Series MM</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 PR M</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Guarantee of Callable Fixed Rate Notes due June 10, 2032 of JPMorgan Chase Financial Company LLC</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JPM/32</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The New York Stock Exchange</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Guarantee of Alerian MLP Index ETNs due January 28, 2044 of JPMorgan Chase Financial Company LLC</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AMJB</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NYSE Arca, Inc.</w:t>
            </w:r>
          </w:p>
        </w:tc>
      </w:tr>
      <w:tr>
        <w:trPr/>
        <w:tc>
          <w:tcPr>
            <w:tcW w:w="55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Guarantee of Inverse VIX Short-Term Futures ETNs due March 22, 2045 of JPMorgan Chase Financial Company LLC</w:t>
            </w:r>
          </w:p>
        </w:tc>
        <w:tc>
          <w:tcPr>
            <w:tcW w:w="60"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VYLD</w:t>
            </w:r>
          </w:p>
        </w:tc>
        <w:tc>
          <w:tcPr>
            <w:tcW w:w="60" w:type="dxa"/>
            <w:tcBorders/>
            <w:vAlign w:val="center"/>
          </w:tcPr>
          <w:p>
            <w:pPr>
              <w:pStyle w:val="TableContents"/>
              <w:bidi w:val="0"/>
              <w:spacing w:before="0" w:after="283"/>
              <w:jc w:val="left"/>
              <w:rPr/>
            </w:pPr>
            <w:r>
              <w:rPr/>
              <w:t> </w:t>
            </w:r>
          </w:p>
        </w:tc>
        <w:tc>
          <w:tcPr>
            <w:tcW w:w="3201" w:type="dxa"/>
            <w:tcBorders/>
            <w:vAlign w:val="center"/>
          </w:tcPr>
          <w:p>
            <w:pPr>
              <w:pStyle w:val="TableContents"/>
              <w:bidi w:val="0"/>
              <w:spacing w:before="0" w:after="283"/>
              <w:jc w:val="left"/>
              <w:rPr/>
            </w:pPr>
            <w:r>
              <w:rPr/>
              <w:t>NYSE Arca, Inc.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20, 2026, JPMorgan Chase &amp; Co. closed public offerings of (i) $350,000,000 aggregate principal amount of Floating Rate Notes due 2030 (the “Floating Rate Notes”), (ii) $2,900,000,000 aggregate principal amount of Fixed-to-Floating Rate Notes due 2030 (the “2030 Fixed-to-Floating Rate Notes”) and (iii) $3,750,000,000 aggregate principal amount of Fixed-to-Floating Rate Notes due 2037 (together with the Floating Rate Notes and the 2030 Fixed-to-Floating Rate Notes, the “Notes”). </w:t>
      </w:r>
    </w:p>
    <w:p>
      <w:pPr>
        <w:pStyle w:val="TextBody"/>
        <w:bidi w:val="0"/>
        <w:spacing w:before="240" w:after="0"/>
        <w:jc w:val="left"/>
        <w:rPr>
          <w:rFonts w:ascii="Times New Roman" w:hAnsi="Times New Roman"/>
          <w:sz w:val="20"/>
        </w:rPr>
      </w:pPr>
      <w:r>
        <w:rPr>
          <w:rFonts w:ascii="Times New Roman" w:hAnsi="Times New Roman"/>
          <w:sz w:val="20"/>
        </w:rPr>
        <w:t xml:space="preserve">The offerings of the Notes were registered under the Securities Act of 1933, as amended, pursuant to a registration statement on Form S-3 (File No. 333-285537), as amended. In connection with these offerings, the legal opinion as to the legality of the Notes is being filed as Exhibit 5.1 to this report.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351999dex51.htm">
              <w:r>
                <w:rPr>
                  <w:rStyle w:val="InternetLink"/>
                </w:rPr>
                <w:t xml:space="preserve">Opinion of Simpson Thacher &amp; Bartlett LLP as to the legality of the Notes.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351999dex51.htm">
              <w:r>
                <w:rPr>
                  <w:rStyle w:val="InternetLink"/>
                </w:rPr>
                <w:t xml:space="preserve">Consent of Simpson Thacher &amp; Bartlett LLP (included as part of Exhibit 5.1).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Pursuant to Rule 406 of Regulation S-T, the cover page is formatted in Inline XBRL (Inline eXtensible Business Reporting Language).</w:t>
            </w:r>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 and included in Exhibit 101).</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314" w:type="dxa"/>
        <w:jc w:val="left"/>
        <w:tblInd w:w="0" w:type="dxa"/>
        <w:tblLayout w:type="fixed"/>
        <w:tblCellMar>
          <w:top w:w="0" w:type="dxa"/>
          <w:left w:w="0" w:type="dxa"/>
          <w:bottom w:w="0" w:type="dxa"/>
          <w:right w:w="0" w:type="dxa"/>
        </w:tblCellMar>
      </w:tblPr>
      <w:tblGrid>
        <w:gridCol w:w="589"/>
        <w:gridCol w:w="63"/>
        <w:gridCol w:w="1662"/>
      </w:tblGrid>
      <w:tr>
        <w:trPr/>
        <w:tc>
          <w:tcPr>
            <w:tcW w:w="5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JPMORGAN CHASE &amp; CO.</w:t>
            </w:r>
          </w:p>
        </w:tc>
      </w:tr>
      <w:tr>
        <w:trPr/>
        <w:tc>
          <w:tcPr>
            <w:tcW w:w="231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(Registrant)</w:t>
            </w:r>
          </w:p>
        </w:tc>
      </w:tr>
      <w:tr>
        <w:trPr/>
        <w:tc>
          <w:tcPr>
            <w:tcW w:w="589" w:type="dxa"/>
            <w:tcBorders/>
            <w:vAlign w:val="center"/>
          </w:tcPr>
          <w:p>
            <w:pPr>
              <w:pStyle w:val="TableContents"/>
              <w:bidi w:val="0"/>
              <w:spacing w:before="0" w:after="283"/>
              <w:jc w:val="left"/>
              <w:rPr>
                <w:sz w:val="4"/>
                <w:szCs w:val="4"/>
              </w:rPr>
            </w:pPr>
            <w:r>
              <w:rPr>
                <w:sz w:val="4"/>
                <w:szCs w:val="4"/>
              </w:rPr>
            </w:r>
          </w:p>
        </w:tc>
        <w:tc>
          <w:tcPr>
            <w:tcW w:w="1725" w:type="dxa"/>
            <w:gridSpan w:val="2"/>
            <w:tcBorders/>
            <w:vAlign w:val="center"/>
          </w:tcPr>
          <w:p>
            <w:pPr>
              <w:pStyle w:val="TableContents"/>
              <w:bidi w:val="0"/>
              <w:spacing w:before="0" w:after="283"/>
              <w:jc w:val="left"/>
              <w:rPr>
                <w:sz w:val="4"/>
                <w:szCs w:val="4"/>
              </w:rPr>
            </w:pPr>
            <w:r>
              <w:rPr>
                <w:sz w:val="4"/>
                <w:szCs w:val="4"/>
              </w:rPr>
            </w:r>
          </w:p>
        </w:tc>
      </w:tr>
      <w:tr>
        <w:trPr/>
        <w:tc>
          <w:tcPr>
            <w:tcW w:w="5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3" w:type="dxa"/>
            <w:tcBorders/>
            <w:vAlign w:val="center"/>
          </w:tcPr>
          <w:p>
            <w:pPr>
              <w:pStyle w:val="TableContents"/>
              <w:bidi w:val="0"/>
              <w:spacing w:before="0" w:after="283"/>
              <w:jc w:val="left"/>
              <w:rPr/>
            </w:pPr>
            <w:r>
              <w:rPr/>
              <w:t> </w:t>
            </w:r>
          </w:p>
        </w:tc>
        <w:tc>
          <w:tcPr>
            <w:tcW w:w="166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Jordan A. Costa</w:t>
            </w:r>
          </w:p>
        </w:tc>
      </w:tr>
      <w:tr>
        <w:trPr/>
        <w:tc>
          <w:tcPr>
            <w:tcW w:w="5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3" w:type="dxa"/>
            <w:tcBorders/>
            <w:vAlign w:val="center"/>
          </w:tcPr>
          <w:p>
            <w:pPr>
              <w:pStyle w:val="TableContents"/>
              <w:bidi w:val="0"/>
              <w:spacing w:before="0" w:after="283"/>
              <w:jc w:val="left"/>
              <w:rPr/>
            </w:pPr>
            <w:r>
              <w:rPr/>
              <w:t> </w:t>
            </w:r>
          </w:p>
        </w:tc>
        <w:tc>
          <w:tcPr>
            <w:tcW w:w="1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Jordan A. Costa</w:t>
            </w:r>
          </w:p>
        </w:tc>
      </w:tr>
      <w:tr>
        <w:trPr/>
        <w:tc>
          <w:tcPr>
            <w:tcW w:w="5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3" w:type="dxa"/>
            <w:tcBorders/>
            <w:vAlign w:val="center"/>
          </w:tcPr>
          <w:p>
            <w:pPr>
              <w:pStyle w:val="TableContents"/>
              <w:bidi w:val="0"/>
              <w:spacing w:before="0" w:after="283"/>
              <w:jc w:val="left"/>
              <w:rPr/>
            </w:pPr>
            <w:r>
              <w:rPr/>
              <w:t> </w:t>
            </w:r>
          </w:p>
        </w:tc>
        <w:tc>
          <w:tcPr>
            <w:tcW w:w="1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October 20, 2026 </w:t>
      </w:r>
    </w:p>
    <w:p>
      <w:pPr>
        <w:pStyle w:val="TextBody"/>
        <w:bidi w:val="0"/>
        <w:spacing w:before="0" w:after="0"/>
        <w:jc w:val="right"/>
        <w:rPr>
          <w:rFonts w:ascii="Times New Roman" w:hAnsi="Times New Roman"/>
          <w:b/>
          <w:sz w:val="20"/>
        </w:rPr>
      </w:pPr>
      <w:bookmarkStart w:id="2" w:name="d351999dex51.htm"/>
      <w:bookmarkStart w:id="3" w:name="ksd351999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2"/>
        <w:gridCol w:w="123"/>
        <w:gridCol w:w="3145"/>
        <w:gridCol w:w="123"/>
        <w:gridCol w:w="3212"/>
      </w:tblGrid>
      <w:tr>
        <w:trPr/>
        <w:tc>
          <w:tcPr>
            <w:tcW w:w="36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12"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 xml:space="preserve">Simpson Thacher &amp; Bartlett </w:t>
            </w:r>
            <w:r>
              <w:rPr>
                <w:sz w:val="20"/>
              </w:rPr>
              <w:t>LLP</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0"/>
              <w:jc w:val="center"/>
              <w:rPr>
                <w:rFonts w:ascii="Times New Roman" w:hAnsi="Times New Roman"/>
                <w:sz w:val="20"/>
              </w:rPr>
            </w:pPr>
            <w:r>
              <w:rPr>
                <w:rFonts w:ascii="Times New Roman" w:hAnsi="Times New Roman"/>
                <w:sz w:val="20"/>
              </w:rPr>
              <w:t>425 LEXINGTON AVENUE</w:t>
            </w:r>
          </w:p>
          <w:p>
            <w:pPr>
              <w:pStyle w:val="TableContents"/>
              <w:bidi w:val="0"/>
              <w:spacing w:before="0" w:after="0"/>
              <w:jc w:val="center"/>
              <w:rPr>
                <w:rFonts w:ascii="Times New Roman" w:hAnsi="Times New Roman"/>
                <w:sz w:val="20"/>
              </w:rPr>
            </w:pPr>
            <w:r>
              <w:rPr>
                <w:rFonts w:ascii="Times New Roman" w:hAnsi="Times New Roman"/>
                <w:sz w:val="20"/>
              </w:rPr>
              <w:t>NEW YORK, NY 10017-3954</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_______________</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TELEPHONE: +1-212-455-2000</w:t>
            </w:r>
          </w:p>
          <w:p>
            <w:pPr>
              <w:pStyle w:val="TableContents"/>
              <w:bidi w:val="0"/>
              <w:spacing w:before="0" w:after="0"/>
              <w:jc w:val="center"/>
              <w:rPr>
                <w:rFonts w:ascii="Times New Roman" w:hAnsi="Times New Roman"/>
                <w:sz w:val="20"/>
              </w:rPr>
            </w:pPr>
            <w:r>
              <w:rPr>
                <w:rFonts w:ascii="Times New Roman" w:hAnsi="Times New Roman"/>
                <w:sz w:val="20"/>
              </w:rPr>
              <w:t>FACSIMILE: +1-212-455-2502</w:t>
            </w:r>
          </w:p>
          <w:p>
            <w:pPr>
              <w:pStyle w:val="TableContents"/>
              <w:bidi w:val="0"/>
              <w:spacing w:before="0" w:after="20"/>
              <w:jc w:val="left"/>
              <w:rPr/>
            </w:pPr>
            <w:r>
              <w:rPr/>
              <w:t> </w:t>
            </w:r>
          </w:p>
        </w:tc>
      </w:tr>
      <w:tr>
        <w:trPr/>
        <w:tc>
          <w:tcPr>
            <w:tcW w:w="3602" w:type="dxa"/>
            <w:tcBorders/>
          </w:tcPr>
          <w:p>
            <w:pPr>
              <w:pStyle w:val="TableContents"/>
              <w:bidi w:val="0"/>
              <w:spacing w:before="0" w:after="283"/>
              <w:jc w:val="left"/>
              <w:rPr/>
            </w:pPr>
            <w:r>
              <w:rPr/>
              <w:t>Direct Dial Number</w:t>
            </w:r>
          </w:p>
        </w:tc>
        <w:tc>
          <w:tcPr>
            <w:tcW w:w="123" w:type="dxa"/>
            <w:tcBorders/>
            <w:vAlign w:val="bottom"/>
          </w:tcPr>
          <w:p>
            <w:pPr>
              <w:pStyle w:val="TableContents"/>
              <w:bidi w:val="0"/>
              <w:spacing w:before="0" w:after="283"/>
              <w:jc w:val="left"/>
              <w:rPr/>
            </w:pPr>
            <w:r>
              <w:rPr/>
              <w:t>  </w:t>
            </w:r>
          </w:p>
        </w:tc>
        <w:tc>
          <w:tcPr>
            <w:tcW w:w="314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12" w:type="dxa"/>
            <w:tcBorders/>
          </w:tcPr>
          <w:p>
            <w:pPr>
              <w:pStyle w:val="TableContents"/>
              <w:bidi w:val="0"/>
              <w:spacing w:before="0" w:after="283"/>
              <w:jc w:val="right"/>
              <w:rPr/>
            </w:pPr>
            <w:r>
              <w:rPr/>
              <w:t>E-mail Address</w:t>
            </w:r>
          </w:p>
        </w:tc>
      </w:tr>
    </w:tbl>
    <w:p>
      <w:pPr>
        <w:pStyle w:val="TextBody"/>
        <w:bidi w:val="0"/>
        <w:spacing w:before="120" w:after="0"/>
        <w:jc w:val="right"/>
        <w:rPr>
          <w:rFonts w:ascii="Times New Roman" w:hAnsi="Times New Roman"/>
          <w:sz w:val="20"/>
        </w:rPr>
      </w:pPr>
      <w:r>
        <w:rPr>
          <w:rFonts w:ascii="Times New Roman" w:hAnsi="Times New Roman"/>
          <w:sz w:val="20"/>
        </w:rPr>
        <w:t xml:space="preserve">October 20, 2026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&amp; Co.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Stated Above: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JPMorgan Chase &amp; Co., a Delaware corporation (the “Company”), in connection with the Registration Statement on Form S-3 (File No. 333-285537) (as amended, the “Registration Statement”) filed by the Company with the Securities and Exchange Commission (the “Commission”) under the Securities Act of 1933, as amended, and the issuance by the Company of $350,000,000 aggregate principal amount of Floating Rate Notes due 2030 (the “Floating Rate Notes”), $2,900,000,000 aggregate principal amount of Fixed-to-Floating Rate Notes due 2030 (the “2030 Fixed-to-Floating Rate Notes”) and $3,750,000,000 aggregate principal amount of Fixed-to-Floating Rate Notes due 2037 (together with the Floating Rate Notes and the 2030 Fixed-to-Floating Rate Notes, the “Notes”), pursuant to the Underwriting Agreement, dated October 13, 2026 (the “Underwriting Agreement”), between the Company and the several underwriters named therein. The Notes are being issued under the Indenture, dated as of October 21, 2010 (as amended by the First Supplemental Indenture, dated as of January 13, 2017, between the Company and Deutsche Bank Trust Company Americas (the “Trustee”), the “Indenture”), between the Company and the Trustee. </w:t>
      </w:r>
    </w:p>
    <w:p>
      <w:pPr>
        <w:pStyle w:val="TextBody"/>
        <w:bidi w:val="0"/>
        <w:spacing w:before="240" w:after="0"/>
        <w:jc w:val="center"/>
        <w:rPr>
          <w:rFonts w:ascii="Times New Roman" w:hAnsi="Times New Roman"/>
          <w:sz w:val="14"/>
        </w:rPr>
      </w:pPr>
      <w:r>
        <w:rPr>
          <w:rFonts w:ascii="Times New Roman" w:hAnsi="Times New Roman"/>
          <w:sz w:val="14"/>
        </w:rPr>
        <w:t xml:space="preserve">BEIJING BOSTON BRUSSELS DALLAS HONG KONG HOUSTON LONDON LOS ANGELES LUXEMBOURG PALO ALTO SAN FRANCISCO SÃO PAULO TOKYO WASHINGTON, D.C.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16"/>
        <w:gridCol w:w="123"/>
        <w:gridCol w:w="3157"/>
        <w:gridCol w:w="123"/>
        <w:gridCol w:w="3186"/>
      </w:tblGrid>
      <w:tr>
        <w:trPr/>
        <w:tc>
          <w:tcPr>
            <w:tcW w:w="361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3616" w:type="dxa"/>
            <w:tcBorders/>
          </w:tcPr>
          <w:p>
            <w:pPr>
              <w:pStyle w:val="TableContents"/>
              <w:bidi w:val="0"/>
              <w:spacing w:before="0" w:after="283"/>
              <w:jc w:val="left"/>
              <w:rPr/>
            </w:pPr>
            <w:r>
              <w:rPr/>
              <w:t>JPMorgan Chase &amp; Co.</w:t>
            </w:r>
          </w:p>
        </w:tc>
        <w:tc>
          <w:tcPr>
            <w:tcW w:w="123"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center"/>
              <w:rPr/>
            </w:pPr>
            <w:r>
              <w:rPr/>
              <w:t>-2-</w:t>
            </w:r>
          </w:p>
        </w:tc>
        <w:tc>
          <w:tcPr>
            <w:tcW w:w="123"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right"/>
              <w:rPr/>
            </w:pPr>
            <w:r>
              <w:rPr/>
              <w:t>October 20, 2026</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Registration Statement; the Indenture; duplicates of the global notes representing the Notes; and the Underwriting Agreement.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assumptions and limitations stated herein, we are of the opinion that the Notes have been duly authorized, executed and issued by the Company and, assuming due authentication thereof by the Trustee or The Bank of New York Mellon, as authenticating agent under the Indenture on behalf of the Trustee, upon payment and delivery in accordance with the provisions of the Underwriting Agreement, the Notes will constitute valid and legally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Our opinion set forth above is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16"/>
        <w:gridCol w:w="123"/>
        <w:gridCol w:w="3157"/>
        <w:gridCol w:w="123"/>
        <w:gridCol w:w="3186"/>
      </w:tblGrid>
      <w:tr>
        <w:trPr/>
        <w:tc>
          <w:tcPr>
            <w:tcW w:w="361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3616" w:type="dxa"/>
            <w:tcBorders/>
          </w:tcPr>
          <w:p>
            <w:pPr>
              <w:pStyle w:val="TableContents"/>
              <w:bidi w:val="0"/>
              <w:spacing w:before="0" w:after="283"/>
              <w:jc w:val="left"/>
              <w:rPr/>
            </w:pPr>
            <w:r>
              <w:rPr/>
              <w:t>JPMorgan Chase &amp; Co.</w:t>
            </w:r>
          </w:p>
        </w:tc>
        <w:tc>
          <w:tcPr>
            <w:tcW w:w="123"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center"/>
              <w:rPr/>
            </w:pPr>
            <w:r>
              <w:rPr/>
              <w:t>-3-</w:t>
            </w:r>
          </w:p>
        </w:tc>
        <w:tc>
          <w:tcPr>
            <w:tcW w:w="123"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right"/>
              <w:rPr/>
            </w:pPr>
            <w:r>
              <w:rPr/>
              <w:t>October 20,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do not express any opinion herein concerning any law other than the law of the State of New York and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5.1 to the Company’s Current Report on Form 8-K dated October 20, 2026 and to the use of our name under the caption “Legal Opinions” in the prospectus relating to the Notes included in the Registration Statement.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Simpson Thacher &amp; Bartlett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SIMPSON THACHER &amp; BARTLETT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1423</Words>
  <Characters>7776</Characters>
  <CharactersWithSpaces>9179</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