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69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DIMON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383 MADISON AVENUE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10179-0001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JPMORGAN CHASE &amp;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JPM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691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12,679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182.7347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4,017,304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28,074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182.7317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3,989,230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28,074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182.7308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3,961,156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84,358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182.7365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3,876,798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84,358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182.7352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3,792,440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84,358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182.7351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3,708,082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83,459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182.735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3,210,285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138,839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182.7343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3,071,446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138,839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182.7339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2,932,607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138,740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182.7345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595,316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311,861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8,707.2015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152,940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691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0" w:type="dxa"/>
            <w:vAlign w:val="bottom"/>
            <w:gridSpan w:val="17"/>
          </w:tcPr>
          <w:p>
            <w:pPr>
              <w:jc w:val="center"/>
              <w:ind w:right="9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orand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AmountNumberof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(Month/Day/Year)DateExpiration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8)Code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23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Securities(A)(D)  Exercisable 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UnderlyingTitleShares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420" w:type="dxa"/>
            <w:vAlign w:val="bottom"/>
            <w:gridSpan w:val="3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 xml:space="preserve">Explanation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ofResponses: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9620" w:type="dxa"/>
            <w:vAlign w:val="bottom"/>
            <w:gridSpan w:val="20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Balance reflects 1,026,788 shares transferred from a GRAT to the Grantor's Family Trusts on Feb 12, 2024. These transfers are exempt from Section 16 pursuant to Rule 16a-13.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interest.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600" w:type="dxa"/>
            <w:vAlign w:val="bottom"/>
            <w:gridSpan w:val="10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5"/>
              </w:rPr>
              <w:t>2. Reporting person disclaims beneficial ownership of such shares except to the extent of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5"/>
              </w:rPr>
              <w:t>(Instr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5"/>
              </w:rPr>
              <w:t>any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5"/>
              </w:rPr>
              <w:t>. 3,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5"/>
              </w:rPr>
              <w:t>pecuniary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5"/>
              </w:rPr>
              <w:t>4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/s/ Holly Youngwood under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02/22/2024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  <w:w w:val="99"/>
              </w:rPr>
              <w:t>POA</w:t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4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color w:val="auto"/>
              </w:rPr>
              <w:t>** Signature of Reporting Person</w:t>
            </w: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180" w:type="dxa"/>
            <w:vAlign w:val="bottom"/>
            <w:gridSpan w:val="11"/>
          </w:tcPr>
          <w:p>
            <w:pPr>
              <w:ind w:left="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466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46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5345" TargetMode="External"/><Relationship Id="rId13" Type="http://schemas.openxmlformats.org/officeDocument/2006/relationships/hyperlink" Target="http://www.sec.gov/cgi-bin/browse-edgar?action=getcompany&amp;CIK=0000019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2024-02-22T16:57:07Z</dcterms:created>
  <dcterms:modified xsi:type="dcterms:W3CDTF">2024-02-22T16:57:07Z</dcterms:modified>
</cp:coreProperties>
</file>