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ea0305026-01_fwp.htm"/>
      <w:bookmarkStart w:id="1" w:name="ksea030502601_fwp"/>
      <w:bookmarkStart w:id="2" w:name="ea0305026-01_fwp.htm"/>
      <w:bookmarkStart w:id="3" w:name="ksea030502601_fwp"/>
      <w:bookmarkEnd w:id="2"/>
      <w:bookmarkEnd w:id="3"/>
    </w:p>
    <w:tbl>
      <w:tblPr>
        <w:tblW w:w="10205" w:type="dxa"/>
        <w:jc w:val="left"/>
        <w:tblInd w:w="0" w:type="dxa"/>
        <w:tblLayout w:type="fixed"/>
        <w:tblCellMar>
          <w:top w:w="0" w:type="dxa"/>
          <w:left w:w="0" w:type="dxa"/>
          <w:bottom w:w="0" w:type="dxa"/>
          <w:right w:w="0" w:type="dxa"/>
        </w:tblCellMar>
      </w:tblPr>
      <w:tblGrid>
        <w:gridCol w:w="7037"/>
        <w:gridCol w:w="3168"/>
      </w:tblGrid>
      <w:tr>
        <w:trPr/>
        <w:tc>
          <w:tcPr>
            <w:tcW w:w="7037" w:type="dxa"/>
            <w:vMerge w:val="restart"/>
            <w:tcBorders/>
            <w:vAlign w:val="center"/>
          </w:tcPr>
          <w:p>
            <w:pPr>
              <w:pStyle w:val="TableContents"/>
              <w:bidi w:val="0"/>
              <w:jc w:val="left"/>
              <w:rPr>
                <w:rFonts w:ascii="Verdana;Helvetica;Sans-Serif" w:hAnsi="Verdana;Helvetica;Sans-Serif"/>
                <w:b/>
                <w:i w:val="false"/>
                <w:caps w:val="false"/>
                <w:smallCaps w:val="false"/>
                <w:color w:val="BB0826"/>
                <w:sz w:val="32"/>
              </w:rPr>
            </w:pPr>
            <w:r>
              <w:rPr>
                <w:rFonts w:ascii="Verdana;Helvetica;Sans-Serif" w:hAnsi="Verdana;Helvetica;Sans-Serif"/>
                <w:b/>
                <w:i w:val="false"/>
                <w:caps w:val="false"/>
                <w:smallCaps w:val="false"/>
                <w:color w:val="BB0826"/>
                <w:sz w:val="32"/>
              </w:rPr>
              <w:t>JPMorgan Chase Financial Company LLC</w:t>
            </w:r>
          </w:p>
          <w:p>
            <w:pPr>
              <w:pStyle w:val="TableContents"/>
              <w:bidi w:val="0"/>
              <w:jc w:val="both"/>
              <w:rPr>
                <w:rFonts w:ascii="Verdana;Helvetica;Sans-Serif" w:hAnsi="Verdana;Helvetica;Sans-Serif"/>
                <w:b/>
                <w:i/>
                <w:caps w:val="false"/>
                <w:smallCaps w:val="false"/>
                <w:color w:val="BB0826"/>
                <w:sz w:val="20"/>
              </w:rPr>
            </w:pPr>
            <w:r>
              <w:rPr>
                <w:rFonts w:ascii="Verdana;Helvetica;Sans-Serif" w:hAnsi="Verdana;Helvetica;Sans-Serif"/>
                <w:b/>
                <w:i/>
                <w:caps w:val="false"/>
                <w:smallCaps w:val="false"/>
                <w:color w:val="BB0826"/>
                <w:sz w:val="20"/>
              </w:rPr>
              <w:t>Fully and Unconditionally Guaranteed by JPMorgan Chase &amp; Co.</w:t>
            </w:r>
          </w:p>
          <w:p>
            <w:pPr>
              <w:pStyle w:val="TableContents"/>
              <w:bidi w:val="0"/>
              <w:spacing w:before="0" w:after="20"/>
              <w:jc w:val="left"/>
              <w:rPr>
                <w:rFonts w:ascii="Verdana;Helvetica;Sans-Serif" w:hAnsi="Verdana;Helvetica;Sans-Serif"/>
                <w:b/>
                <w:i w:val="false"/>
                <w:caps w:val="false"/>
                <w:smallCaps w:val="false"/>
                <w:color w:val="BB0826"/>
                <w:sz w:val="24"/>
              </w:rPr>
            </w:pPr>
            <w:r>
              <w:rPr>
                <w:rFonts w:ascii="Verdana;Helvetica;Sans-Serif" w:hAnsi="Verdana;Helvetica;Sans-Serif"/>
                <w:b/>
                <w:i w:val="false"/>
                <w:caps w:val="false"/>
                <w:smallCaps w:val="false"/>
                <w:color w:val="BB0826"/>
                <w:sz w:val="24"/>
              </w:rPr>
              <w:t>Market Linked Securities</w:t>
            </w:r>
          </w:p>
        </w:tc>
        <w:tc>
          <w:tcPr>
            <w:tcW w:w="3168" w:type="dxa"/>
            <w:tcBorders/>
            <w:vAlign w:val="center"/>
          </w:tcPr>
          <w:p>
            <w:pPr>
              <w:pStyle w:val="TableContents"/>
              <w:bidi w:val="0"/>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Filed Pursuant to Rule 433</w:t>
            </w:r>
          </w:p>
          <w:p>
            <w:pPr>
              <w:pStyle w:val="TableContents"/>
              <w:bidi w:val="0"/>
              <w:spacing w:before="0" w:after="283"/>
              <w:jc w:val="right"/>
              <w:rPr>
                <w:rFonts w:ascii="Verdana;Helvetica;Sans-Serif" w:hAnsi="Verdana;Helvetica;Sans-Serif"/>
                <w:b w:val="false"/>
                <w:i w:val="false"/>
                <w:caps w:val="false"/>
                <w:smallCaps w:val="false"/>
                <w:sz w:val="14"/>
              </w:rPr>
            </w:pPr>
            <w:r>
              <w:rPr>
                <w:rFonts w:ascii="Verdana;Helvetica;Sans-Serif" w:hAnsi="Verdana;Helvetica;Sans-Serif"/>
                <w:b w:val="false"/>
                <w:i w:val="false"/>
                <w:caps w:val="false"/>
                <w:smallCaps w:val="false"/>
                <w:sz w:val="14"/>
              </w:rPr>
              <w:t>Registration Statement Nos. 333-293684 and</w:t>
              <w:br/>
              <w:t>333-293684-01</w:t>
            </w:r>
          </w:p>
        </w:tc>
      </w:tr>
      <w:tr>
        <w:trPr/>
        <w:tc>
          <w:tcPr>
            <w:tcW w:w="7037" w:type="dxa"/>
            <w:vMerge w:val="continue"/>
            <w:tcBorders/>
            <w:vAlign w:val="center"/>
          </w:tcPr>
          <w:p>
            <w:pPr>
              <w:pStyle w:val="Normal"/>
              <w:bidi w:val="0"/>
              <w:jc w:val="left"/>
              <w:rPr/>
            </w:pPr>
            <w:r>
              <w:rPr/>
            </w:r>
          </w:p>
        </w:tc>
        <w:tc>
          <w:tcPr>
            <w:tcW w:w="3168" w:type="dxa"/>
            <w:tcBorders/>
            <w:vAlign w:val="center"/>
          </w:tcPr>
          <w:p>
            <w:pPr>
              <w:pStyle w:val="TableContents"/>
              <w:bidi w:val="0"/>
              <w:spacing w:before="0" w:after="283"/>
              <w:jc w:val="right"/>
              <w:rPr/>
            </w:pPr>
            <w:r>
              <w:rPr/>
              <w:drawing>
                <wp:inline distT="0" distB="0" distL="0" distR="0">
                  <wp:extent cx="15240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333375"/>
                          </a:xfrm>
                          <a:prstGeom prst="rect">
                            <a:avLst/>
                          </a:prstGeom>
                        </pic:spPr>
                      </pic:pic>
                    </a:graphicData>
                  </a:graphic>
                </wp:inline>
              </w:drawing>
            </w:r>
          </w:p>
        </w:tc>
      </w:tr>
    </w:tbl>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Market Linked Securities—Auto-Callable with Contingent Coupon with Memory Feature and Contingent Downside</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Principal at Risk Securities Linked to the Lowest Performing of the Common Stock of Broadcom Inc., the Common Stock of Amazon.com, Inc. and the Class A Common Stock of Meta Platforms, Inc. due September 20, 2029</w:t>
            </w:r>
          </w:p>
          <w:p>
            <w:pPr>
              <w:pStyle w:val="TableContents"/>
              <w:bidi w:val="0"/>
              <w:spacing w:before="20" w:after="20"/>
              <w:ind w:left="20" w:right="20" w:hanging="0"/>
              <w:jc w:val="left"/>
              <w:rPr>
                <w:rFonts w:ascii="Verdana;Helvetica;Sans-Serif" w:hAnsi="Verdana;Helvetica;Sans-Serif"/>
                <w:b w:val="false"/>
                <w:i w:val="false"/>
                <w:caps w:val="false"/>
                <w:smallCaps w:val="false"/>
                <w:color w:val="FFFFFF"/>
                <w:sz w:val="20"/>
              </w:rPr>
            </w:pPr>
            <w:r>
              <w:rPr>
                <w:rFonts w:ascii="Verdana;Helvetica;Sans-Serif" w:hAnsi="Verdana;Helvetica;Sans-Serif"/>
                <w:b w:val="false"/>
                <w:i w:val="false"/>
                <w:caps w:val="false"/>
                <w:smallCaps w:val="false"/>
                <w:color w:val="FFFFFF"/>
                <w:sz w:val="20"/>
              </w:rPr>
              <w:t>Fact Sheet dated September 9, 2026 to Preliminary Pricing Supplement dated September 9, 2026</w:t>
            </w:r>
          </w:p>
        </w:tc>
      </w:tr>
    </w:tbl>
    <w:p>
      <w:pPr>
        <w:pStyle w:val="TextBody"/>
        <w:bidi w:val="0"/>
        <w:spacing w:before="0" w:after="20"/>
        <w:ind w:left="288"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The securities have complex features and investing in the securities involves risks not associated with an investment in conventional debt securities. See “Risk Factors” in the accompanying prospectus supplement and the accompanying product supplement and “Selected Risk Considerations” in the accompanying preliminary pricing supplement.</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973836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973836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5"/>
                              <w:gridCol w:w="9060"/>
                            </w:tblGrid>
                            <w:tr>
                              <w:trPr/>
                              <w:tc>
                                <w:tcPr>
                                  <w:tcW w:w="1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Broadcom Inc. (Bloomberg ticker: AVGO), the common stock of Amazon.com, Inc. (Bloomberg ticker: AMZN) and the Class A common stock of Meta Platforms, Inc. (Bloomberg ticker: META)</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16,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21,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20, 2029</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0"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12.80% per annum (to be provided in the pricing supplement)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December 2026 to August 2029, inclusive, is greater than or equal to its call value,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Value:</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95% of its starting price</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16</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October 2026 and ending September 2029, </w:t>
                                  </w:r>
                                  <w:r>
                                    <w:rPr>
                                      <w:rFonts w:ascii="Georgia;Times;Serif" w:hAnsi="Georgia;Times;Serif"/>
                                      <w:b w:val="false"/>
                                      <w:i/>
                                      <w:caps w:val="false"/>
                                      <w:smallCaps w:val="false"/>
                                      <w:sz w:val="16"/>
                                    </w:rPr>
                                    <w:t>provided</w:t>
                                  </w:r>
                                  <w:r>
                                    <w:rPr>
                                      <w:rFonts w:ascii="Georgia;Times;Serif" w:hAnsi="Georgia;Times;Serif"/>
                                      <w:b w:val="false"/>
                                      <w:i w:val="false"/>
                                      <w:caps w:val="false"/>
                                      <w:smallCaps w:val="false"/>
                                      <w:sz w:val="16"/>
                                    </w:rPr>
                                    <w:t xml:space="preserve"> that the September 2029 calculation day will be September 17, 2029.  We refer to September 17,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6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w:t>
                      </w:r>
                    </w:p>
                    <w:tbl>
                      <w:tblPr>
                        <w:tblW w:w="10205" w:type="dxa"/>
                        <w:jc w:val="left"/>
                        <w:tblInd w:w="-10" w:type="dxa"/>
                        <w:tblLayout w:type="fixed"/>
                        <w:tblCellMar>
                          <w:top w:w="28" w:type="dxa"/>
                          <w:left w:w="108" w:type="dxa"/>
                          <w:bottom w:w="28" w:type="dxa"/>
                          <w:right w:w="108" w:type="dxa"/>
                        </w:tblCellMar>
                      </w:tblPr>
                      <w:tblGrid>
                        <w:gridCol w:w="1145"/>
                        <w:gridCol w:w="9060"/>
                      </w:tblGrid>
                      <w:tr>
                        <w:trPr/>
                        <w:tc>
                          <w:tcPr>
                            <w:tcW w:w="11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Issuer:</w:t>
                            </w:r>
                          </w:p>
                        </w:tc>
                        <w:tc>
                          <w:tcPr>
                            <w:tcW w:w="90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Financial Company LLC, a direct, wholly owned finance subsidiary of 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Guarantor:</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JPMorgan Chase &amp; Co.</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Underlying Stocks:</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The common stock of Broadcom Inc. (Bloomberg ticker: AVGO), the common stock of Amazon.com, Inc. (Bloomberg ticker: AMZN) and the Class A common stock of Meta Platforms, Inc. (Bloomberg ticker: META)</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Pricing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16,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Issue Date</w:t>
                            </w:r>
                            <w:r>
                              <w:rPr>
                                <w:rFonts w:ascii="Georgia;Times;Serif" w:hAnsi="Georgia;Times;Serif"/>
                                <w:b w:val="false"/>
                                <w:i w:val="false"/>
                                <w:caps w:val="false"/>
                                <w:smallCaps w:val="false"/>
                                <w:position w:val="5"/>
                                <w:sz w:val="13"/>
                                <w:sz w:val="16"/>
                              </w:rPr>
                              <w:t>1</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21, 2026</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Stated Maturity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September 20, 2029</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Principal Amount: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per security (100% of par)</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On each contingent coupon payment date, you will receive a contingent coupon payment at a per annum rate equal to the contingent coupon rate if, </w:t>
                            </w:r>
                            <w:r>
                              <w:rPr>
                                <w:rFonts w:ascii="Georgia;Times;Serif" w:hAnsi="Georgia;Times;Serif"/>
                                <w:b/>
                                <w:i w:val="false"/>
                                <w:caps w:val="false"/>
                                <w:smallCaps w:val="false"/>
                                <w:sz w:val="16"/>
                              </w:rPr>
                              <w:t>and only if</w:t>
                            </w:r>
                            <w:r>
                              <w:rPr>
                                <w:rFonts w:ascii="Georgia;Times;Serif" w:hAnsi="Georgia;Times;Serif"/>
                                <w:b w:val="false"/>
                                <w:i w:val="false"/>
                                <w:caps w:val="false"/>
                                <w:smallCaps w:val="false"/>
                                <w:sz w:val="16"/>
                              </w:rPr>
                              <w:t xml:space="preserve">, the stock closing price of the lowest performing Underlying Stock on the related calculation day is greater than or equal to its threshold price. In addition, if the stock closing price of the lowest performing Underlying Stock on one or more calculation days is less than its threshold price and, on a subsequent calculation day, the stock closing price of the lowest performing Underlying Stock is greater than or equal to its threshold price, on the contingent coupon payment date related to that subsequent calculation day, you will receive the contingent coupon payment due for that subsequent calculation day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all previously unpaid contingent coupon payments (without interest on amounts previously unpaid). Each “</w:t>
                            </w:r>
                            <w:r>
                              <w:rPr>
                                <w:rFonts w:ascii="Georgia;Times;Serif" w:hAnsi="Georgia;Times;Serif"/>
                                <w:b w:val="false"/>
                                <w:i w:val="false"/>
                                <w:caps w:val="false"/>
                                <w:smallCaps w:val="false"/>
                                <w:sz w:val="16"/>
                                <w:u w:val="single"/>
                              </w:rPr>
                              <w:t>contingent coupon payment</w:t>
                            </w:r>
                            <w:r>
                              <w:rPr>
                                <w:rFonts w:ascii="Georgia;Times;Serif" w:hAnsi="Georgia;Times;Serif"/>
                                <w:b w:val="false"/>
                                <w:i w:val="false"/>
                                <w:caps w:val="false"/>
                                <w:smallCaps w:val="false"/>
                                <w:sz w:val="16"/>
                              </w:rPr>
                              <w:t>,” if any, will be calculated per security as follows:</w:t>
                            </w:r>
                          </w:p>
                          <w:p>
                            <w:pPr>
                              <w:pStyle w:val="TableContents"/>
                              <w:bidi w:val="0"/>
                              <w:spacing w:before="0" w:after="283"/>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contingent coupon rate) / 12.</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Payment Dates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Monthly, on the third business day following each calculation day, </w:t>
                            </w:r>
                            <w:r>
                              <w:rPr>
                                <w:rFonts w:ascii="Georgia;Times;Serif" w:hAnsi="Georgia;Times;Serif"/>
                                <w:b w:val="false"/>
                                <w:i/>
                                <w:caps w:val="false"/>
                                <w:smallCaps w:val="false"/>
                                <w:sz w:val="16"/>
                              </w:rPr>
                              <w:t xml:space="preserve">provided </w:t>
                            </w:r>
                            <w:r>
                              <w:rPr>
                                <w:rFonts w:ascii="Georgia;Times;Serif" w:hAnsi="Georgia;Times;Serif"/>
                                <w:b w:val="false"/>
                                <w:i w:val="false"/>
                                <w:caps w:val="false"/>
                                <w:smallCaps w:val="false"/>
                                <w:sz w:val="16"/>
                              </w:rPr>
                              <w:t>that the contingent coupon payment date with respect to the final calculation day will be the stated maturity date</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Contingent Coupon Rate:</w:t>
                            </w:r>
                          </w:p>
                        </w:tc>
                        <w:tc>
                          <w:tcPr>
                            <w:tcW w:w="9060" w:type="dxa"/>
                            <w:tcBorders>
                              <w:bottom w:val="single" w:sz="8" w:space="0" w:color="000000"/>
                              <w:right w:val="single" w:sz="8" w:space="0" w:color="000000"/>
                            </w:tcBorders>
                            <w:tcMar>
                              <w:top w:w="0" w:type="dxa"/>
                              <w:left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At least 12.80% per annum (to be provided in the pricing supplement)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Automatic Call: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If the stock closing price of the lowest performing Underlying Stock on any of the calculation days from December 2026 to August 2029, inclusive, is greater than or equal to its call value, the securities will be automatically called, and on the related call settlement date you will be entitled to receive a cash payment per security in U.S. dollars equal to the principal amount per security </w:t>
                            </w:r>
                            <w:r>
                              <w:rPr>
                                <w:rFonts w:ascii="Georgia;Times;Serif" w:hAnsi="Georgia;Times;Serif"/>
                                <w:b w:val="false"/>
                                <w:i/>
                                <w:caps w:val="false"/>
                                <w:smallCaps w:val="false"/>
                                <w:sz w:val="16"/>
                              </w:rPr>
                              <w:t>plus</w:t>
                            </w:r>
                            <w:r>
                              <w:rPr>
                                <w:rFonts w:ascii="Georgia;Times;Serif" w:hAnsi="Georgia;Times;Serif"/>
                                <w:b w:val="false"/>
                                <w:i w:val="false"/>
                                <w:caps w:val="false"/>
                                <w:smallCaps w:val="false"/>
                                <w:sz w:val="16"/>
                              </w:rPr>
                              <w:t xml:space="preserve"> a final contingent coupon payment and any previously unpaid contingent coupon payments.  </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Value:</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95% of its starting price</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Days</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Monthly, on the 16</w:t>
                            </w:r>
                            <w:r>
                              <w:rPr>
                                <w:rFonts w:ascii="Georgia;Times;Serif" w:hAnsi="Georgia;Times;Serif"/>
                                <w:b w:val="false"/>
                                <w:i w:val="false"/>
                                <w:caps w:val="false"/>
                                <w:smallCaps w:val="false"/>
                                <w:position w:val="5"/>
                                <w:sz w:val="13"/>
                                <w:sz w:val="16"/>
                              </w:rPr>
                              <w:t>th</w:t>
                            </w:r>
                            <w:r>
                              <w:rPr>
                                <w:rFonts w:ascii="Georgia;Times;Serif" w:hAnsi="Georgia;Times;Serif"/>
                                <w:b w:val="false"/>
                                <w:i w:val="false"/>
                                <w:caps w:val="false"/>
                                <w:smallCaps w:val="false"/>
                                <w:sz w:val="16"/>
                              </w:rPr>
                              <w:t xml:space="preserve"> day of each month, commencing October 2026 and ending September 2029, </w:t>
                            </w:r>
                            <w:r>
                              <w:rPr>
                                <w:rFonts w:ascii="Georgia;Times;Serif" w:hAnsi="Georgia;Times;Serif"/>
                                <w:b w:val="false"/>
                                <w:i/>
                                <w:caps w:val="false"/>
                                <w:smallCaps w:val="false"/>
                                <w:sz w:val="16"/>
                              </w:rPr>
                              <w:t>provided</w:t>
                            </w:r>
                            <w:r>
                              <w:rPr>
                                <w:rFonts w:ascii="Georgia;Times;Serif" w:hAnsi="Georgia;Times;Serif"/>
                                <w:b w:val="false"/>
                                <w:i w:val="false"/>
                                <w:caps w:val="false"/>
                                <w:smallCaps w:val="false"/>
                                <w:sz w:val="16"/>
                              </w:rPr>
                              <w:t xml:space="preserve"> that the September 2029 calculation day will be September 17, 2029.  We refer to September 17, 2029 as the “</w:t>
                            </w:r>
                            <w:r>
                              <w:rPr>
                                <w:rFonts w:ascii="Georgia;Times;Serif" w:hAnsi="Georgia;Times;Serif"/>
                                <w:b w:val="false"/>
                                <w:i w:val="false"/>
                                <w:caps w:val="false"/>
                                <w:smallCaps w:val="false"/>
                                <w:sz w:val="16"/>
                                <w:u w:val="single"/>
                              </w:rPr>
                              <w:t>final calculation day</w:t>
                            </w:r>
                            <w:r>
                              <w:rPr>
                                <w:rFonts w:ascii="Georgia;Times;Serif" w:hAnsi="Georgia;Times;Serif"/>
                                <w:b w:val="false"/>
                                <w:i w:val="false"/>
                                <w:caps w:val="false"/>
                                <w:smallCaps w:val="false"/>
                                <w:sz w:val="16"/>
                              </w:rPr>
                              <w:t>.”</w:t>
                            </w:r>
                          </w:p>
                        </w:tc>
                      </w:tr>
                      <w:tr>
                        <w:trPr/>
                        <w:tc>
                          <w:tcPr>
                            <w:tcW w:w="1145" w:type="dxa"/>
                            <w:tcBorders>
                              <w:left w:val="single" w:sz="8" w:space="0" w:color="000000"/>
                              <w:bottom w:val="single" w:sz="8" w:space="0" w:color="000000"/>
                              <w:right w:val="single" w:sz="8" w:space="0" w:color="000000"/>
                            </w:tcBorders>
                            <w:tcMar>
                              <w:top w:w="0" w:type="dxa"/>
                              <w:bottom w:w="30" w:type="dxa"/>
                              <w:right w:w="28"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Call Settlement Date</w:t>
                            </w:r>
                            <w:r>
                              <w:rPr>
                                <w:rFonts w:ascii="Georgia;Times;Serif" w:hAnsi="Georgia;Times;Serif"/>
                                <w:b w:val="false"/>
                                <w:i w:val="false"/>
                                <w:caps w:val="false"/>
                                <w:smallCaps w:val="false"/>
                                <w:position w:val="5"/>
                                <w:sz w:val="13"/>
                                <w:sz w:val="16"/>
                              </w:rPr>
                              <w:t>1, 2</w:t>
                            </w:r>
                            <w:r>
                              <w:rPr>
                                <w:rFonts w:ascii="Georgia;Times;Serif" w:hAnsi="Georgia;Times;Serif"/>
                                <w:b w:val="false"/>
                                <w:i w:val="false"/>
                                <w:caps w:val="false"/>
                                <w:smallCaps w:val="false"/>
                                <w:sz w:val="16"/>
                              </w:rPr>
                              <w:t xml:space="preserve">: </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Three business days after the applicable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Maturity Payment Amount (per Security):</w:t>
                            </w:r>
                          </w:p>
                        </w:tc>
                        <w:tc>
                          <w:tcPr>
                            <w:tcW w:w="9060" w:type="dxa"/>
                            <w:tcBorders>
                              <w:bottom w:val="single" w:sz="8" w:space="0" w:color="000000"/>
                              <w:right w:val="single" w:sz="8" w:space="0" w:color="000000"/>
                            </w:tcBorders>
                            <w:tcMar>
                              <w:top w:w="0" w:type="dxa"/>
                              <w:left w:w="0" w:type="dxa"/>
                            </w:tcMar>
                            <w:vAlign w:val="center"/>
                          </w:tcPr>
                          <w:p>
                            <w:pPr>
                              <w:pStyle w:val="TableContents"/>
                              <w:bidi w:val="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are not automatically called:</w:t>
                            </w:r>
                          </w:p>
                          <w:p>
                            <w:pPr>
                              <w:pStyle w:val="TableContents"/>
                              <w:bidi w:val="0"/>
                              <w:spacing w:before="0" w:after="40"/>
                              <w:ind w:left="173" w:right="0" w:hanging="187"/>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greater than or equal to its threshold price: $1,000; or</w:t>
                            </w:r>
                          </w:p>
                          <w:p>
                            <w:pPr>
                              <w:pStyle w:val="TableContents"/>
                              <w:bidi w:val="0"/>
                              <w:spacing w:before="60" w:after="40"/>
                              <w:ind w:left="160" w:right="60" w:hanging="180"/>
                              <w:jc w:val="left"/>
                              <w:rPr>
                                <w:rFonts w:ascii="Times New Roman;Times;Serif" w:hAnsi="Times New Roman;Times;Serif"/>
                                <w:b w:val="false"/>
                                <w:i w:val="false"/>
                                <w:caps w:val="false"/>
                                <w:smallCaps w:val="false"/>
                                <w:sz w:val="16"/>
                              </w:rPr>
                            </w:pPr>
                            <w:r>
                              <w:rPr>
                                <w:rFonts w:ascii="Symbol" w:hAnsi="Symbol"/>
                                <w:b w:val="false"/>
                                <w:i w:val="false"/>
                                <w:caps w:val="false"/>
                                <w:smallCaps w:val="false"/>
                                <w:sz w:val="16"/>
                              </w:rPr>
                              <w:t>·</w:t>
                            </w:r>
                            <w:r>
                              <w:rPr>
                                <w:rFonts w:ascii="Times New Roman;Times;Serif" w:hAnsi="Times New Roman;Times;Serif"/>
                                <w:b w:val="false"/>
                                <w:i w:val="false"/>
                                <w:caps w:val="false"/>
                                <w:smallCaps w:val="false"/>
                                <w:sz w:val="16"/>
                              </w:rPr>
                              <w:t>   </w:t>
                            </w:r>
                            <w:r>
                              <w:rPr>
                                <w:rFonts w:ascii="Georgia;Times;Serif" w:hAnsi="Georgia;Times;Serif"/>
                                <w:b w:val="false"/>
                                <w:i w:val="false"/>
                                <w:caps w:val="false"/>
                                <w:smallCaps w:val="false"/>
                                <w:sz w:val="16"/>
                              </w:rPr>
                              <w:t>If the ending price of the lowest performing Underlying Stock on the final calculation day is less than its threshold price:</w:t>
                            </w:r>
                          </w:p>
                          <w:p>
                            <w:pPr>
                              <w:pStyle w:val="TableContents"/>
                              <w:bidi w:val="0"/>
                              <w:spacing w:before="60" w:after="40"/>
                              <w:ind w:left="60" w:right="60" w:hanging="0"/>
                              <w:jc w:val="center"/>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 ($1,000 × stock return of the lowest performing Underlying Stock on the final calculation day)</w:t>
                            </w:r>
                          </w:p>
                        </w:tc>
                      </w:tr>
                      <w:tr>
                        <w:trPr/>
                        <w:tc>
                          <w:tcPr>
                            <w:tcW w:w="11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Lowest Performing Underlying Stock:</w:t>
                            </w:r>
                          </w:p>
                        </w:tc>
                        <w:tc>
                          <w:tcPr>
                            <w:tcW w:w="90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any calculation day, the “</w:t>
                            </w:r>
                            <w:r>
                              <w:rPr>
                                <w:rFonts w:ascii="Georgia;Times;Serif" w:hAnsi="Georgia;Times;Serif"/>
                                <w:b w:val="false"/>
                                <w:i w:val="false"/>
                                <w:caps w:val="false"/>
                                <w:smallCaps w:val="false"/>
                                <w:sz w:val="16"/>
                                <w:u w:val="single"/>
                              </w:rPr>
                              <w:t>lowest performing Underlying Stock</w:t>
                            </w:r>
                            <w:r>
                              <w:rPr>
                                <w:rFonts w:ascii="Georgia;Times;Serif" w:hAnsi="Georgia;Times;Serif"/>
                                <w:b w:val="false"/>
                                <w:i w:val="false"/>
                                <w:caps w:val="false"/>
                                <w:smallCaps w:val="false"/>
                                <w:sz w:val="16"/>
                              </w:rPr>
                              <w:t>” will be the Underlying Stock with the lowest stock return on that calculation day.</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9972040"/>
                <wp:effectExtent l="0" t="0" r="0" b="0"/>
                <wp:wrapSquare wrapText="left"/>
                <wp:docPr id="3"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50%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46661MU77</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center"/>
                              <w:rPr>
                                <w:caps w:val="false"/>
                                <w:smallCaps w:val="false"/>
                                <w:color w:val="8F8F8F"/>
                              </w:rPr>
                            </w:pPr>
                            <w:r>
                              <w:rPr>
                                <w:caps w:val="false"/>
                                <w:smallCaps w:val="false"/>
                                <w:color w:val="8F8F8F"/>
                              </w:rPr>
                              <w:drawing>
                                <wp:inline distT="0" distB="0" distL="0" distR="0">
                                  <wp:extent cx="3333750" cy="227647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3333750" cy="2276475"/>
                                          </a:xfrm>
                                          <a:prstGeom prst="rect">
                                            <a:avLst/>
                                          </a:prstGeom>
                                        </pic:spPr>
                                      </pic:pic>
                                    </a:graphicData>
                                  </a:graphic>
                                </wp:inline>
                              </w:drawing>
                            </w:r>
                          </w:p>
                          <w:p>
                            <w:pPr>
                              <w:pStyle w:val="TextBody"/>
                              <w:bidi w:val="0"/>
                              <w:spacing w:before="0" w:after="4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50%, and possibly all, of the principal amount of your securities at maturity.</w:t>
                            </w:r>
                          </w:p>
                          <w:p>
                            <w:pPr>
                              <w:pStyle w:val="TextBody"/>
                              <w:bidi w:val="0"/>
                              <w:spacing w:before="0" w:after="4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$953.40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40"/>
                              <w:jc w:val="left"/>
                              <w:rPr/>
                            </w:pPr>
                            <w:r>
                              <w:rPr>
                                <w:rFonts w:ascii="Georgia;Times;Serif" w:hAnsi="Georgia;Times;Serif"/>
                                <w:b w:val="false"/>
                                <w:i w:val="false"/>
                                <w:caps w:val="false"/>
                                <w:smallCaps w:val="false"/>
                                <w:sz w:val="16"/>
                              </w:rPr>
                              <w:t>Preliminary Pricing Supplement:</w:t>
                              <w:br/>
                            </w:r>
                            <w:hyperlink r:id="rId4">
                              <w:r>
                                <w:rPr>
                                  <w:rStyle w:val="InternetLink"/>
                                  <w:rFonts w:ascii="Georgia;Times;Serif" w:hAnsi="Georgia;Times;Serif"/>
                                  <w:b w:val="false"/>
                                  <w:i w:val="false"/>
                                  <w:caps w:val="false"/>
                                  <w:smallCaps w:val="false"/>
                                  <w:sz w:val="16"/>
                                </w:rPr>
                                <w:t>http://www.sec.gov/Archives/edgar/data/19617/000121390026098381/</w:t>
                                <w:br/>
                                <w:t>ea0304983-01_424b2.htm</w:t>
                              </w:r>
                            </w:hyperlink>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ind w:left="90" w:right="0" w:hanging="0"/>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Summary of Terms (continued)</w:t>
                      </w:r>
                    </w:p>
                    <w:tbl>
                      <w:tblPr>
                        <w:tblW w:w="10205" w:type="dxa"/>
                        <w:jc w:val="left"/>
                        <w:tblInd w:w="-10" w:type="dxa"/>
                        <w:tblLayout w:type="fixed"/>
                        <w:tblCellMar>
                          <w:top w:w="28" w:type="dxa"/>
                          <w:left w:w="108" w:type="dxa"/>
                          <w:bottom w:w="28" w:type="dxa"/>
                          <w:right w:w="108" w:type="dxa"/>
                        </w:tblCellMar>
                      </w:tblPr>
                      <w:tblGrid>
                        <w:gridCol w:w="1291"/>
                        <w:gridCol w:w="8914"/>
                      </w:tblGrid>
                      <w:tr>
                        <w:trPr/>
                        <w:tc>
                          <w:tcPr>
                            <w:tcW w:w="129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Starting Price:</w:t>
                            </w:r>
                          </w:p>
                        </w:tc>
                        <w:tc>
                          <w:tcPr>
                            <w:tcW w:w="8914"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pricing date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Ending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its stock closing price on the final calculation day</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Stock Return:</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on any calculation day, (stock closing price on that calculation day – starting price) /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Threshold Price:</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For each Underlying Stock, 50% of its starting price</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Calculation Agent:</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J.P. Morgan Securities LLC (“</w:t>
                            </w:r>
                            <w:r>
                              <w:rPr>
                                <w:rFonts w:ascii="Georgia;Times;Serif" w:hAnsi="Georgia;Times;Serif"/>
                                <w:b w:val="false"/>
                                <w:i w:val="false"/>
                                <w:caps w:val="false"/>
                                <w:smallCaps w:val="false"/>
                                <w:sz w:val="16"/>
                                <w:u w:val="single"/>
                              </w:rPr>
                              <w:t>JPMS</w:t>
                            </w:r>
                            <w:r>
                              <w:rPr>
                                <w:rFonts w:ascii="Georgia;Times;Serif" w:hAnsi="Georgia;Times;Serif"/>
                                <w:b w:val="false"/>
                                <w:i w:val="false"/>
                                <w:caps w:val="false"/>
                                <w:smallCaps w:val="false"/>
                                <w:sz w:val="16"/>
                              </w:rPr>
                              <w:t>”)</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Denominations: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$1,000 and any integral multiple of $1,000</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CUSIP:</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46661MU77</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Fees and Commissions: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Up to 2.325% for Wells Fargo Securities, LLC (“</w:t>
                            </w:r>
                            <w:r>
                              <w:rPr>
                                <w:rFonts w:ascii="Georgia;Times;Serif" w:hAnsi="Georgia;Times;Serif"/>
                                <w:b w:val="false"/>
                                <w:i w:val="false"/>
                                <w:caps w:val="false"/>
                                <w:smallCaps w:val="false"/>
                                <w:sz w:val="16"/>
                                <w:u w:val="single"/>
                              </w:rPr>
                              <w:t>WFS</w:t>
                            </w:r>
                            <w:r>
                              <w:rPr>
                                <w:rFonts w:ascii="Georgia;Times;Serif" w:hAnsi="Georgia;Times;Serif"/>
                                <w:b w:val="false"/>
                                <w:i w:val="false"/>
                                <w:caps w:val="false"/>
                                <w:smallCaps w:val="false"/>
                                <w:sz w:val="16"/>
                              </w:rPr>
                              <w:t>”); WFS has advised us that dealers, including Wells Fargo Advisors (“</w:t>
                            </w:r>
                            <w:r>
                              <w:rPr>
                                <w:rFonts w:ascii="Georgia;Times;Serif" w:hAnsi="Georgia;Times;Serif"/>
                                <w:b w:val="false"/>
                                <w:i w:val="false"/>
                                <w:caps w:val="false"/>
                                <w:smallCaps w:val="false"/>
                                <w:sz w:val="16"/>
                                <w:u w:val="single"/>
                              </w:rPr>
                              <w:t>WFA</w:t>
                            </w:r>
                            <w:r>
                              <w:rPr>
                                <w:rFonts w:ascii="Georgia;Times;Serif" w:hAnsi="Georgia;Times;Serif"/>
                                <w:b w:val="false"/>
                                <w:i w:val="false"/>
                                <w:caps w:val="false"/>
                                <w:smallCaps w:val="false"/>
                                <w:sz w:val="16"/>
                              </w:rPr>
                              <w:t>”), may receive 1.75% of WFS’s fee, and WFA may also receive a distribution expense fee of 0.075%. In addition, in respect of certain securities sold in this offering, JPMS may pay a fee of up to 0.30% to selected dealers in consideration for marketing and other services in connection with the distribution of the securities to other dealers.</w:t>
                            </w:r>
                          </w:p>
                        </w:tc>
                      </w:tr>
                      <w:tr>
                        <w:trPr/>
                        <w:tc>
                          <w:tcPr>
                            <w:tcW w:w="1291"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Tax Considerations:</w:t>
                            </w:r>
                          </w:p>
                        </w:tc>
                        <w:tc>
                          <w:tcPr>
                            <w:tcW w:w="891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See the preliminary pricing supplement.</w:t>
                            </w:r>
                          </w:p>
                        </w:tc>
                      </w:tr>
                      <w:tr>
                        <w:trPr/>
                        <w:tc>
                          <w:tcPr>
                            <w:tcW w:w="10205" w:type="dxa"/>
                            <w:gridSpan w:val="2"/>
                            <w:tcBorders>
                              <w:left w:val="single" w:sz="8" w:space="0" w:color="000000"/>
                              <w:bottom w:val="single" w:sz="8" w:space="0" w:color="000000"/>
                              <w:right w:val="single" w:sz="8" w:space="0" w:color="000000"/>
                            </w:tcBorders>
                            <w:tcMar>
                              <w:top w:w="0" w:type="dxa"/>
                            </w:tcMar>
                            <w:vAlign w:val="center"/>
                          </w:tcPr>
                          <w:p>
                            <w:pPr>
                              <w:pStyle w:val="TableContents"/>
                              <w:bidi w:val="0"/>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1 </w:t>
                            </w:r>
                            <w:r>
                              <w:rPr>
                                <w:rFonts w:ascii="Georgia;Times;Serif" w:hAnsi="Georgia;Times;Serif"/>
                                <w:b w:val="false"/>
                                <w:i w:val="false"/>
                                <w:caps w:val="false"/>
                                <w:smallCaps w:val="false"/>
                                <w:sz w:val="15"/>
                              </w:rPr>
                              <w:t>Subject to change</w:t>
                            </w:r>
                          </w:p>
                          <w:p>
                            <w:pPr>
                              <w:pStyle w:val="TableContents"/>
                              <w:bidi w:val="0"/>
                              <w:spacing w:before="0" w:after="283"/>
                              <w:jc w:val="left"/>
                              <w:rPr>
                                <w:rFonts w:ascii="Georgia;Times;Serif" w:hAnsi="Georgia;Times;Serif"/>
                                <w:b w:val="false"/>
                                <w:i w:val="false"/>
                                <w:caps w:val="false"/>
                                <w:smallCaps w:val="false"/>
                                <w:sz w:val="15"/>
                              </w:rPr>
                            </w:pPr>
                            <w:r>
                              <w:rPr>
                                <w:rFonts w:ascii="Georgia;Times;Serif" w:hAnsi="Georgia;Times;Serif"/>
                                <w:b w:val="false"/>
                                <w:i w:val="false"/>
                                <w:caps w:val="false"/>
                                <w:smallCaps w:val="false"/>
                                <w:position w:val="5"/>
                                <w:sz w:val="12"/>
                                <w:sz w:val="15"/>
                              </w:rPr>
                              <w:t xml:space="preserve">2 </w:t>
                            </w:r>
                            <w:r>
                              <w:rPr>
                                <w:rFonts w:ascii="Georgia;Times;Serif" w:hAnsi="Georgia;Times;Serif"/>
                                <w:b w:val="false"/>
                                <w:i w:val="false"/>
                                <w:caps w:val="false"/>
                                <w:smallCaps w:val="false"/>
                                <w:sz w:val="15"/>
                              </w:rPr>
                              <w:t>Subject to postponement</w:t>
                            </w:r>
                          </w:p>
                        </w:tc>
                      </w:tr>
                    </w:tbl>
                    <w:p>
                      <w:pPr>
                        <w:pStyle w:val="TextBody"/>
                        <w:bidi w:val="0"/>
                        <w:spacing w:before="40" w:after="40"/>
                        <w:ind w:left="57" w:right="40" w:hanging="12"/>
                        <w:jc w:val="left"/>
                        <w:rPr>
                          <w:rFonts w:ascii="Verdana;Helvetica;Sans-Serif" w:hAnsi="Verdana;Helvetica;Sans-Serif"/>
                          <w:b w:val="false"/>
                          <w:i w:val="false"/>
                          <w:caps w:val="false"/>
                          <w:smallCaps w:val="false"/>
                          <w:color w:val="8F8F8F"/>
                          <w:sz w:val="26"/>
                        </w:rPr>
                      </w:pPr>
                      <w:r>
                        <w:rPr>
                          <w:rFonts w:ascii="Verdana;Helvetica;Sans-Serif" w:hAnsi="Verdana;Helvetica;Sans-Serif"/>
                          <w:b w:val="false"/>
                          <w:i w:val="false"/>
                          <w:caps w:val="false"/>
                          <w:smallCaps w:val="false"/>
                          <w:color w:val="8F8F8F"/>
                          <w:sz w:val="26"/>
                        </w:rPr>
                        <w:t>Hypothetical Payout Profile (Maturity Payment Amount)</w:t>
                      </w:r>
                    </w:p>
                    <w:p>
                      <w:pPr>
                        <w:pStyle w:val="TextBody"/>
                        <w:bidi w:val="0"/>
                        <w:spacing w:before="60" w:after="60"/>
                        <w:ind w:left="405" w:right="60" w:hanging="360"/>
                        <w:jc w:val="center"/>
                        <w:rPr>
                          <w:caps w:val="false"/>
                          <w:smallCaps w:val="false"/>
                          <w:color w:val="8F8F8F"/>
                        </w:rPr>
                      </w:pPr>
                      <w:r>
                        <w:rPr>
                          <w:caps w:val="false"/>
                          <w:smallCaps w:val="false"/>
                          <w:color w:val="8F8F8F"/>
                        </w:rPr>
                        <w:drawing>
                          <wp:inline distT="0" distB="0" distL="0" distR="0">
                            <wp:extent cx="3333750" cy="227647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5"/>
                                    <a:stretch>
                                      <a:fillRect/>
                                    </a:stretch>
                                  </pic:blipFill>
                                  <pic:spPr bwMode="auto">
                                    <a:xfrm>
                                      <a:off x="0" y="0"/>
                                      <a:ext cx="3333750" cy="2276475"/>
                                    </a:xfrm>
                                    <a:prstGeom prst="rect">
                                      <a:avLst/>
                                    </a:prstGeom>
                                  </pic:spPr>
                                </pic:pic>
                              </a:graphicData>
                            </a:graphic>
                          </wp:inline>
                        </w:drawing>
                      </w:r>
                    </w:p>
                    <w:p>
                      <w:pPr>
                        <w:pStyle w:val="TextBody"/>
                        <w:bidi w:val="0"/>
                        <w:spacing w:before="0" w:after="4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If the securities are not automatically called prior to maturity and the ending price of the lowest performing Underlying Stock on the final calculation day is less than its threshold price, you will lose more than 50%, and possibly all, of the principal amount of your securities at maturity.</w:t>
                      </w:r>
                    </w:p>
                    <w:p>
                      <w:pPr>
                        <w:pStyle w:val="TextBody"/>
                        <w:bidi w:val="0"/>
                        <w:spacing w:before="0" w:after="40"/>
                        <w:ind w:left="0" w:right="0" w:hanging="0"/>
                        <w:jc w:val="left"/>
                        <w:rPr>
                          <w:rFonts w:ascii="Georgia;Times;Serif" w:hAnsi="Georgia;Times;Serif"/>
                          <w:b/>
                          <w:i w:val="false"/>
                          <w:caps w:val="false"/>
                          <w:smallCaps w:val="false"/>
                          <w:sz w:val="16"/>
                        </w:rPr>
                      </w:pPr>
                      <w:r>
                        <w:rPr>
                          <w:rFonts w:ascii="Georgia;Times;Serif" w:hAnsi="Georgia;Times;Serif"/>
                          <w:b/>
                          <w:i w:val="false"/>
                          <w:caps w:val="false"/>
                          <w:smallCaps w:val="false"/>
                          <w:sz w:val="16"/>
                        </w:rPr>
                        <w:t>Any return on the securities will be limited to the sum of your contingent coupon payments, if any. You will not participate in any appreciation of any Underlying Stock, but you will have full downside exposure to the lowest performing Underlying Stock on the final calculation day if its ending price is less than its threshold price.</w:t>
                      </w:r>
                    </w:p>
                    <w:p>
                      <w:pPr>
                        <w:pStyle w:val="TextBody"/>
                        <w:bidi w:val="0"/>
                        <w:spacing w:before="0" w:after="4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 xml:space="preserve">The securities are unsecured and unsubordinated obligations of JPMorgan Chase Financial Company LLC, which we refer to as JPMorgan Financial, the payment on which is fully and unconditionally guaranteed by JPMorgan Chase &amp; Co. </w:t>
                      </w:r>
                      <w:r>
                        <w:rPr>
                          <w:rFonts w:ascii="Georgia;Times;Serif" w:hAnsi="Georgia;Times;Serif"/>
                          <w:b/>
                          <w:i w:val="false"/>
                          <w:caps w:val="false"/>
                          <w:smallCaps w:val="false"/>
                          <w:sz w:val="16"/>
                        </w:rPr>
                        <w:t>Any payment on the securities is subject to the credit risk of JPMorgan Financial, as issuer of the securities, and the credit risk of JPMorgan Chase &amp; Co., as guarantor of the securities.</w:t>
                      </w:r>
                    </w:p>
                    <w:p>
                      <w:pPr>
                        <w:pStyle w:val="TextBody"/>
                        <w:bidi w:val="0"/>
                        <w:spacing w:before="0" w:after="40"/>
                        <w:ind w:left="0" w:right="0" w:hanging="0"/>
                        <w:jc w:val="left"/>
                        <w:rPr>
                          <w:rFonts w:ascii="Georgia;Times;Serif" w:hAnsi="Georgia;Times;Serif"/>
                          <w:b w:val="false"/>
                          <w:i w:val="false"/>
                          <w:caps w:val="false"/>
                          <w:smallCaps w:val="false"/>
                          <w:sz w:val="16"/>
                        </w:rPr>
                      </w:pPr>
                      <w:r>
                        <w:rPr>
                          <w:rFonts w:ascii="Georgia;Times;Serif" w:hAnsi="Georgia;Times;Serif"/>
                          <w:b w:val="false"/>
                          <w:i w:val="false"/>
                          <w:caps w:val="false"/>
                          <w:smallCaps w:val="false"/>
                          <w:sz w:val="16"/>
                        </w:rPr>
                        <w:t>If the securities priced on the date of the accompanying preliminary pricing supplement, the estimated value of the securities would be approximately $953.40 per security. The estimated value of the securities, when the terms of the securities are set, will be provided in the pricing supplement and will not be less than $920.00 per security. See “The Estimated Value of the Securities” in the preliminary pricing supplement for additional information.</w:t>
                      </w:r>
                    </w:p>
                    <w:p>
                      <w:pPr>
                        <w:pStyle w:val="TextBody"/>
                        <w:bidi w:val="0"/>
                        <w:spacing w:before="0" w:after="40"/>
                        <w:jc w:val="left"/>
                        <w:rPr/>
                      </w:pPr>
                      <w:r>
                        <w:rPr>
                          <w:rFonts w:ascii="Georgia;Times;Serif" w:hAnsi="Georgia;Times;Serif"/>
                          <w:b w:val="false"/>
                          <w:i w:val="false"/>
                          <w:caps w:val="false"/>
                          <w:smallCaps w:val="false"/>
                          <w:sz w:val="16"/>
                        </w:rPr>
                        <w:t>Preliminary Pricing Supplement:</w:t>
                        <w:br/>
                      </w:r>
                      <w:hyperlink r:id="rId6">
                        <w:r>
                          <w:rPr>
                            <w:rStyle w:val="InternetLink"/>
                            <w:rFonts w:ascii="Georgia;Times;Serif" w:hAnsi="Georgia;Times;Serif"/>
                            <w:b w:val="false"/>
                            <w:i w:val="false"/>
                            <w:caps w:val="false"/>
                            <w:smallCaps w:val="false"/>
                            <w:sz w:val="16"/>
                          </w:rPr>
                          <w:t>http://www.sec.gov/Archives/edgar/data/19617/000121390026098381/</w:t>
                          <w:br/>
                          <w:t>ea0304983-01_424b2.htm</w:t>
                        </w:r>
                      </w:hyperlink>
                    </w:p>
                  </w:txbxContent>
                </v:textbox>
                <w10:wrap type="square" side="left"/>
              </v:rect>
            </w:pict>
          </mc:Fallback>
        </mc:AlternateContent>
      </w:r>
    </w:p>
    <w:p>
      <w:pPr>
        <w:pStyle w:val="TextBody"/>
        <w:bidi w:val="0"/>
        <w:spacing w:before="0" w:after="0"/>
        <w:ind w:left="288" w:right="0" w:hanging="0"/>
        <w:jc w:val="left"/>
        <w:rPr>
          <w:rFonts w:ascii="Georgia;Times;Serif" w:hAnsi="Georgia;Times;Serif"/>
          <w:b w:val="false"/>
          <w:i/>
          <w:caps w:val="false"/>
          <w:smallCaps w:val="false"/>
          <w:sz w:val="16"/>
        </w:rPr>
      </w:pPr>
      <w:r>
        <w:rPr>
          <w:rFonts w:ascii="Georgia;Times;Serif" w:hAnsi="Georgia;Times;Serif"/>
          <w:b w:val="false"/>
          <w:i/>
          <w:caps w:val="false"/>
          <w:smallCaps w:val="false"/>
          <w:sz w:val="16"/>
        </w:rPr>
        <w:t>The securities are not bank deposits, are not insured by the Federal Deposit Insurance Corporation or any other governmental agency and are not obligations of, or guaranteed by, a bank.</w:t>
      </w:r>
    </w:p>
    <w:p>
      <w:pPr>
        <w:pStyle w:val="TextBody"/>
        <w:pBdr>
          <w:top w:val="single" w:sz="4" w:space="1" w:color="7F7F7F"/>
        </w:pBdr>
        <w:bidi w:val="0"/>
        <w:spacing w:before="40" w:after="40"/>
        <w:ind w:left="288" w:right="0" w:hanging="0"/>
        <w:jc w:val="left"/>
        <w:rPr>
          <w:rFonts w:ascii="Georgia;Times;Serif" w:hAnsi="Georgia;Times;Serif"/>
          <w:b w:val="false"/>
          <w:i w:val="false"/>
          <w:caps w:val="false"/>
          <w:smallCaps w:val="false"/>
          <w:sz w:val="16"/>
        </w:rPr>
      </w:pPr>
      <w:r>
        <w:rPr>
          <w:rFonts w:ascii="Georgia;Times;Serif" w:hAnsi="Georgia;Times;Serif"/>
          <w:b/>
          <w:i w:val="false"/>
          <w:caps w:val="false"/>
          <w:smallCaps w:val="false"/>
          <w:color w:val="C00000"/>
          <w:sz w:val="16"/>
        </w:rPr>
        <w:t xml:space="preserve">THIS FACT SHEET DOES NOT PROVIDE ALL OF THE INFORMATION THAT AN INVESTOR SHOULD CONSIDER PRIOR TO MAKING AN INVESTMENT DECISION. </w:t>
      </w:r>
      <w:r>
        <w:rPr>
          <w:rFonts w:ascii="Georgia;Times;Serif" w:hAnsi="Georgia;Times;Serif"/>
          <w:b/>
          <w:i w:val="false"/>
          <w:caps w:val="false"/>
          <w:smallCaps w:val="false"/>
          <w:sz w:val="16"/>
        </w:rPr>
        <w:t>This fact sheet should be read in conjunction with the accompanying preliminary pricing supplement, prospectus, prospectus supplement and product supplement.</w:t>
      </w:r>
    </w:p>
    <w:p>
      <w:pPr>
        <w:pStyle w:val="TextBody"/>
        <w:bidi w:val="0"/>
        <w:spacing w:before="60" w:after="144"/>
        <w:ind w:left="60" w:right="60" w:hanging="0"/>
        <w:jc w:val="left"/>
        <w:rPr>
          <w:rFonts w:ascii="Georgia;Times;Serif" w:hAnsi="Georgia;Times;Serif"/>
          <w:b w:val="false"/>
          <w:i w:val="false"/>
          <w:caps w:val="false"/>
          <w:smallCaps w:val="false"/>
          <w:color w:val="8F8F8F"/>
          <w:sz w:val="28"/>
        </w:rPr>
      </w:pPr>
      <w:r>
        <w:rPr>
          <w:rFonts w:ascii="Georgia;Times;Serif" w:hAnsi="Georgia;Times;Serif"/>
          <w:b w:val="false"/>
          <w:i w:val="false"/>
          <w:caps w:val="false"/>
          <w:smallCaps w:val="false"/>
          <w:color w:val="8F8F8F"/>
          <w:sz w:val="28"/>
        </w:rPr>
        <w:t>Selected Risk Considerations</w:t>
      </w:r>
    </w:p>
    <w:p>
      <w:pPr>
        <w:pStyle w:val="TextBody"/>
        <w:bidi w:val="0"/>
        <w:spacing w:before="20" w:after="120"/>
        <w:ind w:left="20" w:right="20" w:hanging="0"/>
        <w:jc w:val="left"/>
        <w:rPr>
          <w:rFonts w:ascii="Georgia;Times;Serif" w:hAnsi="Georgia;Times;Serif"/>
          <w:b w:val="false"/>
          <w:i w:val="false"/>
          <w:caps w:val="false"/>
          <w:smallCaps w:val="false"/>
          <w:sz w:val="18"/>
        </w:rPr>
      </w:pPr>
      <w:r>
        <w:rPr>
          <w:rFonts w:ascii="Georgia;Times;Serif" w:hAnsi="Georgia;Times;Serif"/>
          <w:b w:val="false"/>
          <w:i w:val="false"/>
          <w:caps w:val="false"/>
          <w:smallCaps w:val="false"/>
          <w:sz w:val="18"/>
        </w:rPr>
        <w:t>The risks set forth below are discussed in detail in the “Selected Risk Considerations” section in the accompanying preliminary pricing supplement and the “Risk Factors” sections in the accompanying prospectus supplement and product supplement. Please review the risk disclosure carefully.</w:t>
      </w:r>
    </w:p>
    <w:tbl>
      <w:tblPr>
        <w:tblW w:w="10205" w:type="dxa"/>
        <w:jc w:val="left"/>
        <w:tblInd w:w="0" w:type="dxa"/>
        <w:tblLayout w:type="fixed"/>
        <w:tblCellMar>
          <w:top w:w="0" w:type="dxa"/>
          <w:left w:w="0" w:type="dxa"/>
          <w:bottom w:w="0" w:type="dxa"/>
          <w:right w:w="0" w:type="dxa"/>
        </w:tblCellMar>
      </w:tblPr>
      <w:tblGrid>
        <w:gridCol w:w="5025"/>
        <w:gridCol w:w="5180"/>
      </w:tblGrid>
      <w:tr>
        <w:trPr/>
        <w:tc>
          <w:tcPr>
            <w:tcW w:w="5025"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If the Securities Are Not Automatically Called and the Ending Price of the Lowest Performing Underlying Stock on the Final Calculation Day Is Less Than Its Threshold Price, You Will Lose More Than 50%, and Possibly All, of the Principal Amount of Your Securities at Maturity.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Do Not Guarantee the Payment of Interest and May Not Pay Any Interest at All.</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shd w:fill="FFFFFF" w:val="clear"/>
              </w:rPr>
              <w:t xml:space="preserve">The Potential Return on the Securities Is Limited to the Sum of Any Contingent Coupon Payments </w:t>
            </w:r>
            <w:r>
              <w:rPr>
                <w:rFonts w:ascii="Georgia;Times;Serif" w:hAnsi="Georgia;Times;Serif"/>
                <w:b/>
                <w:i w:val="false"/>
                <w:caps w:val="false"/>
                <w:smallCaps w:val="false"/>
                <w:sz w:val="18"/>
              </w:rPr>
              <w:t>and You Will Not Participate in Any Appreciation of Any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Reinvestment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Securities Are Subject to the Credit Risks of JPMorgan Financial and JPMorgan Chase &amp; Co.</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As a Finance Subsidiary, JPMorgan Financial Has No Independent Activities and Has Limited Assets.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Are Exposed to the Risk of Decline in the Price of Each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Your Maturity Payment Amount Will Be Determined by the Lowest Performing Underlying Stock.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You Will Be Subject to Risks Resulting from the Relationship Among the Underlying Stocks.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Higher Contingent Coupon Rates Are Associated with Greater Risk.</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Benefit Provided by the Threshold Price May Terminate on the Final Calculation Day.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No Dividend Payments or Voting Rights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Lack of Liquidity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Final Terms and Estimated Valuation of the Securities Will Be Provided in the Pricing Supplement.</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U.S. Federal Tax Consequences of the Securities Are Uncertain, and May Be Adverse to a Holder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Potential Conflicts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Will Be Lower Than the Original Issue Price (Price to Public) of the Securities.</w:t>
            </w:r>
          </w:p>
        </w:tc>
        <w:tc>
          <w:tcPr>
            <w:tcW w:w="5180" w:type="dxa"/>
            <w:tcBorders/>
            <w:vAlign w:val="center"/>
          </w:tcPr>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Does Not Represent Future Values of the Securities and May Differ from Others’ Estimates.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Estimated Value of the Securities Is Derived by Reference to an Internal Funding Rate.</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Value of the Securities as Published by JPMS (and Which May Be Reflected on Customer Account Statements) May Be Higher Than the Then-Current Estimated Value of the Securities for a Limited Time Period.</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Secondary Market Prices of the Securities Will Likely Be Lower Than the Original Issue Price of the Securities.</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Many Economic and Market Factors Will Impact the Value of the Securities.</w:t>
            </w:r>
          </w:p>
          <w:p>
            <w:pPr>
              <w:pStyle w:val="TableContents"/>
              <w:bidi w:val="0"/>
              <w:spacing w:before="0" w:after="40"/>
              <w:ind w:left="360" w:right="0" w:hanging="360"/>
              <w:jc w:val="left"/>
              <w:rPr>
                <w:rFonts w:ascii="Times New Roman;Times;Serif" w:hAnsi="Times New Roman;Times;Serif"/>
                <w:b w:val="false"/>
                <w:i w:val="false"/>
                <w:caps w:val="false"/>
                <w:smallCaps w:val="false"/>
                <w:sz w:val="18"/>
              </w:rPr>
            </w:pPr>
            <w:r>
              <w:rPr>
                <w:rFonts w:ascii="Symbol" w:hAnsi="Symbol"/>
                <w:b w:val="false"/>
                <w:i w:val="false"/>
                <w:caps w:val="false"/>
                <w:smallCaps w:val="false"/>
                <w:sz w:val="18"/>
              </w:rPr>
              <w:t>·</w:t>
            </w:r>
            <w:r>
              <w:rPr>
                <w:rFonts w:ascii="Times New Roman;Times;Serif" w:hAnsi="Times New Roman;Times;Serif"/>
                <w:b w:val="false"/>
                <w:i w:val="false"/>
                <w:caps w:val="false"/>
                <w:smallCaps w:val="false"/>
                <w:sz w:val="18"/>
              </w:rPr>
              <w:t>      </w:t>
            </w:r>
            <w:r>
              <w:rPr>
                <w:rFonts w:ascii="Georgia;Times;Serif" w:hAnsi="Georgia;Times;Serif"/>
                <w:b/>
                <w:i w:val="false"/>
                <w:caps w:val="false"/>
                <w:smallCaps w:val="false"/>
                <w:sz w:val="18"/>
              </w:rPr>
              <w:t>No Affiliation with Any Underlying Stock Issuer</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The Anti-Dilution Protection Is Limited and May Be Discretionary.</w:t>
            </w:r>
          </w:p>
          <w:p>
            <w:pPr>
              <w:pStyle w:val="TableContents"/>
              <w:bidi w:val="0"/>
              <w:spacing w:before="0" w:after="40"/>
              <w:ind w:left="360" w:right="0" w:hanging="360"/>
              <w:jc w:val="left"/>
              <w:rPr>
                <w:rFonts w:ascii="Georgia;Times;Serif" w:hAnsi="Georgia;Times;Serif"/>
                <w:b w:val="false"/>
                <w:i w:val="false"/>
                <w:caps w:val="false"/>
                <w:smallCaps w:val="false"/>
                <w:sz w:val="18"/>
              </w:rPr>
            </w:pPr>
            <w:r>
              <w:rPr>
                <w:rFonts w:ascii="Symbol" w:hAnsi="Symbol"/>
                <w:b w:val="false"/>
                <w:i w:val="false"/>
                <w:caps w:val="false"/>
                <w:smallCaps w:val="false"/>
                <w:sz w:val="18"/>
              </w:rPr>
              <w:t>·</w:t>
            </w:r>
            <w:r>
              <w:rPr>
                <w:rFonts w:ascii="Georgia;Times;Serif" w:hAnsi="Georgia;Times;Serif"/>
                <w:b w:val="false"/>
                <w:i w:val="false"/>
                <w:caps w:val="false"/>
                <w:smallCaps w:val="false"/>
                <w:sz w:val="18"/>
              </w:rPr>
              <w:t>      </w:t>
            </w:r>
            <w:r>
              <w:rPr>
                <w:rFonts w:ascii="Georgia;Times;Serif" w:hAnsi="Georgia;Times;Serif"/>
                <w:b/>
                <w:i w:val="false"/>
                <w:caps w:val="false"/>
                <w:smallCaps w:val="false"/>
                <w:sz w:val="18"/>
              </w:rPr>
              <w:t>Any Payment on the Securities Will Depend upon the Performance of Each Underlying Stock and Therefore the Securities Are Subject to the Risks Associated with Each Underlying Stock, Each as Discussed in the Accompanying Preliminary Pricing Supplement and Product Supplement.</w:t>
            </w:r>
          </w:p>
          <w:p>
            <w:pPr>
              <w:pStyle w:val="TableContents"/>
              <w:bidi w:val="0"/>
              <w:spacing w:before="0" w:after="40"/>
              <w:ind w:left="360" w:right="0" w:hanging="0"/>
              <w:jc w:val="left"/>
              <w:rPr>
                <w:caps w:val="false"/>
                <w:smallCaps w:val="false"/>
              </w:rPr>
            </w:pPr>
            <w:r>
              <w:rPr>
                <w:caps w:val="false"/>
                <w:smallCaps w:val="false"/>
              </w:rPr>
              <w:t> </w:t>
            </w:r>
          </w:p>
        </w:tc>
      </w:tr>
    </w:tbl>
    <w:p>
      <w:pPr>
        <w:pStyle w:val="TextBody"/>
        <w:bidi w:val="0"/>
        <w:spacing w:before="0" w:after="120"/>
        <w:ind w:left="20" w:right="20" w:hanging="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caps w:val="false"/>
          <w:smallCaps w:val="false"/>
          <w:color w:val="8F8F8F"/>
        </w:rPr>
      </w:pPr>
      <w:r>
        <w:rPr>
          <w:caps w:val="false"/>
          <w:smallCaps w:val="false"/>
          <w:color w:val="8F8F8F"/>
        </w:rPr>
        <w:t> </w:t>
      </w:r>
    </w:p>
    <w:p>
      <w:pPr>
        <w:pStyle w:val="TextBody"/>
        <w:bidi w:val="0"/>
        <w:spacing w:before="0" w:after="12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toll-free 1-866-535-9248.</w:t>
      </w:r>
    </w:p>
    <w:p>
      <w:pPr>
        <w:pStyle w:val="TextBody"/>
        <w:bidi w:val="0"/>
        <w:spacing w:before="0" w:after="60"/>
        <w:jc w:val="left"/>
        <w:rPr>
          <w:rFonts w:ascii="Georgia;Times;Serif" w:hAnsi="Georgia;Times;Serif"/>
          <w:b w:val="false"/>
          <w:i w:val="false"/>
          <w:caps w:val="false"/>
          <w:smallCaps w:val="false"/>
          <w:color w:val="8F8F8F"/>
          <w:sz w:val="18"/>
        </w:rPr>
      </w:pPr>
      <w:r>
        <w:rPr>
          <w:rFonts w:ascii="Georgia;Times;Serif" w:hAnsi="Georgia;Times;Serif"/>
          <w:b w:val="false"/>
          <w:i w:val="false"/>
          <w:caps w:val="false"/>
          <w:smallCaps w:val="false"/>
          <w:color w:val="8F8F8F"/>
          <w:sz w:val="18"/>
        </w:rPr>
        <w:t>As used in this fact sheet, “we,” “us” and “our” refer to JPMorgan Financial Company LLC. Wells Fargo Advisors is a trade name used by Wells Fargo Clearing Services, LLC and Wells Fargo Advisors Financial Network, LLC, members SIPC, separate registered broker-dealers and non-bank affiliates of Wells Fargo &amp; Company.</w:t>
      </w:r>
    </w:p>
    <w:p>
      <w:pPr>
        <w:pStyle w:val="TextBody"/>
        <w:bidi w:val="0"/>
        <w:spacing w:before="0" w:after="60"/>
        <w:jc w:val="left"/>
        <w:rPr>
          <w:caps w:val="false"/>
          <w:smallCaps w:val="false"/>
          <w:color w:val="8F8F8F"/>
        </w:rPr>
      </w:pPr>
      <w:r>
        <w:rPr>
          <w:caps w:val="false"/>
          <w:smallCaps w:val="false"/>
          <w:color w:val="8F8F8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Verdana">
    <w:altName w:val="Helvetica"/>
    <w:charset w:val="01"/>
    <w:family w:val="auto"/>
    <w:pitch w:val="default"/>
  </w:font>
  <w:font w:name="Georgia">
    <w:altName w:val="Times"/>
    <w:charset w:val="01"/>
    <w:family w:val="auto"/>
    <w:pitch w:val="default"/>
  </w:font>
  <w:font w:name="Symbol">
    <w:charset w:val="02"/>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19617/000121390026098381/ea0304983-01_424b2.htm" TargetMode="External"/><Relationship Id="rId5" Type="http://schemas.openxmlformats.org/officeDocument/2006/relationships/image" Target="media/image2.jpeg"/><Relationship Id="rId6" Type="http://schemas.openxmlformats.org/officeDocument/2006/relationships/hyperlink" Target="http://www.sec.gov/Archives/edgar/data/19617/000121390026098381/ea0304983-01_424b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1870</Words>
  <Characters>10081</Characters>
  <CharactersWithSpaces>11987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