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April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226060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2620" w:type="dxa"/>
        <w:tblCellMar>
          <w:top w:w="0" w:type="dxa"/>
          <w:left w:w="0" w:type="dxa"/>
          <w:bottom w:w="0" w:type="dxa"/>
          <w:right w:w="0" w:type="dxa"/>
        </w:tblCellMar>
      </w:tblPr>
      <w:tr>
        <w:trPr>
          <w:trHeight w:val="168"/>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Delaware</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8"/>
              </w:rPr>
              <w:t>1-5805</w:t>
            </w:r>
          </w:p>
        </w:tc>
        <w:tc>
          <w:tcPr>
            <w:tcW w:w="1440" w:type="dxa"/>
            <w:vAlign w:val="bottom"/>
          </w:tcPr>
          <w:p>
            <w:pPr>
              <w:jc w:val="right"/>
              <w:ind w:right="137"/>
              <w:spacing w:after="0"/>
              <w:rPr>
                <w:sz w:val="20"/>
                <w:szCs w:val="20"/>
                <w:color w:val="auto"/>
              </w:rPr>
            </w:pPr>
            <w:r>
              <w:rPr>
                <w:rFonts w:ascii="Arial" w:cs="Arial" w:eastAsia="Arial" w:hAnsi="Arial"/>
                <w:sz w:val="13"/>
                <w:szCs w:val="13"/>
                <w:b w:val="1"/>
                <w:bCs w:val="1"/>
                <w:color w:val="auto"/>
              </w:rPr>
              <w:t>13-2624428</w:t>
            </w:r>
          </w:p>
        </w:tc>
      </w:tr>
      <w:tr>
        <w:trPr>
          <w:trHeight w:val="137"/>
        </w:trPr>
        <w:tc>
          <w:tcPr>
            <w:tcW w:w="250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96"/>
              </w:rPr>
              <w:t>(State or other jurisdiction of</w:t>
            </w:r>
          </w:p>
        </w:tc>
        <w:tc>
          <w:tcPr>
            <w:tcW w:w="1580" w:type="dxa"/>
            <w:vAlign w:val="bottom"/>
          </w:tcPr>
          <w:p>
            <w:pPr>
              <w:jc w:val="center"/>
              <w:ind w:right="197"/>
              <w:spacing w:after="0" w:line="138" w:lineRule="exact"/>
              <w:rPr>
                <w:sz w:val="20"/>
                <w:szCs w:val="20"/>
                <w:color w:val="auto"/>
              </w:rPr>
            </w:pPr>
            <w:r>
              <w:rPr>
                <w:rFonts w:ascii="Arial" w:cs="Arial" w:eastAsia="Arial" w:hAnsi="Arial"/>
                <w:sz w:val="13"/>
                <w:szCs w:val="13"/>
                <w:b w:val="1"/>
                <w:bCs w:val="1"/>
                <w:color w:val="auto"/>
                <w:w w:val="95"/>
              </w:rPr>
              <w:t>(Commission File</w:t>
            </w:r>
          </w:p>
        </w:tc>
        <w:tc>
          <w:tcPr>
            <w:tcW w:w="1440" w:type="dxa"/>
            <w:vAlign w:val="bottom"/>
          </w:tcPr>
          <w:p>
            <w:pPr>
              <w:jc w:val="center"/>
              <w:ind w:left="317"/>
              <w:spacing w:after="0" w:line="138" w:lineRule="exact"/>
              <w:rPr>
                <w:sz w:val="20"/>
                <w:szCs w:val="20"/>
                <w:color w:val="auto"/>
              </w:rPr>
            </w:pPr>
            <w:r>
              <w:rPr>
                <w:rFonts w:ascii="Arial" w:cs="Arial" w:eastAsia="Arial" w:hAnsi="Arial"/>
                <w:sz w:val="13"/>
                <w:szCs w:val="13"/>
                <w:b w:val="1"/>
                <w:bCs w:val="1"/>
                <w:color w:val="auto"/>
                <w:w w:val="95"/>
              </w:rPr>
              <w:t>(I.R.S. employer</w:t>
            </w:r>
          </w:p>
        </w:tc>
      </w:tr>
      <w:tr>
        <w:trPr>
          <w:trHeight w:val="168"/>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incorporation or organization)</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7"/>
              </w:rPr>
              <w:t>Number)</w:t>
            </w: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identification no.)</w:t>
            </w:r>
          </w:p>
        </w:tc>
      </w:tr>
      <w:tr>
        <w:trPr>
          <w:trHeight w:val="30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383 Madison Avenue,</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New York, New York</w:t>
            </w:r>
          </w:p>
        </w:tc>
        <w:tc>
          <w:tcPr>
            <w:tcW w:w="158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Arial" w:cs="Arial" w:eastAsia="Arial" w:hAnsi="Arial"/>
                <w:sz w:val="13"/>
                <w:szCs w:val="13"/>
                <w:b w:val="1"/>
                <w:bCs w:val="1"/>
                <w:color w:val="auto"/>
              </w:rPr>
              <w:t>10179</w:t>
            </w:r>
          </w:p>
        </w:tc>
      </w:tr>
      <w:tr>
        <w:trPr>
          <w:trHeight w:val="21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580" w:type="dxa"/>
            <w:vAlign w:val="bottom"/>
          </w:tcPr>
          <w:p>
            <w:pPr>
              <w:spacing w:after="0"/>
              <w:rPr>
                <w:sz w:val="18"/>
                <w:szCs w:val="18"/>
                <w:color w:val="auto"/>
              </w:rPr>
            </w:pP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(Zip Code)</w:t>
            </w:r>
          </w:p>
        </w:tc>
      </w:tr>
    </w:tbl>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0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0"/>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6.10% Non-</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 PR G</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AA</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H</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BB</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8"/>
              </w:rPr>
              <w:t>Guarantee of Callable Step-Up Fixed Rate Notes due April 26, 2028 of JPMorgan Chase Financial</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JPM/28</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8"/>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07"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85"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On April 14, 2021, JPMorgan Chase &amp; Co. (“JPMorgan Chase” or the “Firm”) reported 2021 first quarter net income of $14.3 billion, or $4.50 per share, compared with net income of $2.9 billion, or $0.78 per share, in the first quarter of 2020. A copy of the 2021 first quarter earnings release is attached hereto as Exhibit 99.1, and a copy of the earnings release financial supplement is attached hereto as 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2020, which has been filed with the Securities and Exchange Commission and is available on JPMorgan Chase’s website (</w:t>
      </w:r>
      <w:r>
        <w:rPr>
          <w:rFonts w:ascii="Arial" w:cs="Arial" w:eastAsia="Arial" w:hAnsi="Arial"/>
          <w:sz w:val="18"/>
          <w:szCs w:val="18"/>
          <w:i w:val="1"/>
          <w:iCs w:val="1"/>
          <w:u w:val="single" w:color="auto"/>
          <w:color w:val="auto"/>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4"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412"/>
        </w:trPr>
        <w:tc>
          <w:tcPr>
            <w:tcW w:w="148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40" w:type="dxa"/>
            <w:vAlign w:val="bottom"/>
            <w:tcBorders>
              <w:top w:val="single" w:sz="8" w:color="auto"/>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JPMorgan Chase &amp; Co. Earnings Release - First Quarter 2021 Results</w:t>
              </w:r>
            </w:hyperlink>
          </w:p>
        </w:tc>
        <w:tc>
          <w:tcPr>
            <w:tcW w:w="2800" w:type="dxa"/>
            <w:vAlign w:val="bottom"/>
            <w:tcBorders>
              <w:top w:val="single" w:sz="8" w:color="auto"/>
            </w:tcBorders>
            <w:gridSpan w:val="2"/>
          </w:tcPr>
          <w:p>
            <w:pPr>
              <w:spacing w:after="0"/>
              <w:rPr>
                <w:sz w:val="24"/>
                <w:szCs w:val="24"/>
                <w:color w:val="auto"/>
              </w:rPr>
            </w:pPr>
          </w:p>
        </w:tc>
      </w:tr>
      <w:tr>
        <w:trPr>
          <w:trHeight w:val="210"/>
        </w:trPr>
        <w:tc>
          <w:tcPr>
            <w:tcW w:w="1480" w:type="dxa"/>
            <w:vAlign w:val="bottom"/>
          </w:tcPr>
          <w:p>
            <w:pPr>
              <w:jc w:val="right"/>
              <w:ind w:right="1030"/>
              <w:spacing w:after="0"/>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JPMorgan Chase &amp; Co. Earnings Release Financial Supplement - First Quarter 2021</w:t>
              </w:r>
            </w:hyperlink>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40" w:lineRule="exact"/>
        <w:rPr>
          <w:sz w:val="20"/>
          <w:szCs w:val="20"/>
          <w:color w:val="auto"/>
        </w:rPr>
      </w:pPr>
    </w:p>
    <w:p>
      <w:pPr>
        <w:ind w:left="2240" w:right="960" w:hanging="1647"/>
        <w:spacing w:after="0" w:line="227" w:lineRule="auto"/>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3" w:lineRule="exact"/>
        <w:rPr>
          <w:sz w:val="20"/>
          <w:szCs w:val="20"/>
          <w:color w:val="auto"/>
        </w:rPr>
      </w:pPr>
    </w:p>
    <w:p>
      <w:pPr>
        <w:ind w:left="2240" w:right="920" w:hanging="1647"/>
        <w:spacing w:after="0" w:line="227" w:lineRule="auto"/>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67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Elena Korablina</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Elena Korablina</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 and Firmwide Controller</w:t>
            </w:r>
          </w:p>
        </w:tc>
      </w:tr>
      <w:tr>
        <w:trPr>
          <w:trHeight w:val="229"/>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7"/>
          <w:szCs w:val="17"/>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5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-46355</wp:posOffset>
            </wp:positionV>
            <wp:extent cx="310324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03245" cy="222885"/>
                    </a:xfrm>
                    <a:prstGeom prst="rect">
                      <a:avLst/>
                    </a:prstGeom>
                    <a:noFill/>
                  </pic:spPr>
                </pic:pic>
              </a:graphicData>
            </a:graphic>
          </wp:anchor>
        </w:drawing>
      </w:r>
    </w:p>
    <w:p>
      <w:pPr>
        <w:ind w:left="20"/>
        <w:spacing w:after="0" w:line="201" w:lineRule="auto"/>
        <w:rPr>
          <w:sz w:val="20"/>
          <w:szCs w:val="20"/>
          <w:color w:val="auto"/>
        </w:rPr>
      </w:pPr>
      <w:r>
        <w:rPr>
          <w:rFonts w:ascii="Arial" w:cs="Arial" w:eastAsia="Arial" w:hAnsi="Arial"/>
          <w:sz w:val="14"/>
          <w:szCs w:val="14"/>
          <w:color w:val="auto"/>
        </w:rPr>
        <w:t>383 Madison Avenue, New York, NY 10179-0001</w:t>
      </w:r>
    </w:p>
    <w:p>
      <w:pPr>
        <w:ind w:left="20"/>
        <w:spacing w:after="0" w:line="201" w:lineRule="auto"/>
        <w:rPr>
          <w:sz w:val="20"/>
          <w:szCs w:val="20"/>
          <w:color w:val="auto"/>
        </w:rPr>
      </w:pPr>
      <w:r>
        <w:rPr>
          <w:rFonts w:ascii="Arial" w:cs="Arial" w:eastAsia="Arial" w:hAnsi="Arial"/>
          <w:sz w:val="14"/>
          <w:szCs w:val="14"/>
          <w:color w:val="auto"/>
        </w:rPr>
        <w:t>NYSE symbol: JPM</w:t>
      </w:r>
    </w:p>
    <w:p>
      <w:pPr>
        <w:ind w:left="20"/>
        <w:spacing w:after="0"/>
        <w:rPr>
          <w:sz w:val="20"/>
          <w:szCs w:val="20"/>
          <w:color w:val="auto"/>
        </w:rPr>
      </w:pPr>
      <w:r>
        <w:rPr>
          <w:rFonts w:ascii="Arial" w:cs="Arial" w:eastAsia="Arial" w:hAnsi="Arial"/>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JPMORGAN CHASE REPORTS FIRST-QUARTER 2021 NET INCOME OF $14.3 BILLION ($4.50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057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FIRST-QUARTER 2021 RESULTS</w:t>
            </w:r>
            <w:r>
              <w:rPr>
                <w:rFonts w:ascii="Arial" w:cs="Arial" w:eastAsia="Arial" w:hAnsi="Arial"/>
                <w:sz w:val="23"/>
                <w:szCs w:val="23"/>
                <w:b w:val="1"/>
                <w:bCs w:val="1"/>
                <w:color w:val="auto"/>
                <w:vertAlign w:val="superscript"/>
              </w:rPr>
              <w:t>1</w:t>
            </w: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
        </w:trPr>
        <w:tc>
          <w:tcPr>
            <w:tcW w:w="13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03"/>
        </w:trPr>
        <w:tc>
          <w:tcPr>
            <w:tcW w:w="1360" w:type="dxa"/>
            <w:vAlign w:val="bottom"/>
          </w:tcPr>
          <w:p>
            <w:pPr>
              <w:spacing w:after="0"/>
              <w:rPr>
                <w:sz w:val="17"/>
                <w:szCs w:val="17"/>
                <w:color w:val="auto"/>
              </w:rPr>
            </w:pPr>
          </w:p>
        </w:tc>
        <w:tc>
          <w:tcPr>
            <w:tcW w:w="2500" w:type="dxa"/>
            <w:vAlign w:val="bottom"/>
            <w:shd w:val="clear" w:color="auto" w:fill="5FA364"/>
          </w:tcPr>
          <w:p>
            <w:pPr>
              <w:jc w:val="center"/>
              <w:spacing w:after="0" w:line="202" w:lineRule="exact"/>
              <w:rPr>
                <w:sz w:val="20"/>
                <w:szCs w:val="20"/>
                <w:color w:val="auto"/>
              </w:rPr>
            </w:pPr>
            <w:r>
              <w:rPr>
                <w:rFonts w:ascii="Arial" w:cs="Arial" w:eastAsia="Arial" w:hAnsi="Arial"/>
                <w:sz w:val="18"/>
                <w:szCs w:val="18"/>
                <w:b w:val="1"/>
                <w:bCs w:val="1"/>
                <w:i w:val="1"/>
                <w:iCs w:val="1"/>
                <w:color w:val="FFFFFF"/>
                <w:w w:val="99"/>
              </w:rPr>
              <w:t>ROE 23%</w:t>
            </w:r>
          </w:p>
        </w:tc>
        <w:tc>
          <w:tcPr>
            <w:tcW w:w="500" w:type="dxa"/>
            <w:vAlign w:val="bottom"/>
          </w:tcPr>
          <w:p>
            <w:pPr>
              <w:spacing w:after="0"/>
              <w:rPr>
                <w:sz w:val="17"/>
                <w:szCs w:val="17"/>
                <w:color w:val="auto"/>
              </w:rPr>
            </w:pPr>
          </w:p>
        </w:tc>
        <w:tc>
          <w:tcPr>
            <w:tcW w:w="2520" w:type="dxa"/>
            <w:vAlign w:val="bottom"/>
            <w:shd w:val="clear" w:color="auto" w:fill="5FA364"/>
          </w:tcPr>
          <w:p>
            <w:pPr>
              <w:jc w:val="center"/>
              <w:spacing w:after="0" w:line="202" w:lineRule="exact"/>
              <w:rPr>
                <w:sz w:val="20"/>
                <w:szCs w:val="20"/>
                <w:color w:val="auto"/>
              </w:rPr>
            </w:pPr>
            <w:r>
              <w:rPr>
                <w:rFonts w:ascii="Arial" w:cs="Arial" w:eastAsia="Arial" w:hAnsi="Arial"/>
                <w:sz w:val="18"/>
                <w:szCs w:val="18"/>
                <w:b w:val="1"/>
                <w:bCs w:val="1"/>
                <w:i w:val="1"/>
                <w:iCs w:val="1"/>
                <w:color w:val="FFFFFF"/>
                <w:w w:val="99"/>
              </w:rPr>
              <w:t>CET1 Capital Ratios</w:t>
            </w:r>
            <w:r>
              <w:rPr>
                <w:rFonts w:ascii="Arial" w:cs="Arial" w:eastAsia="Arial" w:hAnsi="Arial"/>
                <w:sz w:val="23"/>
                <w:szCs w:val="23"/>
                <w:b w:val="1"/>
                <w:bCs w:val="1"/>
                <w:i w:val="1"/>
                <w:iCs w:val="1"/>
                <w:color w:val="FFFFFF"/>
                <w:w w:val="99"/>
                <w:vertAlign w:val="superscript"/>
              </w:rPr>
              <w:t>3</w:t>
            </w:r>
          </w:p>
        </w:tc>
        <w:tc>
          <w:tcPr>
            <w:tcW w:w="480" w:type="dxa"/>
            <w:vAlign w:val="bottom"/>
          </w:tcPr>
          <w:p>
            <w:pPr>
              <w:spacing w:after="0"/>
              <w:rPr>
                <w:sz w:val="17"/>
                <w:szCs w:val="17"/>
                <w:color w:val="auto"/>
              </w:rPr>
            </w:pPr>
          </w:p>
        </w:tc>
        <w:tc>
          <w:tcPr>
            <w:tcW w:w="2540" w:type="dxa"/>
            <w:vAlign w:val="bottom"/>
            <w:shd w:val="clear" w:color="auto" w:fill="5FA364"/>
          </w:tcPr>
          <w:p>
            <w:pPr>
              <w:jc w:val="center"/>
              <w:spacing w:after="0" w:line="202" w:lineRule="exact"/>
              <w:rPr>
                <w:sz w:val="20"/>
                <w:szCs w:val="20"/>
                <w:color w:val="auto"/>
              </w:rPr>
            </w:pPr>
            <w:r>
              <w:rPr>
                <w:rFonts w:ascii="Arial" w:cs="Arial" w:eastAsia="Arial" w:hAnsi="Arial"/>
                <w:sz w:val="18"/>
                <w:szCs w:val="18"/>
                <w:b w:val="1"/>
                <w:bCs w:val="1"/>
                <w:i w:val="1"/>
                <w:iCs w:val="1"/>
                <w:color w:val="FFFFFF"/>
                <w:w w:val="95"/>
              </w:rPr>
              <w:t>Net payout LTM</w:t>
            </w:r>
            <w:r>
              <w:rPr>
                <w:rFonts w:ascii="Arial" w:cs="Arial" w:eastAsia="Arial" w:hAnsi="Arial"/>
                <w:sz w:val="23"/>
                <w:szCs w:val="23"/>
                <w:b w:val="1"/>
                <w:bCs w:val="1"/>
                <w:i w:val="1"/>
                <w:iCs w:val="1"/>
                <w:color w:val="FFFFFF"/>
                <w:w w:val="95"/>
                <w:vertAlign w:val="superscript"/>
              </w:rPr>
              <w:t>4,5</w:t>
            </w:r>
          </w:p>
        </w:tc>
      </w:tr>
      <w:tr>
        <w:trPr>
          <w:trHeight w:val="257"/>
        </w:trPr>
        <w:tc>
          <w:tcPr>
            <w:tcW w:w="1360" w:type="dxa"/>
            <w:vAlign w:val="bottom"/>
          </w:tcPr>
          <w:p>
            <w:pPr>
              <w:spacing w:after="0"/>
              <w:rPr>
                <w:sz w:val="22"/>
                <w:szCs w:val="22"/>
                <w:color w:val="auto"/>
              </w:rPr>
            </w:pPr>
          </w:p>
        </w:tc>
        <w:tc>
          <w:tcPr>
            <w:tcW w:w="2500" w:type="dxa"/>
            <w:vAlign w:val="bottom"/>
            <w:shd w:val="clear" w:color="auto" w:fill="5FA364"/>
          </w:tcPr>
          <w:p>
            <w:pPr>
              <w:jc w:val="center"/>
              <w:spacing w:after="0" w:line="256" w:lineRule="exact"/>
              <w:rPr>
                <w:sz w:val="20"/>
                <w:szCs w:val="20"/>
                <w:color w:val="auto"/>
              </w:rPr>
            </w:pPr>
            <w:r>
              <w:rPr>
                <w:rFonts w:ascii="Arial" w:cs="Arial" w:eastAsia="Arial" w:hAnsi="Arial"/>
                <w:sz w:val="18"/>
                <w:szCs w:val="18"/>
                <w:b w:val="1"/>
                <w:bCs w:val="1"/>
                <w:i w:val="1"/>
                <w:iCs w:val="1"/>
                <w:color w:val="FFFFFF"/>
                <w:w w:val="97"/>
              </w:rPr>
              <w:t>ROTCE</w:t>
            </w:r>
            <w:r>
              <w:rPr>
                <w:rFonts w:ascii="Arial" w:cs="Arial" w:eastAsia="Arial" w:hAnsi="Arial"/>
                <w:sz w:val="23"/>
                <w:szCs w:val="23"/>
                <w:b w:val="1"/>
                <w:bCs w:val="1"/>
                <w:i w:val="1"/>
                <w:iCs w:val="1"/>
                <w:color w:val="FFFFFF"/>
                <w:w w:val="97"/>
                <w:vertAlign w:val="superscript"/>
              </w:rPr>
              <w:t>2</w:t>
            </w:r>
            <w:r>
              <w:rPr>
                <w:rFonts w:ascii="Arial" w:cs="Arial" w:eastAsia="Arial" w:hAnsi="Arial"/>
                <w:sz w:val="18"/>
                <w:szCs w:val="18"/>
                <w:b w:val="1"/>
                <w:bCs w:val="1"/>
                <w:i w:val="1"/>
                <w:iCs w:val="1"/>
                <w:color w:val="FFFFFF"/>
                <w:w w:val="97"/>
              </w:rPr>
              <w:t xml:space="preserve"> 29%</w:t>
            </w:r>
          </w:p>
        </w:tc>
        <w:tc>
          <w:tcPr>
            <w:tcW w:w="500" w:type="dxa"/>
            <w:vAlign w:val="bottom"/>
          </w:tcPr>
          <w:p>
            <w:pPr>
              <w:spacing w:after="0"/>
              <w:rPr>
                <w:sz w:val="22"/>
                <w:szCs w:val="22"/>
                <w:color w:val="auto"/>
              </w:rPr>
            </w:pPr>
          </w:p>
        </w:tc>
        <w:tc>
          <w:tcPr>
            <w:tcW w:w="2520" w:type="dxa"/>
            <w:vAlign w:val="bottom"/>
            <w:shd w:val="clear" w:color="auto" w:fill="5FA364"/>
          </w:tcPr>
          <w:p>
            <w:pPr>
              <w:jc w:val="center"/>
              <w:spacing w:after="0"/>
              <w:rPr>
                <w:sz w:val="20"/>
                <w:szCs w:val="20"/>
                <w:color w:val="auto"/>
              </w:rPr>
            </w:pPr>
            <w:r>
              <w:rPr>
                <w:rFonts w:ascii="Arial" w:cs="Arial" w:eastAsia="Arial" w:hAnsi="Arial"/>
                <w:sz w:val="18"/>
                <w:szCs w:val="18"/>
                <w:b w:val="1"/>
                <w:bCs w:val="1"/>
                <w:color w:val="FFFFFF"/>
                <w:w w:val="98"/>
              </w:rPr>
              <w:t>Std. 13.1%; Adv. 13.7%</w:t>
            </w:r>
          </w:p>
        </w:tc>
        <w:tc>
          <w:tcPr>
            <w:tcW w:w="480" w:type="dxa"/>
            <w:vAlign w:val="bottom"/>
          </w:tcPr>
          <w:p>
            <w:pPr>
              <w:spacing w:after="0"/>
              <w:rPr>
                <w:sz w:val="22"/>
                <w:szCs w:val="22"/>
                <w:color w:val="auto"/>
              </w:rPr>
            </w:pPr>
          </w:p>
        </w:tc>
        <w:tc>
          <w:tcPr>
            <w:tcW w:w="2540" w:type="dxa"/>
            <w:vAlign w:val="bottom"/>
            <w:shd w:val="clear" w:color="auto" w:fill="5FA364"/>
          </w:tcPr>
          <w:p>
            <w:pPr>
              <w:jc w:val="right"/>
              <w:ind w:right="1010"/>
              <w:spacing w:after="0"/>
              <w:rPr>
                <w:sz w:val="20"/>
                <w:szCs w:val="20"/>
                <w:color w:val="auto"/>
              </w:rPr>
            </w:pPr>
            <w:r>
              <w:rPr>
                <w:rFonts w:ascii="Arial" w:cs="Arial" w:eastAsia="Arial" w:hAnsi="Arial"/>
                <w:sz w:val="18"/>
                <w:szCs w:val="18"/>
                <w:b w:val="1"/>
                <w:bCs w:val="1"/>
                <w:color w:val="FFFFFF"/>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88670" cy="1122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11226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128270</wp:posOffset>
            </wp:positionV>
            <wp:extent cx="3574415" cy="3669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4415" cy="3669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FFFFFF"/>
        </w:rPr>
        <w:t>Firmwide</w:t>
      </w:r>
    </w:p>
    <w:p>
      <w:pPr>
        <w:spacing w:after="0" w:line="2"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88670" cy="779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CCB</w:t>
      </w:r>
    </w:p>
    <w:p>
      <w:pPr>
        <w:spacing w:after="0" w:line="26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8867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6515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CIB</w:t>
      </w:r>
    </w:p>
    <w:p>
      <w:pPr>
        <w:spacing w:after="0" w:line="223"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i w:val="1"/>
          <w:iCs w:val="1"/>
          <w:color w:val="FFFFFF"/>
        </w:rPr>
        <w:t>ROE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8867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506095"/>
                    </a:xfrm>
                    <a:prstGeom prst="rect">
                      <a:avLst/>
                    </a:prstGeom>
                    <a:noFill/>
                  </pic:spPr>
                </pic:pic>
              </a:graphicData>
            </a:graphic>
          </wp:anchor>
        </w:drawing>
      </w:r>
    </w:p>
    <w:p>
      <w:pPr>
        <w:spacing w:after="0" w:line="361"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CB</w:t>
      </w:r>
    </w:p>
    <w:p>
      <w:pPr>
        <w:spacing w:after="0" w:line="223"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88670"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505460"/>
                    </a:xfrm>
                    <a:prstGeom prst="rect">
                      <a:avLst/>
                    </a:prstGeom>
                    <a:noFill/>
                  </pic:spPr>
                </pic:pic>
              </a:graphicData>
            </a:graphic>
          </wp:anchor>
        </w:drawing>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AWM</w:t>
      </w:r>
    </w:p>
    <w:p>
      <w:pPr>
        <w:spacing w:after="0" w:line="223"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i w:val="1"/>
          <w:iCs w:val="1"/>
          <w:color w:val="FFFFFF"/>
        </w:rPr>
        <w:t>ROE 35%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12" w:right="260" w:hanging="212"/>
        <w:spacing w:after="0" w:line="233" w:lineRule="auto"/>
        <w:tabs>
          <w:tab w:leader="none" w:pos="212" w:val="left"/>
        </w:tabs>
        <w:numPr>
          <w:ilvl w:val="0"/>
          <w:numId w:val="5"/>
        </w:numPr>
        <w:rPr>
          <w:rFonts w:ascii="Arial" w:cs="Arial" w:eastAsia="Arial" w:hAnsi="Arial"/>
          <w:sz w:val="18"/>
          <w:szCs w:val="18"/>
          <w:color w:val="7397BC"/>
        </w:rPr>
      </w:pPr>
      <w:r>
        <w:rPr>
          <w:rFonts w:ascii="Arial" w:cs="Arial" w:eastAsia="Arial" w:hAnsi="Arial"/>
          <w:sz w:val="16"/>
          <w:szCs w:val="16"/>
          <w:color w:val="auto"/>
        </w:rPr>
        <w:t>Reported revenue of $32.3 billion; managed revenue of $33.1 billion</w:t>
      </w:r>
      <w:r>
        <w:rPr>
          <w:rFonts w:ascii="Arial" w:cs="Arial" w:eastAsia="Arial" w:hAnsi="Arial"/>
          <w:sz w:val="21"/>
          <w:szCs w:val="21"/>
          <w:color w:val="auto"/>
          <w:vertAlign w:val="superscript"/>
        </w:rPr>
        <w:t>2</w:t>
      </w:r>
    </w:p>
    <w:p>
      <w:pPr>
        <w:spacing w:after="0" w:line="104" w:lineRule="exact"/>
        <w:rPr>
          <w:rFonts w:ascii="Arial" w:cs="Arial" w:eastAsia="Arial" w:hAnsi="Arial"/>
          <w:sz w:val="18"/>
          <w:szCs w:val="18"/>
          <w:color w:val="7397BC"/>
        </w:rPr>
      </w:pPr>
    </w:p>
    <w:p>
      <w:pPr>
        <w:ind w:left="212" w:hanging="212"/>
        <w:spacing w:after="0" w:line="183" w:lineRule="auto"/>
        <w:tabs>
          <w:tab w:leader="none" w:pos="212" w:val="left"/>
        </w:tabs>
        <w:numPr>
          <w:ilvl w:val="0"/>
          <w:numId w:val="5"/>
        </w:numPr>
        <w:rPr>
          <w:rFonts w:ascii="Arial" w:cs="Arial" w:eastAsia="Arial" w:hAnsi="Arial"/>
          <w:sz w:val="28"/>
          <w:szCs w:val="28"/>
          <w:color w:val="7397BC"/>
          <w:vertAlign w:val="superscript"/>
        </w:rPr>
      </w:pPr>
      <w:r>
        <w:rPr>
          <w:rFonts w:ascii="Arial" w:cs="Arial" w:eastAsia="Arial" w:hAnsi="Arial"/>
          <w:sz w:val="14"/>
          <w:szCs w:val="14"/>
          <w:color w:val="auto"/>
        </w:rPr>
        <w:t>Credit costs net benefit of $4.2 billion included $5.2 billion of net reserve releases and $1.1 billion of net charge-offs</w:t>
      </w:r>
    </w:p>
    <w:p>
      <w:pPr>
        <w:spacing w:after="0" w:line="185" w:lineRule="exact"/>
        <w:rPr>
          <w:rFonts w:ascii="Arial" w:cs="Arial" w:eastAsia="Arial" w:hAnsi="Arial"/>
          <w:sz w:val="28"/>
          <w:szCs w:val="28"/>
          <w:color w:val="7397BC"/>
          <w:vertAlign w:val="superscript"/>
        </w:rPr>
      </w:pPr>
    </w:p>
    <w:p>
      <w:pPr>
        <w:ind w:left="212" w:hanging="212"/>
        <w:spacing w:after="0"/>
        <w:tabs>
          <w:tab w:leader="none" w:pos="212" w:val="left"/>
        </w:tabs>
        <w:numPr>
          <w:ilvl w:val="0"/>
          <w:numId w:val="5"/>
        </w:numPr>
        <w:rPr>
          <w:rFonts w:ascii="Arial" w:cs="Arial" w:eastAsia="Arial" w:hAnsi="Arial"/>
          <w:sz w:val="18"/>
          <w:szCs w:val="18"/>
          <w:color w:val="7397BC"/>
        </w:rPr>
      </w:pPr>
      <w:r>
        <w:rPr>
          <w:rFonts w:ascii="Arial" w:cs="Arial" w:eastAsia="Arial" w:hAnsi="Arial"/>
          <w:sz w:val="16"/>
          <w:szCs w:val="16"/>
          <w:color w:val="auto"/>
        </w:rPr>
        <w:t>Average loans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up 1%; average deposits up 36%</w:t>
      </w:r>
    </w:p>
    <w:p>
      <w:pPr>
        <w:spacing w:after="0" w:line="55" w:lineRule="exact"/>
        <w:rPr>
          <w:rFonts w:ascii="Arial" w:cs="Arial" w:eastAsia="Arial" w:hAnsi="Arial"/>
          <w:sz w:val="18"/>
          <w:szCs w:val="18"/>
          <w:color w:val="7397BC"/>
        </w:rPr>
      </w:pPr>
    </w:p>
    <w:p>
      <w:pPr>
        <w:ind w:left="212" w:right="340" w:hanging="212"/>
        <w:spacing w:after="0" w:line="233" w:lineRule="auto"/>
        <w:tabs>
          <w:tab w:leader="none" w:pos="212" w:val="left"/>
        </w:tabs>
        <w:numPr>
          <w:ilvl w:val="0"/>
          <w:numId w:val="5"/>
        </w:numPr>
        <w:rPr>
          <w:rFonts w:ascii="Arial" w:cs="Arial" w:eastAsia="Arial" w:hAnsi="Arial"/>
          <w:sz w:val="18"/>
          <w:szCs w:val="18"/>
          <w:color w:val="7397BC"/>
        </w:rPr>
      </w:pPr>
      <w:r>
        <w:rPr>
          <w:rFonts w:ascii="Arial" w:cs="Arial" w:eastAsia="Arial" w:hAnsi="Arial"/>
          <w:sz w:val="16"/>
          <w:szCs w:val="16"/>
          <w:color w:val="auto"/>
        </w:rPr>
        <w:t>$1.5 trillion of liquidity sources, including HQLA and unencumbered marketable securities</w:t>
      </w:r>
      <w:r>
        <w:rPr>
          <w:rFonts w:ascii="Arial" w:cs="Arial" w:eastAsia="Arial" w:hAnsi="Arial"/>
          <w:sz w:val="21"/>
          <w:szCs w:val="21"/>
          <w:color w:val="auto"/>
          <w:vertAlign w:val="superscript"/>
        </w:rPr>
        <w:t>7</w:t>
      </w:r>
    </w:p>
    <w:p>
      <w:pPr>
        <w:spacing w:after="0" w:line="10" w:lineRule="exact"/>
        <w:rPr>
          <w:rFonts w:ascii="Arial" w:cs="Arial" w:eastAsia="Arial" w:hAnsi="Arial"/>
          <w:sz w:val="18"/>
          <w:szCs w:val="18"/>
          <w:color w:val="7397BC"/>
        </w:rPr>
      </w:pPr>
    </w:p>
    <w:p>
      <w:pPr>
        <w:ind w:left="212" w:hanging="212"/>
        <w:spacing w:after="0"/>
        <w:tabs>
          <w:tab w:leader="none" w:pos="212" w:val="left"/>
        </w:tabs>
        <w:numPr>
          <w:ilvl w:val="0"/>
          <w:numId w:val="5"/>
        </w:numPr>
        <w:rPr>
          <w:rFonts w:ascii="Arial" w:cs="Arial" w:eastAsia="Arial" w:hAnsi="Arial"/>
          <w:sz w:val="16"/>
          <w:szCs w:val="16"/>
          <w:color w:val="0067C2"/>
        </w:rPr>
      </w:pPr>
      <w:r>
        <w:rPr>
          <w:rFonts w:ascii="Arial" w:cs="Arial" w:eastAsia="Arial" w:hAnsi="Arial"/>
          <w:sz w:val="14"/>
          <w:szCs w:val="14"/>
          <w:color w:val="auto"/>
        </w:rPr>
        <w:t>Average deposits up 32%; client investment assets up 44%</w:t>
      </w:r>
    </w:p>
    <w:p>
      <w:pPr>
        <w:spacing w:after="0" w:line="234" w:lineRule="exact"/>
        <w:rPr>
          <w:rFonts w:ascii="Arial" w:cs="Arial" w:eastAsia="Arial" w:hAnsi="Arial"/>
          <w:sz w:val="16"/>
          <w:szCs w:val="16"/>
          <w:color w:val="0067C2"/>
        </w:rPr>
      </w:pPr>
    </w:p>
    <w:p>
      <w:pPr>
        <w:ind w:left="212" w:right="460" w:hanging="212"/>
        <w:spacing w:after="0" w:line="217" w:lineRule="auto"/>
        <w:tabs>
          <w:tab w:leader="none" w:pos="212" w:val="left"/>
        </w:tabs>
        <w:numPr>
          <w:ilvl w:val="0"/>
          <w:numId w:val="5"/>
        </w:numPr>
        <w:rPr>
          <w:rFonts w:ascii="Arial" w:cs="Arial" w:eastAsia="Arial" w:hAnsi="Arial"/>
          <w:sz w:val="18"/>
          <w:szCs w:val="18"/>
          <w:color w:val="0067C2"/>
        </w:rPr>
      </w:pPr>
      <w:r>
        <w:rPr>
          <w:rFonts w:ascii="Arial" w:cs="Arial" w:eastAsia="Arial" w:hAnsi="Arial"/>
          <w:sz w:val="16"/>
          <w:szCs w:val="16"/>
          <w:color w:val="auto"/>
        </w:rPr>
        <w:t>Average loans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down 7%; debit and credit card sales volume</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up 9%</w:t>
      </w:r>
    </w:p>
    <w:p>
      <w:pPr>
        <w:spacing w:after="0" w:line="62" w:lineRule="exact"/>
        <w:rPr>
          <w:rFonts w:ascii="Arial" w:cs="Arial" w:eastAsia="Arial" w:hAnsi="Arial"/>
          <w:sz w:val="18"/>
          <w:szCs w:val="18"/>
          <w:color w:val="0067C2"/>
        </w:rPr>
      </w:pPr>
    </w:p>
    <w:p>
      <w:pPr>
        <w:ind w:left="212" w:hanging="212"/>
        <w:spacing w:after="0"/>
        <w:tabs>
          <w:tab w:leader="none" w:pos="212" w:val="left"/>
        </w:tabs>
        <w:numPr>
          <w:ilvl w:val="0"/>
          <w:numId w:val="5"/>
        </w:numPr>
        <w:rPr>
          <w:rFonts w:ascii="Arial" w:cs="Arial" w:eastAsia="Arial" w:hAnsi="Arial"/>
          <w:sz w:val="18"/>
          <w:szCs w:val="18"/>
          <w:color w:val="0067C2"/>
        </w:rPr>
      </w:pPr>
      <w:r>
        <w:rPr>
          <w:rFonts w:ascii="Arial" w:cs="Arial" w:eastAsia="Arial" w:hAnsi="Arial"/>
          <w:sz w:val="16"/>
          <w:szCs w:val="16"/>
          <w:color w:val="auto"/>
        </w:rPr>
        <w:t>Active mobile customers up 9%</w:t>
      </w:r>
    </w:p>
    <w:p>
      <w:pPr>
        <w:spacing w:after="0" w:line="144" w:lineRule="exact"/>
        <w:rPr>
          <w:rFonts w:ascii="Arial" w:cs="Arial" w:eastAsia="Arial" w:hAnsi="Arial"/>
          <w:sz w:val="18"/>
          <w:szCs w:val="18"/>
          <w:color w:val="0067C2"/>
        </w:rPr>
      </w:pPr>
    </w:p>
    <w:p>
      <w:pPr>
        <w:ind w:left="212" w:hanging="212"/>
        <w:spacing w:after="0"/>
        <w:tabs>
          <w:tab w:leader="none" w:pos="212" w:val="left"/>
        </w:tabs>
        <w:numPr>
          <w:ilvl w:val="0"/>
          <w:numId w:val="5"/>
        </w:numPr>
        <w:rPr>
          <w:rFonts w:ascii="Arial" w:cs="Arial" w:eastAsia="Arial" w:hAnsi="Arial"/>
          <w:sz w:val="17"/>
          <w:szCs w:val="17"/>
          <w:color w:val="54301A"/>
        </w:rPr>
      </w:pPr>
      <w:r>
        <w:rPr>
          <w:rFonts w:ascii="Arial" w:cs="Arial" w:eastAsia="Arial" w:hAnsi="Arial"/>
          <w:sz w:val="15"/>
          <w:szCs w:val="15"/>
          <w:color w:val="auto"/>
        </w:rPr>
        <w:t>Global Investment Banking wallet share of 9.0% in 1Q21</w:t>
      </w:r>
    </w:p>
    <w:p>
      <w:pPr>
        <w:spacing w:after="0" w:line="250" w:lineRule="exact"/>
        <w:rPr>
          <w:rFonts w:ascii="Arial" w:cs="Arial" w:eastAsia="Arial" w:hAnsi="Arial"/>
          <w:sz w:val="17"/>
          <w:szCs w:val="17"/>
          <w:color w:val="54301A"/>
        </w:rPr>
      </w:pPr>
    </w:p>
    <w:p>
      <w:pPr>
        <w:ind w:left="212" w:right="80" w:hanging="212"/>
        <w:spacing w:after="0" w:line="278" w:lineRule="auto"/>
        <w:tabs>
          <w:tab w:leader="none" w:pos="212" w:val="left"/>
        </w:tabs>
        <w:numPr>
          <w:ilvl w:val="0"/>
          <w:numId w:val="5"/>
        </w:numPr>
        <w:rPr>
          <w:rFonts w:ascii="Arial" w:cs="Arial" w:eastAsia="Arial" w:hAnsi="Arial"/>
          <w:sz w:val="17"/>
          <w:szCs w:val="17"/>
          <w:color w:val="54301A"/>
        </w:rPr>
      </w:pPr>
      <w:r>
        <w:rPr>
          <w:rFonts w:ascii="Arial" w:cs="Arial" w:eastAsia="Arial" w:hAnsi="Arial"/>
          <w:sz w:val="15"/>
          <w:szCs w:val="15"/>
          <w:color w:val="auto"/>
        </w:rPr>
        <w:t>Total Markets revenue of $9.1 billion, up 25%, with Fixed Income Markets up 15% and Equity Markets up 47%</w:t>
      </w:r>
    </w:p>
    <w:p>
      <w:pPr>
        <w:spacing w:after="0" w:line="221" w:lineRule="exact"/>
        <w:rPr>
          <w:rFonts w:ascii="Arial" w:cs="Arial" w:eastAsia="Arial" w:hAnsi="Arial"/>
          <w:sz w:val="17"/>
          <w:szCs w:val="17"/>
          <w:color w:val="54301A"/>
        </w:rPr>
      </w:pPr>
    </w:p>
    <w:p>
      <w:pPr>
        <w:ind w:left="212" w:hanging="212"/>
        <w:spacing w:after="0"/>
        <w:tabs>
          <w:tab w:leader="none" w:pos="212" w:val="left"/>
        </w:tabs>
        <w:numPr>
          <w:ilvl w:val="0"/>
          <w:numId w:val="5"/>
        </w:numPr>
        <w:rPr>
          <w:rFonts w:ascii="Arial" w:cs="Arial" w:eastAsia="Arial" w:hAnsi="Arial"/>
          <w:sz w:val="16"/>
          <w:szCs w:val="16"/>
          <w:color w:val="AB835A"/>
        </w:rPr>
      </w:pPr>
      <w:r>
        <w:rPr>
          <w:rFonts w:ascii="Arial" w:cs="Arial" w:eastAsia="Arial" w:hAnsi="Arial"/>
          <w:sz w:val="14"/>
          <w:szCs w:val="14"/>
          <w:color w:val="auto"/>
        </w:rPr>
        <w:t>Gross Investment Banking revenue of $1.1 billion, up 65%</w:t>
      </w:r>
    </w:p>
    <w:p>
      <w:pPr>
        <w:spacing w:after="0" w:line="301" w:lineRule="exact"/>
        <w:rPr>
          <w:rFonts w:ascii="Arial" w:cs="Arial" w:eastAsia="Arial" w:hAnsi="Arial"/>
          <w:sz w:val="16"/>
          <w:szCs w:val="16"/>
          <w:color w:val="AB835A"/>
        </w:rPr>
      </w:pPr>
    </w:p>
    <w:p>
      <w:pPr>
        <w:ind w:left="212" w:hanging="212"/>
        <w:spacing w:after="0"/>
        <w:tabs>
          <w:tab w:leader="none" w:pos="212" w:val="left"/>
        </w:tabs>
        <w:numPr>
          <w:ilvl w:val="0"/>
          <w:numId w:val="5"/>
        </w:numPr>
        <w:rPr>
          <w:rFonts w:ascii="Arial" w:cs="Arial" w:eastAsia="Arial" w:hAnsi="Arial"/>
          <w:sz w:val="18"/>
          <w:szCs w:val="18"/>
          <w:color w:val="AB835A"/>
        </w:rPr>
      </w:pPr>
      <w:r>
        <w:rPr>
          <w:rFonts w:ascii="Arial" w:cs="Arial" w:eastAsia="Arial" w:hAnsi="Arial"/>
          <w:sz w:val="16"/>
          <w:szCs w:val="16"/>
          <w:color w:val="auto"/>
        </w:rPr>
        <w:t>Average loans down 2%; average deposits up 54%</w:t>
      </w:r>
    </w:p>
    <w:p>
      <w:pPr>
        <w:spacing w:after="0" w:line="79" w:lineRule="exact"/>
        <w:rPr>
          <w:rFonts w:ascii="Arial" w:cs="Arial" w:eastAsia="Arial" w:hAnsi="Arial"/>
          <w:sz w:val="18"/>
          <w:szCs w:val="18"/>
          <w:color w:val="AB835A"/>
        </w:rPr>
      </w:pPr>
    </w:p>
    <w:p>
      <w:pPr>
        <w:ind w:left="212" w:hanging="212"/>
        <w:spacing w:after="0"/>
        <w:tabs>
          <w:tab w:leader="none" w:pos="212" w:val="left"/>
        </w:tabs>
        <w:numPr>
          <w:ilvl w:val="0"/>
          <w:numId w:val="5"/>
        </w:numPr>
        <w:rPr>
          <w:rFonts w:ascii="Arial" w:cs="Arial" w:eastAsia="Arial" w:hAnsi="Arial"/>
          <w:sz w:val="33"/>
          <w:szCs w:val="33"/>
          <w:color w:val="844B28"/>
          <w:vertAlign w:val="superscript"/>
        </w:rPr>
      </w:pPr>
      <w:r>
        <w:rPr>
          <w:rFonts w:ascii="Arial" w:cs="Arial" w:eastAsia="Arial" w:hAnsi="Arial"/>
          <w:sz w:val="15"/>
          <w:szCs w:val="15"/>
          <w:color w:val="auto"/>
        </w:rPr>
        <w:t>Assets under management (AUM) of $2.8 trillion, up 28%</w:t>
      </w:r>
    </w:p>
    <w:p>
      <w:pPr>
        <w:spacing w:after="0" w:line="184" w:lineRule="exact"/>
        <w:rPr>
          <w:rFonts w:ascii="Arial" w:cs="Arial" w:eastAsia="Arial" w:hAnsi="Arial"/>
          <w:sz w:val="33"/>
          <w:szCs w:val="33"/>
          <w:color w:val="844B28"/>
          <w:vertAlign w:val="superscript"/>
        </w:rPr>
      </w:pPr>
    </w:p>
    <w:p>
      <w:pPr>
        <w:ind w:left="212" w:hanging="212"/>
        <w:spacing w:after="0"/>
        <w:tabs>
          <w:tab w:leader="none" w:pos="212" w:val="left"/>
        </w:tabs>
        <w:numPr>
          <w:ilvl w:val="0"/>
          <w:numId w:val="5"/>
        </w:numPr>
        <w:rPr>
          <w:rFonts w:ascii="Arial" w:cs="Arial" w:eastAsia="Arial" w:hAnsi="Arial"/>
          <w:sz w:val="18"/>
          <w:szCs w:val="18"/>
          <w:color w:val="844B28"/>
        </w:rPr>
      </w:pPr>
      <w:r>
        <w:rPr>
          <w:rFonts w:ascii="Arial" w:cs="Arial" w:eastAsia="Arial" w:hAnsi="Arial"/>
          <w:sz w:val="16"/>
          <w:szCs w:val="16"/>
          <w:color w:val="auto"/>
        </w:rPr>
        <w:t>Average loans up 18%; average deposits up 43%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80"/>
        <w:spacing w:after="0" w:line="231" w:lineRule="auto"/>
        <w:rPr>
          <w:sz w:val="20"/>
          <w:szCs w:val="20"/>
          <w:color w:val="auto"/>
        </w:rPr>
      </w:pPr>
      <w:r>
        <w:rPr>
          <w:rFonts w:ascii="Arial" w:cs="Arial" w:eastAsia="Arial" w:hAnsi="Arial"/>
          <w:sz w:val="13"/>
          <w:szCs w:val="13"/>
          <w:color w:val="auto"/>
        </w:rPr>
        <w:t xml:space="preserve">Jamie Dimon, Chairman and CEO, commented on the financial results: </w:t>
      </w:r>
      <w:r>
        <w:rPr>
          <w:rFonts w:ascii="Arial" w:cs="Arial" w:eastAsia="Arial" w:hAnsi="Arial"/>
          <w:sz w:val="13"/>
          <w:szCs w:val="13"/>
          <w:i w:val="1"/>
          <w:iCs w:val="1"/>
          <w:color w:val="auto"/>
        </w:rPr>
        <w:t>“JPMorgan Chase</w:t>
      </w:r>
      <w:r>
        <w:rPr>
          <w:rFonts w:ascii="Arial" w:cs="Arial" w:eastAsia="Arial" w:hAnsi="Arial"/>
          <w:sz w:val="13"/>
          <w:szCs w:val="13"/>
          <w:color w:val="auto"/>
        </w:rPr>
        <w:t xml:space="preserve"> </w:t>
      </w:r>
      <w:r>
        <w:rPr>
          <w:rFonts w:ascii="Arial" w:cs="Arial" w:eastAsia="Arial" w:hAnsi="Arial"/>
          <w:sz w:val="13"/>
          <w:szCs w:val="13"/>
          <w:i w:val="1"/>
          <w:iCs w:val="1"/>
          <w:color w:val="auto"/>
        </w:rPr>
        <w:t>earned $14.3 billion in net income reflecting strong underlying performance across our businesses, partially driven by a rapidly improving economy. These results include a benefit from credit reserve releases of $5.2 billion that we do not consider core or recurring profits. We believe our credit reserves of $26 billion are appropriate and prudent, all things considered.”</w:t>
      </w:r>
    </w:p>
    <w:p>
      <w:pPr>
        <w:spacing w:after="0" w:line="199" w:lineRule="exact"/>
        <w:rPr>
          <w:sz w:val="20"/>
          <w:szCs w:val="20"/>
          <w:color w:val="auto"/>
        </w:rPr>
      </w:pPr>
    </w:p>
    <w:p>
      <w:pPr>
        <w:ind w:right="20"/>
        <w:spacing w:after="0" w:line="222" w:lineRule="auto"/>
        <w:rPr>
          <w:sz w:val="20"/>
          <w:szCs w:val="20"/>
          <w:color w:val="auto"/>
        </w:rPr>
      </w:pPr>
      <w:r>
        <w:rPr>
          <w:rFonts w:ascii="Arial" w:cs="Arial" w:eastAsia="Arial" w:hAnsi="Arial"/>
          <w:sz w:val="13"/>
          <w:szCs w:val="13"/>
          <w:color w:val="auto"/>
        </w:rPr>
        <w:t xml:space="preserve">Dimon continued: </w:t>
      </w:r>
      <w:r>
        <w:rPr>
          <w:rFonts w:ascii="Arial" w:cs="Arial" w:eastAsia="Arial" w:hAnsi="Arial"/>
          <w:sz w:val="13"/>
          <w:szCs w:val="13"/>
          <w:i w:val="1"/>
          <w:iCs w:val="1"/>
          <w:color w:val="auto"/>
        </w:rPr>
        <w:t>“In Consumer &amp; Community Banking, consumer spending in our businesses</w:t>
      </w:r>
      <w:r>
        <w:rPr>
          <w:rFonts w:ascii="Arial" w:cs="Arial" w:eastAsia="Arial" w:hAnsi="Arial"/>
          <w:sz w:val="13"/>
          <w:szCs w:val="13"/>
          <w:color w:val="auto"/>
        </w:rPr>
        <w:t xml:space="preserve"> </w:t>
      </w:r>
      <w:r>
        <w:rPr>
          <w:rFonts w:ascii="Arial" w:cs="Arial" w:eastAsia="Arial" w:hAnsi="Arial"/>
          <w:sz w:val="13"/>
          <w:szCs w:val="13"/>
          <w:i w:val="1"/>
          <w:iCs w:val="1"/>
          <w:color w:val="auto"/>
        </w:rPr>
        <w:t>has returned to pre-pandemic levels, up 14% versus the first quarter of 2019. We are also seeing good momentum in T&amp;E with spend up more than 50% in March versus February. Home Lending originations were very strong, up 40%, with almost 75% of consumer mortgage applications completed digitally, but we expect this to slow with the recent rise in interest rates. Loan demand remained challenged as Card outstandings remain lower despite spend recovering to pre-COVID levels. Deposits were up 32% and investments were up 44%. In the Corporate &amp; Investment Bank, we maintained our wallet share, Global IB fees were up 57% and Commercial Banking generated IB revenue over $1 billion. Corporate clients continued to access capital markets for liquidity and repay revolvers. In Asset &amp; Wealth Management, continued strong investment performance, growth in new products and advisor hiring led to net inflows of $48 billion into long-term products. Also, AWM has seen strong and steady loan demand primarily to support business growth and mortgages.”</w:t>
      </w:r>
    </w:p>
    <w:p>
      <w:pPr>
        <w:spacing w:after="0" w:line="200" w:lineRule="exact"/>
        <w:rPr>
          <w:sz w:val="20"/>
          <w:szCs w:val="20"/>
          <w:color w:val="auto"/>
        </w:rPr>
      </w:pPr>
    </w:p>
    <w:p>
      <w:pPr>
        <w:ind w:right="60"/>
        <w:spacing w:after="0" w:line="225" w:lineRule="auto"/>
        <w:rPr>
          <w:sz w:val="20"/>
          <w:szCs w:val="20"/>
          <w:color w:val="auto"/>
        </w:rPr>
      </w:pPr>
      <w:r>
        <w:rPr>
          <w:rFonts w:ascii="Arial" w:cs="Arial" w:eastAsia="Arial" w:hAnsi="Arial"/>
          <w:sz w:val="13"/>
          <w:szCs w:val="13"/>
          <w:color w:val="auto"/>
        </w:rPr>
        <w:t xml:space="preserve">Dimon added: </w:t>
      </w:r>
      <w:r>
        <w:rPr>
          <w:rFonts w:ascii="Arial" w:cs="Arial" w:eastAsia="Arial" w:hAnsi="Arial"/>
          <w:sz w:val="13"/>
          <w:szCs w:val="13"/>
          <w:i w:val="1"/>
          <w:iCs w:val="1"/>
          <w:color w:val="auto"/>
        </w:rPr>
        <w:t>“We continue to make significant investments in products, people, and</w:t>
      </w:r>
      <w:r>
        <w:rPr>
          <w:rFonts w:ascii="Arial" w:cs="Arial" w:eastAsia="Arial" w:hAnsi="Arial"/>
          <w:sz w:val="13"/>
          <w:szCs w:val="13"/>
          <w:color w:val="auto"/>
        </w:rPr>
        <w:t xml:space="preserve"> </w:t>
      </w:r>
      <w:r>
        <w:rPr>
          <w:rFonts w:ascii="Arial" w:cs="Arial" w:eastAsia="Arial" w:hAnsi="Arial"/>
          <w:sz w:val="13"/>
          <w:szCs w:val="13"/>
          <w:i w:val="1"/>
          <w:iCs w:val="1"/>
          <w:color w:val="auto"/>
        </w:rPr>
        <w:t>technology, all while maintaining credit discipline and a fortress balance sheet. We are fully engaged in trying to help solve some of the world’s biggest issues, and we announced a commitment to finance and facilitate $200 billion in 2020 to drive action on climate change and advance sustainable development. We remain committed to using our resources to drive inclusive solutions to support our employees, customers, clients and the communities we serve through these trying times. In the quarter, we extended credit and raised capital of $804 billion, as well as funded approximately $10 billion under the SBA’s Paycheck Protection Program, for consumers and clients of all sizes around the world.”</w:t>
      </w:r>
    </w:p>
    <w:p>
      <w:pPr>
        <w:spacing w:after="0" w:line="197" w:lineRule="exact"/>
        <w:rPr>
          <w:sz w:val="20"/>
          <w:szCs w:val="20"/>
          <w:color w:val="auto"/>
        </w:rPr>
      </w:pPr>
    </w:p>
    <w:p>
      <w:pPr>
        <w:ind w:right="80"/>
        <w:spacing w:after="0" w:line="210" w:lineRule="auto"/>
        <w:rPr>
          <w:sz w:val="20"/>
          <w:szCs w:val="20"/>
          <w:color w:val="auto"/>
        </w:rPr>
      </w:pPr>
      <w:r>
        <w:rPr>
          <w:rFonts w:ascii="Arial" w:cs="Arial" w:eastAsia="Arial" w:hAnsi="Arial"/>
          <w:sz w:val="14"/>
          <w:szCs w:val="14"/>
          <w:color w:val="auto"/>
        </w:rPr>
        <w:t xml:space="preserve">Dimon concluded: </w:t>
      </w:r>
      <w:r>
        <w:rPr>
          <w:rFonts w:ascii="Arial" w:cs="Arial" w:eastAsia="Arial" w:hAnsi="Arial"/>
          <w:sz w:val="14"/>
          <w:szCs w:val="14"/>
          <w:i w:val="1"/>
          <w:iCs w:val="1"/>
          <w:color w:val="auto"/>
        </w:rPr>
        <w:t>“With all of the stimulus spending, potential infrastructure spending,</w:t>
      </w:r>
      <w:r>
        <w:rPr>
          <w:rFonts w:ascii="Arial" w:cs="Arial" w:eastAsia="Arial" w:hAnsi="Arial"/>
          <w:sz w:val="14"/>
          <w:szCs w:val="14"/>
          <w:color w:val="auto"/>
        </w:rPr>
        <w:t xml:space="preserve"> </w:t>
      </w:r>
      <w:r>
        <w:rPr>
          <w:rFonts w:ascii="Arial" w:cs="Arial" w:eastAsia="Arial" w:hAnsi="Arial"/>
          <w:sz w:val="14"/>
          <w:szCs w:val="14"/>
          <w:i w:val="1"/>
          <w:iCs w:val="1"/>
          <w:color w:val="auto"/>
        </w:rPr>
        <w:t>continued Quantitative Easing, strong consumer and business balance sheets and euphoria around the potential end of the pandemic, we believe that the economy has the potential to have extremely robust, multi-year growth. This growth can benefit all Americans, particularly those who suffered the most during this pandemic. If all of the government programs are spent wisely and efficiently, focusing on actual outcomes, the benefits will be more widely shared, economic growth will be more sustainable and future problems, like inflation and too much debt, will be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333375</wp:posOffset>
            </wp:positionV>
            <wp:extent cx="714057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3">
            <w:col w:w="1020" w:space="248"/>
            <w:col w:w="4072" w:space="320"/>
            <w:col w:w="5580"/>
          </w:cols>
          <w:pgMar w:left="320" w:top="125"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ITEMS</w:t>
      </w:r>
    </w:p>
    <w:p>
      <w:pPr>
        <w:spacing w:after="0" w:line="32" w:lineRule="exact"/>
        <w:rPr>
          <w:sz w:val="20"/>
          <w:szCs w:val="20"/>
          <w:color w:val="auto"/>
        </w:rPr>
      </w:pPr>
    </w:p>
    <w:p>
      <w:pPr>
        <w:ind w:left="280" w:hanging="232"/>
        <w:spacing w:after="0"/>
        <w:tabs>
          <w:tab w:leader="none" w:pos="280" w:val="left"/>
        </w:tabs>
        <w:numPr>
          <w:ilvl w:val="0"/>
          <w:numId w:val="6"/>
        </w:numPr>
        <w:rPr>
          <w:rFonts w:ascii="Arial" w:cs="Arial" w:eastAsia="Arial" w:hAnsi="Arial"/>
          <w:sz w:val="14"/>
          <w:szCs w:val="14"/>
          <w:color w:val="7397BC"/>
        </w:rPr>
      </w:pPr>
      <w:r>
        <w:rPr>
          <w:rFonts w:ascii="Arial" w:cs="Arial" w:eastAsia="Arial" w:hAnsi="Arial"/>
          <w:sz w:val="14"/>
          <w:szCs w:val="14"/>
          <w:color w:val="auto"/>
        </w:rPr>
        <w:t>1Q21 results included:</w:t>
      </w:r>
    </w:p>
    <w:p>
      <w:pPr>
        <w:spacing w:after="0" w:line="28" w:lineRule="exact"/>
        <w:rPr>
          <w:sz w:val="20"/>
          <w:szCs w:val="20"/>
          <w:color w:val="auto"/>
        </w:rPr>
      </w:pPr>
    </w:p>
    <w:p>
      <w:pPr>
        <w:ind w:left="420" w:right="280" w:hanging="250"/>
        <w:spacing w:after="0" w:line="271" w:lineRule="auto"/>
        <w:tabs>
          <w:tab w:leader="none" w:pos="401" w:val="left"/>
        </w:tabs>
        <w:numPr>
          <w:ilvl w:val="0"/>
          <w:numId w:val="7"/>
        </w:numPr>
        <w:rPr>
          <w:rFonts w:ascii="Arial" w:cs="Arial" w:eastAsia="Arial" w:hAnsi="Arial"/>
          <w:sz w:val="14"/>
          <w:szCs w:val="14"/>
          <w:color w:val="969696"/>
        </w:rPr>
      </w:pPr>
      <w:r>
        <w:rPr>
          <w:rFonts w:ascii="Arial" w:cs="Arial" w:eastAsia="Arial" w:hAnsi="Arial"/>
          <w:sz w:val="14"/>
          <w:szCs w:val="14"/>
          <w:color w:val="auto"/>
        </w:rPr>
        <w:t>$5.2 billion of credit reserve releases Firmwide ($1.28 increase in earnings per share (EPS))</w:t>
      </w:r>
    </w:p>
    <w:p>
      <w:pPr>
        <w:ind w:left="80" w:right="180" w:firstLine="90"/>
        <w:spacing w:after="0" w:line="261" w:lineRule="auto"/>
        <w:tabs>
          <w:tab w:leader="none" w:pos="385" w:val="left"/>
        </w:tabs>
        <w:numPr>
          <w:ilvl w:val="0"/>
          <w:numId w:val="7"/>
        </w:numPr>
        <w:rPr>
          <w:rFonts w:ascii="Arial" w:cs="Arial" w:eastAsia="Arial" w:hAnsi="Arial"/>
          <w:sz w:val="13"/>
          <w:szCs w:val="13"/>
          <w:color w:val="969696"/>
        </w:rPr>
      </w:pPr>
      <w:r>
        <w:rPr>
          <w:rFonts w:ascii="Arial" w:cs="Arial" w:eastAsia="Arial" w:hAnsi="Arial"/>
          <w:sz w:val="13"/>
          <w:szCs w:val="13"/>
          <w:color w:val="auto"/>
        </w:rPr>
        <w:t xml:space="preserve">$550 million contribution to the JPMorgan Chase Foundation ($0.09 decrease in EPS) </w:t>
      </w:r>
      <w:r>
        <w:rPr>
          <w:rFonts w:ascii="Arial" w:cs="Arial" w:eastAsia="Arial" w:hAnsi="Arial"/>
          <w:sz w:val="13"/>
          <w:szCs w:val="13"/>
          <w:color w:val="7397BC"/>
        </w:rPr>
        <w:t xml:space="preserve">n </w:t>
      </w:r>
      <w:r>
        <w:rPr>
          <w:rFonts w:ascii="Arial" w:cs="Arial" w:eastAsia="Arial" w:hAnsi="Arial"/>
          <w:sz w:val="13"/>
          <w:szCs w:val="13"/>
          <w:color w:val="000000"/>
        </w:rPr>
        <w:t>Excluding significant items</w:t>
      </w:r>
      <w:r>
        <w:rPr>
          <w:rFonts w:ascii="Arial" w:cs="Arial" w:eastAsia="Arial" w:hAnsi="Arial"/>
          <w:sz w:val="16"/>
          <w:szCs w:val="16"/>
          <w:color w:val="000000"/>
          <w:vertAlign w:val="superscript"/>
        </w:rPr>
        <w:t>2</w:t>
      </w:r>
      <w:r>
        <w:rPr>
          <w:rFonts w:ascii="Arial" w:cs="Arial" w:eastAsia="Arial" w:hAnsi="Arial"/>
          <w:sz w:val="13"/>
          <w:szCs w:val="13"/>
          <w:color w:val="000000"/>
        </w:rPr>
        <w:t>: 1Q21 net income of $10.6 billion, or $3.31 per share and</w:t>
      </w:r>
    </w:p>
    <w:p>
      <w:pPr>
        <w:ind w:left="260"/>
        <w:spacing w:after="0"/>
        <w:rPr>
          <w:rFonts w:ascii="Arial" w:cs="Arial" w:eastAsia="Arial" w:hAnsi="Arial"/>
          <w:sz w:val="13"/>
          <w:szCs w:val="13"/>
          <w:color w:val="969696"/>
        </w:rPr>
      </w:pPr>
      <w:r>
        <w:rPr>
          <w:rFonts w:ascii="Arial" w:cs="Arial" w:eastAsia="Arial" w:hAnsi="Arial"/>
          <w:sz w:val="14"/>
          <w:szCs w:val="14"/>
          <w:color w:val="auto"/>
        </w:rPr>
        <w:t>ROTCE of 21%</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DISTRIBUTED</w:t>
      </w:r>
    </w:p>
    <w:p>
      <w:pPr>
        <w:spacing w:after="0" w:line="32" w:lineRule="exact"/>
        <w:rPr>
          <w:sz w:val="20"/>
          <w:szCs w:val="20"/>
          <w:color w:val="auto"/>
        </w:rPr>
      </w:pPr>
    </w:p>
    <w:p>
      <w:pPr>
        <w:ind w:left="280" w:hanging="232"/>
        <w:spacing w:after="0"/>
        <w:tabs>
          <w:tab w:leader="none" w:pos="280" w:val="left"/>
        </w:tabs>
        <w:numPr>
          <w:ilvl w:val="0"/>
          <w:numId w:val="8"/>
        </w:numPr>
        <w:rPr>
          <w:rFonts w:ascii="Arial" w:cs="Arial" w:eastAsia="Arial" w:hAnsi="Arial"/>
          <w:sz w:val="14"/>
          <w:szCs w:val="14"/>
          <w:color w:val="7397BC"/>
        </w:rPr>
      </w:pPr>
      <w:r>
        <w:rPr>
          <w:rFonts w:ascii="Arial" w:cs="Arial" w:eastAsia="Arial" w:hAnsi="Arial"/>
          <w:sz w:val="14"/>
          <w:szCs w:val="14"/>
          <w:color w:val="auto"/>
        </w:rPr>
        <w:t>Common dividend of $2.8 billion, or $0.90 per share</w:t>
      </w:r>
    </w:p>
    <w:p>
      <w:pPr>
        <w:spacing w:after="0" w:line="36" w:lineRule="exact"/>
        <w:rPr>
          <w:rFonts w:ascii="Arial" w:cs="Arial" w:eastAsia="Arial" w:hAnsi="Arial"/>
          <w:sz w:val="14"/>
          <w:szCs w:val="14"/>
          <w:color w:val="7397BC"/>
        </w:rPr>
      </w:pPr>
    </w:p>
    <w:p>
      <w:pPr>
        <w:ind w:left="280" w:hanging="232"/>
        <w:spacing w:after="0"/>
        <w:tabs>
          <w:tab w:leader="none" w:pos="280" w:val="left"/>
        </w:tabs>
        <w:numPr>
          <w:ilvl w:val="0"/>
          <w:numId w:val="8"/>
        </w:numPr>
        <w:rPr>
          <w:rFonts w:ascii="Arial" w:cs="Arial" w:eastAsia="Arial" w:hAnsi="Arial"/>
          <w:sz w:val="14"/>
          <w:szCs w:val="14"/>
          <w:color w:val="7397BC"/>
        </w:rPr>
      </w:pPr>
      <w:r>
        <w:rPr>
          <w:rFonts w:ascii="Arial" w:cs="Arial" w:eastAsia="Arial" w:hAnsi="Arial"/>
          <w:sz w:val="14"/>
          <w:szCs w:val="14"/>
          <w:color w:val="auto"/>
        </w:rPr>
        <w:t>$4.3 billion of common stock net repurchases in 1Q21</w:t>
      </w:r>
      <w:r>
        <w:rPr>
          <w:rFonts w:ascii="Arial" w:cs="Arial" w:eastAsia="Arial" w:hAnsi="Arial"/>
          <w:sz w:val="18"/>
          <w:szCs w:val="18"/>
          <w:color w:val="auto"/>
          <w:vertAlign w:val="superscript"/>
        </w:rPr>
        <w:t>5, 9</w:t>
      </w:r>
    </w:p>
    <w:p>
      <w:pPr>
        <w:spacing w:after="0" w:line="26" w:lineRule="exact"/>
        <w:rPr>
          <w:rFonts w:ascii="Arial" w:cs="Arial" w:eastAsia="Arial" w:hAnsi="Arial"/>
          <w:sz w:val="14"/>
          <w:szCs w:val="14"/>
          <w:color w:val="7397BC"/>
        </w:rPr>
      </w:pPr>
    </w:p>
    <w:p>
      <w:pPr>
        <w:spacing w:after="0"/>
        <w:rPr>
          <w:rFonts w:ascii="Arial" w:cs="Arial" w:eastAsia="Arial" w:hAnsi="Arial"/>
          <w:sz w:val="14"/>
          <w:szCs w:val="14"/>
          <w:color w:val="7397BC"/>
        </w:rPr>
      </w:pPr>
      <w:r>
        <w:rPr>
          <w:rFonts w:ascii="Arial" w:cs="Arial" w:eastAsia="Arial" w:hAnsi="Arial"/>
          <w:sz w:val="14"/>
          <w:szCs w:val="14"/>
          <w:b w:val="1"/>
          <w:bCs w:val="1"/>
          <w:color w:val="auto"/>
        </w:rPr>
        <w:t>FORTRESS PRINCIPLES</w:t>
      </w:r>
    </w:p>
    <w:p>
      <w:pPr>
        <w:spacing w:after="0" w:line="10" w:lineRule="exact"/>
        <w:rPr>
          <w:rFonts w:ascii="Arial" w:cs="Arial" w:eastAsia="Arial" w:hAnsi="Arial"/>
          <w:sz w:val="14"/>
          <w:szCs w:val="14"/>
          <w:color w:val="7397BC"/>
        </w:rPr>
      </w:pPr>
    </w:p>
    <w:p>
      <w:pPr>
        <w:ind w:left="280" w:hanging="232"/>
        <w:spacing w:after="0"/>
        <w:tabs>
          <w:tab w:leader="none" w:pos="280" w:val="left"/>
        </w:tabs>
        <w:numPr>
          <w:ilvl w:val="0"/>
          <w:numId w:val="8"/>
        </w:numPr>
        <w:rPr>
          <w:rFonts w:ascii="Arial" w:cs="Arial" w:eastAsia="Arial" w:hAnsi="Arial"/>
          <w:sz w:val="13"/>
          <w:szCs w:val="13"/>
          <w:color w:val="7397BC"/>
        </w:rPr>
      </w:pPr>
      <w:r>
        <w:rPr>
          <w:rFonts w:ascii="Arial" w:cs="Arial" w:eastAsia="Arial" w:hAnsi="Arial"/>
          <w:sz w:val="13"/>
          <w:szCs w:val="13"/>
          <w:color w:val="auto"/>
        </w:rPr>
        <w:t>Book value per share of $82.31, up 8%; tangible book value per share</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of $66.56, up 10%</w:t>
      </w:r>
    </w:p>
    <w:p>
      <w:pPr>
        <w:spacing w:after="0" w:line="22" w:lineRule="exact"/>
        <w:rPr>
          <w:rFonts w:ascii="Arial" w:cs="Arial" w:eastAsia="Arial" w:hAnsi="Arial"/>
          <w:sz w:val="13"/>
          <w:szCs w:val="13"/>
          <w:color w:val="7397BC"/>
        </w:rPr>
      </w:pPr>
    </w:p>
    <w:p>
      <w:pPr>
        <w:ind w:left="220" w:right="140" w:hanging="172"/>
        <w:spacing w:after="0" w:line="255" w:lineRule="auto"/>
        <w:tabs>
          <w:tab w:leader="none" w:pos="282" w:val="left"/>
        </w:tabs>
        <w:numPr>
          <w:ilvl w:val="0"/>
          <w:numId w:val="8"/>
        </w:numPr>
        <w:rPr>
          <w:rFonts w:ascii="Arial" w:cs="Arial" w:eastAsia="Arial" w:hAnsi="Arial"/>
          <w:sz w:val="14"/>
          <w:szCs w:val="14"/>
          <w:color w:val="7397BC"/>
        </w:rPr>
      </w:pPr>
      <w:r>
        <w:rPr>
          <w:rFonts w:ascii="Arial" w:cs="Arial" w:eastAsia="Arial" w:hAnsi="Arial"/>
          <w:sz w:val="14"/>
          <w:szCs w:val="14"/>
          <w:color w:val="auto"/>
        </w:rPr>
        <w:t>Basel III common equity Tier 1 capital</w:t>
      </w:r>
      <w:r>
        <w:rPr>
          <w:rFonts w:ascii="Arial" w:cs="Arial" w:eastAsia="Arial" w:hAnsi="Arial"/>
          <w:sz w:val="9"/>
          <w:szCs w:val="9"/>
          <w:color w:val="auto"/>
        </w:rPr>
        <w:t>3</w:t>
      </w:r>
      <w:r>
        <w:rPr>
          <w:rFonts w:ascii="Arial" w:cs="Arial" w:eastAsia="Arial" w:hAnsi="Arial"/>
          <w:sz w:val="14"/>
          <w:szCs w:val="14"/>
          <w:color w:val="auto"/>
        </w:rPr>
        <w:t xml:space="preserve"> of $206 billion and Standardized ratio</w:t>
      </w:r>
      <w:r>
        <w:rPr>
          <w:rFonts w:ascii="Arial" w:cs="Arial" w:eastAsia="Arial" w:hAnsi="Arial"/>
          <w:sz w:val="9"/>
          <w:szCs w:val="9"/>
          <w:color w:val="auto"/>
        </w:rPr>
        <w:t>3</w:t>
      </w:r>
      <w:r>
        <w:rPr>
          <w:rFonts w:ascii="Arial" w:cs="Arial" w:eastAsia="Arial" w:hAnsi="Arial"/>
          <w:sz w:val="14"/>
          <w:szCs w:val="14"/>
          <w:color w:val="auto"/>
        </w:rPr>
        <w:t xml:space="preserve"> of 13.1%; Advanced ratio</w:t>
      </w:r>
      <w:r>
        <w:rPr>
          <w:rFonts w:ascii="Arial" w:cs="Arial" w:eastAsia="Arial" w:hAnsi="Arial"/>
          <w:sz w:val="9"/>
          <w:szCs w:val="9"/>
          <w:color w:val="auto"/>
        </w:rPr>
        <w:t>3</w:t>
      </w:r>
      <w:r>
        <w:rPr>
          <w:rFonts w:ascii="Arial" w:cs="Arial" w:eastAsia="Arial" w:hAnsi="Arial"/>
          <w:sz w:val="14"/>
          <w:szCs w:val="14"/>
          <w:color w:val="auto"/>
        </w:rPr>
        <w:t xml:space="preserve"> of 13.7%</w:t>
      </w:r>
    </w:p>
    <w:p>
      <w:pPr>
        <w:spacing w:after="0" w:line="10" w:lineRule="exact"/>
        <w:rPr>
          <w:rFonts w:ascii="Arial" w:cs="Arial" w:eastAsia="Arial" w:hAnsi="Arial"/>
          <w:sz w:val="14"/>
          <w:szCs w:val="14"/>
          <w:color w:val="7397BC"/>
        </w:rPr>
      </w:pPr>
    </w:p>
    <w:p>
      <w:pPr>
        <w:ind w:left="220" w:hanging="172"/>
        <w:spacing w:after="0" w:line="278" w:lineRule="auto"/>
        <w:tabs>
          <w:tab w:leader="none" w:pos="282" w:val="left"/>
        </w:tabs>
        <w:numPr>
          <w:ilvl w:val="0"/>
          <w:numId w:val="8"/>
        </w:numPr>
        <w:rPr>
          <w:rFonts w:ascii="Arial" w:cs="Arial" w:eastAsia="Arial" w:hAnsi="Arial"/>
          <w:sz w:val="14"/>
          <w:szCs w:val="14"/>
          <w:color w:val="7397BC"/>
        </w:rPr>
      </w:pPr>
      <w:r>
        <w:rPr>
          <w:rFonts w:ascii="Arial" w:cs="Arial" w:eastAsia="Arial" w:hAnsi="Arial"/>
          <w:sz w:val="14"/>
          <w:szCs w:val="14"/>
          <w:color w:val="auto"/>
        </w:rPr>
        <w:t>Firm supplementary leverage ratio (SLR) of 6.7%, and without the temporary exclusions of U.S. Treasuries and Federal Reserve Bank deposits 5.5%.</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LEVERAGE</w:t>
      </w:r>
    </w:p>
    <w:p>
      <w:pPr>
        <w:spacing w:after="0" w:line="46" w:lineRule="exact"/>
        <w:rPr>
          <w:sz w:val="20"/>
          <w:szCs w:val="20"/>
          <w:color w:val="auto"/>
        </w:rPr>
      </w:pPr>
    </w:p>
    <w:p>
      <w:pPr>
        <w:ind w:left="200" w:right="60" w:hanging="156"/>
        <w:spacing w:after="0" w:line="273" w:lineRule="auto"/>
        <w:tabs>
          <w:tab w:leader="none" w:pos="262" w:val="left"/>
        </w:tabs>
        <w:numPr>
          <w:ilvl w:val="0"/>
          <w:numId w:val="9"/>
        </w:numPr>
        <w:rPr>
          <w:rFonts w:ascii="Arial" w:cs="Arial" w:eastAsia="Arial" w:hAnsi="Arial"/>
          <w:sz w:val="14"/>
          <w:szCs w:val="14"/>
          <w:color w:val="7397BC"/>
        </w:rPr>
      </w:pPr>
      <w:r>
        <w:rPr>
          <w:rFonts w:ascii="Arial" w:cs="Arial" w:eastAsia="Arial" w:hAnsi="Arial"/>
          <w:sz w:val="14"/>
          <w:szCs w:val="14"/>
          <w:color w:val="auto"/>
        </w:rPr>
        <w:t>1Q21 reported expense of $18.7 billion; reported overhead ratio of 58%; managed overhead ratio</w:t>
      </w:r>
      <w:r>
        <w:rPr>
          <w:rFonts w:ascii="Arial" w:cs="Arial" w:eastAsia="Arial" w:hAnsi="Arial"/>
          <w:sz w:val="9"/>
          <w:szCs w:val="9"/>
          <w:color w:val="auto"/>
        </w:rPr>
        <w:t>2</w:t>
      </w:r>
      <w:r>
        <w:rPr>
          <w:rFonts w:ascii="Arial" w:cs="Arial" w:eastAsia="Arial" w:hAnsi="Arial"/>
          <w:sz w:val="14"/>
          <w:szCs w:val="14"/>
          <w:color w:val="auto"/>
        </w:rPr>
        <w:t xml:space="preserve"> of 57%</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SUPPORTED CONSUMERS, BUSINESSES &amp; COMMUNITIES</w:t>
      </w:r>
    </w:p>
    <w:p>
      <w:pPr>
        <w:spacing w:after="0" w:line="40" w:lineRule="exact"/>
        <w:rPr>
          <w:sz w:val="20"/>
          <w:szCs w:val="20"/>
          <w:color w:val="auto"/>
        </w:rPr>
      </w:pPr>
    </w:p>
    <w:p>
      <w:pPr>
        <w:ind w:left="160" w:right="2480" w:hanging="116"/>
        <w:spacing w:after="0" w:line="247" w:lineRule="auto"/>
        <w:tabs>
          <w:tab w:leader="none" w:pos="262" w:val="left"/>
        </w:tabs>
        <w:numPr>
          <w:ilvl w:val="0"/>
          <w:numId w:val="10"/>
        </w:numPr>
        <w:rPr>
          <w:rFonts w:ascii="Arial" w:cs="Arial" w:eastAsia="Arial" w:hAnsi="Arial"/>
          <w:sz w:val="14"/>
          <w:szCs w:val="14"/>
          <w:color w:val="7397BC"/>
        </w:rPr>
      </w:pPr>
      <w:r>
        <w:rPr>
          <w:rFonts w:ascii="Arial" w:cs="Arial" w:eastAsia="Arial" w:hAnsi="Arial"/>
          <w:sz w:val="14"/>
          <w:szCs w:val="14"/>
          <w:b w:val="1"/>
          <w:bCs w:val="1"/>
          <w:color w:val="auto"/>
        </w:rPr>
        <w:t xml:space="preserve">$804 billion </w:t>
      </w:r>
      <w:r>
        <w:rPr>
          <w:rFonts w:ascii="Arial" w:cs="Arial" w:eastAsia="Arial" w:hAnsi="Arial"/>
          <w:sz w:val="14"/>
          <w:szCs w:val="14"/>
          <w:color w:val="auto"/>
        </w:rPr>
        <w:t>of credit and capital</w:t>
      </w:r>
      <w:r>
        <w:rPr>
          <w:rFonts w:ascii="Arial" w:cs="Arial" w:eastAsia="Arial" w:hAnsi="Arial"/>
          <w:sz w:val="18"/>
          <w:szCs w:val="18"/>
          <w:color w:val="auto"/>
          <w:vertAlign w:val="superscript"/>
        </w:rPr>
        <w:t>10</w:t>
      </w:r>
      <w:r>
        <w:rPr>
          <w:rFonts w:ascii="Arial" w:cs="Arial" w:eastAsia="Arial" w:hAnsi="Arial"/>
          <w:sz w:val="14"/>
          <w:szCs w:val="14"/>
          <w:b w:val="1"/>
          <w:bCs w:val="1"/>
          <w:color w:val="auto"/>
        </w:rPr>
        <w:t xml:space="preserve"> </w:t>
      </w:r>
      <w:r>
        <w:rPr>
          <w:rFonts w:ascii="Arial" w:cs="Arial" w:eastAsia="Arial" w:hAnsi="Arial"/>
          <w:sz w:val="14"/>
          <w:szCs w:val="14"/>
          <w:color w:val="auto"/>
        </w:rPr>
        <w:t>raised in 1Q21</w:t>
      </w:r>
      <w:r>
        <w:rPr>
          <w:rFonts w:ascii="Arial" w:cs="Arial" w:eastAsia="Arial" w:hAnsi="Arial"/>
          <w:sz w:val="14"/>
          <w:szCs w:val="14"/>
          <w:b w:val="1"/>
          <w:bCs w:val="1"/>
          <w:color w:val="auto"/>
        </w:rPr>
        <w:t xml:space="preserve"> </w:t>
      </w:r>
      <w:r>
        <w:rPr>
          <w:rFonts w:ascii="Arial" w:cs="Arial" w:eastAsia="Arial" w:hAnsi="Arial"/>
          <w:sz w:val="14"/>
          <w:szCs w:val="14"/>
          <w:color w:val="969696"/>
        </w:rPr>
        <w:t xml:space="preserve">n </w:t>
      </w:r>
      <w:r>
        <w:rPr>
          <w:rFonts w:ascii="Arial" w:cs="Arial" w:eastAsia="Arial" w:hAnsi="Arial"/>
          <w:sz w:val="14"/>
          <w:szCs w:val="14"/>
          <w:b w:val="1"/>
          <w:bCs w:val="1"/>
          <w:color w:val="000000"/>
        </w:rPr>
        <w:t>$69 billion</w:t>
      </w:r>
      <w:r>
        <w:rPr>
          <w:rFonts w:ascii="Arial" w:cs="Arial" w:eastAsia="Arial" w:hAnsi="Arial"/>
          <w:sz w:val="14"/>
          <w:szCs w:val="14"/>
          <w:color w:val="969696"/>
        </w:rPr>
        <w:t xml:space="preserve"> </w:t>
      </w:r>
      <w:r>
        <w:rPr>
          <w:rFonts w:ascii="Arial" w:cs="Arial" w:eastAsia="Arial" w:hAnsi="Arial"/>
          <w:sz w:val="14"/>
          <w:szCs w:val="14"/>
          <w:color w:val="000000"/>
        </w:rPr>
        <w:t>of credit for consumers</w:t>
      </w:r>
    </w:p>
    <w:p>
      <w:pPr>
        <w:ind w:left="160"/>
        <w:spacing w:after="0"/>
        <w:rPr>
          <w:rFonts w:ascii="Arial" w:cs="Arial" w:eastAsia="Arial" w:hAnsi="Arial"/>
          <w:sz w:val="14"/>
          <w:szCs w:val="14"/>
          <w:color w:val="7397BC"/>
        </w:rPr>
      </w:pPr>
      <w:r>
        <w:rPr>
          <w:rFonts w:ascii="Arial" w:cs="Arial" w:eastAsia="Arial" w:hAnsi="Arial"/>
          <w:sz w:val="14"/>
          <w:szCs w:val="14"/>
          <w:color w:val="969696"/>
        </w:rPr>
        <w:t xml:space="preserve">n  </w:t>
      </w:r>
      <w:r>
        <w:rPr>
          <w:rFonts w:ascii="Arial" w:cs="Arial" w:eastAsia="Arial" w:hAnsi="Arial"/>
          <w:sz w:val="14"/>
          <w:szCs w:val="14"/>
          <w:b w:val="1"/>
          <w:bCs w:val="1"/>
          <w:color w:val="000000"/>
        </w:rPr>
        <w:t>$4 billion</w:t>
      </w:r>
      <w:r>
        <w:rPr>
          <w:rFonts w:ascii="Arial" w:cs="Arial" w:eastAsia="Arial" w:hAnsi="Arial"/>
          <w:sz w:val="14"/>
          <w:szCs w:val="14"/>
          <w:color w:val="969696"/>
        </w:rPr>
        <w:t xml:space="preserve"> </w:t>
      </w:r>
      <w:r>
        <w:rPr>
          <w:rFonts w:ascii="Arial" w:cs="Arial" w:eastAsia="Arial" w:hAnsi="Arial"/>
          <w:sz w:val="14"/>
          <w:szCs w:val="14"/>
          <w:color w:val="000000"/>
        </w:rPr>
        <w:t>of credit for U.S. small businesses</w:t>
      </w:r>
    </w:p>
    <w:p>
      <w:pPr>
        <w:spacing w:after="0" w:line="41" w:lineRule="exact"/>
        <w:rPr>
          <w:rFonts w:ascii="Arial" w:cs="Arial" w:eastAsia="Arial" w:hAnsi="Arial"/>
          <w:sz w:val="14"/>
          <w:szCs w:val="14"/>
          <w:color w:val="7397BC"/>
        </w:rPr>
      </w:pPr>
    </w:p>
    <w:p>
      <w:pPr>
        <w:ind w:left="160"/>
        <w:spacing w:after="0"/>
        <w:rPr>
          <w:rFonts w:ascii="Arial" w:cs="Arial" w:eastAsia="Arial" w:hAnsi="Arial"/>
          <w:sz w:val="14"/>
          <w:szCs w:val="14"/>
          <w:color w:val="7397BC"/>
        </w:rPr>
      </w:pPr>
      <w:r>
        <w:rPr>
          <w:rFonts w:ascii="Arial" w:cs="Arial" w:eastAsia="Arial" w:hAnsi="Arial"/>
          <w:sz w:val="14"/>
          <w:szCs w:val="14"/>
          <w:color w:val="969696"/>
        </w:rPr>
        <w:t xml:space="preserve">n  </w:t>
      </w:r>
      <w:r>
        <w:rPr>
          <w:rFonts w:ascii="Arial" w:cs="Arial" w:eastAsia="Arial" w:hAnsi="Arial"/>
          <w:sz w:val="14"/>
          <w:szCs w:val="14"/>
          <w:b w:val="1"/>
          <w:bCs w:val="1"/>
          <w:color w:val="000000"/>
        </w:rPr>
        <w:t>$300 billion</w:t>
      </w:r>
      <w:r>
        <w:rPr>
          <w:rFonts w:ascii="Arial" w:cs="Arial" w:eastAsia="Arial" w:hAnsi="Arial"/>
          <w:sz w:val="14"/>
          <w:szCs w:val="14"/>
          <w:color w:val="969696"/>
        </w:rPr>
        <w:t xml:space="preserve"> </w:t>
      </w:r>
      <w:r>
        <w:rPr>
          <w:rFonts w:ascii="Arial" w:cs="Arial" w:eastAsia="Arial" w:hAnsi="Arial"/>
          <w:sz w:val="14"/>
          <w:szCs w:val="14"/>
          <w:color w:val="000000"/>
        </w:rPr>
        <w:t>of credit for corporations</w:t>
      </w:r>
    </w:p>
    <w:p>
      <w:pPr>
        <w:spacing w:after="0" w:line="28" w:lineRule="exact"/>
        <w:rPr>
          <w:rFonts w:ascii="Arial" w:cs="Arial" w:eastAsia="Arial" w:hAnsi="Arial"/>
          <w:sz w:val="14"/>
          <w:szCs w:val="14"/>
          <w:color w:val="7397BC"/>
        </w:rPr>
      </w:pPr>
    </w:p>
    <w:p>
      <w:pPr>
        <w:ind w:left="160" w:right="400"/>
        <w:spacing w:after="0" w:line="294" w:lineRule="auto"/>
        <w:rPr>
          <w:rFonts w:ascii="Arial" w:cs="Arial" w:eastAsia="Arial" w:hAnsi="Arial"/>
          <w:sz w:val="14"/>
          <w:szCs w:val="14"/>
          <w:color w:val="7397BC"/>
        </w:rPr>
      </w:pPr>
      <w:r>
        <w:rPr>
          <w:rFonts w:ascii="Arial" w:cs="Arial" w:eastAsia="Arial" w:hAnsi="Arial"/>
          <w:sz w:val="13"/>
          <w:szCs w:val="13"/>
          <w:color w:val="969696"/>
        </w:rPr>
        <w:t xml:space="preserve">n </w:t>
      </w:r>
      <w:r>
        <w:rPr>
          <w:rFonts w:ascii="Arial" w:cs="Arial" w:eastAsia="Arial" w:hAnsi="Arial"/>
          <w:sz w:val="13"/>
          <w:szCs w:val="13"/>
          <w:b w:val="1"/>
          <w:bCs w:val="1"/>
          <w:color w:val="000000"/>
        </w:rPr>
        <w:t>$417 billion</w:t>
      </w:r>
      <w:r>
        <w:rPr>
          <w:rFonts w:ascii="Arial" w:cs="Arial" w:eastAsia="Arial" w:hAnsi="Arial"/>
          <w:sz w:val="13"/>
          <w:szCs w:val="13"/>
          <w:color w:val="969696"/>
        </w:rPr>
        <w:t xml:space="preserve"> </w:t>
      </w:r>
      <w:r>
        <w:rPr>
          <w:rFonts w:ascii="Arial" w:cs="Arial" w:eastAsia="Arial" w:hAnsi="Arial"/>
          <w:sz w:val="13"/>
          <w:szCs w:val="13"/>
          <w:color w:val="000000"/>
        </w:rPr>
        <w:t>of capital raised for corporate clients and non-U.S. government entities</w:t>
      </w:r>
      <w:r>
        <w:rPr>
          <w:rFonts w:ascii="Arial" w:cs="Arial" w:eastAsia="Arial" w:hAnsi="Arial"/>
          <w:sz w:val="13"/>
          <w:szCs w:val="13"/>
          <w:color w:val="969696"/>
        </w:rPr>
        <w:t xml:space="preserve"> n </w:t>
      </w:r>
      <w:r>
        <w:rPr>
          <w:rFonts w:ascii="Arial" w:cs="Arial" w:eastAsia="Arial" w:hAnsi="Arial"/>
          <w:sz w:val="13"/>
          <w:szCs w:val="13"/>
          <w:b w:val="1"/>
          <w:bCs w:val="1"/>
          <w:color w:val="000000"/>
        </w:rPr>
        <w:t>$14 billion</w:t>
      </w:r>
      <w:r>
        <w:rPr>
          <w:rFonts w:ascii="Arial" w:cs="Arial" w:eastAsia="Arial" w:hAnsi="Arial"/>
          <w:sz w:val="13"/>
          <w:szCs w:val="13"/>
          <w:color w:val="969696"/>
        </w:rPr>
        <w:t xml:space="preserve"> </w:t>
      </w:r>
      <w:r>
        <w:rPr>
          <w:rFonts w:ascii="Arial" w:cs="Arial" w:eastAsia="Arial" w:hAnsi="Arial"/>
          <w:sz w:val="13"/>
          <w:szCs w:val="13"/>
          <w:color w:val="000000"/>
        </w:rPr>
        <w:t>of credit and capital raised for nonprofit and U.S. government entities,</w:t>
      </w:r>
    </w:p>
    <w:p>
      <w:pPr>
        <w:ind w:left="400"/>
        <w:spacing w:after="0"/>
        <w:rPr>
          <w:rFonts w:ascii="Arial" w:cs="Arial" w:eastAsia="Arial" w:hAnsi="Arial"/>
          <w:sz w:val="14"/>
          <w:szCs w:val="14"/>
          <w:color w:val="7397BC"/>
        </w:rPr>
      </w:pPr>
      <w:r>
        <w:rPr>
          <w:rFonts w:ascii="Arial" w:cs="Arial" w:eastAsia="Arial" w:hAnsi="Arial"/>
          <w:sz w:val="14"/>
          <w:szCs w:val="14"/>
          <w:color w:val="auto"/>
        </w:rPr>
        <w:t>including states, municipalities, hospitals and universities</w:t>
      </w:r>
    </w:p>
    <w:p>
      <w:pPr>
        <w:spacing w:after="0" w:line="25" w:lineRule="exact"/>
        <w:rPr>
          <w:rFonts w:ascii="Arial" w:cs="Arial" w:eastAsia="Arial" w:hAnsi="Arial"/>
          <w:sz w:val="14"/>
          <w:szCs w:val="14"/>
          <w:color w:val="7397BC"/>
        </w:rPr>
      </w:pPr>
    </w:p>
    <w:p>
      <w:pPr>
        <w:ind w:left="200" w:right="500" w:hanging="156"/>
        <w:spacing w:after="0" w:line="279" w:lineRule="auto"/>
        <w:tabs>
          <w:tab w:leader="none" w:pos="262" w:val="left"/>
        </w:tabs>
        <w:numPr>
          <w:ilvl w:val="0"/>
          <w:numId w:val="10"/>
        </w:numPr>
        <w:rPr>
          <w:rFonts w:ascii="Arial" w:cs="Arial" w:eastAsia="Arial" w:hAnsi="Arial"/>
          <w:sz w:val="14"/>
          <w:szCs w:val="14"/>
          <w:color w:val="7397BC"/>
        </w:rPr>
      </w:pPr>
      <w:r>
        <w:rPr>
          <w:rFonts w:ascii="Arial" w:cs="Arial" w:eastAsia="Arial" w:hAnsi="Arial"/>
          <w:sz w:val="14"/>
          <w:szCs w:val="14"/>
          <w:b w:val="1"/>
          <w:bCs w:val="1"/>
          <w:color w:val="auto"/>
        </w:rPr>
        <w:t xml:space="preserve">$10 billion </w:t>
      </w:r>
      <w:r>
        <w:rPr>
          <w:rFonts w:ascii="Arial" w:cs="Arial" w:eastAsia="Arial" w:hAnsi="Arial"/>
          <w:sz w:val="14"/>
          <w:szCs w:val="14"/>
          <w:color w:val="auto"/>
        </w:rPr>
        <w:t>of loans under the Small Business Administration’s Paycheck Protection</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in 1Q21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719455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55" w:lineRule="exact"/>
        <w:rPr>
          <w:sz w:val="20"/>
          <w:szCs w:val="20"/>
          <w:color w:val="auto"/>
        </w:rPr>
      </w:pPr>
    </w:p>
    <w:p>
      <w:pPr>
        <w:sectPr>
          <w:pgSz w:w="11900" w:h="16838" w:orient="portrait"/>
          <w:cols w:equalWidth="0" w:num="2">
            <w:col w:w="5540" w:space="80"/>
            <w:col w:w="5620"/>
          </w:cols>
          <w:pgMar w:left="320" w:top="125" w:right="339" w:bottom="1440" w:gutter="0" w:footer="0" w:header="0"/>
          <w:type w:val="continuous"/>
        </w:sectPr>
      </w:pPr>
    </w:p>
    <w:p>
      <w:pPr>
        <w:spacing w:after="0" w:line="395"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6"/>
          <w:szCs w:val="16"/>
          <w:color w:val="auto"/>
        </w:rPr>
        <w:t>Investor Contact: Reggie Chambers (212) 270-2479</w:t>
      </w:r>
      <w:r>
        <w:rPr>
          <w:sz w:val="20"/>
          <w:szCs w:val="20"/>
          <w:color w:val="auto"/>
        </w:rPr>
        <w:tab/>
      </w:r>
      <w:r>
        <w:rPr>
          <w:rFonts w:ascii="Arial" w:cs="Arial" w:eastAsia="Arial" w:hAnsi="Arial"/>
          <w:sz w:val="14"/>
          <w:szCs w:val="14"/>
          <w:color w:val="auto"/>
        </w:rPr>
        <w:t>Media Contact: Joseph Evangelisti (212) 270-7438</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 Totals may not sum due to rounding</w:t>
      </w:r>
    </w:p>
    <w:p>
      <w:pPr>
        <w:spacing w:after="0" w:line="26" w:lineRule="exact"/>
        <w:rPr>
          <w:sz w:val="20"/>
          <w:szCs w:val="20"/>
          <w:color w:val="auto"/>
        </w:rPr>
      </w:pPr>
    </w:p>
    <w:p>
      <w:pPr>
        <w:ind w:left="20" w:right="5020"/>
        <w:spacing w:after="0" w:line="202"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Percentage comparisons noted in the bullet points are for the first quarter of 2021 versus the prior-year first quarter, unless otherwise specified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For notes on non-GAAP financial measures, including managed basis reporting, see page 6.</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additional notes see page 7.</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the discussion below of Firmwide results of JPMorgan Chase &amp; Co. (“JPMorgan Chase” or the “Firm”), information is presented on a managed basis, which is a non-GAAP financial measure, unless otherwise specified. The discussion below of the Firm’s business segments is also presented on a managed basis. For more information about managed basis, and non-GAAP financial measures used by management to evaluate the performance of each line of business, refer to page 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Comparisons noted in the sections below are for the first quarter of 2021 versus the prior-year first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9803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shd w:val="clear" w:color="auto" w:fill="7397BC"/>
        </w:rPr>
        <w:t>JPMORGAN CHASE (JPM)</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Net revenue on a reported basis was $32.3 billion, $29.3 billion, and $28.3 billion for the first quarter of 2021, fourth quarter of 2020, and first quarter of 2020, respectively.</w:t>
      </w:r>
      <w:r>
        <w:rPr>
          <w:rFonts w:ascii="Arial" w:cs="Arial" w:eastAsia="Arial" w:hAnsi="Arial"/>
          <w:sz w:val="23"/>
          <w:szCs w:val="23"/>
          <w:color w:val="auto"/>
          <w:vertAlign w:val="superscript"/>
        </w:rPr>
        <w:t>11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JPM</w:t>
            </w:r>
          </w:p>
        </w:tc>
        <w:tc>
          <w:tcPr>
            <w:tcW w:w="240" w:type="dxa"/>
            <w:vAlign w:val="bottom"/>
            <w:tcBorders>
              <w:bottom w:val="single" w:sz="8" w:color="auto"/>
            </w:tcBorders>
            <w:shd w:val="clear" w:color="auto" w:fill="EAEAEA"/>
          </w:tcPr>
          <w:p>
            <w:pPr>
              <w:spacing w:after="0"/>
              <w:rPr>
                <w:sz w:val="19"/>
                <w:szCs w:val="19"/>
                <w:color w:val="auto"/>
              </w:rPr>
            </w:pPr>
          </w:p>
        </w:tc>
        <w:tc>
          <w:tcPr>
            <w:tcW w:w="960" w:type="dxa"/>
            <w:vAlign w:val="bottom"/>
            <w:tcBorders>
              <w:bottom w:val="single" w:sz="8" w:color="auto"/>
            </w:tcBorders>
            <w:shd w:val="clear" w:color="auto" w:fill="EAEAEA"/>
          </w:tcPr>
          <w:p>
            <w:pPr>
              <w:spacing w:after="0"/>
              <w:rPr>
                <w:sz w:val="19"/>
                <w:szCs w:val="19"/>
                <w:color w:val="auto"/>
              </w:rPr>
            </w:pPr>
          </w:p>
        </w:tc>
        <w:tc>
          <w:tcPr>
            <w:tcW w:w="100" w:type="dxa"/>
            <w:vAlign w:val="bottom"/>
            <w:tcBorders>
              <w:bottom w:val="single" w:sz="8" w:color="auto"/>
            </w:tcBorders>
            <w:shd w:val="clear" w:color="auto" w:fill="EAEAEA"/>
          </w:tcPr>
          <w:p>
            <w:pPr>
              <w:spacing w:after="0"/>
              <w:rPr>
                <w:sz w:val="19"/>
                <w:szCs w:val="19"/>
                <w:color w:val="auto"/>
              </w:rPr>
            </w:pPr>
          </w:p>
        </w:tc>
        <w:tc>
          <w:tcPr>
            <w:tcW w:w="260" w:type="dxa"/>
            <w:vAlign w:val="bottom"/>
            <w:tcBorders>
              <w:bottom w:val="single" w:sz="8" w:color="auto"/>
            </w:tcBorders>
            <w:shd w:val="clear" w:color="auto" w:fill="EAEAEA"/>
          </w:tcPr>
          <w:p>
            <w:pPr>
              <w:spacing w:after="0"/>
              <w:rPr>
                <w:sz w:val="19"/>
                <w:szCs w:val="19"/>
                <w:color w:val="auto"/>
              </w:rPr>
            </w:pPr>
          </w:p>
        </w:tc>
        <w:tc>
          <w:tcPr>
            <w:tcW w:w="940" w:type="dxa"/>
            <w:vAlign w:val="bottom"/>
            <w:tcBorders>
              <w:bottom w:val="single" w:sz="8" w:color="auto"/>
            </w:tcBorders>
            <w:shd w:val="clear" w:color="auto" w:fill="EAEAEA"/>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spacing w:after="0"/>
              <w:rPr>
                <w:sz w:val="19"/>
                <w:szCs w:val="19"/>
                <w:color w:val="auto"/>
              </w:rPr>
            </w:pPr>
          </w:p>
        </w:tc>
        <w:tc>
          <w:tcPr>
            <w:tcW w:w="360" w:type="dxa"/>
            <w:vAlign w:val="bottom"/>
            <w:tcBorders>
              <w:bottom w:val="single" w:sz="8" w:color="auto"/>
            </w:tcBorders>
            <w:shd w:val="clear" w:color="auto" w:fill="EAEAEA"/>
          </w:tcPr>
          <w:p>
            <w:pPr>
              <w:spacing w:after="0"/>
              <w:rPr>
                <w:sz w:val="19"/>
                <w:szCs w:val="19"/>
                <w:color w:val="auto"/>
              </w:rPr>
            </w:pPr>
          </w:p>
        </w:tc>
        <w:tc>
          <w:tcPr>
            <w:tcW w:w="1720" w:type="dxa"/>
            <w:vAlign w:val="bottom"/>
            <w:tcBorders>
              <w:bottom w:val="single" w:sz="8" w:color="auto"/>
            </w:tcBorders>
            <w:gridSpan w:val="2"/>
            <w:shd w:val="clear" w:color="auto" w:fill="EAEAEA"/>
          </w:tcPr>
          <w:p>
            <w:pPr>
              <w:ind w:left="520"/>
              <w:spacing w:after="0"/>
              <w:rPr>
                <w:sz w:val="20"/>
                <w:szCs w:val="20"/>
                <w:color w:val="auto"/>
              </w:rPr>
            </w:pPr>
            <w:r>
              <w:rPr>
                <w:rFonts w:ascii="Arial" w:cs="Arial" w:eastAsia="Arial" w:hAnsi="Arial"/>
                <w:sz w:val="18"/>
                <w:szCs w:val="18"/>
                <w:color w:val="auto"/>
              </w:rPr>
              <w:t>4Q20</w:t>
            </w:r>
          </w:p>
        </w:tc>
        <w:tc>
          <w:tcPr>
            <w:tcW w:w="260" w:type="dxa"/>
            <w:vAlign w:val="bottom"/>
            <w:tcBorders>
              <w:bottom w:val="single" w:sz="8" w:color="auto"/>
            </w:tcBorders>
            <w:shd w:val="clear" w:color="auto" w:fill="EAEAEA"/>
          </w:tcPr>
          <w:p>
            <w:pPr>
              <w:spacing w:after="0"/>
              <w:rPr>
                <w:sz w:val="19"/>
                <w:szCs w:val="19"/>
                <w:color w:val="auto"/>
              </w:rPr>
            </w:pPr>
          </w:p>
        </w:tc>
        <w:tc>
          <w:tcPr>
            <w:tcW w:w="1900" w:type="dxa"/>
            <w:vAlign w:val="bottom"/>
            <w:tcBorders>
              <w:bottom w:val="single" w:sz="8" w:color="auto"/>
            </w:tcBorders>
            <w:gridSpan w:val="2"/>
            <w:shd w:val="clear" w:color="auto" w:fill="EAEAEA"/>
          </w:tcPr>
          <w:p>
            <w:pPr>
              <w:jc w:val="right"/>
              <w:ind w:right="730"/>
              <w:spacing w:after="0"/>
              <w:rPr>
                <w:sz w:val="20"/>
                <w:szCs w:val="20"/>
                <w:color w:val="auto"/>
              </w:rPr>
            </w:pPr>
            <w:r>
              <w:rPr>
                <w:rFonts w:ascii="Arial" w:cs="Arial" w:eastAsia="Arial" w:hAnsi="Arial"/>
                <w:sz w:val="18"/>
                <w:szCs w:val="18"/>
                <w:color w:val="auto"/>
              </w:rPr>
              <w:t>1Q20</w:t>
            </w:r>
          </w:p>
        </w:tc>
      </w:tr>
      <w:tr>
        <w:trPr>
          <w:trHeight w:val="223"/>
        </w:trPr>
        <w:tc>
          <w:tcPr>
            <w:tcW w:w="30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 except per share data)</w:t>
            </w:r>
          </w:p>
        </w:tc>
        <w:tc>
          <w:tcPr>
            <w:tcW w:w="24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6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40"/>
              <w:spacing w:after="0"/>
              <w:rPr>
                <w:sz w:val="20"/>
                <w:szCs w:val="20"/>
                <w:color w:val="auto"/>
              </w:rPr>
            </w:pPr>
            <w:r>
              <w:rPr>
                <w:rFonts w:ascii="Arial" w:cs="Arial" w:eastAsia="Arial" w:hAnsi="Arial"/>
                <w:sz w:val="18"/>
                <w:szCs w:val="18"/>
                <w:color w:val="auto"/>
              </w:rPr>
              <w:t>4Q20</w:t>
            </w: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ind w:right="350"/>
              <w:spacing w:after="0"/>
              <w:rPr>
                <w:sz w:val="20"/>
                <w:szCs w:val="20"/>
                <w:color w:val="auto"/>
              </w:rPr>
            </w:pPr>
            <w:r>
              <w:rPr>
                <w:rFonts w:ascii="Arial" w:cs="Arial" w:eastAsia="Arial" w:hAnsi="Arial"/>
                <w:sz w:val="18"/>
                <w:szCs w:val="18"/>
                <w:color w:val="auto"/>
              </w:rPr>
              <w:t>1Q20</w:t>
            </w:r>
          </w:p>
        </w:tc>
        <w:tc>
          <w:tcPr>
            <w:tcW w:w="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AEAEA"/>
          </w:tcPr>
          <w:p>
            <w:pPr>
              <w:jc w:val="right"/>
              <w:ind w:right="110"/>
              <w:spacing w:after="0"/>
              <w:rPr>
                <w:sz w:val="20"/>
                <w:szCs w:val="20"/>
                <w:color w:val="auto"/>
              </w:rPr>
            </w:pPr>
            <w:r>
              <w:rPr>
                <w:rFonts w:ascii="Arial" w:cs="Arial" w:eastAsia="Arial" w:hAnsi="Arial"/>
                <w:sz w:val="18"/>
                <w:szCs w:val="18"/>
                <w:color w:val="auto"/>
                <w:w w:val="95"/>
              </w:rPr>
              <w:t>O/(U)</w:t>
            </w:r>
          </w:p>
        </w:tc>
        <w:tc>
          <w:tcPr>
            <w:tcW w:w="1080" w:type="dxa"/>
            <w:vAlign w:val="bottom"/>
            <w:tcBorders>
              <w:bottom w:val="single" w:sz="8" w:color="auto"/>
            </w:tcBorders>
            <w:shd w:val="clear" w:color="auto" w:fill="EAEAEA"/>
          </w:tcPr>
          <w:p>
            <w:pPr>
              <w:ind w:left="220"/>
              <w:spacing w:after="0"/>
              <w:rPr>
                <w:sz w:val="20"/>
                <w:szCs w:val="20"/>
                <w:color w:val="auto"/>
              </w:rPr>
            </w:pPr>
            <w:r>
              <w:rPr>
                <w:rFonts w:ascii="Arial" w:cs="Arial" w:eastAsia="Arial" w:hAnsi="Arial"/>
                <w:sz w:val="18"/>
                <w:szCs w:val="18"/>
                <w:color w:val="auto"/>
              </w:rPr>
              <w:t>O/(U) %</w:t>
            </w:r>
          </w:p>
        </w:tc>
        <w:tc>
          <w:tcPr>
            <w:tcW w:w="26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110"/>
              <w:spacing w:after="0"/>
              <w:rPr>
                <w:sz w:val="20"/>
                <w:szCs w:val="20"/>
                <w:color w:val="auto"/>
              </w:rPr>
            </w:pPr>
            <w:r>
              <w:rPr>
                <w:rFonts w:ascii="Arial" w:cs="Arial" w:eastAsia="Arial" w:hAnsi="Arial"/>
                <w:sz w:val="18"/>
                <w:szCs w:val="18"/>
                <w:color w:val="auto"/>
                <w:w w:val="98"/>
              </w:rPr>
              <w:t>$ O/(U)</w:t>
            </w:r>
          </w:p>
        </w:tc>
        <w:tc>
          <w:tcPr>
            <w:tcW w:w="1100" w:type="dxa"/>
            <w:vAlign w:val="bottom"/>
            <w:tcBorders>
              <w:bottom w:val="single" w:sz="8" w:color="auto"/>
            </w:tcBorders>
            <w:shd w:val="clear" w:color="auto" w:fill="EAEAEA"/>
          </w:tcPr>
          <w:p>
            <w:pPr>
              <w:jc w:val="right"/>
              <w:ind w:right="150"/>
              <w:spacing w:after="0"/>
              <w:rPr>
                <w:sz w:val="20"/>
                <w:szCs w:val="20"/>
                <w:color w:val="auto"/>
              </w:rPr>
            </w:pPr>
            <w:r>
              <w:rPr>
                <w:rFonts w:ascii="Arial" w:cs="Arial" w:eastAsia="Arial" w:hAnsi="Arial"/>
                <w:sz w:val="18"/>
                <w:szCs w:val="18"/>
                <w:color w:val="auto"/>
              </w:rPr>
              <w:t>O/(U) %</w:t>
            </w:r>
          </w:p>
        </w:tc>
      </w:tr>
      <w:tr>
        <w:trPr>
          <w:trHeight w:val="222"/>
        </w:trPr>
        <w:tc>
          <w:tcPr>
            <w:tcW w:w="3080" w:type="dxa"/>
            <w:vAlign w:val="bottom"/>
          </w:tcPr>
          <w:p>
            <w:pPr>
              <w:ind w:left="20"/>
              <w:spacing w:after="0"/>
              <w:rPr>
                <w:sz w:val="20"/>
                <w:szCs w:val="20"/>
                <w:color w:val="auto"/>
              </w:rPr>
            </w:pPr>
            <w:r>
              <w:rPr>
                <w:rFonts w:ascii="Arial" w:cs="Arial" w:eastAsia="Arial" w:hAnsi="Arial"/>
                <w:sz w:val="18"/>
                <w:szCs w:val="18"/>
                <w:color w:val="auto"/>
              </w:rPr>
              <w:t>Net revenue - managed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33,119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30,161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29,010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2,958</w:t>
            </w:r>
          </w:p>
        </w:tc>
        <w:tc>
          <w:tcPr>
            <w:tcW w:w="1080" w:type="dxa"/>
            <w:vAlign w:val="bottom"/>
          </w:tcPr>
          <w:p>
            <w:pPr>
              <w:ind w:left="680"/>
              <w:spacing w:after="0"/>
              <w:rPr>
                <w:sz w:val="20"/>
                <w:szCs w:val="20"/>
                <w:color w:val="auto"/>
              </w:rPr>
            </w:pPr>
            <w:r>
              <w:rPr>
                <w:rFonts w:ascii="Arial" w:cs="Arial" w:eastAsia="Arial" w:hAnsi="Arial"/>
                <w:sz w:val="18"/>
                <w:szCs w:val="18"/>
                <w:color w:val="auto"/>
                <w:w w:val="92"/>
              </w:rPr>
              <w:t>10 %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4,109</w:t>
            </w: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18,725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16,048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16,791</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2,677</w:t>
            </w:r>
          </w:p>
        </w:tc>
        <w:tc>
          <w:tcPr>
            <w:tcW w:w="1080" w:type="dxa"/>
            <w:vAlign w:val="bottom"/>
          </w:tcPr>
          <w:p>
            <w:pPr>
              <w:ind w:left="6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30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Borders>
              <w:bottom w:val="single" w:sz="8" w:color="828282"/>
            </w:tcBorders>
          </w:tcPr>
          <w:p>
            <w:pPr>
              <w:spacing w:after="0"/>
              <w:rPr>
                <w:sz w:val="20"/>
                <w:szCs w:val="20"/>
                <w:color w:val="auto"/>
              </w:rPr>
            </w:pPr>
          </w:p>
        </w:tc>
        <w:tc>
          <w:tcPr>
            <w:tcW w:w="96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828282"/>
            </w:tcBorders>
          </w:tcPr>
          <w:p>
            <w:pPr>
              <w:spacing w:after="0"/>
              <w:rPr>
                <w:sz w:val="20"/>
                <w:szCs w:val="20"/>
                <w:color w:val="auto"/>
              </w:rPr>
            </w:pPr>
          </w:p>
        </w:tc>
        <w:tc>
          <w:tcPr>
            <w:tcW w:w="26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828282"/>
            </w:tcBorders>
          </w:tcPr>
          <w:p>
            <w:pPr>
              <w:spacing w:after="0"/>
              <w:rPr>
                <w:sz w:val="20"/>
                <w:szCs w:val="20"/>
                <w:color w:val="auto"/>
              </w:rPr>
            </w:pPr>
          </w:p>
        </w:tc>
        <w:tc>
          <w:tcPr>
            <w:tcW w:w="240" w:type="dxa"/>
            <w:vAlign w:val="bottom"/>
            <w:tcBorders>
              <w:bottom w:val="single" w:sz="8" w:color="828282"/>
            </w:tcBorders>
          </w:tcPr>
          <w:p>
            <w:pPr>
              <w:spacing w:after="0"/>
              <w:rPr>
                <w:sz w:val="20"/>
                <w:szCs w:val="20"/>
                <w:color w:val="auto"/>
              </w:rPr>
            </w:pPr>
          </w:p>
        </w:tc>
        <w:tc>
          <w:tcPr>
            <w:tcW w:w="1000" w:type="dxa"/>
            <w:vAlign w:val="bottom"/>
            <w:tcBorders>
              <w:bottom w:val="single" w:sz="8" w:color="828282"/>
            </w:tcBorders>
          </w:tcPr>
          <w:p>
            <w:pPr>
              <w:jc w:val="right"/>
              <w:ind w:right="170"/>
              <w:spacing w:after="0"/>
              <w:rPr>
                <w:sz w:val="20"/>
                <w:szCs w:val="20"/>
                <w:color w:val="auto"/>
              </w:rPr>
            </w:pPr>
            <w:r>
              <w:rPr>
                <w:rFonts w:ascii="Arial" w:cs="Arial" w:eastAsia="Arial" w:hAnsi="Arial"/>
                <w:sz w:val="18"/>
                <w:szCs w:val="18"/>
                <w:color w:val="auto"/>
              </w:rPr>
              <w:t>8,285</w:t>
            </w:r>
          </w:p>
        </w:tc>
        <w:tc>
          <w:tcPr>
            <w:tcW w:w="360" w:type="dxa"/>
            <w:vAlign w:val="bottom"/>
            <w:tcBorders>
              <w:bottom w:val="single" w:sz="8" w:color="828282"/>
            </w:tcBorders>
          </w:tcPr>
          <w:p>
            <w:pPr>
              <w:spacing w:after="0"/>
              <w:rPr>
                <w:sz w:val="20"/>
                <w:szCs w:val="20"/>
                <w:color w:val="auto"/>
              </w:rPr>
            </w:pP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(2,267)</w:t>
            </w:r>
          </w:p>
        </w:tc>
        <w:tc>
          <w:tcPr>
            <w:tcW w:w="1080" w:type="dxa"/>
            <w:vAlign w:val="bottom"/>
            <w:tcBorders>
              <w:bottom w:val="single" w:sz="8" w:color="828282"/>
            </w:tcBorders>
          </w:tcPr>
          <w:p>
            <w:pPr>
              <w:ind w:left="520"/>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(12,441)</w:t>
            </w:r>
          </w:p>
        </w:tc>
        <w:tc>
          <w:tcPr>
            <w:tcW w:w="11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08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28282"/>
            </w:tcBorders>
            <w:shd w:val="clear" w:color="auto" w:fill="D6E0EC"/>
          </w:tcPr>
          <w:p>
            <w:pPr>
              <w:jc w:val="right"/>
              <w:ind w:right="130"/>
              <w:spacing w:after="0"/>
              <w:rPr>
                <w:sz w:val="20"/>
                <w:szCs w:val="20"/>
                <w:color w:val="auto"/>
              </w:rPr>
            </w:pPr>
            <w:r>
              <w:rPr>
                <w:rFonts w:ascii="Arial" w:cs="Arial" w:eastAsia="Arial" w:hAnsi="Arial"/>
                <w:sz w:val="18"/>
                <w:szCs w:val="18"/>
                <w:color w:val="auto"/>
              </w:rPr>
              <w:t>14,300</w:t>
            </w:r>
          </w:p>
        </w:tc>
        <w:tc>
          <w:tcPr>
            <w:tcW w:w="100" w:type="dxa"/>
            <w:vAlign w:val="bottom"/>
            <w:tcBorders>
              <w:bottom w:val="single" w:sz="8" w:color="828282"/>
            </w:tcBorders>
            <w:shd w:val="clear" w:color="auto" w:fill="D6E0EC"/>
          </w:tcPr>
          <w:p>
            <w:pPr>
              <w:spacing w:after="0"/>
              <w:rPr>
                <w:sz w:val="19"/>
                <w:szCs w:val="19"/>
                <w:color w:val="auto"/>
              </w:rPr>
            </w:pPr>
          </w:p>
        </w:tc>
        <w:tc>
          <w:tcPr>
            <w:tcW w:w="26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828282"/>
            </w:tcBorders>
            <w:shd w:val="clear" w:color="auto" w:fill="D6E0EC"/>
          </w:tcPr>
          <w:p>
            <w:pPr>
              <w:jc w:val="right"/>
              <w:ind w:right="130"/>
              <w:spacing w:after="0"/>
              <w:rPr>
                <w:sz w:val="20"/>
                <w:szCs w:val="20"/>
                <w:color w:val="auto"/>
              </w:rPr>
            </w:pPr>
            <w:r>
              <w:rPr>
                <w:rFonts w:ascii="Arial" w:cs="Arial" w:eastAsia="Arial" w:hAnsi="Arial"/>
                <w:sz w:val="18"/>
                <w:szCs w:val="18"/>
                <w:color w:val="auto"/>
              </w:rPr>
              <w:t>12,136</w:t>
            </w:r>
          </w:p>
        </w:tc>
        <w:tc>
          <w:tcPr>
            <w:tcW w:w="120" w:type="dxa"/>
            <w:vAlign w:val="bottom"/>
            <w:tcBorders>
              <w:bottom w:val="single" w:sz="8" w:color="828282"/>
            </w:tcBorders>
            <w:shd w:val="clear" w:color="auto" w:fill="D6E0EC"/>
          </w:tcPr>
          <w:p>
            <w:pPr>
              <w:spacing w:after="0"/>
              <w:rPr>
                <w:sz w:val="19"/>
                <w:szCs w:val="19"/>
                <w:color w:val="auto"/>
              </w:rPr>
            </w:pP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828282"/>
            </w:tcBorders>
            <w:shd w:val="clear" w:color="auto" w:fill="D6E0EC"/>
          </w:tcPr>
          <w:p>
            <w:pPr>
              <w:jc w:val="right"/>
              <w:ind w:right="170"/>
              <w:spacing w:after="0"/>
              <w:rPr>
                <w:sz w:val="20"/>
                <w:szCs w:val="20"/>
                <w:color w:val="auto"/>
              </w:rPr>
            </w:pPr>
            <w:r>
              <w:rPr>
                <w:rFonts w:ascii="Arial" w:cs="Arial" w:eastAsia="Arial" w:hAnsi="Arial"/>
                <w:sz w:val="18"/>
                <w:szCs w:val="18"/>
                <w:color w:val="auto"/>
              </w:rPr>
              <w:t>2,865</w:t>
            </w:r>
          </w:p>
        </w:tc>
        <w:tc>
          <w:tcPr>
            <w:tcW w:w="360" w:type="dxa"/>
            <w:vAlign w:val="bottom"/>
            <w:tcBorders>
              <w:bottom w:val="single" w:sz="8" w:color="828282"/>
            </w:tcBorders>
            <w:shd w:val="clear" w:color="auto" w:fill="D6E0E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2,164</w:t>
            </w:r>
          </w:p>
        </w:tc>
        <w:tc>
          <w:tcPr>
            <w:tcW w:w="1080" w:type="dxa"/>
            <w:vAlign w:val="bottom"/>
            <w:tcBorders>
              <w:bottom w:val="single" w:sz="8" w:color="828282"/>
            </w:tcBorders>
            <w:shd w:val="clear" w:color="auto" w:fill="D6E0EC"/>
          </w:tcPr>
          <w:p>
            <w:pPr>
              <w:ind w:left="680"/>
              <w:spacing w:after="0"/>
              <w:rPr>
                <w:sz w:val="20"/>
                <w:szCs w:val="20"/>
                <w:color w:val="auto"/>
              </w:rPr>
            </w:pPr>
            <w:r>
              <w:rPr>
                <w:rFonts w:ascii="Arial" w:cs="Arial" w:eastAsia="Arial" w:hAnsi="Arial"/>
                <w:sz w:val="18"/>
                <w:szCs w:val="18"/>
                <w:color w:val="auto"/>
                <w:w w:val="92"/>
              </w:rPr>
              <w:t>18 %</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11,435</w:t>
            </w:r>
          </w:p>
        </w:tc>
        <w:tc>
          <w:tcPr>
            <w:tcW w:w="110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399 %</w:t>
            </w:r>
          </w:p>
        </w:tc>
      </w:tr>
      <w:tr>
        <w:trPr>
          <w:trHeight w:val="223"/>
        </w:trPr>
        <w:tc>
          <w:tcPr>
            <w:tcW w:w="30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28282"/>
            </w:tcBorders>
          </w:tcPr>
          <w:p>
            <w:pPr>
              <w:jc w:val="right"/>
              <w:ind w:right="1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828282"/>
            </w:tcBorders>
          </w:tcPr>
          <w:p>
            <w:pPr>
              <w:jc w:val="right"/>
              <w:ind w:right="13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828282"/>
            </w:tcBorders>
          </w:tcPr>
          <w:p>
            <w:pPr>
              <w:jc w:val="right"/>
              <w:ind w:right="170"/>
              <w:spacing w:after="0"/>
              <w:rPr>
                <w:sz w:val="20"/>
                <w:szCs w:val="20"/>
                <w:color w:val="auto"/>
              </w:rPr>
            </w:pPr>
            <w:r>
              <w:rPr>
                <w:rFonts w:ascii="Arial" w:cs="Arial" w:eastAsia="Arial" w:hAnsi="Arial"/>
                <w:sz w:val="18"/>
                <w:szCs w:val="18"/>
                <w:color w:val="auto"/>
              </w:rPr>
              <w:t>0.78</w:t>
            </w:r>
          </w:p>
        </w:tc>
        <w:tc>
          <w:tcPr>
            <w:tcW w:w="360" w:type="dxa"/>
            <w:vAlign w:val="bottom"/>
            <w:tcBorders>
              <w:bottom w:val="single" w:sz="8" w:color="828282"/>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0.71</w:t>
            </w:r>
          </w:p>
        </w:tc>
        <w:tc>
          <w:tcPr>
            <w:tcW w:w="1080" w:type="dxa"/>
            <w:vAlign w:val="bottom"/>
            <w:tcBorders>
              <w:bottom w:val="single" w:sz="8" w:color="7F7F7F"/>
            </w:tcBorders>
          </w:tcPr>
          <w:p>
            <w:pPr>
              <w:ind w:left="680"/>
              <w:spacing w:after="0"/>
              <w:rPr>
                <w:sz w:val="20"/>
                <w:szCs w:val="20"/>
                <w:color w:val="auto"/>
              </w:rPr>
            </w:pPr>
            <w:r>
              <w:rPr>
                <w:rFonts w:ascii="Arial" w:cs="Arial" w:eastAsia="Arial" w:hAnsi="Arial"/>
                <w:sz w:val="18"/>
                <w:szCs w:val="18"/>
                <w:color w:val="auto"/>
                <w:w w:val="92"/>
              </w:rPr>
              <w:t>19 %</w:t>
            </w: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3.72</w:t>
            </w:r>
          </w:p>
        </w:tc>
        <w:tc>
          <w:tcPr>
            <w:tcW w:w="11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477 %</w:t>
            </w:r>
          </w:p>
        </w:tc>
      </w:tr>
      <w:tr>
        <w:trPr>
          <w:trHeight w:val="223"/>
        </w:trPr>
        <w:tc>
          <w:tcPr>
            <w:tcW w:w="3080" w:type="dxa"/>
            <w:vAlign w:val="bottom"/>
            <w:tcBorders>
              <w:bottom w:val="single" w:sz="8" w:color="7F7F7F"/>
            </w:tcBorders>
          </w:tcPr>
          <w:p>
            <w:pPr>
              <w:ind w:left="20"/>
              <w:spacing w:after="0"/>
              <w:rPr>
                <w:sz w:val="20"/>
                <w:szCs w:val="20"/>
                <w:color w:val="auto"/>
              </w:rPr>
            </w:pPr>
            <w:r>
              <w:rPr>
                <w:rFonts w:ascii="Arial" w:cs="Arial" w:eastAsia="Arial" w:hAnsi="Arial"/>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4 %</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r>
        <w:trPr>
          <w:trHeight w:val="223"/>
        </w:trPr>
        <w:tc>
          <w:tcPr>
            <w:tcW w:w="3080" w:type="dxa"/>
            <w:vAlign w:val="bottom"/>
            <w:tcBorders>
              <w:bottom w:val="single" w:sz="8" w:color="7F7F7F"/>
            </w:tcBorders>
          </w:tcPr>
          <w:p>
            <w:pPr>
              <w:ind w:left="20"/>
              <w:spacing w:after="0"/>
              <w:rPr>
                <w:sz w:val="20"/>
                <w:szCs w:val="20"/>
                <w:color w:val="auto"/>
              </w:rPr>
            </w:pPr>
            <w:r>
              <w:rPr>
                <w:rFonts w:ascii="Arial" w:cs="Arial" w:eastAsia="Arial" w:hAnsi="Arial"/>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17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3"/>
          <w:szCs w:val="23"/>
          <w:b w:val="1"/>
          <w:bCs w:val="1"/>
          <w:i w:val="1"/>
          <w:iCs w:val="1"/>
          <w:color w:val="auto"/>
          <w:vertAlign w:val="superscript"/>
        </w:rPr>
        <w:t>12</w:t>
      </w:r>
      <w:r>
        <w:rPr>
          <w:rFonts w:ascii="Arial" w:cs="Arial" w:eastAsia="Arial" w:hAnsi="Arial"/>
          <w:sz w:val="18"/>
          <w:szCs w:val="18"/>
          <w:b w:val="1"/>
          <w:bCs w:val="1"/>
          <w:i w:val="1"/>
          <w:iCs w:val="1"/>
          <w:color w:val="auto"/>
        </w:rPr>
        <w:t>:</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was $14.3 billion, up $11.4 billion, predominantly driven by credit reserve releases of $5.2 billion compared to credit reserve builds of $6.8 billion in the prior year.</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Net revenue of $33.1 billion was up 14%. Noninterest revenue was $20.1 billion, up 39%, driven by higher CIB Markets revenue, higher Investment Banking fees, and the absence of losses in Credit Adjustments and Other and markdowns on held-for-sale positions in the bridge book</w:t>
      </w:r>
      <w:r>
        <w:rPr>
          <w:rFonts w:ascii="Arial" w:cs="Arial" w:eastAsia="Arial" w:hAnsi="Arial"/>
          <w:sz w:val="20"/>
          <w:szCs w:val="20"/>
          <w:color w:val="auto"/>
          <w:vertAlign w:val="superscript"/>
        </w:rPr>
        <w:t>13</w:t>
      </w:r>
      <w:r>
        <w:rPr>
          <w:rFonts w:ascii="Arial" w:cs="Arial" w:eastAsia="Arial" w:hAnsi="Arial"/>
          <w:sz w:val="16"/>
          <w:szCs w:val="16"/>
          <w:color w:val="auto"/>
        </w:rPr>
        <w:t xml:space="preserve"> recorded in the prior year. Net interest income was $13.0 billion, down 11%, predominantly driven by the impact of lower rates, partially offset by balance sheet growth.</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was $18.7 billion, up 12%, predominantly driven by higher volume- and revenue-related expense and continued investments. The increase in expense also included a $550 million contribution to the Firm’s Foundation.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provision for credit losses was a net benefit of $4.2 billion driven by net reserve releases of $5.2 billion, compared to an expense of $8.3 billion in the prior year predominantly driven by net reserve builds of $6.8 billion. The Consumer reserve release was $4.5 billion, and included a $3.5 billion release in Card, reflecting improvements in the macroeconomic scenarios, and a $625 million reserve release in Home Lending primarily due to improvements in house price index (HPI) expectations and to a lesser extent portfolio run-off. The Wholesale reserve release was $716 million reflecting improvements in the macroeconomic scenarios. Net charge-offs of $1.1 billion were down $412 million, predominantly driven by Card.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391795</wp:posOffset>
            </wp:positionV>
            <wp:extent cx="709803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shd w:val="clear" w:color="auto" w:fill="7397BC"/>
        </w:rPr>
        <w:t>CONSUMER &amp; COMMUNITY BANKING (CCB)</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CCB</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790"/>
              <w:spacing w:after="0"/>
              <w:rPr>
                <w:sz w:val="20"/>
                <w:szCs w:val="20"/>
                <w:color w:val="auto"/>
              </w:rPr>
            </w:pPr>
            <w:r>
              <w:rPr>
                <w:rFonts w:ascii="Arial" w:cs="Arial" w:eastAsia="Arial" w:hAnsi="Arial"/>
                <w:sz w:val="18"/>
                <w:szCs w:val="18"/>
                <w:color w:val="auto"/>
              </w:rPr>
              <w:t>4Q20</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Arial" w:cs="Arial" w:eastAsia="Arial" w:hAnsi="Arial"/>
                <w:sz w:val="18"/>
                <w:szCs w:val="18"/>
                <w:color w:val="auto"/>
              </w:rPr>
              <w:t>1Q20</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Arial" w:cs="Arial" w:eastAsia="Arial" w:hAnsi="Arial"/>
                <w:sz w:val="18"/>
                <w:szCs w:val="18"/>
                <w:color w:val="auto"/>
              </w:rPr>
              <w:t>4Q20</w:t>
            </w:r>
          </w:p>
        </w:tc>
        <w:tc>
          <w:tcPr>
            <w:tcW w:w="2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310"/>
              <w:spacing w:after="0"/>
              <w:rPr>
                <w:sz w:val="20"/>
                <w:szCs w:val="20"/>
                <w:color w:val="auto"/>
              </w:rPr>
            </w:pPr>
            <w:r>
              <w:rPr>
                <w:rFonts w:ascii="Arial" w:cs="Arial" w:eastAsia="Arial" w:hAnsi="Arial"/>
                <w:sz w:val="18"/>
                <w:szCs w:val="18"/>
                <w:color w:val="auto"/>
              </w:rPr>
              <w:t>1Q20</w:t>
            </w:r>
          </w:p>
        </w:tc>
        <w:tc>
          <w:tcPr>
            <w:tcW w:w="14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w w:val="98"/>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rPr>
              <w:t>O/(U) %</w:t>
            </w:r>
          </w:p>
        </w:tc>
      </w:tr>
      <w:tr>
        <w:trPr>
          <w:trHeight w:val="222"/>
        </w:trPr>
        <w:tc>
          <w:tcPr>
            <w:tcW w:w="36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12,517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12,728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13,287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060" w:type="dxa"/>
            <w:vAlign w:val="bottom"/>
          </w:tcPr>
          <w:p>
            <w:pPr>
              <w:ind w:left="62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(770)</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Consumer &amp; Business Banking</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5,635</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5,744</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6,266</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060" w:type="dxa"/>
            <w:vAlign w:val="bottom"/>
          </w:tcPr>
          <w:p>
            <w:pPr>
              <w:ind w:left="6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(631)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Home Lending</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297</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Card &amp; Auto</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5,424</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5,860</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1060" w:type="dxa"/>
            <w:vAlign w:val="bottom"/>
          </w:tcPr>
          <w:p>
            <w:pPr>
              <w:ind w:left="6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7,202</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7,042</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7,269</w:t>
            </w:r>
          </w:p>
        </w:tc>
        <w:tc>
          <w:tcPr>
            <w:tcW w:w="1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30"/>
        </w:trPr>
        <w:tc>
          <w:tcPr>
            <w:tcW w:w="36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(3,602)</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5,772</w:t>
            </w:r>
          </w:p>
        </w:tc>
        <w:tc>
          <w:tcPr>
            <w:tcW w:w="14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rPr>
              <w:t>(3,519)</w:t>
            </w: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rPr>
              <w:t>(9,374)</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6,728</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4,325</w:t>
            </w:r>
          </w:p>
        </w:tc>
        <w:tc>
          <w:tcPr>
            <w:tcW w:w="26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2,403</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6,531</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NM</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3"/>
          <w:szCs w:val="23"/>
          <w:b w:val="1"/>
          <w:bCs w:val="1"/>
          <w:i w:val="1"/>
          <w:iCs w:val="1"/>
          <w:color w:val="auto"/>
          <w:vertAlign w:val="superscript"/>
        </w:rPr>
        <w:t>12,14,15</w:t>
      </w:r>
      <w:r>
        <w:rPr>
          <w:rFonts w:ascii="Arial" w:cs="Arial" w:eastAsia="Arial" w:hAnsi="Arial"/>
          <w:sz w:val="18"/>
          <w:szCs w:val="18"/>
          <w:b w:val="1"/>
          <w:bCs w:val="1"/>
          <w:i w:val="1"/>
          <w:iCs w:val="1"/>
          <w:color w:val="auto"/>
        </w:rPr>
        <w:t>:</w:t>
      </w:r>
    </w:p>
    <w:p>
      <w:pPr>
        <w:spacing w:after="0" w:line="6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income was $6.7 billion, up $6.5 billion, driven by credit reserve releases compared to reserve builds in the prior year. Net revenue was $12.5 billion, down 6%.</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Consumer &amp; Business Banking net revenue was $5.6 billion, down 10%, driven by the impact of deposit margin compression, largely offset by growth in deposit balances. Home Lending net revenue was $1.5 billion, up 26%, driven by higher production revenue, partially offset by lower net interest income on lower balances. Card &amp; Auto net revenue was $5.4 billion, down 7%, driven by lower Card net interest income on lower balances, partially offset by lower Card acquisition costs and higher Card net interchange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was $7.2 billion, down 1%.</w:t>
      </w:r>
    </w:p>
    <w:p>
      <w:pPr>
        <w:spacing w:after="0" w:line="11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provision for credit losses was a net benefit of $3.6 billion, including a $4.6 billion reserve release reflecting improvements in the macroeconomic scenarios compared to a $4.5 billion reserve build in the prior year. Net charge-offs were $1.0 billion, down $290 million, driven by Card.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391795</wp:posOffset>
            </wp:positionV>
            <wp:extent cx="709803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shd w:val="clear" w:color="auto" w:fill="7397BC"/>
        </w:rPr>
        <w:t>CORPORATE &amp; INVESTMENT BANK (CIB)</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CIB</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60" w:type="dxa"/>
            <w:vAlign w:val="bottom"/>
            <w:tcBorders>
              <w:bottom w:val="single" w:sz="8" w:color="auto"/>
            </w:tcBorders>
            <w:gridSpan w:val="2"/>
            <w:shd w:val="clear" w:color="auto" w:fill="EAEAEA"/>
          </w:tcPr>
          <w:p>
            <w:pPr>
              <w:jc w:val="right"/>
              <w:ind w:right="790"/>
              <w:spacing w:after="0"/>
              <w:rPr>
                <w:sz w:val="20"/>
                <w:szCs w:val="20"/>
                <w:color w:val="auto"/>
              </w:rPr>
            </w:pPr>
            <w:r>
              <w:rPr>
                <w:rFonts w:ascii="Arial" w:cs="Arial" w:eastAsia="Arial" w:hAnsi="Arial"/>
                <w:sz w:val="18"/>
                <w:szCs w:val="18"/>
                <w:color w:val="auto"/>
              </w:rPr>
              <w:t>4Q20</w:t>
            </w:r>
          </w:p>
        </w:tc>
        <w:tc>
          <w:tcPr>
            <w:tcW w:w="20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50"/>
              <w:spacing w:after="0"/>
              <w:rPr>
                <w:sz w:val="20"/>
                <w:szCs w:val="20"/>
                <w:color w:val="auto"/>
              </w:rPr>
            </w:pPr>
            <w:r>
              <w:rPr>
                <w:rFonts w:ascii="Arial" w:cs="Arial" w:eastAsia="Arial" w:hAnsi="Arial"/>
                <w:sz w:val="18"/>
                <w:szCs w:val="18"/>
                <w:color w:val="auto"/>
              </w:rPr>
              <w:t>1Q20</w:t>
            </w:r>
          </w:p>
        </w:tc>
      </w:tr>
      <w:tr>
        <w:trPr>
          <w:trHeight w:val="223"/>
        </w:trPr>
        <w:tc>
          <w:tcPr>
            <w:tcW w:w="372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Arial" w:cs="Arial" w:eastAsia="Arial" w:hAnsi="Arial"/>
                <w:sz w:val="18"/>
                <w:szCs w:val="18"/>
                <w:color w:val="auto"/>
              </w:rPr>
              <w:t>4Q20</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Arial" w:cs="Arial" w:eastAsia="Arial" w:hAnsi="Arial"/>
                <w:sz w:val="18"/>
                <w:szCs w:val="18"/>
                <w:color w:val="auto"/>
              </w:rPr>
              <w:t>1Q20</w:t>
            </w:r>
          </w:p>
        </w:tc>
        <w:tc>
          <w:tcPr>
            <w:tcW w:w="1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190"/>
              <w:spacing w:after="0"/>
              <w:rPr>
                <w:sz w:val="20"/>
                <w:szCs w:val="20"/>
                <w:color w:val="auto"/>
              </w:rPr>
            </w:pPr>
            <w:r>
              <w:rPr>
                <w:rFonts w:ascii="Arial" w:cs="Arial" w:eastAsia="Arial" w:hAnsi="Arial"/>
                <w:sz w:val="18"/>
                <w:szCs w:val="18"/>
                <w:color w:val="auto"/>
                <w:w w:val="98"/>
              </w:rPr>
              <w:t>$ O/(U)</w:t>
            </w:r>
          </w:p>
        </w:tc>
        <w:tc>
          <w:tcPr>
            <w:tcW w:w="108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O/(U) %</w:t>
            </w:r>
          </w:p>
        </w:tc>
        <w:tc>
          <w:tcPr>
            <w:tcW w:w="20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ind w:left="60"/>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rPr>
              <w:t>O/(U) %</w:t>
            </w:r>
          </w:p>
        </w:tc>
      </w:tr>
      <w:tr>
        <w:trPr>
          <w:trHeight w:val="222"/>
        </w:trPr>
        <w:tc>
          <w:tcPr>
            <w:tcW w:w="372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14,605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11,352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3,253</w:t>
            </w:r>
          </w:p>
        </w:tc>
        <w:tc>
          <w:tcPr>
            <w:tcW w:w="1080" w:type="dxa"/>
            <w:vAlign w:val="bottom"/>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88"/>
              </w:rPr>
              <w:t>4,602</w:t>
            </w:r>
          </w:p>
        </w:tc>
        <w:tc>
          <w:tcPr>
            <w:tcW w:w="102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Banking</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4,508</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4,117</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88"/>
              </w:rPr>
              <w:t>1,858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70</w:t>
            </w: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Markets &amp; Securities Services</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10,097</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7,235</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2,862</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88"/>
              </w:rPr>
              <w:t>2,744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7,104</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4,939</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2,165</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88"/>
              </w:rPr>
              <w:t>1,149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372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1,401</w:t>
            </w:r>
          </w:p>
        </w:tc>
        <w:tc>
          <w:tcPr>
            <w:tcW w:w="1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70"/>
              <w:spacing w:after="0"/>
              <w:rPr>
                <w:sz w:val="20"/>
                <w:szCs w:val="20"/>
                <w:color w:val="auto"/>
              </w:rPr>
            </w:pPr>
            <w:r>
              <w:rPr>
                <w:rFonts w:ascii="Arial" w:cs="Arial" w:eastAsia="Arial" w:hAnsi="Arial"/>
                <w:sz w:val="18"/>
                <w:szCs w:val="18"/>
                <w:color w:val="auto"/>
              </w:rPr>
              <w:t>250</w:t>
            </w:r>
          </w:p>
        </w:tc>
        <w:tc>
          <w:tcPr>
            <w:tcW w:w="1080" w:type="dxa"/>
            <w:vAlign w:val="bottom"/>
            <w:tcBorders>
              <w:bottom w:val="single" w:sz="8" w:color="828282"/>
            </w:tcBorders>
          </w:tcPr>
          <w:p>
            <w:pPr>
              <w:jc w:val="right"/>
              <w:ind w:right="190"/>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center"/>
              <w:ind w:left="30"/>
              <w:spacing w:after="0"/>
              <w:rPr>
                <w:sz w:val="20"/>
                <w:szCs w:val="20"/>
                <w:color w:val="auto"/>
              </w:rPr>
            </w:pPr>
            <w:r>
              <w:rPr>
                <w:rFonts w:ascii="Arial" w:cs="Arial" w:eastAsia="Arial" w:hAnsi="Arial"/>
                <w:sz w:val="18"/>
                <w:szCs w:val="18"/>
                <w:color w:val="auto"/>
                <w:w w:val="91"/>
              </w:rPr>
              <w:t>(1,732)</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72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5,740</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5,349</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1,985</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28282"/>
            </w:tcBorders>
            <w:shd w:val="clear" w:color="auto" w:fill="D6E0EC"/>
          </w:tcPr>
          <w:p>
            <w:pPr>
              <w:jc w:val="right"/>
              <w:ind w:right="70"/>
              <w:spacing w:after="0"/>
              <w:rPr>
                <w:sz w:val="20"/>
                <w:szCs w:val="20"/>
                <w:color w:val="auto"/>
              </w:rPr>
            </w:pPr>
            <w:r>
              <w:rPr>
                <w:rFonts w:ascii="Arial" w:cs="Arial" w:eastAsia="Arial" w:hAnsi="Arial"/>
                <w:sz w:val="18"/>
                <w:szCs w:val="18"/>
                <w:color w:val="auto"/>
              </w:rPr>
              <w:t>391</w:t>
            </w:r>
          </w:p>
        </w:tc>
        <w:tc>
          <w:tcPr>
            <w:tcW w:w="108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7 %</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shd w:val="clear" w:color="auto" w:fill="D6E0EC"/>
          </w:tcPr>
          <w:p>
            <w:pPr>
              <w:jc w:val="center"/>
              <w:ind w:left="70"/>
              <w:spacing w:after="0"/>
              <w:rPr>
                <w:sz w:val="20"/>
                <w:szCs w:val="20"/>
                <w:color w:val="auto"/>
              </w:rPr>
            </w:pPr>
            <w:r>
              <w:rPr>
                <w:rFonts w:ascii="Arial" w:cs="Arial" w:eastAsia="Arial" w:hAnsi="Arial"/>
                <w:sz w:val="18"/>
                <w:szCs w:val="18"/>
                <w:color w:val="auto"/>
                <w:w w:val="88"/>
              </w:rPr>
              <w:t>3,755</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189 %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3"/>
          <w:szCs w:val="23"/>
          <w:b w:val="1"/>
          <w:bCs w:val="1"/>
          <w:i w:val="1"/>
          <w:iCs w:val="1"/>
          <w:color w:val="auto"/>
          <w:vertAlign w:val="superscript"/>
        </w:rPr>
        <w:t>14</w:t>
      </w:r>
      <w:r>
        <w:rPr>
          <w:rFonts w:ascii="Arial" w:cs="Arial" w:eastAsia="Arial" w:hAnsi="Arial"/>
          <w:sz w:val="18"/>
          <w:szCs w:val="18"/>
          <w:b w:val="1"/>
          <w:bCs w:val="1"/>
          <w:i w:val="1"/>
          <w:iCs w:val="1"/>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$5.7 billion, up $3.8 billion, with net revenue of $14.6 billion, up 46%.</w:t>
      </w:r>
    </w:p>
    <w:p>
      <w:pPr>
        <w:spacing w:after="0" w:line="117"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Banking revenue was $4.5 billion, up 70%. Investment Banking revenue was $2.9 billion, up $2.0 billion, driven by higher Investment Banking fees, up 57%, reflecting higher fees across products, and the absence of markdowns on held-for-sale positions in the bridge book</w:t>
      </w:r>
      <w:r>
        <w:rPr>
          <w:rFonts w:ascii="Arial" w:cs="Arial" w:eastAsia="Arial" w:hAnsi="Arial"/>
          <w:sz w:val="20"/>
          <w:szCs w:val="20"/>
          <w:color w:val="auto"/>
          <w:vertAlign w:val="superscript"/>
        </w:rPr>
        <w:t>13</w:t>
      </w:r>
      <w:r>
        <w:rPr>
          <w:rFonts w:ascii="Arial" w:cs="Arial" w:eastAsia="Arial" w:hAnsi="Arial"/>
          <w:sz w:val="16"/>
          <w:szCs w:val="16"/>
          <w:color w:val="auto"/>
        </w:rPr>
        <w:t xml:space="preserve"> recorded in the prior year. Wholesale Payments revenue was $1.4 billion, down 2%, driven by deposit margin compression, predominantly offset by the impact of higher deposit balances. Lending revenue was $265 million, down 24%, predominantly driven by mark-to-market gains on hedges of accrual loans in the prior year.</w:t>
      </w:r>
    </w:p>
    <w:p>
      <w:pPr>
        <w:spacing w:after="0" w:line="66"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Markets &amp; Securities Services revenue was $10.1 billion, up 37%. Markets revenue was $9.1 billion, up 25%. Fixed Income Markets revenue was $5.8 billion, up 15%, predominantly driven by strong performance in Securitized Products and Credit, largely offset by lower revenue in Rates and Currencies</w:t>
      </w:r>
    </w:p>
    <w:p>
      <w:pPr>
        <w:jc w:val="both"/>
        <w:ind w:right="80" w:firstLine="8"/>
        <w:spacing w:after="0" w:line="253" w:lineRule="auto"/>
        <w:tabs>
          <w:tab w:leader="none" w:pos="1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Emerging Markets against a favorable performance in the prior year. Equity Markets revenue was $3.3 billion, up 47%, driven by strong performance across products. Securities Services revenue was $1.1 billion, down 2%, with deposit margin compression largely offset by deposit balance growth. Credit Adjustments &amp; Other was a loss of $3 million, compared to a loss of $951 million in the prior year which was predominantly driven by funding spread widening on derivatives.</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Noninterest expense was $7.1 billion, up 19%, predominantly driven by higher revenue-related compensation expense partially offset by lower legal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credit losses was a net benefit of $331 million, driven by reserve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09803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COMMERCIAL BANKING (CB)</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CB</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Arial" w:cs="Arial" w:eastAsia="Arial" w:hAnsi="Arial"/>
                <w:sz w:val="18"/>
                <w:szCs w:val="18"/>
                <w:color w:val="auto"/>
              </w:rPr>
              <w:t>4Q20</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Arial" w:cs="Arial" w:eastAsia="Arial" w:hAnsi="Arial"/>
                <w:sz w:val="18"/>
                <w:szCs w:val="18"/>
                <w:color w:val="auto"/>
              </w:rPr>
              <w:t>1Q20</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Arial" w:cs="Arial" w:eastAsia="Arial" w:hAnsi="Arial"/>
                <w:sz w:val="18"/>
                <w:szCs w:val="18"/>
                <w:color w:val="auto"/>
              </w:rPr>
              <w:t>4Q20</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Arial" w:cs="Arial" w:eastAsia="Arial" w:hAnsi="Arial"/>
                <w:sz w:val="18"/>
                <w:szCs w:val="18"/>
                <w:color w:val="auto"/>
              </w:rPr>
              <w:t>1Q20</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w w:val="98"/>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w w:val="98"/>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rPr>
              <w:t>O/(U) %</w:t>
            </w:r>
          </w:p>
        </w:tc>
      </w:tr>
      <w:tr>
        <w:trPr>
          <w:trHeight w:val="222"/>
        </w:trPr>
        <w:tc>
          <w:tcPr>
            <w:tcW w:w="36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228</w:t>
            </w: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30"/>
        </w:trPr>
        <w:tc>
          <w:tcPr>
            <w:tcW w:w="36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(1,181)</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1,063</w:t>
            </w:r>
          </w:p>
        </w:tc>
        <w:tc>
          <w:tcPr>
            <w:tcW w:w="1060" w:type="dxa"/>
            <w:vAlign w:val="bottom"/>
            <w:tcBorders>
              <w:bottom w:val="single" w:sz="8" w:color="828282"/>
            </w:tcBorders>
          </w:tcPr>
          <w:p>
            <w:pPr>
              <w:jc w:val="right"/>
              <w:ind w:right="17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Arial" w:cs="Arial" w:eastAsia="Arial" w:hAnsi="Arial"/>
                <w:sz w:val="18"/>
                <w:szCs w:val="18"/>
                <w:color w:val="auto"/>
              </w:rPr>
              <w:t>(1,128)</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1,168</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2,034</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rPr>
              <w:t>(866)</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1,029</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NM</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3"/>
          <w:szCs w:val="23"/>
          <w:b w:val="1"/>
          <w:bCs w:val="1"/>
          <w:i w:val="1"/>
          <w:iCs w:val="1"/>
          <w:color w:val="auto"/>
          <w:vertAlign w:val="superscript"/>
        </w:rPr>
        <w:t>14</w:t>
      </w:r>
      <w:r>
        <w:rPr>
          <w:rFonts w:ascii="Arial" w:cs="Arial" w:eastAsia="Arial" w:hAnsi="Arial"/>
          <w:sz w:val="18"/>
          <w:szCs w:val="18"/>
          <w:b w:val="1"/>
          <w:bCs w:val="1"/>
          <w:i w:val="1"/>
          <w:iCs w:val="1"/>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$1.2 billion, up $1.0 billion, largely driven by reserve builds in the prior year.</w:t>
      </w:r>
    </w:p>
    <w:p>
      <w:pPr>
        <w:spacing w:after="0" w:line="11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Net revenue of $2.4 billion was up 11%, predominantly driven by higher deposit balances, higher lending revenue due to increased portfolio spreads, higher investment banking revenue, and the absence of markdowns on held-for-sale positions in the bridge book</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recorded in the prior year, largely offset by deposit margin compression.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was $969 million, down 2% driven by lower structural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credit losses was a net benefit of $118 million, driven by reserve releases. Net charge-offs were $29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614680</wp:posOffset>
            </wp:positionV>
            <wp:extent cx="709803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shd w:val="clear" w:color="auto" w:fill="7397BC"/>
        </w:rPr>
        <w:t>ASSET &amp; WEALTH MANAGEMENT (AWM)</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AWM</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Arial" w:cs="Arial" w:eastAsia="Arial" w:hAnsi="Arial"/>
                <w:sz w:val="18"/>
                <w:szCs w:val="18"/>
                <w:color w:val="auto"/>
              </w:rPr>
              <w:t>4Q20</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Arial" w:cs="Arial" w:eastAsia="Arial" w:hAnsi="Arial"/>
                <w:sz w:val="18"/>
                <w:szCs w:val="18"/>
                <w:color w:val="auto"/>
              </w:rPr>
              <w:t>1Q20</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Arial" w:cs="Arial" w:eastAsia="Arial" w:hAnsi="Arial"/>
                <w:sz w:val="18"/>
                <w:szCs w:val="18"/>
                <w:color w:val="auto"/>
              </w:rPr>
              <w:t>4Q20</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Arial" w:cs="Arial" w:eastAsia="Arial" w:hAnsi="Arial"/>
                <w:sz w:val="18"/>
                <w:szCs w:val="18"/>
                <w:color w:val="auto"/>
              </w:rPr>
              <w:t>1Q20</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rPr>
              <w:t>O/(U) %</w:t>
            </w:r>
          </w:p>
        </w:tc>
      </w:tr>
      <w:tr>
        <w:trPr>
          <w:trHeight w:val="222"/>
        </w:trPr>
        <w:tc>
          <w:tcPr>
            <w:tcW w:w="36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3,389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6"/>
              </w:rPr>
              <w:t>210</w:t>
            </w: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6"/>
              </w:rPr>
              <w:t>688</w:t>
            </w: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2,574</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2,756</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0"/>
              </w:rPr>
              <w:t>(182)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6"/>
              </w:rPr>
              <w:t>139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36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center"/>
              <w:ind w:left="170"/>
              <w:spacing w:after="0"/>
              <w:rPr>
                <w:sz w:val="20"/>
                <w:szCs w:val="20"/>
                <w:color w:val="auto"/>
              </w:rPr>
            </w:pPr>
            <w:r>
              <w:rPr>
                <w:rFonts w:ascii="Arial" w:cs="Arial" w:eastAsia="Arial" w:hAnsi="Arial"/>
                <w:sz w:val="18"/>
                <w:szCs w:val="18"/>
                <w:color w:val="auto"/>
                <w:w w:val="90"/>
              </w:rPr>
              <w:t>(119)</w:t>
            </w: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center"/>
              <w:ind w:left="170"/>
              <w:spacing w:after="0"/>
              <w:rPr>
                <w:sz w:val="20"/>
                <w:szCs w:val="20"/>
                <w:color w:val="auto"/>
              </w:rPr>
            </w:pPr>
            <w:r>
              <w:rPr>
                <w:rFonts w:ascii="Arial" w:cs="Arial" w:eastAsia="Arial" w:hAnsi="Arial"/>
                <w:sz w:val="18"/>
                <w:szCs w:val="18"/>
                <w:color w:val="auto"/>
                <w:w w:val="90"/>
              </w:rPr>
              <w:t>(215)</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1,244</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Arial" w:cs="Arial" w:eastAsia="Arial" w:hAnsi="Arial"/>
                <w:sz w:val="18"/>
                <w:szCs w:val="18"/>
                <w:color w:val="auto"/>
              </w:rPr>
              <w:t>786</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Arial" w:cs="Arial" w:eastAsia="Arial" w:hAnsi="Arial"/>
                <w:sz w:val="18"/>
                <w:szCs w:val="18"/>
                <w:color w:val="auto"/>
              </w:rPr>
              <w:t>669</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28282"/>
            </w:tcBorders>
            <w:shd w:val="clear" w:color="auto" w:fill="D6E0EC"/>
          </w:tcPr>
          <w:p>
            <w:pPr>
              <w:jc w:val="center"/>
              <w:ind w:left="210"/>
              <w:spacing w:after="0"/>
              <w:rPr>
                <w:sz w:val="20"/>
                <w:szCs w:val="20"/>
                <w:color w:val="auto"/>
              </w:rPr>
            </w:pPr>
            <w:r>
              <w:rPr>
                <w:rFonts w:ascii="Arial" w:cs="Arial" w:eastAsia="Arial" w:hAnsi="Arial"/>
                <w:sz w:val="18"/>
                <w:szCs w:val="18"/>
                <w:color w:val="auto"/>
                <w:w w:val="86"/>
              </w:rPr>
              <w:t>458</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shd w:val="clear" w:color="auto" w:fill="D6E0EC"/>
          </w:tcPr>
          <w:p>
            <w:pPr>
              <w:jc w:val="center"/>
              <w:ind w:left="210"/>
              <w:spacing w:after="0"/>
              <w:rPr>
                <w:sz w:val="20"/>
                <w:szCs w:val="20"/>
                <w:color w:val="auto"/>
              </w:rPr>
            </w:pPr>
            <w:r>
              <w:rPr>
                <w:rFonts w:ascii="Arial" w:cs="Arial" w:eastAsia="Arial" w:hAnsi="Arial"/>
                <w:sz w:val="18"/>
                <w:szCs w:val="18"/>
                <w:color w:val="auto"/>
                <w:w w:val="86"/>
              </w:rPr>
              <w:t>575</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86 %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3"/>
          <w:szCs w:val="23"/>
          <w:b w:val="1"/>
          <w:bCs w:val="1"/>
          <w:i w:val="1"/>
          <w:iCs w:val="1"/>
          <w:color w:val="auto"/>
          <w:vertAlign w:val="superscript"/>
        </w:rPr>
        <w:t>15</w:t>
      </w:r>
      <w:r>
        <w:rPr>
          <w:rFonts w:ascii="Arial" w:cs="Arial" w:eastAsia="Arial" w:hAnsi="Arial"/>
          <w:sz w:val="18"/>
          <w:szCs w:val="18"/>
          <w:b w:val="1"/>
          <w:bCs w:val="1"/>
          <w:i w:val="1"/>
          <w:iCs w:val="1"/>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$1.2 billion, up 86%.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 was $4.1 billion, up 20%, largely driven by higher management fees, higher deposit and loan balances, as well as net valuation gains, partially offset by deposit margin compression.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was $2.6 billion, up 6%, predominantly driven by higher volume- and revenue-related expense, partially offset by lower structural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credit losses was a net benefit of $121 million, driven by reserve releases.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under management were $2.8 trillion, up 28%, driven by higher market levels, as well as cumulative net inflows into long-term and liquidity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125730</wp:posOffset>
            </wp:positionV>
            <wp:extent cx="709803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3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CORPORATE</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Results for Corporate</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Arial" w:cs="Arial" w:eastAsia="Arial" w:hAnsi="Arial"/>
                <w:sz w:val="18"/>
                <w:szCs w:val="18"/>
                <w:color w:val="auto"/>
              </w:rPr>
              <w:t>4Q20</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Arial" w:cs="Arial" w:eastAsia="Arial" w:hAnsi="Arial"/>
                <w:sz w:val="18"/>
                <w:szCs w:val="18"/>
                <w:color w:val="auto"/>
              </w:rPr>
              <w:t>1Q20</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rPr>
              <w:t>1Q21</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Arial" w:cs="Arial" w:eastAsia="Arial" w:hAnsi="Arial"/>
                <w:sz w:val="18"/>
                <w:szCs w:val="18"/>
                <w:color w:val="auto"/>
              </w:rPr>
              <w:t>4Q20</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Arial" w:cs="Arial" w:eastAsia="Arial" w:hAnsi="Arial"/>
                <w:sz w:val="18"/>
                <w:szCs w:val="18"/>
                <w:color w:val="auto"/>
              </w:rPr>
              <w:t>1Q20</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w w:val="98"/>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Arial" w:cs="Arial" w:eastAsia="Arial" w:hAnsi="Arial"/>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Arial" w:cs="Arial" w:eastAsia="Arial" w:hAnsi="Arial"/>
                <w:sz w:val="18"/>
                <w:szCs w:val="18"/>
                <w:color w:val="auto"/>
                <w:w w:val="98"/>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rPr>
              <w:t>O/(U) %</w:t>
            </w:r>
          </w:p>
        </w:tc>
      </w:tr>
      <w:tr>
        <w:trPr>
          <w:trHeight w:val="222"/>
        </w:trPr>
        <w:tc>
          <w:tcPr>
            <w:tcW w:w="36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(639)</w:t>
            </w: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730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30"/>
        </w:trPr>
        <w:tc>
          <w:tcPr>
            <w:tcW w:w="368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58</w:t>
            </w: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828282"/>
            </w:tcBorders>
          </w:tcPr>
          <w:p>
            <w:pPr>
              <w:jc w:val="right"/>
              <w:ind w:right="130"/>
              <w:spacing w:after="0"/>
              <w:rPr>
                <w:sz w:val="20"/>
                <w:szCs w:val="20"/>
                <w:color w:val="auto"/>
              </w:rPr>
            </w:pPr>
            <w:r>
              <w:rPr>
                <w:rFonts w:ascii="Arial" w:cs="Arial" w:eastAsia="Arial" w:hAnsi="Arial"/>
                <w:sz w:val="18"/>
                <w:szCs w:val="18"/>
                <w:color w:val="auto"/>
              </w:rPr>
              <w:t>100</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Arial" w:cs="Arial" w:eastAsia="Arial" w:hAnsi="Arial"/>
                <w:sz w:val="18"/>
                <w:szCs w:val="18"/>
                <w:color w:val="auto"/>
              </w:rPr>
              <w:t>Net income/(loss)</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rPr>
              <w:t>(222)</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Arial" w:cs="Arial" w:eastAsia="Arial" w:hAnsi="Arial"/>
                <w:sz w:val="18"/>
                <w:szCs w:val="18"/>
                <w:color w:val="auto"/>
              </w:rPr>
              <w:t>(455)</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Arial" w:cs="Arial" w:eastAsia="Arial" w:hAnsi="Arial"/>
                <w:sz w:val="18"/>
                <w:szCs w:val="18"/>
                <w:color w:val="auto"/>
              </w:rPr>
              <w:t>(364)%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loss was $580 million, compared with a net loss of $125 million in the prior year. The current quarter included a tax benefit that reflects the impact of the Firm’s estimated full-year expected tax rate relative to the level of year-to-date pretax income.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revenue was a loss of $473 million compared with revenue of $166 million in the prior year. Net interest income was down $690 million predominantly driven by lower rates, as well as limited opportunities to deploy funds in response to continued deposit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was $876 million, up $730 million primarily due to a higher contribution to the Firm’s Foundation.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Notes on non-GAAP financial measures:</w:t>
      </w:r>
    </w:p>
    <w:p>
      <w:pPr>
        <w:spacing w:after="0" w:line="364" w:lineRule="exact"/>
        <w:rPr>
          <w:sz w:val="20"/>
          <w:szCs w:val="20"/>
          <w:color w:val="auto"/>
        </w:rPr>
      </w:pPr>
    </w:p>
    <w:p>
      <w:pPr>
        <w:jc w:val="both"/>
        <w:ind w:left="340" w:hanging="332"/>
        <w:spacing w:after="0" w:line="269" w:lineRule="auto"/>
        <w:tabs>
          <w:tab w:leader="none" w:pos="3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 For a reconciliation of the Firm’s results from a reported to managed basis, see page 7 of the Earnings Release Financial Supplement.</w:t>
      </w:r>
    </w:p>
    <w:p>
      <w:pPr>
        <w:spacing w:after="0" w:line="205" w:lineRule="exact"/>
        <w:rPr>
          <w:rFonts w:ascii="Arial" w:cs="Arial" w:eastAsia="Arial" w:hAnsi="Arial"/>
          <w:sz w:val="17"/>
          <w:szCs w:val="17"/>
          <w:color w:val="auto"/>
        </w:rPr>
      </w:pPr>
    </w:p>
    <w:p>
      <w:pPr>
        <w:jc w:val="both"/>
        <w:ind w:left="340" w:hanging="332"/>
        <w:spacing w:after="0" w:line="272"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see page 9 of the Earnings Release Financial Supplement. ROTCE measures the Firm’s net income applicable to common equity as a percentage of average TCE. TBVPS represents the Firm’s TCE at period-end divided by common shares at period-end. Book value per share was $82.31, $81.75 and $75.88 at March 31, 2021, December 31, 2020, and March 31, 2020, respectively. TCE, ROTCE, and TBVPS are utilized by the Firm, as well as investors and analysts, in assessing the Firm’s use of equity.</w:t>
      </w:r>
    </w:p>
    <w:p>
      <w:pPr>
        <w:spacing w:after="0" w:line="204" w:lineRule="exact"/>
        <w:rPr>
          <w:rFonts w:ascii="Arial" w:cs="Arial" w:eastAsia="Arial" w:hAnsi="Arial"/>
          <w:sz w:val="17"/>
          <w:szCs w:val="17"/>
          <w:color w:val="auto"/>
        </w:rPr>
      </w:pPr>
    </w:p>
    <w:p>
      <w:pPr>
        <w:jc w:val="both"/>
        <w:ind w:left="340" w:hanging="332"/>
        <w:spacing w:after="0" w:line="296" w:lineRule="auto"/>
        <w:tabs>
          <w:tab w:leader="none" w:pos="3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First-quarter 2021 net income, earnings per share and ROTCE excluding credit reserve releases and the contribution to the Firm’s Foundation (collectively, “significant items”) are non-GAAP financial measures. The credit reserve releases represent the portion of the provision for credit losses attributable to the change in allowance for credit losses. Excluding these significant items resulted in a decrease of $3.7 billion (after tax) to reported net income from $14.3 billion to $10.6 billion; a decrease of $1.19 per share to reported EPS from $4.50 to $3.31; and a decrease of 8% to ROTCE from 29% to 21%. Management believes these measures provide useful information to investors and analysts in assessing the Firm’s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364" w:lineRule="exact"/>
        <w:rPr>
          <w:sz w:val="20"/>
          <w:szCs w:val="20"/>
          <w:color w:val="auto"/>
        </w:rPr>
      </w:pPr>
    </w:p>
    <w:p>
      <w:pPr>
        <w:ind w:left="340" w:hanging="332"/>
        <w:spacing w:after="0" w:line="255"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Reflects the relief provided by the Federal Reserve Board (the “Federal Reserve”) in response to the COVID-19 pandemic, including the CECL capital transition provisions that became effective in the first quarter of 2020. For the period ended March 31, 2021, the impact of the CECL capital transition provisions resulted in an increase to CET1 capital of $4.5 billion. The Firm SLR of 6.7% reflects the temporary exclusions of U.S. Treasury securities and deposits at Federal Reserve Banks, which became effective April 1, 2020 and remained in effect through March 31, 2021. Refer to Regulatory Developments Relating to the COVID-19 Pandemic on pages 52-53 and Capital Risk Management on pages 91-101 of the Firm’s 2020 Form 10-K for additional information.</w:t>
      </w:r>
    </w:p>
    <w:p>
      <w:pPr>
        <w:spacing w:after="0" w:line="84"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Last twelve months (“LTM”).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net impact of employee issuances.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third quarter of 2020, the Firm reclassified certain fair value option elected lending-related positions from trading assets to loans. Prior-period amounts have been revised to conform with the current presentation.</w:t>
      </w:r>
    </w:p>
    <w:p>
      <w:pPr>
        <w:spacing w:after="0" w:line="62" w:lineRule="exact"/>
        <w:rPr>
          <w:rFonts w:ascii="Arial" w:cs="Arial" w:eastAsia="Arial" w:hAnsi="Arial"/>
          <w:sz w:val="18"/>
          <w:szCs w:val="18"/>
          <w:color w:val="auto"/>
        </w:rPr>
      </w:pPr>
    </w:p>
    <w:p>
      <w:pPr>
        <w:ind w:left="340" w:right="60" w:hanging="332"/>
        <w:spacing w:after="0" w:line="279"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Estimated. High-quality liquid assets (“HQLA”) and unencumbered marketable securities, includes the Firm’s average eligible HQLA, other end-of-period HQLA-eligible securities which are included as part of the excess liquidity at JPMorgan Chase Bank, N.A. that are not transferable to non-bank affiliates and thus excluded from the Firm’s liquidity coverage ratio (“LCR”) under the LCR rule, and other end-of-period unencumbered marketable securities, such as equity and debt securities. Does not include borrowing capacity at Federal Home Loan Banks and the discount window at the Federal Reserve Bank. Refer to Liquidity Risk Management on pages 102-108 of the Firm’s 2020 Form 10-K for additional information.</w:t>
      </w:r>
    </w:p>
    <w:p>
      <w:pPr>
        <w:spacing w:after="0" w:line="186"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Commercial Card.</w:t>
      </w:r>
    </w:p>
    <w:p>
      <w:pPr>
        <w:spacing w:after="0" w:line="117" w:lineRule="exact"/>
        <w:rPr>
          <w:rFonts w:ascii="Arial" w:cs="Arial" w:eastAsia="Arial" w:hAnsi="Arial"/>
          <w:sz w:val="18"/>
          <w:szCs w:val="18"/>
          <w:color w:val="auto"/>
        </w:rPr>
      </w:pPr>
    </w:p>
    <w:p>
      <w:pPr>
        <w:ind w:left="340" w:right="260" w:hanging="332"/>
        <w:spacing w:after="0" w:line="24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December 18, 2020, the Federal Reserve announced that all large banks, including the Firm, could resume share repurchases commencing in the first quarter of 2021, subject to certain restrictions; the restrictions were extended until at least the second quarter of 2021. Refer to page 10 of the Earnings Release Financial Supplement for further information.</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provided to clients represents new and renewed credit, including loans and commitments.</w:t>
      </w:r>
    </w:p>
    <w:p>
      <w:pPr>
        <w:spacing w:after="0" w:line="117" w:lineRule="exact"/>
        <w:rPr>
          <w:rFonts w:ascii="Arial" w:cs="Arial" w:eastAsia="Arial" w:hAnsi="Arial"/>
          <w:sz w:val="18"/>
          <w:szCs w:val="18"/>
          <w:color w:val="auto"/>
        </w:rPr>
      </w:pPr>
    </w:p>
    <w:p>
      <w:pPr>
        <w:jc w:val="both"/>
        <w:ind w:left="340" w:hanging="332"/>
        <w:spacing w:after="0" w:line="257"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first quarter of 2021, the Firm reclassified certain deferred investment tax credits from accounts payable and other liabilities to other assets to be a reduction to the carrying value of certain tax-oriented investments. The reclassification also resulted in an increase in income tax expense and a corresponding increase in other income, with no effect on net income. Prior-period amounts have been revised to conform with the current presentation, including the Firm’s effective income tax rate. The reclassification did not change the Firm’s results of operations on a managed basis. Refer to page 2 of the Earnings Release Financial Supplement for further information.</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bridge book consisted of certain held-for-sale positions, including unfunded commitments, in CIB and CB</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7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JPMorgan Chase &amp; Co. (NYSE: JPM) is a leading global financial services firm with assets of $3.7 trillion and operations worldwide. The Firm is a leader in investment banking, financial services for consumers and small businesses, commercial banking, financial transaction processing, and asset management. A component of the Dow Jones Industrial Average, JPMorgan Chase &amp; Co. serves millions of customers in the United States and many of the world’s most prominent corporate, institutional and government clients under its J.P. Morgan and Chase brands. Information about JPMorgan Chase &amp; Co. is available at </w:t>
      </w:r>
      <w:r>
        <w:rPr>
          <w:rFonts w:ascii="Arial" w:cs="Arial" w:eastAsia="Arial" w:hAnsi="Arial"/>
          <w:sz w:val="18"/>
          <w:szCs w:val="18"/>
          <w:color w:val="4F81BD"/>
        </w:rPr>
        <w:t>www.jpmorganchase.com</w:t>
      </w:r>
      <w:r>
        <w:rPr>
          <w:rFonts w:ascii="Arial" w:cs="Arial" w:eastAsia="Arial" w:hAnsi="Arial"/>
          <w:sz w:val="18"/>
          <w:szCs w:val="18"/>
          <w:color w:val="auto"/>
        </w:rPr>
        <w: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JPMorgan Chase &amp; Co. will host a conference call today, April 14, 2021, at 8:30 a.m. (Eastern) to present first quarter 2021 financial results. The general public can access the call by dialing (866) 541-2724 in the U.S. and Canada, or (706) 634-7246 for international participants. Please dial in 10 minutes prior to the start of the call. The live audio webcast and presentation slides will be available on the Firm’s website, </w:t>
      </w:r>
      <w:r>
        <w:rPr>
          <w:rFonts w:ascii="Arial" w:cs="Arial" w:eastAsia="Arial" w:hAnsi="Arial"/>
          <w:sz w:val="18"/>
          <w:szCs w:val="18"/>
          <w:color w:val="4F81BD"/>
        </w:rPr>
        <w:t>www.jpmorganchase.com</w:t>
      </w:r>
      <w:r>
        <w:rPr>
          <w:rFonts w:ascii="Arial" w:cs="Arial" w:eastAsia="Arial" w:hAnsi="Arial"/>
          <w:sz w:val="18"/>
          <w:szCs w:val="18"/>
          <w:color w:val="auto"/>
        </w:rPr>
        <w:t>, under Investor Relations, Events &amp; Presentations.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 replay of the conference call will be available beginning at approximately 12:30 p.m. on April 14, 2021, through midnight, April 28, 2021, by telephone at (855) 859-2056 (U.S. and Canada) or (404) 537-3406 (international); use Conference ID # 7238068. The replay will also be available via webcast on </w:t>
      </w:r>
      <w:r>
        <w:rPr>
          <w:rFonts w:ascii="Arial" w:cs="Arial" w:eastAsia="Arial" w:hAnsi="Arial"/>
          <w:sz w:val="17"/>
          <w:szCs w:val="17"/>
          <w:color w:val="4F81BD"/>
        </w:rPr>
        <w:t xml:space="preserve">www.jpmorganchase.com </w:t>
      </w:r>
      <w:r>
        <w:rPr>
          <w:rFonts w:ascii="Arial" w:cs="Arial" w:eastAsia="Arial" w:hAnsi="Arial"/>
          <w:sz w:val="17"/>
          <w:szCs w:val="17"/>
          <w:color w:val="000000"/>
        </w:rPr>
        <w:t>under Investor Relations, Events &amp; Presentations. Additional detailed financial, statistical and business-related information is</w:t>
      </w:r>
      <w:r>
        <w:rPr>
          <w:rFonts w:ascii="Arial" w:cs="Arial" w:eastAsia="Arial" w:hAnsi="Arial"/>
          <w:sz w:val="17"/>
          <w:szCs w:val="17"/>
          <w:color w:val="4F81BD"/>
        </w:rPr>
        <w:t xml:space="preserve"> </w:t>
      </w:r>
      <w:r>
        <w:rPr>
          <w:rFonts w:ascii="Arial" w:cs="Arial" w:eastAsia="Arial" w:hAnsi="Arial"/>
          <w:sz w:val="17"/>
          <w:szCs w:val="17"/>
          <w:color w:val="000000"/>
        </w:rPr>
        <w:t xml:space="preserve">included in a financial supplement. The earnings release and the financial supplement are available at </w:t>
      </w:r>
      <w:r>
        <w:rPr>
          <w:rFonts w:ascii="Arial" w:cs="Arial" w:eastAsia="Arial" w:hAnsi="Arial"/>
          <w:sz w:val="17"/>
          <w:szCs w:val="17"/>
          <w:color w:val="4F81BD"/>
        </w:rPr>
        <w:t>www.jpmorganchase.com</w:t>
      </w:r>
      <w:r>
        <w:rPr>
          <w:rFonts w:ascii="Arial" w:cs="Arial" w:eastAsia="Arial" w:hAnsi="Arial"/>
          <w:sz w:val="17"/>
          <w:szCs w:val="17"/>
          <w:color w:val="000000"/>
        </w:rPr>
        <w:t>.</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2020 which has been filed with the Securities and Exchange Commission and is available on JPMorgan Chase &amp; Co.’s website (</w:t>
      </w:r>
      <w:r>
        <w:rPr>
          <w:rFonts w:ascii="Arial" w:cs="Arial" w:eastAsia="Arial" w:hAnsi="Arial"/>
          <w:sz w:val="17"/>
          <w:szCs w:val="17"/>
          <w:i w:val="1"/>
          <w:iCs w:val="1"/>
          <w:color w:val="006EBF"/>
        </w:rPr>
        <w:t>https://jpmorganchaseco.gcs-web.com/financial-information/sec-filings</w:t>
      </w:r>
      <w:r>
        <w:rPr>
          <w:rFonts w:ascii="Arial" w:cs="Arial" w:eastAsia="Arial" w:hAnsi="Arial"/>
          <w:sz w:val="17"/>
          <w:szCs w:val="17"/>
          <w:i w:val="1"/>
          <w:iCs w:val="1"/>
          <w:color w:val="auto"/>
        </w:rPr>
        <w:t>), and on the Securities and Exchange Commission’s website (</w:t>
      </w:r>
      <w:r>
        <w:rPr>
          <w:rFonts w:ascii="Arial" w:cs="Arial" w:eastAsia="Arial" w:hAnsi="Arial"/>
          <w:sz w:val="17"/>
          <w:szCs w:val="17"/>
          <w:i w:val="1"/>
          <w:iCs w:val="1"/>
          <w:color w:val="006EBF"/>
        </w:rPr>
        <w:t>www.sec.gov</w:t>
      </w:r>
      <w:r>
        <w:rPr>
          <w:rFonts w:ascii="Arial" w:cs="Arial" w:eastAsia="Arial" w:hAnsi="Arial"/>
          <w:sz w:val="17"/>
          <w:szCs w:val="17"/>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979170</wp:posOffset>
            </wp:positionV>
            <wp:extent cx="5734685"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46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20"/>
        <w:spacing w:after="0" w:line="389" w:lineRule="auto"/>
        <w:rPr>
          <w:sz w:val="20"/>
          <w:szCs w:val="20"/>
          <w:color w:val="auto"/>
        </w:rPr>
      </w:pPr>
      <w:r>
        <w:rPr>
          <w:rFonts w:ascii="Arial" w:cs="Arial" w:eastAsia="Arial" w:hAnsi="Arial"/>
          <w:sz w:val="47"/>
          <w:szCs w:val="47"/>
          <w:b w:val="1"/>
          <w:bCs w:val="1"/>
          <w:color w:val="auto"/>
        </w:rPr>
        <w:t>EARNINGS RELEASE FINANCIAL SUPPLEMENT FIRST QUARTER 2021</w:t>
      </w:r>
    </w:p>
    <w:p>
      <w:pPr>
        <w:sectPr>
          <w:pgSz w:w="11900" w:h="16838" w:orient="portrait"/>
          <w:cols w:equalWidth="0" w:num="1">
            <w:col w:w="11000"/>
          </w:cols>
          <w:pgMar w:left="560" w:top="1013" w:right="339" w:bottom="1440" w:gutter="0" w:footer="0" w:header="0"/>
        </w:sectPr>
      </w:pPr>
    </w:p>
    <w:bookmarkStart w:id="12" w:name="page13"/>
    <w:bookmarkEnd w:id="12"/>
    <w:p>
      <w:pPr>
        <w:ind w:left="1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4631690</wp:posOffset>
            </wp:positionH>
            <wp:positionV relativeFrom="page">
              <wp:posOffset>423545</wp:posOffset>
            </wp:positionV>
            <wp:extent cx="23742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171450"/>
                    </a:xfrm>
                    <a:prstGeom prst="rect">
                      <a:avLst/>
                    </a:prstGeom>
                    <a:noFill/>
                  </pic:spPr>
                </pic:pic>
              </a:graphicData>
            </a:graphic>
          </wp:anchor>
        </w:drawing>
        <w:t>JPMORGAN CHASE &amp; CO.</w:t>
      </w:r>
    </w:p>
    <w:p>
      <w:pPr>
        <w:spacing w:after="0" w:line="31"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TABLE OF CONTENTS</w:t>
      </w:r>
    </w:p>
    <w:p>
      <w:pPr>
        <w:spacing w:after="0" w:line="211" w:lineRule="exact"/>
        <w:rPr>
          <w:sz w:val="20"/>
          <w:szCs w:val="20"/>
          <w:color w:val="auto"/>
        </w:rPr>
      </w:pPr>
    </w:p>
    <w:tbl>
      <w:tblPr>
        <w:tblLayout w:type="fixed"/>
        <w:tblInd w:w="12" w:type="dxa"/>
        <w:tblCellMar>
          <w:top w:w="0" w:type="dxa"/>
          <w:left w:w="0" w:type="dxa"/>
          <w:bottom w:w="0" w:type="dxa"/>
          <w:right w:w="0" w:type="dxa"/>
        </w:tblCellMar>
      </w:tblPr>
      <w:tr>
        <w:trPr>
          <w:trHeight w:val="261"/>
        </w:trPr>
        <w:tc>
          <w:tcPr>
            <w:tcW w:w="760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Results</w:t>
            </w:r>
          </w:p>
        </w:tc>
        <w:tc>
          <w:tcPr>
            <w:tcW w:w="3040" w:type="dxa"/>
            <w:vAlign w:val="bottom"/>
          </w:tcPr>
          <w:p>
            <w:pPr>
              <w:ind w:left="2340"/>
              <w:spacing w:after="0"/>
              <w:rPr>
                <w:sz w:val="20"/>
                <w:szCs w:val="20"/>
                <w:color w:val="auto"/>
              </w:rPr>
            </w:pPr>
            <w:r>
              <w:rPr>
                <w:rFonts w:ascii="Arial" w:cs="Arial" w:eastAsia="Arial" w:hAnsi="Arial"/>
                <w:sz w:val="20"/>
                <w:szCs w:val="20"/>
                <w:b w:val="1"/>
                <w:bCs w:val="1"/>
                <w:color w:val="auto"/>
                <w:w w:val="94"/>
              </w:rPr>
              <w:t>Page(s)</w:t>
            </w:r>
          </w:p>
        </w:tc>
        <w:tc>
          <w:tcPr>
            <w:tcW w:w="0" w:type="dxa"/>
            <w:vAlign w:val="bottom"/>
          </w:tcPr>
          <w:p>
            <w:pPr>
              <w:spacing w:after="0"/>
              <w:rPr>
                <w:sz w:val="1"/>
                <w:szCs w:val="1"/>
                <w:color w:val="auto"/>
              </w:rPr>
            </w:pPr>
          </w:p>
        </w:tc>
      </w:tr>
      <w:tr>
        <w:trPr>
          <w:trHeight w:val="243"/>
        </w:trPr>
        <w:tc>
          <w:tcPr>
            <w:tcW w:w="7600" w:type="dxa"/>
            <w:vAlign w:val="bottom"/>
            <w:vMerge w:val="continue"/>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Consolidated Financial Highlights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Consolidated Statements of Income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Condensed Average Balance Sheets and Annualized Yields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Reconciliation from Reported to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Segment Results -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Capital and Other Selected Balance Sheet Items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Earnings Per Share and 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Arial" w:cs="Arial" w:eastAsia="Arial" w:hAnsi="Arial"/>
                <w:sz w:val="20"/>
                <w:szCs w:val="20"/>
                <w:b w:val="1"/>
                <w:bCs w:val="1"/>
                <w:color w:val="auto"/>
              </w:rPr>
              <w:t>Business Segment Results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Consumer &amp; Community Banking (“CCB”)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11–14</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Corporate &amp; Investment Bank (“CIB”)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15–17</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Commercial Banking (“CB”)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18–19</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Asset &amp; Wealth Management (“AWM”)</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20–22</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Corporate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23</w:t>
            </w: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Arial" w:cs="Arial" w:eastAsia="Arial" w:hAnsi="Arial"/>
                <w:sz w:val="20"/>
                <w:szCs w:val="20"/>
                <w:color w:val="auto"/>
              </w:rPr>
              <w:t>Credit-Related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24–27</w:t>
            </w: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Arial" w:cs="Arial" w:eastAsia="Arial" w:hAnsi="Arial"/>
                <w:sz w:val="20"/>
                <w:szCs w:val="20"/>
                <w:color w:val="auto"/>
              </w:rPr>
              <w:t>Non-GAAP Financial Measures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28</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20"/>
                <w:szCs w:val="20"/>
                <w:color w:val="auto"/>
              </w:rPr>
              <w:t>Glossary of Terms and Acronyms (a)</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32" w:hanging="332"/>
        <w:spacing w:after="0" w:line="258"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305–311 of JPMorgan Chase &amp; Co.’s (the “Firm’s”) Annual Report on Form 10-K for the year ended December 31, 2020 (the “2020 Form 10-K”).</w:t>
      </w:r>
    </w:p>
    <w:p>
      <w:pPr>
        <w:sectPr>
          <w:pgSz w:w="11900" w:h="16838" w:orient="portrait"/>
          <w:cols w:equalWidth="0" w:num="1">
            <w:col w:w="11172"/>
          </w:cols>
          <w:pgMar w:left="328" w:top="773" w:right="39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15240</wp:posOffset>
            </wp:positionV>
            <wp:extent cx="229743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w:t>
      </w:r>
    </w:p>
    <w:p>
      <w:pPr>
        <w:ind w:left="20"/>
        <w:spacing w:after="0"/>
        <w:rPr>
          <w:sz w:val="20"/>
          <w:szCs w:val="20"/>
          <w:color w:val="auto"/>
        </w:rPr>
      </w:pPr>
      <w:r>
        <w:rPr>
          <w:rFonts w:ascii="Arial" w:cs="Arial" w:eastAsia="Arial" w:hAnsi="Arial"/>
          <w:sz w:val="14"/>
          <w:szCs w:val="14"/>
          <w:b w:val="1"/>
          <w:bCs w:val="1"/>
          <w:color w:val="auto"/>
        </w:rPr>
        <w:t>FINANCIAL HIGHLIGHTS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5"/>
          </w:tcPr>
          <w:p>
            <w:pPr>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gridSpan w:val="8"/>
            <w:vMerge w:val="restart"/>
          </w:tcPr>
          <w:p>
            <w:pPr>
              <w:spacing w:after="0"/>
              <w:rPr>
                <w:sz w:val="20"/>
                <w:szCs w:val="20"/>
                <w:color w:val="auto"/>
              </w:rPr>
            </w:pPr>
            <w:r>
              <w:rPr>
                <w:rFonts w:ascii="Arial" w:cs="Arial" w:eastAsia="Arial" w:hAnsi="Arial"/>
                <w:sz w:val="11"/>
                <w:szCs w:val="11"/>
                <w:b w:val="1"/>
                <w:bCs w:val="1"/>
                <w:color w:val="auto"/>
              </w:rPr>
              <w:t>SELECTED INCOME STATEMENT</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190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1Q21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4Q20</w:t>
            </w:r>
          </w:p>
        </w:tc>
        <w:tc>
          <w:tcPr>
            <w:tcW w:w="120" w:type="dxa"/>
            <w:vAlign w:val="bottom"/>
          </w:tcPr>
          <w:p>
            <w:pPr>
              <w:spacing w:after="0"/>
              <w:rPr>
                <w:sz w:val="8"/>
                <w:szCs w:val="8"/>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3Q20</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rPr>
                <w:sz w:val="8"/>
                <w:szCs w:val="8"/>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1Q20</w:t>
            </w:r>
          </w:p>
        </w:tc>
        <w:tc>
          <w:tcPr>
            <w:tcW w:w="8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720" w:type="dxa"/>
            <w:vAlign w:val="bottom"/>
            <w:tcBorders>
              <w:top w:val="single" w:sz="8" w:color="auto"/>
            </w:tcBorders>
            <w:gridSpan w:val="7"/>
          </w:tcPr>
          <w:p>
            <w:pPr>
              <w:spacing w:after="0" w:line="88" w:lineRule="exact"/>
              <w:rPr>
                <w:sz w:val="20"/>
                <w:szCs w:val="20"/>
                <w:color w:val="auto"/>
              </w:rPr>
            </w:pPr>
            <w:r>
              <w:rPr>
                <w:rFonts w:ascii="Arial" w:cs="Arial" w:eastAsia="Arial" w:hAnsi="Arial"/>
                <w:sz w:val="10"/>
                <w:szCs w:val="10"/>
                <w:b w:val="1"/>
                <w:bCs w:val="1"/>
                <w:color w:val="auto"/>
              </w:rPr>
              <w:t>DATA</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00" w:type="dxa"/>
            <w:vAlign w:val="bottom"/>
            <w:gridSpan w:val="8"/>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90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Total net revenue (a)(b)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32,266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29,335</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29,255</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33,075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28,286</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10 %</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Total noninterest expense (b)</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18,725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16,048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16,875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16,942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16,791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Pre-provision profit (c)</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13,541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13,287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12,380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16,133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11,495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(4,156)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10,473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8,285</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12,136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9,443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4,687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2,865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gridSpan w:val="8"/>
          </w:tcPr>
          <w:p>
            <w:pPr>
              <w:spacing w:after="0"/>
              <w:rPr>
                <w:sz w:val="20"/>
                <w:szCs w:val="20"/>
                <w:color w:val="auto"/>
              </w:rPr>
            </w:pPr>
            <w:r>
              <w:rPr>
                <w:rFonts w:ascii="Arial" w:cs="Arial" w:eastAsia="Arial" w:hAnsi="Arial"/>
                <w:sz w:val="11"/>
                <w:szCs w:val="11"/>
                <w:b w:val="1"/>
                <w:bCs w:val="1"/>
                <w:color w:val="auto"/>
              </w:rPr>
              <w:t>Managed Basis (d)</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Total net revenue (b)</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33,119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30,161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29,941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33,817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29,010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Total noninterest expense (b)</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18,725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16,048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16,875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16,942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16,791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Pre-provision profit (c)</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14,113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13,066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16,875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12,219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(4,156)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10,473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8,285</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12,136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9,443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4,687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2,865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00" w:type="dxa"/>
            <w:vAlign w:val="bottom"/>
            <w:gridSpan w:val="8"/>
          </w:tcPr>
          <w:p>
            <w:pPr>
              <w:spacing w:after="0"/>
              <w:rPr>
                <w:sz w:val="20"/>
                <w:szCs w:val="20"/>
                <w:color w:val="auto"/>
              </w:rPr>
            </w:pPr>
            <w:r>
              <w:rPr>
                <w:rFonts w:ascii="Arial" w:cs="Arial" w:eastAsia="Arial" w:hAnsi="Arial"/>
                <w:sz w:val="11"/>
                <w:szCs w:val="11"/>
                <w:b w:val="1"/>
                <w:bCs w:val="1"/>
                <w:color w:val="auto"/>
              </w:rPr>
              <w:t>EARNINGS PER SHARE DATA</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4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Net income: Basic</w:t>
            </w:r>
          </w:p>
        </w:tc>
        <w:tc>
          <w:tcPr>
            <w:tcW w:w="36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0.79</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Arial" w:cs="Arial" w:eastAsia="Arial" w:hAnsi="Arial"/>
                <w:sz w:val="11"/>
                <w:szCs w:val="11"/>
                <w:color w:val="auto"/>
              </w:rPr>
              <w:t>Diluted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0.78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Average shares: Basic</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3,073.5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3,079.7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3,077.8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3,095.8</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Arial" w:cs="Arial" w:eastAsia="Arial" w:hAnsi="Arial"/>
                <w:sz w:val="11"/>
                <w:szCs w:val="11"/>
                <w:color w:val="auto"/>
              </w:rPr>
              <w:t>Diluted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3,078.9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3,085.1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3,082.8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3,081.0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3,100.7</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00" w:type="dxa"/>
            <w:vAlign w:val="bottom"/>
            <w:gridSpan w:val="8"/>
          </w:tcPr>
          <w:p>
            <w:pPr>
              <w:spacing w:after="0"/>
              <w:rPr>
                <w:sz w:val="20"/>
                <w:szCs w:val="20"/>
                <w:color w:val="auto"/>
              </w:rPr>
            </w:pPr>
            <w:r>
              <w:rPr>
                <w:rFonts w:ascii="Arial" w:cs="Arial" w:eastAsia="Arial" w:hAnsi="Arial"/>
                <w:sz w:val="11"/>
                <w:szCs w:val="11"/>
                <w:b w:val="1"/>
                <w:bCs w:val="1"/>
                <w:color w:val="auto"/>
              </w:rPr>
              <w:t>MARKET AND PER COMMON</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SHARE DATA</w:t>
            </w:r>
          </w:p>
        </w:tc>
        <w:tc>
          <w:tcPr>
            <w:tcW w:w="820" w:type="dxa"/>
            <w:vAlign w:val="bottom"/>
            <w:tcBorders>
              <w:top w:val="single" w:sz="8" w:color="auto"/>
            </w:tcBorders>
            <w:gridSpan w:val="3"/>
          </w:tcPr>
          <w:p>
            <w:pPr>
              <w:spacing w:after="0"/>
              <w:rPr>
                <w:sz w:val="7"/>
                <w:szCs w:val="7"/>
                <w:color w:val="auto"/>
              </w:rPr>
            </w:pPr>
          </w:p>
        </w:tc>
        <w:tc>
          <w:tcPr>
            <w:tcW w:w="380" w:type="dxa"/>
            <w:vAlign w:val="bottom"/>
            <w:gridSpan w:val="3"/>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Market capitalization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460,820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387,492</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293,451</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286,658</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274,323</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Common shares at period-end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3,027.1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3,049.4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3,048.2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3,047.6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3,047.0</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Book value per share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82.31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81.75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79.08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76.91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75.88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Tangible book value per share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(“TBVPS”) (c)</w:t>
            </w:r>
          </w:p>
        </w:tc>
        <w:tc>
          <w:tcPr>
            <w:tcW w:w="12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66.56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66.11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63.93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61.76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60.71</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0.90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FINANCIAL RATIOS (e)</w:t>
            </w:r>
          </w:p>
        </w:tc>
        <w:tc>
          <w:tcPr>
            <w:tcW w:w="72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Return on common equity (“ROE”)</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4 %</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Return on tangible common equity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(“ROTCE”) (c)</w:t>
            </w:r>
          </w:p>
        </w:tc>
        <w:tc>
          <w:tcPr>
            <w:tcW w:w="12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Return on assets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0.40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5"/>
              </w:rPr>
              <w:t>CAPITAL RATIOS (f)</w:t>
            </w:r>
          </w:p>
        </w:tc>
        <w:tc>
          <w:tcPr>
            <w:tcW w:w="86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w w:val="99"/>
              </w:rPr>
              <w:t>Common equity Tier 1 (“CET1”) capital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ratio</w:t>
            </w:r>
          </w:p>
        </w:tc>
        <w:tc>
          <w:tcPr>
            <w:tcW w:w="120" w:type="dxa"/>
            <w:vAlign w:val="bottom"/>
          </w:tcPr>
          <w:p>
            <w:pPr>
              <w:spacing w:after="0"/>
              <w:rPr>
                <w:sz w:val="11"/>
                <w:szCs w:val="11"/>
                <w:color w:val="auto"/>
              </w:rPr>
            </w:pP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13.1 % (g)</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13.1 %</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12.4 %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11.5 %</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Tier 1 capital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13.3</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Total capital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Tier 1 leverage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6.7</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8"/>
          </w:tcPr>
          <w:p>
            <w:pPr>
              <w:spacing w:after="0"/>
              <w:rPr>
                <w:sz w:val="20"/>
                <w:szCs w:val="20"/>
                <w:color w:val="auto"/>
              </w:rPr>
            </w:pPr>
            <w:r>
              <w:rPr>
                <w:rFonts w:ascii="Arial" w:cs="Arial" w:eastAsia="Arial" w:hAnsi="Arial"/>
                <w:sz w:val="11"/>
                <w:szCs w:val="11"/>
                <w:color w:val="auto"/>
              </w:rPr>
              <w:t>Supplementary leverage ratio (“SLR”)</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6.7</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40" w:right="180" w:hanging="332"/>
        <w:spacing w:after="0" w:line="230" w:lineRule="auto"/>
        <w:tabs>
          <w:tab w:leader="none" w:pos="337"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from accounts payable and other liabilities to other assets to be a reduction to the carrying value of certain tax-oriented investments. The reclassification also resulted in an increase in income tax expense and a corresponding increase in other income, with no effect on net income. Prior-period amounts have been revised to conform with the current presentation, including the Firm’s effective income tax rate. The reclassification did not change the Firm’s results of operations on a managed basis.</w:t>
      </w:r>
    </w:p>
    <w:p>
      <w:pPr>
        <w:ind w:left="340" w:right="20" w:hanging="332"/>
        <w:spacing w:after="0" w:line="230" w:lineRule="auto"/>
        <w:tabs>
          <w:tab w:leader="none" w:pos="337"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ind w:left="340" w:right="260" w:hanging="332"/>
        <w:spacing w:after="0" w:line="230" w:lineRule="auto"/>
        <w:tabs>
          <w:tab w:leader="none" w:pos="331" w:val="left"/>
        </w:tabs>
        <w:numPr>
          <w:ilvl w:val="0"/>
          <w:numId w:val="15"/>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9 for a reconciliation of common stockholders’ equity to TCE. Refer to page 28 for a further discussion of these measures.</w:t>
      </w:r>
    </w:p>
    <w:p>
      <w:pPr>
        <w:ind w:left="320" w:hanging="312"/>
        <w:spacing w:after="0" w:line="230" w:lineRule="auto"/>
        <w:tabs>
          <w:tab w:leader="none" w:pos="3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320" w:hanging="312"/>
        <w:spacing w:after="0" w:line="230" w:lineRule="auto"/>
        <w:tabs>
          <w:tab w:leader="none" w:pos="3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Quarterly ratios are based upon annualized amounts.</w:t>
      </w:r>
    </w:p>
    <w:p>
      <w:pPr>
        <w:ind w:left="340" w:right="20" w:hanging="332"/>
        <w:spacing w:after="0" w:line="230" w:lineRule="auto"/>
        <w:tabs>
          <w:tab w:leader="none" w:pos="334"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capital metrics reflect the relief provided by the Federal Reserve Board (the “Federal Reserve”) in response to the COVID-19 pandemic, including the CECL capital transition provisions that became effective in the first quarter of 2020. For the periods ended March 31, 2021, December 31, 2020, September 30, 2020, June 30, 2020 and March 31, 2020, the impact of the CECL capital transition provisions resulted in an increase to CET1 capital of $4.5 billion, $5.7 billion, $6.4 billion, $6.5 billion and $4.3 billion, respectively. The SLR reflects the temporary exclusions of U.S. Treasury securities and deposits at Federal Reserve Banks, which became effective April 1, 2020 and remained in effect through March 31, 2021. Refer to Regulatory Developments Relating to the COVID-19 Pandemic on pages 52-53 and Capital Risk Management on pages 91-101 of the Firm’s 2020 Form 10-K for additional information.</w:t>
      </w:r>
    </w:p>
    <w:p>
      <w:pPr>
        <w:spacing w:after="0" w:line="1" w:lineRule="exact"/>
        <w:rPr>
          <w:rFonts w:ascii="Arial" w:cs="Arial" w:eastAsia="Arial" w:hAnsi="Arial"/>
          <w:sz w:val="11"/>
          <w:szCs w:val="11"/>
          <w:color w:val="auto"/>
        </w:rPr>
      </w:pPr>
    </w:p>
    <w:p>
      <w:pPr>
        <w:ind w:left="320" w:hanging="312"/>
        <w:spacing w:after="0"/>
        <w:tabs>
          <w:tab w:leader="none" w:pos="3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Estimated.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907"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22974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HIGHLIGHTS,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w:t>
      </w:r>
    </w:p>
    <w:p>
      <w:pPr>
        <w:ind w:left="20"/>
        <w:spacing w:after="0"/>
        <w:rPr>
          <w:sz w:val="20"/>
          <w:szCs w:val="20"/>
          <w:color w:val="auto"/>
        </w:rPr>
      </w:pPr>
      <w:r>
        <w:rPr>
          <w:rFonts w:ascii="Arial" w:cs="Arial" w:eastAsia="Arial" w:hAnsi="Arial"/>
          <w:sz w:val="11"/>
          <w:szCs w:val="11"/>
          <w:b w:val="1"/>
          <w:bCs w:val="1"/>
          <w:color w:val="auto"/>
        </w:rPr>
        <w:t>headcount data)</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ind w:left="62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1Q21</w:t>
            </w: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4Q20</w:t>
            </w:r>
          </w:p>
        </w:tc>
        <w:tc>
          <w:tcPr>
            <w:tcW w:w="80" w:type="dxa"/>
            <w:vAlign w:val="bottom"/>
          </w:tcPr>
          <w:p>
            <w:pPr>
              <w:spacing w:after="0" w:line="20" w:lineRule="exact"/>
              <w:rPr>
                <w:sz w:val="1"/>
                <w:szCs w:val="1"/>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3Q20</w:t>
            </w:r>
          </w:p>
        </w:tc>
        <w:tc>
          <w:tcPr>
            <w:tcW w:w="80" w:type="dxa"/>
            <w:vAlign w:val="bottom"/>
          </w:tcPr>
          <w:p>
            <w:pPr>
              <w:spacing w:after="0" w:line="20" w:lineRule="exact"/>
              <w:rPr>
                <w:sz w:val="1"/>
                <w:szCs w:val="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2Q20</w:t>
            </w:r>
          </w:p>
        </w:tc>
        <w:tc>
          <w:tcPr>
            <w:tcW w:w="80" w:type="dxa"/>
            <w:vAlign w:val="bottom"/>
          </w:tcPr>
          <w:p>
            <w:pPr>
              <w:spacing w:after="0" w:line="20" w:lineRule="exact"/>
              <w:rPr>
                <w:sz w:val="1"/>
                <w:szCs w:val="1"/>
                <w:color w:val="auto"/>
              </w:rPr>
            </w:pPr>
          </w:p>
        </w:tc>
        <w:tc>
          <w:tcPr>
            <w:tcW w:w="6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780" w:type="dxa"/>
            <w:vAlign w:val="bottom"/>
            <w:gridSpan w:val="8"/>
            <w:vMerge w:val="restart"/>
          </w:tcPr>
          <w:p>
            <w:pPr>
              <w:spacing w:after="0"/>
              <w:rPr>
                <w:sz w:val="20"/>
                <w:szCs w:val="20"/>
                <w:color w:val="auto"/>
              </w:rPr>
            </w:pPr>
            <w:r>
              <w:rPr>
                <w:rFonts w:ascii="Arial" w:cs="Arial" w:eastAsia="Arial" w:hAnsi="Arial"/>
                <w:sz w:val="11"/>
                <w:szCs w:val="11"/>
                <w:b w:val="1"/>
                <w:bCs w:val="1"/>
                <w:color w:val="auto"/>
              </w:rPr>
              <w:t>SELECTED BALANCE SHEET</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78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7"/>
          </w:tcPr>
          <w:p>
            <w:pPr>
              <w:spacing w:after="0" w:line="88" w:lineRule="exact"/>
              <w:rPr>
                <w:sz w:val="20"/>
                <w:szCs w:val="20"/>
                <w:color w:val="auto"/>
              </w:rPr>
            </w:pPr>
            <w:r>
              <w:rPr>
                <w:rFonts w:ascii="Arial" w:cs="Arial" w:eastAsia="Arial" w:hAnsi="Arial"/>
                <w:sz w:val="10"/>
                <w:szCs w:val="10"/>
                <w:b w:val="1"/>
                <w:bCs w:val="1"/>
                <w:color w:val="auto"/>
              </w:rPr>
              <w:t>DATA (period-end)</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Total assets (a)</w:t>
            </w:r>
          </w:p>
        </w:tc>
        <w:tc>
          <w:tcPr>
            <w:tcW w:w="840" w:type="dxa"/>
            <w:vAlign w:val="bottom"/>
            <w:gridSpan w:val="4"/>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3,689,336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3,384,757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3,245,061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3,212,643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3,138,530</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9 %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Consumer, excluding credit card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loans (b)</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324,908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318,579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322,098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323,198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311,508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Credit card loans</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132,493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144,216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140,377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141,656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154,021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Wholesale loans (b)</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553,906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550,058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527,265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544,528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584,081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1780" w:type="dxa"/>
            <w:vAlign w:val="bottom"/>
            <w:gridSpan w:val="8"/>
            <w:vMerge w:val="restart"/>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78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1,011,307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1,012,853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989,740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1,009,382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1,049,610</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2"/>
        </w:trPr>
        <w:tc>
          <w:tcPr>
            <w:tcW w:w="1780" w:type="dxa"/>
            <w:vAlign w:val="bottom"/>
            <w:gridSpan w:val="8"/>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U.S. offices: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629,139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572,711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540,116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529,729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448,195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178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1,266,856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1,197,032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1,117,149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1,061,093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1,026,603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1780" w:type="dxa"/>
            <w:vAlign w:val="bottom"/>
            <w:gridSpan w:val="8"/>
          </w:tcPr>
          <w:p>
            <w:pPr>
              <w:ind w:left="120"/>
              <w:spacing w:after="0"/>
              <w:rPr>
                <w:sz w:val="20"/>
                <w:szCs w:val="20"/>
                <w:color w:val="auto"/>
              </w:rPr>
            </w:pPr>
            <w:r>
              <w:rPr>
                <w:rFonts w:ascii="Arial" w:cs="Arial" w:eastAsia="Arial" w:hAnsi="Arial"/>
                <w:sz w:val="11"/>
                <w:szCs w:val="11"/>
                <w:color w:val="auto"/>
              </w:rPr>
              <w:t>Non-U.S. offices: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22,661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21,406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22,752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22,192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78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359,456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351,079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322,745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317,455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339,019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780" w:type="dxa"/>
            <w:vAlign w:val="bottom"/>
            <w:gridSpan w:val="8"/>
            <w:vMerge w:val="restart"/>
          </w:tcPr>
          <w:p>
            <w:pPr>
              <w:ind w:left="340"/>
              <w:spacing w:after="0"/>
              <w:rPr>
                <w:sz w:val="20"/>
                <w:szCs w:val="20"/>
                <w:color w:val="auto"/>
              </w:rPr>
            </w:pPr>
            <w:r>
              <w:rPr>
                <w:rFonts w:ascii="Arial" w:cs="Arial" w:eastAsia="Arial" w:hAnsi="Arial"/>
                <w:sz w:val="11"/>
                <w:szCs w:val="11"/>
                <w:b w:val="1"/>
                <w:bCs w:val="1"/>
                <w:color w:val="auto"/>
              </w:rPr>
              <w:t>Total deposits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78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2,278,112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2,144,257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2,001,416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1,931,029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1,836,009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68"/>
        </w:trPr>
        <w:tc>
          <w:tcPr>
            <w:tcW w:w="1780" w:type="dxa"/>
            <w:vAlign w:val="bottom"/>
            <w:gridSpan w:val="8"/>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279,427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281,685</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279,175</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317,003</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299,344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249,151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249,291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241,050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234,403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231,199</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Total stockholders’ equity</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280,714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279,354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271,113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264,466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261,262</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70"/>
        </w:trPr>
        <w:tc>
          <w:tcPr>
            <w:tcW w:w="1780" w:type="dxa"/>
            <w:vAlign w:val="bottom"/>
            <w:gridSpan w:val="8"/>
          </w:tcPr>
          <w:p>
            <w:pPr>
              <w:spacing w:after="0"/>
              <w:rPr>
                <w:sz w:val="20"/>
                <w:szCs w:val="20"/>
                <w:color w:val="auto"/>
              </w:rPr>
            </w:pPr>
            <w:r>
              <w:rPr>
                <w:rFonts w:ascii="Arial" w:cs="Arial" w:eastAsia="Arial" w:hAnsi="Arial"/>
                <w:sz w:val="11"/>
                <w:szCs w:val="11"/>
                <w:color w:val="auto"/>
              </w:rPr>
              <w:t>Loans-to-deposits ratio (b)</w:t>
            </w: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44 %</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47 %</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49 %</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52 %</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57 %</w:t>
            </w: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gridSpan w:val="8"/>
          </w:tcPr>
          <w:p>
            <w:pPr>
              <w:spacing w:after="0"/>
              <w:rPr>
                <w:sz w:val="20"/>
                <w:szCs w:val="20"/>
                <w:color w:val="auto"/>
              </w:rPr>
            </w:pPr>
            <w:r>
              <w:rPr>
                <w:rFonts w:ascii="Arial" w:cs="Arial" w:eastAsia="Arial" w:hAnsi="Arial"/>
                <w:sz w:val="11"/>
                <w:szCs w:val="11"/>
                <w:b w:val="1"/>
                <w:bCs w:val="1"/>
                <w:color w:val="auto"/>
              </w:rPr>
              <w:t>Headcount</w:t>
            </w: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259,350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255,351</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256,358</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256,710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256,720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23"/>
                <w:szCs w:val="2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52"/>
        </w:trPr>
        <w:tc>
          <w:tcPr>
            <w:tcW w:w="1780" w:type="dxa"/>
            <w:vAlign w:val="bottom"/>
            <w:gridSpan w:val="8"/>
          </w:tcPr>
          <w:p>
            <w:pPr>
              <w:spacing w:after="0"/>
              <w:rPr>
                <w:sz w:val="20"/>
                <w:szCs w:val="20"/>
                <w:color w:val="auto"/>
              </w:rPr>
            </w:pPr>
            <w:r>
              <w:rPr>
                <w:rFonts w:ascii="Arial" w:cs="Arial" w:eastAsia="Arial" w:hAnsi="Arial"/>
                <w:sz w:val="11"/>
                <w:szCs w:val="11"/>
                <w:b w:val="1"/>
                <w:bCs w:val="1"/>
                <w:color w:val="auto"/>
              </w:rPr>
              <w:t>95% CONFIDENCE LEVEL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76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TOTAL VaR (c)</w:t>
            </w:r>
          </w:p>
        </w:tc>
        <w:tc>
          <w:tcPr>
            <w:tcW w:w="660" w:type="dxa"/>
            <w:vAlign w:val="bottom"/>
            <w:tcBorders>
              <w:top w:val="single" w:sz="8" w:color="auto"/>
            </w:tcBorders>
            <w:gridSpan w:val="4"/>
          </w:tcPr>
          <w:p>
            <w:pPr>
              <w:spacing w:after="0"/>
              <w:rPr>
                <w:sz w:val="7"/>
                <w:szCs w:val="7"/>
                <w:color w:val="auto"/>
              </w:rPr>
            </w:pPr>
          </w:p>
        </w:tc>
        <w:tc>
          <w:tcPr>
            <w:tcW w:w="3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780" w:type="dxa"/>
            <w:vAlign w:val="bottom"/>
            <w:gridSpan w:val="8"/>
          </w:tcPr>
          <w:p>
            <w:pPr>
              <w:spacing w:after="0"/>
              <w:rPr>
                <w:sz w:val="20"/>
                <w:szCs w:val="20"/>
                <w:color w:val="auto"/>
              </w:rPr>
            </w:pPr>
            <w:r>
              <w:rPr>
                <w:rFonts w:ascii="Arial" w:cs="Arial" w:eastAsia="Arial" w:hAnsi="Arial"/>
                <w:sz w:val="11"/>
                <w:szCs w:val="11"/>
                <w:color w:val="auto"/>
              </w:rPr>
              <w:t>Average VaR</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52"/>
        </w:trPr>
        <w:tc>
          <w:tcPr>
            <w:tcW w:w="178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NET</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7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REVENUE (d)</w:t>
            </w:r>
          </w:p>
        </w:tc>
        <w:tc>
          <w:tcPr>
            <w:tcW w:w="560" w:type="dxa"/>
            <w:vAlign w:val="bottom"/>
            <w:tcBorders>
              <w:top w:val="single" w:sz="8" w:color="auto"/>
            </w:tcBorders>
            <w:gridSpan w:val="4"/>
          </w:tcPr>
          <w:p>
            <w:pPr>
              <w:spacing w:after="0"/>
              <w:rPr>
                <w:sz w:val="7"/>
                <w:szCs w:val="7"/>
                <w:color w:val="auto"/>
              </w:rPr>
            </w:pPr>
          </w:p>
        </w:tc>
        <w:tc>
          <w:tcPr>
            <w:tcW w:w="52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60" w:type="dxa"/>
            <w:vAlign w:val="bottom"/>
            <w:gridSpan w:val="9"/>
          </w:tcPr>
          <w:p>
            <w:pPr>
              <w:spacing w:after="0"/>
              <w:rPr>
                <w:sz w:val="20"/>
                <w:szCs w:val="20"/>
                <w:color w:val="auto"/>
              </w:rPr>
            </w:pPr>
            <w:r>
              <w:rPr>
                <w:rFonts w:ascii="Arial" w:cs="Arial" w:eastAsia="Arial" w:hAnsi="Arial"/>
                <w:sz w:val="11"/>
                <w:szCs w:val="11"/>
                <w:color w:val="auto"/>
                <w:w w:val="97"/>
              </w:rPr>
              <w:t>Consumer &amp; Community Banking (e) $</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12,517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12,728</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12,895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12,358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13,287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Corporate &amp; Investment Bank</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14,605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11,352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11,546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16,383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10,003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Commercial Banking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2,165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4,077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3,867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3,430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3,389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(473)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(339)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80" w:type="dxa"/>
            <w:vAlign w:val="bottom"/>
            <w:gridSpan w:val="8"/>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33,119</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30,161</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29,941</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33,817</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29,010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16"/>
        </w:trPr>
        <w:tc>
          <w:tcPr>
            <w:tcW w:w="178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NET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40" w:type="dxa"/>
            <w:vAlign w:val="bottom"/>
            <w:tcBorders>
              <w:top w:val="single" w:sz="8" w:color="auto"/>
              <w:bottom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INCOME/(LOSS)</w:t>
            </w:r>
          </w:p>
        </w:tc>
        <w:tc>
          <w:tcPr>
            <w:tcW w:w="420" w:type="dxa"/>
            <w:vAlign w:val="bottom"/>
            <w:tcBorders>
              <w:top w:val="single" w:sz="8" w:color="auto"/>
            </w:tcBorders>
            <w:gridSpan w:val="2"/>
          </w:tcPr>
          <w:p>
            <w:pPr>
              <w:spacing w:after="0"/>
              <w:rPr>
                <w:sz w:val="7"/>
                <w:szCs w:val="7"/>
                <w:color w:val="auto"/>
              </w:rPr>
            </w:pPr>
          </w:p>
        </w:tc>
        <w:tc>
          <w:tcPr>
            <w:tcW w:w="52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78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6,728</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4,325</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3,871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(176)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Corporate &amp; Investment Bank</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5,740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5,349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4,309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5,451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1,985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Commercial Banking</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(681)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786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669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62"/>
        </w:trPr>
        <w:tc>
          <w:tcPr>
            <w:tcW w:w="178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(364)</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8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14,300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12,136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9,443</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4,687</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2,865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39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55"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20" w:hanging="312"/>
        <w:spacing w:after="0" w:line="230" w:lineRule="auto"/>
        <w:tabs>
          <w:tab w:leader="none" w:pos="3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Prior-period amounts have been revised to conform with the current presentation.</w:t>
      </w:r>
    </w:p>
    <w:p>
      <w:pPr>
        <w:ind w:left="340" w:right="280" w:hanging="332"/>
        <w:spacing w:after="0" w:line="230" w:lineRule="auto"/>
        <w:tabs>
          <w:tab w:leader="none" w:pos="331" w:val="left"/>
        </w:tabs>
        <w:numPr>
          <w:ilvl w:val="0"/>
          <w:numId w:val="16"/>
        </w:numPr>
        <w:rPr>
          <w:rFonts w:ascii="Arial" w:cs="Arial" w:eastAsia="Arial" w:hAnsi="Arial"/>
          <w:sz w:val="11"/>
          <w:szCs w:val="11"/>
          <w:color w:val="auto"/>
        </w:rPr>
      </w:pPr>
      <w:r>
        <w:rPr>
          <w:rFonts w:ascii="Arial" w:cs="Arial" w:eastAsia="Arial" w:hAnsi="Arial"/>
          <w:sz w:val="11"/>
          <w:szCs w:val="11"/>
          <w:color w:val="auto"/>
        </w:rPr>
        <w:t>Effective July 1, 2020, the Firm refined the scope of VaR to exclude certain asset-backed fair value option elected loans, and included them in other sensitivity-based measures to more effectively measure the risk from these loans. In the absence of this refinement, the average Total VaR for the three months ended March 31, 2021, December 31, 2020 and September 30, 2020 would have been higher by $18 million, $23 million and $12 million, respectively.</w:t>
      </w:r>
    </w:p>
    <w:p>
      <w:pPr>
        <w:ind w:left="320" w:hanging="312"/>
        <w:spacing w:after="0" w:line="230" w:lineRule="auto"/>
        <w:tabs>
          <w:tab w:leader="none" w:pos="3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340" w:right="120" w:hanging="332"/>
        <w:spacing w:after="0" w:line="238" w:lineRule="auto"/>
        <w:tabs>
          <w:tab w:leader="none" w:pos="367"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61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237426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STATEMENTS OF INCOME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QUARTERLY TRENDS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2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line="20" w:lineRule="exact"/>
              <w:rPr>
                <w:sz w:val="1"/>
                <w:szCs w:val="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1Q21</w:t>
            </w:r>
          </w:p>
        </w:tc>
        <w:tc>
          <w:tcPr>
            <w:tcW w:w="14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4Q20</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96"/>
              </w:rPr>
              <w:t>2Q20</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ind w:left="160"/>
              <w:spacing w:after="0" w:line="115" w:lineRule="exact"/>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20" w:type="dxa"/>
            <w:vAlign w:val="bottom"/>
            <w:gridSpan w:val="6"/>
          </w:tcPr>
          <w:p>
            <w:pPr>
              <w:spacing w:after="0"/>
              <w:rPr>
                <w:sz w:val="20"/>
                <w:szCs w:val="20"/>
                <w:color w:val="auto"/>
              </w:rPr>
            </w:pPr>
            <w:r>
              <w:rPr>
                <w:rFonts w:ascii="Arial" w:cs="Arial" w:eastAsia="Arial" w:hAnsi="Arial"/>
                <w:sz w:val="11"/>
                <w:szCs w:val="11"/>
                <w:color w:val="auto"/>
              </w:rPr>
              <w:t>Investment banking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2,970</w:t>
            </w:r>
          </w:p>
        </w:tc>
        <w:tc>
          <w:tcPr>
            <w:tcW w:w="1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2,583</w:t>
            </w:r>
          </w:p>
        </w:tc>
        <w:tc>
          <w:tcPr>
            <w:tcW w:w="16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2,187</w:t>
            </w:r>
          </w:p>
        </w:tc>
        <w:tc>
          <w:tcPr>
            <w:tcW w:w="40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2,850</w:t>
            </w:r>
          </w:p>
        </w:tc>
        <w:tc>
          <w:tcPr>
            <w:tcW w:w="24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1,866</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59 %</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Principal transactions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4,142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7,621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2,937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1,647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1,706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2020" w:type="dxa"/>
            <w:vAlign w:val="bottom"/>
            <w:gridSpan w:val="6"/>
          </w:tcPr>
          <w:p>
            <w:pPr>
              <w:spacing w:after="0"/>
              <w:rPr>
                <w:sz w:val="20"/>
                <w:szCs w:val="20"/>
                <w:color w:val="auto"/>
              </w:rPr>
            </w:pPr>
            <w:r>
              <w:rPr>
                <w:rFonts w:ascii="Arial" w:cs="Arial" w:eastAsia="Arial" w:hAnsi="Arial"/>
                <w:sz w:val="11"/>
                <w:szCs w:val="11"/>
                <w:color w:val="auto"/>
              </w:rPr>
              <w:t>Asset management, administration and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20" w:type="dxa"/>
            <w:vAlign w:val="bottom"/>
            <w:gridSpan w:val="6"/>
          </w:tcPr>
          <w:p>
            <w:pPr>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5,029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4,901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4,470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4,266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4,540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Investment securities gains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473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704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1,087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320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Card income (a)</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1,297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1,169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974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995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Other income (b)</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1,067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1,137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1,250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02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19,377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16,077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16,242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19,222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13,847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0"/>
        </w:trPr>
        <w:tc>
          <w:tcPr>
            <w:tcW w:w="2020" w:type="dxa"/>
            <w:vAlign w:val="bottom"/>
            <w:gridSpan w:val="6"/>
          </w:tcPr>
          <w:p>
            <w:pPr>
              <w:spacing w:after="0"/>
              <w:rPr>
                <w:sz w:val="20"/>
                <w:szCs w:val="20"/>
                <w:color w:val="auto"/>
              </w:rPr>
            </w:pPr>
            <w:r>
              <w:rPr>
                <w:rFonts w:ascii="Arial" w:cs="Arial" w:eastAsia="Arial" w:hAnsi="Arial"/>
                <w:sz w:val="11"/>
                <w:szCs w:val="11"/>
                <w:color w:val="auto"/>
              </w:rPr>
              <w:t>Interest income</w:t>
            </w: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14,271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14,550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14,700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16,112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19,161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1,687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2,259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4,722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22"/>
        </w:trPr>
        <w:tc>
          <w:tcPr>
            <w:tcW w:w="202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12,889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13,258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13,013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13,853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14,439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202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32,266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29,335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29,255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33,075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28,286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22"/>
        </w:trPr>
        <w:tc>
          <w:tcPr>
            <w:tcW w:w="202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(4,156)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(1,889)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10,473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8,285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06"/>
        </w:trPr>
        <w:tc>
          <w:tcPr>
            <w:tcW w:w="202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Compensation expense</w:t>
            </w:r>
          </w:p>
        </w:tc>
        <w:tc>
          <w:tcPr>
            <w:tcW w:w="7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10,601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7,954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8,630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9,509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8,895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Occupancy expense</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1,142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1,080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020" w:type="dxa"/>
            <w:vAlign w:val="bottom"/>
            <w:gridSpan w:val="6"/>
          </w:tcPr>
          <w:p>
            <w:pPr>
              <w:spacing w:after="0"/>
              <w:rPr>
                <w:sz w:val="20"/>
                <w:szCs w:val="20"/>
                <w:color w:val="auto"/>
              </w:rPr>
            </w:pPr>
            <w:r>
              <w:rPr>
                <w:rFonts w:ascii="Arial" w:cs="Arial" w:eastAsia="Arial" w:hAnsi="Arial"/>
                <w:sz w:val="11"/>
                <w:szCs w:val="11"/>
                <w:color w:val="auto"/>
              </w:rPr>
              <w:t>Technology, communications and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20" w:type="dxa"/>
            <w:vAlign w:val="bottom"/>
            <w:gridSpan w:val="6"/>
          </w:tcPr>
          <w:p>
            <w:pPr>
              <w:spacing w:after="0"/>
              <w:rPr>
                <w:sz w:val="20"/>
                <w:szCs w:val="20"/>
                <w:color w:val="auto"/>
              </w:rPr>
            </w:pPr>
            <w:r>
              <w:rPr>
                <w:rFonts w:ascii="Arial" w:cs="Arial" w:eastAsia="Arial" w:hAnsi="Arial"/>
                <w:sz w:val="11"/>
                <w:szCs w:val="11"/>
                <w:color w:val="auto"/>
              </w:rPr>
              <w:t>equipment expense</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2,606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2,564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2,590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2,578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Professional and outside services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2,259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2,178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1,999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2,028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Marketing (a)</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481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800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Other expense (c)</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1,536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1,343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1,891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1,283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1,424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2"/>
        </w:trPr>
        <w:tc>
          <w:tcPr>
            <w:tcW w:w="202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18,725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16,048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16,875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16,942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16,791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02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Income before income tax</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17,697</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15,176</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11,769</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5,660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3,210</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expense</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160"/>
        </w:trPr>
        <w:tc>
          <w:tcPr>
            <w:tcW w:w="2020" w:type="dxa"/>
            <w:vAlign w:val="bottom"/>
            <w:gridSpan w:val="6"/>
          </w:tcPr>
          <w:p>
            <w:pPr>
              <w:spacing w:after="0"/>
              <w:rPr>
                <w:sz w:val="20"/>
                <w:szCs w:val="20"/>
                <w:color w:val="auto"/>
              </w:rPr>
            </w:pPr>
            <w:r>
              <w:rPr>
                <w:rFonts w:ascii="Arial" w:cs="Arial" w:eastAsia="Arial" w:hAnsi="Arial"/>
                <w:sz w:val="11"/>
                <w:szCs w:val="11"/>
                <w:color w:val="auto"/>
              </w:rPr>
              <w:t>Income tax expense (b)</w:t>
            </w: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3,397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3,040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2,326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973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14,300</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12,136</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9,443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4,687</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2,865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432"/>
        </w:trPr>
        <w:tc>
          <w:tcPr>
            <w:tcW w:w="2020" w:type="dxa"/>
            <w:vAlign w:val="bottom"/>
            <w:gridSpan w:val="6"/>
          </w:tcPr>
          <w:p>
            <w:pPr>
              <w:spacing w:after="0"/>
              <w:rPr>
                <w:sz w:val="20"/>
                <w:szCs w:val="20"/>
                <w:color w:val="auto"/>
              </w:rPr>
            </w:pPr>
            <w:r>
              <w:rPr>
                <w:rFonts w:ascii="Arial" w:cs="Arial" w:eastAsia="Arial" w:hAnsi="Arial"/>
                <w:sz w:val="11"/>
                <w:szCs w:val="11"/>
                <w:b w:val="1"/>
                <w:bCs w:val="1"/>
                <w:color w:val="auto"/>
              </w:rPr>
              <w:t>NET INCOME PER COMMON SHARE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8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20" w:type="dxa"/>
            <w:vAlign w:val="bottom"/>
            <w:gridSpan w:val="6"/>
          </w:tcPr>
          <w:p>
            <w:pPr>
              <w:spacing w:after="0"/>
              <w:rPr>
                <w:sz w:val="20"/>
                <w:szCs w:val="20"/>
                <w:color w:val="auto"/>
              </w:rPr>
            </w:pPr>
            <w:r>
              <w:rPr>
                <w:rFonts w:ascii="Arial" w:cs="Arial" w:eastAsia="Arial" w:hAnsi="Arial"/>
                <w:sz w:val="11"/>
                <w:szCs w:val="11"/>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4.51</w:t>
            </w:r>
          </w:p>
        </w:tc>
        <w:tc>
          <w:tcPr>
            <w:tcW w:w="16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3.80</w:t>
            </w:r>
          </w:p>
        </w:tc>
        <w:tc>
          <w:tcPr>
            <w:tcW w:w="16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w:t>
            </w:r>
          </w:p>
        </w:tc>
        <w:tc>
          <w:tcPr>
            <w:tcW w:w="40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1.39</w:t>
            </w:r>
          </w:p>
        </w:tc>
        <w:tc>
          <w:tcPr>
            <w:tcW w:w="24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0.79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Diluted earnings per share</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3.79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0.78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305"/>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w:t>
            </w:r>
          </w:p>
        </w:tc>
        <w:tc>
          <w:tcPr>
            <w:tcW w:w="10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20" w:type="dxa"/>
            <w:vAlign w:val="bottom"/>
            <w:gridSpan w:val="6"/>
          </w:tcPr>
          <w:p>
            <w:pPr>
              <w:spacing w:after="0"/>
              <w:rPr>
                <w:sz w:val="20"/>
                <w:szCs w:val="20"/>
                <w:color w:val="auto"/>
              </w:rPr>
            </w:pPr>
            <w:r>
              <w:rPr>
                <w:rFonts w:ascii="Arial" w:cs="Arial" w:eastAsia="Arial" w:hAnsi="Arial"/>
                <w:sz w:val="11"/>
                <w:szCs w:val="11"/>
                <w:color w:val="auto"/>
              </w:rPr>
              <w:t>Return on common equity (d)</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23 %</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7 %</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4 %</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Return on tangible common equity (d)(e)</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Return on assets (d)</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0.58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0.40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Effective income tax rate (b)</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1080" w:type="dxa"/>
            <w:vAlign w:val="bottom"/>
            <w:gridSpan w:val="3"/>
          </w:tcPr>
          <w:p>
            <w:pPr>
              <w:ind w:left="20"/>
              <w:spacing w:after="0"/>
              <w:rPr>
                <w:sz w:val="20"/>
                <w:szCs w:val="20"/>
                <w:color w:val="auto"/>
              </w:rPr>
            </w:pPr>
            <w:r>
              <w:rPr>
                <w:rFonts w:ascii="Arial" w:cs="Arial" w:eastAsia="Arial" w:hAnsi="Arial"/>
                <w:sz w:val="11"/>
                <w:szCs w:val="11"/>
                <w:color w:val="auto"/>
              </w:rPr>
              <w:t>(b)</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285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right="20" w:hanging="332"/>
        <w:spacing w:after="0" w:line="230" w:lineRule="auto"/>
        <w:tabs>
          <w:tab w:leader="none" w:pos="337"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ind w:left="320" w:hanging="312"/>
        <w:spacing w:after="0" w:line="230" w:lineRule="auto"/>
        <w:tabs>
          <w:tab w:leader="none" w:pos="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40" w:right="80" w:hanging="332"/>
        <w:spacing w:after="0" w:line="230" w:lineRule="auto"/>
        <w:tabs>
          <w:tab w:leader="none" w:pos="331"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Firmwide legal expense/(benefit) of $28 million, $276 million, $524 million, $118 million and $197 million for the three months ended March 31, 2021, December 31, 2020, September 30, 2020, June 30, 2020 and March 31, 2020, respectively.</w:t>
      </w:r>
    </w:p>
    <w:p>
      <w:pPr>
        <w:ind w:left="320" w:hanging="312"/>
        <w:spacing w:after="0" w:line="230" w:lineRule="auto"/>
        <w:tabs>
          <w:tab w:leader="none" w:pos="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Quarterly ratios are based upon annualized amounts.</w:t>
      </w:r>
    </w:p>
    <w:p>
      <w:pPr>
        <w:ind w:left="320" w:hanging="312"/>
        <w:spacing w:after="0"/>
        <w:tabs>
          <w:tab w:leader="none" w:pos="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Refer to page 28 for further discussion of ROTCE.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664"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42"/>
        </w:trPr>
        <w:tc>
          <w:tcPr>
            <w:tcW w:w="1740" w:type="dxa"/>
            <w:vAlign w:val="bottom"/>
            <w:gridSpan w:val="4"/>
          </w:tcPr>
          <w:p>
            <w:pPr>
              <w:spacing w:after="0"/>
              <w:rPr>
                <w:sz w:val="20"/>
                <w:szCs w:val="20"/>
                <w:color w:val="auto"/>
              </w:rPr>
            </w:pPr>
            <w:r>
              <w:rPr>
                <w:rFonts w:ascii="Arial" w:cs="Arial" w:eastAsia="Arial" w:hAnsi="Arial"/>
                <w:sz w:val="11"/>
                <w:szCs w:val="11"/>
                <w:b w:val="1"/>
                <w:bCs w:val="1"/>
                <w:color w:val="auto"/>
              </w:rPr>
              <w:t>JPMORGAN CHASE &amp; CO.</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SHEETS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gridSpan w:val="4"/>
          </w:tcPr>
          <w:p>
            <w:pPr>
              <w:spacing w:after="0"/>
              <w:rPr>
                <w:sz w:val="20"/>
                <w:szCs w:val="20"/>
                <w:color w:val="auto"/>
              </w:rPr>
            </w:pPr>
            <w:r>
              <w:rPr>
                <w:rFonts w:ascii="Arial" w:cs="Arial" w:eastAsia="Arial" w:hAnsi="Arial"/>
                <w:sz w:val="11"/>
                <w:szCs w:val="11"/>
                <w:b w:val="1"/>
                <w:bCs w:val="1"/>
                <w:color w:val="auto"/>
              </w:rPr>
              <w:t>(in millions)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2021</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left="42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line="20" w:lineRule="exact"/>
              <w:rPr>
                <w:sz w:val="1"/>
                <w:szCs w:val="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Jun 30,</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Mar 31,</w:t>
            </w:r>
          </w:p>
        </w:tc>
        <w:tc>
          <w:tcPr>
            <w:tcW w:w="26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rPr>
              <w:t>Mar 31,</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440" w:type="dxa"/>
            <w:vAlign w:val="bottom"/>
            <w:vMerge w:val="restart"/>
          </w:tcPr>
          <w:p>
            <w:pPr>
              <w:spacing w:after="0"/>
              <w:rPr>
                <w:sz w:val="20"/>
                <w:szCs w:val="20"/>
                <w:color w:val="auto"/>
              </w:rPr>
            </w:pPr>
            <w:r>
              <w:rPr>
                <w:rFonts w:ascii="Arial" w:cs="Arial" w:eastAsia="Arial" w:hAnsi="Arial"/>
                <w:sz w:val="11"/>
                <w:szCs w:val="11"/>
                <w:b w:val="1"/>
                <w:bCs w:val="1"/>
                <w:color w:val="auto"/>
                <w:w w:val="95"/>
              </w:rPr>
              <w:t>ASSETS</w:t>
            </w:r>
          </w:p>
        </w:tc>
        <w:tc>
          <w:tcPr>
            <w:tcW w:w="130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40" w:type="dxa"/>
            <w:vAlign w:val="bottom"/>
            <w:tcBorders>
              <w:bottom w:val="single" w:sz="8" w:color="auto"/>
            </w:tcBorders>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74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7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25,397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24,874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20,816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20,544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24,001</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685,675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502,735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466,706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473,185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343,533</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resale agreements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272,481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296,284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319,849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256,980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248,580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179,516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160,635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142,441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142,704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139,839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 (a)</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470,933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423,496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429,196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416,870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429,275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73,119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79,630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76,626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74,846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81,648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w w:val="99"/>
              </w:rPr>
              <w:t>Available-for-sale (“AFS”) securities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379,942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388,178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389,583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485,883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399,944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520" w:type="dxa"/>
            <w:vAlign w:val="bottom"/>
            <w:gridSpan w:val="5"/>
          </w:tcPr>
          <w:p>
            <w:pPr>
              <w:spacing w:after="0"/>
              <w:rPr>
                <w:sz w:val="20"/>
                <w:szCs w:val="20"/>
                <w:color w:val="auto"/>
              </w:rPr>
            </w:pPr>
            <w:r>
              <w:rPr>
                <w:rFonts w:ascii="Arial" w:cs="Arial" w:eastAsia="Arial" w:hAnsi="Arial"/>
                <w:sz w:val="11"/>
                <w:szCs w:val="11"/>
                <w:color w:val="auto"/>
              </w:rPr>
              <w:t>Held-to-maturity (”HTM”) securities, net of</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gridSpan w:val="4"/>
          </w:tcPr>
          <w:p>
            <w:pPr>
              <w:spacing w:after="0"/>
              <w:rPr>
                <w:sz w:val="20"/>
                <w:szCs w:val="20"/>
                <w:color w:val="auto"/>
              </w:rPr>
            </w:pPr>
            <w:r>
              <w:rPr>
                <w:rFonts w:ascii="Arial" w:cs="Arial" w:eastAsia="Arial" w:hAnsi="Arial"/>
                <w:sz w:val="11"/>
                <w:szCs w:val="11"/>
                <w:color w:val="auto"/>
              </w:rPr>
              <w:t>allowance for credit losses (b)</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217,452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201,821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141,553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72,908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71,200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2"/>
        </w:trPr>
        <w:tc>
          <w:tcPr>
            <w:tcW w:w="25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Investment securities, net of allowance for</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5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740" w:type="dxa"/>
            <w:vAlign w:val="bottom"/>
            <w:gridSpan w:val="4"/>
          </w:tcPr>
          <w:p>
            <w:pPr>
              <w:ind w:left="120"/>
              <w:spacing w:after="0"/>
              <w:rPr>
                <w:sz w:val="20"/>
                <w:szCs w:val="20"/>
                <w:color w:val="auto"/>
              </w:rPr>
            </w:pPr>
            <w:r>
              <w:rPr>
                <w:rFonts w:ascii="Arial" w:cs="Arial" w:eastAsia="Arial" w:hAnsi="Arial"/>
                <w:sz w:val="11"/>
                <w:szCs w:val="11"/>
                <w:b w:val="1"/>
                <w:bCs w:val="1"/>
                <w:color w:val="auto"/>
              </w:rPr>
              <w:t>credit losses (b)</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597,394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589,999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531,136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558,791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471,144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0"/>
        </w:trPr>
        <w:tc>
          <w:tcPr>
            <w:tcW w:w="1740" w:type="dxa"/>
            <w:vAlign w:val="bottom"/>
            <w:gridSpan w:val="4"/>
          </w:tcPr>
          <w:p>
            <w:pPr>
              <w:spacing w:after="0"/>
              <w:rPr>
                <w:sz w:val="20"/>
                <w:szCs w:val="20"/>
                <w:color w:val="auto"/>
              </w:rPr>
            </w:pPr>
            <w:r>
              <w:rPr>
                <w:rFonts w:ascii="Arial" w:cs="Arial" w:eastAsia="Arial" w:hAnsi="Arial"/>
                <w:sz w:val="11"/>
                <w:szCs w:val="11"/>
                <w:color w:val="auto"/>
              </w:rPr>
              <w:t>Loans (a)</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1,011,307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1,012,853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989,740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1,009,382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1,049,610</w:t>
            </w:r>
          </w:p>
        </w:tc>
        <w:tc>
          <w:tcPr>
            <w:tcW w:w="260" w:type="dxa"/>
            <w:vAlign w:val="bottom"/>
          </w:tcPr>
          <w:p>
            <w:pPr>
              <w:spacing w:after="0"/>
              <w:rPr>
                <w:sz w:val="13"/>
                <w:szCs w:val="13"/>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Less: Allowance for loan losses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23,001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28,328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30,814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31,591</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23,244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25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Loans, net of allowance for loan losses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5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988,306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984,525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958,926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977,791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1,026,366</w:t>
            </w:r>
          </w:p>
        </w:tc>
        <w:tc>
          <w:tcPr>
            <w:tcW w:w="260" w:type="dxa"/>
            <w:vAlign w:val="bottom"/>
          </w:tcPr>
          <w:p>
            <w:pPr>
              <w:spacing w:after="0"/>
              <w:rPr>
                <w:sz w:val="11"/>
                <w:szCs w:val="11"/>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114,754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90,503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76,945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72,260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122,064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26,926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27,109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26,672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26,301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25,882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54,588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53,428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51,594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51,669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51,867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Other assets (a)(c)</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200,247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151,539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144,154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140,702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174,331</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4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7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3,689,336</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3,384,757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3,245,061</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3,212,643</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3,138,530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70"/>
        </w:trPr>
        <w:tc>
          <w:tcPr>
            <w:tcW w:w="174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6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1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2,278,112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2,144,257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2,001,416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1,931,029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1,836,009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0"/>
        </w:trPr>
        <w:tc>
          <w:tcPr>
            <w:tcW w:w="2520" w:type="dxa"/>
            <w:vAlign w:val="bottom"/>
            <w:gridSpan w:val="5"/>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gridSpan w:val="4"/>
          </w:tcPr>
          <w:p>
            <w:pPr>
              <w:spacing w:after="0"/>
              <w:rPr>
                <w:sz w:val="20"/>
                <w:szCs w:val="20"/>
                <w:color w:val="auto"/>
              </w:rPr>
            </w:pPr>
            <w:r>
              <w:rPr>
                <w:rFonts w:ascii="Arial" w:cs="Arial" w:eastAsia="Arial" w:hAnsi="Arial"/>
                <w:sz w:val="11"/>
                <w:szCs w:val="11"/>
                <w:color w:val="auto"/>
              </w:rPr>
              <w:t>sold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under repurchase agreements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304,019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215,209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236,440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235,647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233,207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54,978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45,208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41,992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48,014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51,909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130,909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99,558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104,835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107,735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119,109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74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60,440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70,623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57,658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57,477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65,087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Accounts payable and other liabilities (c)</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285,066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231,285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233,241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230,444</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252,973</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15,671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17,578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19,191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20,828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19,630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279,427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281,685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279,175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317,003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299,344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174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LIABILITIES</w:t>
            </w: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740" w:type="dxa"/>
            <w:vAlign w:val="bottom"/>
            <w:gridSpan w:val="4"/>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3,408,622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3,105,403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2,973,948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2,948,177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2,877,268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304"/>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STOCKHOLDERS’ EQUITY</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740" w:type="dxa"/>
            <w:vAlign w:val="bottom"/>
            <w:gridSpan w:val="4"/>
          </w:tcPr>
          <w:p>
            <w:pPr>
              <w:spacing w:after="0"/>
              <w:rPr>
                <w:sz w:val="20"/>
                <w:szCs w:val="20"/>
                <w:color w:val="auto"/>
              </w:rPr>
            </w:pPr>
            <w:r>
              <w:rPr>
                <w:rFonts w:ascii="Arial" w:cs="Arial" w:eastAsia="Arial" w:hAnsi="Arial"/>
                <w:sz w:val="11"/>
                <w:szCs w:val="11"/>
                <w:color w:val="auto"/>
              </w:rPr>
              <w:t>Preferred stock</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31,563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30,063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30,063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30,063</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4,105</w:t>
            </w:r>
          </w:p>
        </w:tc>
        <w:tc>
          <w:tcPr>
            <w:tcW w:w="26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88,005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88,394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88,289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88,125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87,857</w:t>
            </w:r>
          </w:p>
        </w:tc>
        <w:tc>
          <w:tcPr>
            <w:tcW w:w="26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248,151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236,990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228,014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221,732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220,226</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520" w:type="dxa"/>
            <w:vAlign w:val="bottom"/>
            <w:gridSpan w:val="5"/>
          </w:tcPr>
          <w:p>
            <w:pPr>
              <w:spacing w:after="0"/>
              <w:rPr>
                <w:sz w:val="20"/>
                <w:szCs w:val="20"/>
                <w:color w:val="auto"/>
              </w:rPr>
            </w:pPr>
            <w:r>
              <w:rPr>
                <w:rFonts w:ascii="Arial" w:cs="Arial" w:eastAsia="Arial" w:hAnsi="Arial"/>
                <w:sz w:val="11"/>
                <w:szCs w:val="11"/>
                <w:color w:val="auto"/>
              </w:rPr>
              <w:t>Accumulated other comprehensive income/(loss)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8,789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7,418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Shares held in RSU Trust, at cost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74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(92,151)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1"/>
                <w:szCs w:val="11"/>
                <w:color w:val="auto"/>
              </w:rPr>
              <w:t>(88,184)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(88,287)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(88,337)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(88,386)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
        </w:trPr>
        <w:tc>
          <w:tcPr>
            <w:tcW w:w="25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280,714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279,354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271,113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264,466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261,262</w:t>
            </w:r>
          </w:p>
        </w:tc>
        <w:tc>
          <w:tcPr>
            <w:tcW w:w="260" w:type="dxa"/>
            <w:vAlign w:val="bottom"/>
          </w:tcPr>
          <w:p>
            <w:pPr>
              <w:spacing w:after="0"/>
              <w:rPr>
                <w:sz w:val="11"/>
                <w:szCs w:val="11"/>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25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TOTAL LIABILITIES AND STOCKHOLDERS’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520" w:type="dxa"/>
            <w:vAlign w:val="bottom"/>
            <w:gridSpan w:val="5"/>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3,689,336</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3,384,757</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3,245,061</w:t>
            </w:r>
          </w:p>
        </w:tc>
        <w:tc>
          <w:tcPr>
            <w:tcW w:w="24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3,212,643</w:t>
            </w:r>
          </w:p>
        </w:tc>
        <w:tc>
          <w:tcPr>
            <w:tcW w:w="24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3,138,530</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740" w:type="dxa"/>
            <w:vAlign w:val="bottom"/>
            <w:gridSpan w:val="4"/>
          </w:tcPr>
          <w:p>
            <w:pPr>
              <w:ind w:left="120"/>
              <w:spacing w:after="0"/>
              <w:rPr>
                <w:sz w:val="20"/>
                <w:szCs w:val="20"/>
                <w:color w:val="auto"/>
              </w:rPr>
            </w:pPr>
            <w:r>
              <w:rPr>
                <w:rFonts w:ascii="Arial" w:cs="Arial" w:eastAsia="Arial" w:hAnsi="Arial"/>
                <w:sz w:val="11"/>
                <w:szCs w:val="11"/>
                <w:b w:val="1"/>
                <w:bCs w:val="1"/>
                <w:color w:val="auto"/>
              </w:rPr>
              <w:t>EQUITY</w:t>
            </w:r>
          </w:p>
        </w:tc>
        <w:tc>
          <w:tcPr>
            <w:tcW w:w="7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602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-5596890</wp:posOffset>
            </wp:positionV>
            <wp:extent cx="23742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40" w:right="420" w:hanging="332"/>
        <w:spacing w:after="0" w:line="230"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and other assets. Prior-period amounts have been revised to conform with the current presentation.</w:t>
      </w:r>
    </w:p>
    <w:p>
      <w:pPr>
        <w:ind w:left="340" w:right="500" w:hanging="332"/>
        <w:spacing w:after="0" w:line="230"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the allowance for credit losses on HTM securities was $94 million, $78 million, $120 million, $23 million and $19 million, respectively.</w:t>
      </w:r>
    </w:p>
    <w:p>
      <w:pPr>
        <w:ind w:left="320" w:hanging="312"/>
        <w:spacing w:after="0" w:line="230" w:lineRule="auto"/>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20" w:hanging="312"/>
        <w:spacing w:after="0"/>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66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6350</wp:posOffset>
            </wp:positionV>
            <wp:extent cx="23742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right="7840"/>
        <w:spacing w:after="0" w:line="242" w:lineRule="auto"/>
        <w:rPr>
          <w:sz w:val="20"/>
          <w:szCs w:val="20"/>
          <w:color w:val="auto"/>
        </w:rPr>
      </w:pPr>
      <w:r>
        <w:rPr>
          <w:rFonts w:ascii="Arial" w:cs="Arial" w:eastAsia="Arial" w:hAnsi="Arial"/>
          <w:sz w:val="14"/>
          <w:szCs w:val="14"/>
          <w:b w:val="1"/>
          <w:bCs w:val="1"/>
          <w:color w:val="auto"/>
        </w:rPr>
        <w:t>CONDENSED AVERAGE BALANCE SHEETS AND ANNUALIZED YIELDS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5"/>
          </w:tcPr>
          <w:p>
            <w:pPr>
              <w:jc w:val="right"/>
              <w:spacing w:after="0"/>
              <w:rPr>
                <w:sz w:val="20"/>
                <w:szCs w:val="20"/>
                <w:color w:val="auto"/>
              </w:rPr>
            </w:pPr>
            <w:r>
              <w:rPr>
                <w:rFonts w:ascii="Arial" w:cs="Arial" w:eastAsia="Arial" w:hAnsi="Arial"/>
                <w:sz w:val="11"/>
                <w:szCs w:val="11"/>
                <w:b w:val="1"/>
                <w:bCs w:val="1"/>
                <w:color w:val="auto"/>
                <w:w w:val="95"/>
              </w:rPr>
              <w:t>QUARTERLY TRENDS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30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AVERAGE BALANCES</w:t>
            </w:r>
          </w:p>
        </w:tc>
        <w:tc>
          <w:tcPr>
            <w:tcW w:w="80" w:type="dxa"/>
            <w:vAlign w:val="bottom"/>
          </w:tcPr>
          <w:p>
            <w:pPr>
              <w:spacing w:after="0" w:line="20" w:lineRule="exact"/>
              <w:rPr>
                <w:sz w:val="1"/>
                <w:szCs w:val="1"/>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1Q21</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4Q20</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3Q20</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2Q20</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ind w:left="160"/>
              <w:spacing w:after="0" w:line="115" w:lineRule="exact"/>
              <w:rPr>
                <w:sz w:val="20"/>
                <w:szCs w:val="20"/>
                <w:color w:val="auto"/>
              </w:rPr>
            </w:pPr>
            <w:r>
              <w:rPr>
                <w:rFonts w:ascii="Arial" w:cs="Arial" w:eastAsia="Arial" w:hAnsi="Arial"/>
                <w:sz w:val="11"/>
                <w:szCs w:val="11"/>
                <w:b w:val="1"/>
                <w:bCs w:val="1"/>
                <w:color w:val="auto"/>
              </w:rPr>
              <w:t>4Q20</w:t>
            </w:r>
          </w:p>
        </w:tc>
        <w:tc>
          <w:tcPr>
            <w:tcW w:w="58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ASSETS</w:t>
            </w:r>
          </w:p>
        </w:tc>
        <w:tc>
          <w:tcPr>
            <w:tcW w:w="1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631,606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507,194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509,979</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477,895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279,748</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25 %</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126 %</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289,763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327,504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277,899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244,306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253,403</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175,019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149,146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147,184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141,328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136,127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debt instruments (a)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322,648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319,585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322,321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345,073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304,808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582,460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568,354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548,544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500,254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421,529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Loans (a)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1,013,524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996,367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991,241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1,029,513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1,001,504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interest-earning assets (a)(b)</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111,549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87,496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77,806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81,320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68,430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3,126,569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2,955,646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2,874,974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2,819,689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2,465,549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159,727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138,477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119,905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99,115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114,479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79,013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79,300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81,300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79,298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66,309</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noninterest-earning assets (a)(c)</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247,532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225,290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212,939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230,227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242,987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3,612,841</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3,398,713</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3,289,118</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3,228,329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2,889,324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1,610,467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1,529,066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1,434,034</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1,375,213</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1,216,555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or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301,386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247,276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253,779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276,815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243,922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Short-term borrowings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42,031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36,183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36,697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45,297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37,288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bearing liabilities (e)</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230,922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213,989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206,643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207,322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192,950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17,185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18,647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19,838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20,331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18,048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239,398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237,144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267,175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269,336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243,996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2,441,389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2,282,305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2,218,166</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2,194,314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1,952,759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614,165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582,517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551,565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515,304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419,631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equity and other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35,029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33,732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32,256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33,797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30,721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67,960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63,551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64,599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63,178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54,990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 (c)</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178,444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164,873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155,672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157,265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167,287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3,336,987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3,126,978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3,022,258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2,963,858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2,625,388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30,312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30,063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30,063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30,063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29,406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245,542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241,672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236,797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234,408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234,530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275,854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271,735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266,860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264,471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263,936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LIABILITIES AND</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3,612,841</w:t>
            </w:r>
          </w:p>
        </w:tc>
        <w:tc>
          <w:tcPr>
            <w:tcW w:w="24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3,398,713</w:t>
            </w:r>
          </w:p>
        </w:tc>
        <w:tc>
          <w:tcPr>
            <w:tcW w:w="22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3"/>
              </w:rPr>
              <w:t>3,289,118</w:t>
            </w:r>
          </w:p>
        </w:tc>
        <w:tc>
          <w:tcPr>
            <w:tcW w:w="3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3,228,329</w:t>
            </w:r>
          </w:p>
        </w:tc>
        <w:tc>
          <w:tcPr>
            <w:tcW w:w="26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2,889,324</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5"/>
              </w:rPr>
              <w:t>AVERAGE RATES (f)</w:t>
            </w:r>
          </w:p>
        </w:tc>
        <w:tc>
          <w:tcPr>
            <w:tcW w:w="1300" w:type="dxa"/>
            <w:vAlign w:val="bottom"/>
            <w:gridSpan w:val="2"/>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0.05</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0.06</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0.82</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0.57</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0.99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Securities borrowed (g)</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(0.35)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0.45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debt instruments (a)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2.48</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Loans (a)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4.96</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interest-earning assets (a)(b)</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0.94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3.14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0.52</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or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Short-term borrowings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0.65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1.63</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bearing liabilities (e)(g)</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0.77</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0.64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2.02</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2.88</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0.30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0.41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0.97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1.64</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1.74</w:t>
            </w:r>
          </w:p>
        </w:tc>
        <w:tc>
          <w:tcPr>
            <w:tcW w:w="220" w:type="dxa"/>
            <w:vAlign w:val="bottom"/>
          </w:tcPr>
          <w:p>
            <w:pPr>
              <w:jc w:val="right"/>
              <w:ind w:right="66"/>
              <w:spacing w:after="0"/>
              <w:rPr>
                <w:sz w:val="20"/>
                <w:szCs w:val="20"/>
                <w:color w:val="auto"/>
              </w:rPr>
            </w:pPr>
            <w:r>
              <w:rPr>
                <w:rFonts w:ascii="Arial" w:cs="Arial" w:eastAsia="Arial" w:hAnsi="Arial"/>
                <w:sz w:val="11"/>
                <w:szCs w:val="11"/>
                <w:b w:val="1"/>
                <w:bCs w:val="1"/>
                <w:color w:val="auto"/>
                <w:w w:val="81"/>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1.75</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1.90</w:t>
            </w:r>
          </w:p>
        </w:tc>
        <w:tc>
          <w:tcPr>
            <w:tcW w:w="2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2.17</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w w:val="99"/>
              </w:rPr>
              <w:t>NET YIELD ON INTEREST-EARNING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1.69</w:t>
            </w: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1.80</w:t>
            </w:r>
          </w:p>
        </w:tc>
        <w:tc>
          <w:tcPr>
            <w:tcW w:w="220" w:type="dxa"/>
            <w:vAlign w:val="bottom"/>
          </w:tcPr>
          <w:p>
            <w:pPr>
              <w:jc w:val="right"/>
              <w:ind w:right="66"/>
              <w:spacing w:after="0"/>
              <w:rPr>
                <w:sz w:val="20"/>
                <w:szCs w:val="20"/>
                <w:color w:val="auto"/>
              </w:rPr>
            </w:pPr>
            <w:r>
              <w:rPr>
                <w:rFonts w:ascii="Arial" w:cs="Arial" w:eastAsia="Arial" w:hAnsi="Arial"/>
                <w:sz w:val="11"/>
                <w:szCs w:val="11"/>
                <w:b w:val="1"/>
                <w:bCs w:val="1"/>
                <w:color w:val="auto"/>
                <w:w w:val="8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1.82</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1.99</w:t>
            </w:r>
          </w:p>
        </w:tc>
        <w:tc>
          <w:tcPr>
            <w:tcW w:w="2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2.37</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Memo: Net yield on interest-earning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excluding CIB Markets (h)</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2.01</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2.05</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2.27</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480" w:firstLine="8"/>
        <w:spacing w:after="0" w:line="230" w:lineRule="auto"/>
        <w:tabs>
          <w:tab w:leader="none" w:pos="252"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and other assets. Prior-period amounts have been revised to conform with the current presentation.</w:t>
      </w:r>
    </w:p>
    <w:p>
      <w:pPr>
        <w:ind w:left="340" w:right="100" w:hanging="332"/>
        <w:spacing w:after="0" w:line="230" w:lineRule="auto"/>
        <w:tabs>
          <w:tab w:leader="none" w:pos="268"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60" w:hanging="252"/>
        <w:spacing w:after="0" w:line="230" w:lineRule="auto"/>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260" w:hanging="252"/>
        <w:spacing w:after="0" w:line="230" w:lineRule="auto"/>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commercial paper.</w:t>
      </w:r>
    </w:p>
    <w:p>
      <w:pPr>
        <w:ind w:left="260" w:hanging="252"/>
        <w:spacing w:after="0" w:line="230" w:lineRule="auto"/>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ind w:left="240" w:hanging="232"/>
        <w:spacing w:after="0" w:line="230" w:lineRule="auto"/>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Interest includes the effect of related hedging derivatives. Taxable-equivalent amounts are used where applicable.</w:t>
      </w:r>
    </w:p>
    <w:p>
      <w:pPr>
        <w:ind w:left="340" w:right="100" w:hanging="332"/>
        <w:spacing w:after="0" w:line="230" w:lineRule="auto"/>
        <w:tabs>
          <w:tab w:leader="none" w:pos="268"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Negative interest income and yields are related to the impact of current interest rates combined with the fees paid on client-driven securities borrowed balances. The negative interest expense related to prime brokerage customer payables is recognized in interest expense and reported within trading liabilities - debt and all other liabilities.</w:t>
      </w:r>
    </w:p>
    <w:p>
      <w:pPr>
        <w:ind w:left="260" w:hanging="252"/>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yield on interest-earning assets excluding CIB Markets is a non-GAAP financial measure. Refer to page 28 for a further discussion of this measure.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89"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-35560</wp:posOffset>
            </wp:positionV>
            <wp:extent cx="23742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4" w:lineRule="exact"/>
        <w:rPr>
          <w:sz w:val="20"/>
          <w:szCs w:val="20"/>
          <w:color w:val="auto"/>
        </w:rPr>
      </w:pPr>
    </w:p>
    <w:p>
      <w:pPr>
        <w:spacing w:after="0" w:line="234" w:lineRule="auto"/>
        <w:rPr>
          <w:sz w:val="20"/>
          <w:szCs w:val="20"/>
          <w:color w:val="auto"/>
        </w:rPr>
      </w:pPr>
      <w:r>
        <w:rPr>
          <w:rFonts w:ascii="Arial" w:cs="Arial" w:eastAsia="Arial" w:hAnsi="Arial"/>
          <w:sz w:val="11"/>
          <w:szCs w:val="11"/>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Refer to the notes on Non-GAAP Financial Measures on page 28 for additional information on managed basis.</w:t>
      </w: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jc w:val="right"/>
              <w:ind w:right="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1Q21</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4Q20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2Q20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4Q20</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440" w:type="dxa"/>
            <w:vAlign w:val="bottom"/>
            <w:gridSpan w:val="8"/>
            <w:vMerge w:val="restart"/>
          </w:tcPr>
          <w:p>
            <w:pPr>
              <w:spacing w:after="0"/>
              <w:rPr>
                <w:sz w:val="20"/>
                <w:szCs w:val="20"/>
                <w:color w:val="auto"/>
              </w:rPr>
            </w:pPr>
            <w:r>
              <w:rPr>
                <w:rFonts w:ascii="Arial" w:cs="Arial" w:eastAsia="Arial" w:hAnsi="Arial"/>
                <w:sz w:val="11"/>
                <w:szCs w:val="11"/>
                <w:b w:val="1"/>
                <w:bCs w:val="1"/>
                <w:color w:val="auto"/>
              </w:rPr>
              <w:t>OTHER INCOME</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44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Other income - reported (a)</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1,411</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1,067</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1,137</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1,250</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1,867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2,140</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1,649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1,772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1,864</w:t>
            </w:r>
          </w:p>
        </w:tc>
        <w:tc>
          <w:tcPr>
            <w:tcW w:w="160" w:type="dxa"/>
            <w:vAlign w:val="bottom"/>
          </w:tcPr>
          <w:p>
            <w:pPr>
              <w:spacing w:after="0"/>
              <w:rPr>
                <w:sz w:val="14"/>
                <w:szCs w:val="14"/>
                <w:color w:val="auto"/>
              </w:rPr>
            </w:pP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TOTAL NONINTEREST REVENUE (c)</w:t>
            </w:r>
          </w:p>
        </w:tc>
        <w:tc>
          <w:tcPr>
            <w:tcW w:w="5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19,377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16,077</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16,242</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19,222</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13,847</w:t>
            </w:r>
          </w:p>
        </w:tc>
        <w:tc>
          <w:tcPr>
            <w:tcW w:w="16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20,121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16,806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16,824</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19,857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14,461</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7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12,889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13,258</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13,013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13,853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14,439</w:t>
            </w:r>
          </w:p>
        </w:tc>
        <w:tc>
          <w:tcPr>
            <w:tcW w:w="160" w:type="dxa"/>
            <w:vAlign w:val="bottom"/>
          </w:tcPr>
          <w:p>
            <w:pPr>
              <w:spacing w:after="0"/>
              <w:rPr>
                <w:sz w:val="13"/>
                <w:szCs w:val="13"/>
                <w:color w:val="auto"/>
              </w:rPr>
            </w:pP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 (b)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12,998</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13,355</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13,117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13,960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14,549</w:t>
            </w:r>
          </w:p>
        </w:tc>
        <w:tc>
          <w:tcPr>
            <w:tcW w:w="160" w:type="dxa"/>
            <w:vAlign w:val="bottom"/>
          </w:tcPr>
          <w:p>
            <w:pPr>
              <w:spacing w:after="0"/>
              <w:rPr>
                <w:sz w:val="14"/>
                <w:szCs w:val="14"/>
                <w:color w:val="auto"/>
              </w:rPr>
            </w:pP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70"/>
        </w:trPr>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6"/>
              </w:rPr>
              <w:t>TOTAL NET REVENUE (c)</w:t>
            </w:r>
          </w:p>
        </w:tc>
        <w:tc>
          <w:tcPr>
            <w:tcW w:w="112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32,266</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29,335</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29,255</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33,075</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28,286</w:t>
            </w:r>
          </w:p>
        </w:tc>
        <w:tc>
          <w:tcPr>
            <w:tcW w:w="16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33,119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30,161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29,941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33,817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29,010</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70"/>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PRE-PROVISION PROFIT</w:t>
            </w:r>
          </w:p>
        </w:tc>
        <w:tc>
          <w:tcPr>
            <w:tcW w:w="114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13,541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13,287</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12,380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16,133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11,495</w:t>
            </w:r>
          </w:p>
        </w:tc>
        <w:tc>
          <w:tcPr>
            <w:tcW w:w="16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14,394</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14,113</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13,066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16,875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12,219</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w w:val="97"/>
              </w:rPr>
              <w:t>INCOME BEFORE INCOME TAX EXPENSE</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Income before income tax expense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17,697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15,176</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11,769</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5,660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3,210</w:t>
            </w:r>
          </w:p>
        </w:tc>
        <w:tc>
          <w:tcPr>
            <w:tcW w:w="16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Income before income tax expense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18,550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16,002</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12,455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6,402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3,934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INCOME TAX EXPENSE</w:t>
            </w:r>
          </w:p>
        </w:tc>
        <w:tc>
          <w:tcPr>
            <w:tcW w:w="120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reported (a)</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3,397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3,040</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2,326</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973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345</w:t>
            </w:r>
          </w:p>
        </w:tc>
        <w:tc>
          <w:tcPr>
            <w:tcW w:w="160" w:type="dxa"/>
            <w:vAlign w:val="bottom"/>
          </w:tcPr>
          <w:p>
            <w:pPr>
              <w:spacing w:after="0"/>
              <w:rPr>
                <w:sz w:val="13"/>
                <w:szCs w:val="13"/>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4,250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3,866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3,012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1,715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1,069</w:t>
            </w:r>
          </w:p>
        </w:tc>
        <w:tc>
          <w:tcPr>
            <w:tcW w:w="160" w:type="dxa"/>
            <w:vAlign w:val="bottom"/>
          </w:tcPr>
          <w:p>
            <w:pPr>
              <w:spacing w:after="0"/>
              <w:rPr>
                <w:sz w:val="14"/>
                <w:szCs w:val="14"/>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OVERHEAD RATIO</w:t>
            </w:r>
          </w:p>
        </w:tc>
        <w:tc>
          <w:tcPr>
            <w:tcW w:w="1460" w:type="dxa"/>
            <w:vAlign w:val="bottom"/>
            <w:gridSpan w:val="6"/>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55</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51</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ind w:left="60"/>
              <w:spacing w:after="0"/>
              <w:rPr>
                <w:sz w:val="20"/>
                <w:szCs w:val="20"/>
                <w:color w:val="auto"/>
              </w:rPr>
            </w:pPr>
            <w:r>
              <w:rPr>
                <w:rFonts w:ascii="Arial" w:cs="Arial" w:eastAsia="Arial" w:hAnsi="Arial"/>
                <w:sz w:val="11"/>
                <w:szCs w:val="11"/>
                <w:color w:val="auto"/>
              </w:rPr>
              <w:t>(a)</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gridSpan w:val="8"/>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551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20" w:hanging="312"/>
        <w:spacing w:after="0" w:line="230" w:lineRule="auto"/>
        <w:tabs>
          <w:tab w:leader="none" w:pos="3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Predominantly recognized in CIB, CB and Corporate.</w:t>
      </w:r>
    </w:p>
    <w:p>
      <w:pPr>
        <w:ind w:left="340" w:right="20" w:hanging="332"/>
        <w:spacing w:after="0" w:line="238" w:lineRule="auto"/>
        <w:tabs>
          <w:tab w:leader="none" w:pos="331"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1029"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RESULTS -</w:t>
      </w:r>
    </w:p>
    <w:p>
      <w:pPr>
        <w:ind w:left="20"/>
        <w:spacing w:after="0"/>
        <w:rPr>
          <w:sz w:val="20"/>
          <w:szCs w:val="20"/>
          <w:color w:val="auto"/>
        </w:rPr>
      </w:pPr>
      <w:r>
        <w:rPr>
          <w:rFonts w:ascii="Arial" w:cs="Arial" w:eastAsia="Arial" w:hAnsi="Arial"/>
          <w:sz w:val="14"/>
          <w:szCs w:val="14"/>
          <w:b w:val="1"/>
          <w:bCs w:val="1"/>
          <w:color w:val="auto"/>
        </w:rPr>
        <w:t>MANAGED BASIS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jc w:val="right"/>
              <w:ind w:right="11"/>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1Q21</w:t>
            </w:r>
          </w:p>
        </w:tc>
        <w:tc>
          <w:tcPr>
            <w:tcW w:w="120" w:type="dxa"/>
            <w:vAlign w:val="bottom"/>
          </w:tcPr>
          <w:p>
            <w:pPr>
              <w:spacing w:after="0" w:line="20" w:lineRule="exact"/>
              <w:rPr>
                <w:sz w:val="1"/>
                <w:szCs w:val="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4Q20</w:t>
            </w:r>
          </w:p>
        </w:tc>
        <w:tc>
          <w:tcPr>
            <w:tcW w:w="14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3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TOTAL NET REVENUE (fully taxable-</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equivalent (“FTE”))</w:t>
            </w:r>
          </w:p>
        </w:tc>
        <w:tc>
          <w:tcPr>
            <w:tcW w:w="880" w:type="dxa"/>
            <w:vAlign w:val="bottom"/>
            <w:tcBorders>
              <w:top w:val="single" w:sz="8" w:color="auto"/>
            </w:tcBorders>
            <w:gridSpan w:val="4"/>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300" w:type="dxa"/>
            <w:vAlign w:val="bottom"/>
            <w:gridSpan w:val="6"/>
          </w:tcPr>
          <w:p>
            <w:pPr>
              <w:spacing w:after="0"/>
              <w:rPr>
                <w:sz w:val="20"/>
                <w:szCs w:val="20"/>
                <w:color w:val="auto"/>
              </w:rPr>
            </w:pPr>
            <w:r>
              <w:rPr>
                <w:rFonts w:ascii="Arial" w:cs="Arial" w:eastAsia="Arial" w:hAnsi="Arial"/>
                <w:sz w:val="11"/>
                <w:szCs w:val="11"/>
                <w:color w:val="auto"/>
              </w:rPr>
              <w:t>Consumer &amp; Community Banking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12,517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12,728</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12,895</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12,358</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13,287</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14,605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11,352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16,383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10,003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2,165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3,389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(473)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33,119</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30,161</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29,941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33,817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29,010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70"/>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00" w:type="dxa"/>
            <w:vAlign w:val="bottom"/>
            <w:gridSpan w:val="6"/>
          </w:tcPr>
          <w:p>
            <w:pPr>
              <w:spacing w:after="0"/>
              <w:rPr>
                <w:sz w:val="20"/>
                <w:szCs w:val="20"/>
                <w:color w:val="auto"/>
              </w:rPr>
            </w:pPr>
            <w:r>
              <w:rPr>
                <w:rFonts w:ascii="Arial" w:cs="Arial" w:eastAsia="Arial" w:hAnsi="Arial"/>
                <w:sz w:val="11"/>
                <w:szCs w:val="11"/>
                <w:color w:val="auto"/>
              </w:rPr>
              <w:t>Consumer &amp; Community Banking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7,202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7,042</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6,912</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6,767</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7,269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4,939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5,955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986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2,435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18,725</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16,048</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16,875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16,942</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16,791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70"/>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PRE-PROVISION PROFIT/(LOSS)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Consumer &amp; Community Banking</w:t>
            </w:r>
          </w:p>
        </w:tc>
        <w:tc>
          <w:tcPr>
            <w:tcW w:w="600" w:type="dxa"/>
            <w:vAlign w:val="bottom"/>
            <w:gridSpan w:val="3"/>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5,315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5,686</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5,983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5,591</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6,018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6,413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9,571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4,048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954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14,394</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14,113</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13,066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16,875</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12,219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70"/>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76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54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(3,602)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(83)</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795</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5,828</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5,772</w:t>
            </w:r>
          </w:p>
        </w:tc>
        <w:tc>
          <w:tcPr>
            <w:tcW w:w="240" w:type="dxa"/>
            <w:vAlign w:val="bottom"/>
          </w:tcPr>
          <w:p>
            <w:pPr>
              <w:spacing w:after="0"/>
              <w:rPr>
                <w:sz w:val="13"/>
                <w:szCs w:val="13"/>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1,987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24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(4,156)</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(1,889)</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611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10,473</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8,285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70"/>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NET INCOME/(LOSS)</w:t>
            </w:r>
          </w:p>
        </w:tc>
        <w:tc>
          <w:tcPr>
            <w:tcW w:w="122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300" w:type="dxa"/>
            <w:vAlign w:val="bottom"/>
            <w:gridSpan w:val="6"/>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6,728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4,325</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3,871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(176)</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5,740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5,349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5,451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1,985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786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(364)</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14,300</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12,136</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9,443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4,687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2,865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65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180" w:right="180" w:hanging="172"/>
        <w:spacing w:after="0" w:line="238" w:lineRule="auto"/>
        <w:tabs>
          <w:tab w:leader="none" w:pos="177"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664"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6350</wp:posOffset>
            </wp:positionV>
            <wp:extent cx="23742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right="8160"/>
        <w:spacing w:after="0" w:line="242" w:lineRule="auto"/>
        <w:rPr>
          <w:sz w:val="20"/>
          <w:szCs w:val="20"/>
          <w:color w:val="auto"/>
        </w:rPr>
      </w:pPr>
      <w:r>
        <w:rPr>
          <w:rFonts w:ascii="Arial" w:cs="Arial" w:eastAsia="Arial" w:hAnsi="Arial"/>
          <w:sz w:val="14"/>
          <w:szCs w:val="14"/>
          <w:b w:val="1"/>
          <w:bCs w:val="1"/>
          <w:color w:val="auto"/>
        </w:rPr>
        <w:t>CAPITAL AND OTHER SELECTED BALANCE SHEET ITEMS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left="406"/>
              <w:spacing w:after="0"/>
              <w:rPr>
                <w:sz w:val="20"/>
                <w:szCs w:val="20"/>
                <w:color w:val="auto"/>
              </w:rPr>
            </w:pPr>
            <w:r>
              <w:rPr>
                <w:rFonts w:ascii="Arial" w:cs="Arial" w:eastAsia="Arial" w:hAnsi="Arial"/>
                <w:sz w:val="11"/>
                <w:szCs w:val="11"/>
                <w:b w:val="1"/>
                <w:bCs w:val="1"/>
                <w:color w:val="auto"/>
                <w:w w:val="99"/>
              </w:rPr>
              <w:t>Change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line="20" w:lineRule="exact"/>
              <w:rPr>
                <w:sz w:val="1"/>
                <w:szCs w:val="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Dec 31,</w:t>
            </w: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168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CAPITAL (a)</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6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80" w:type="dxa"/>
            <w:vAlign w:val="bottom"/>
            <w:gridSpan w:val="7"/>
          </w:tcPr>
          <w:p>
            <w:pPr>
              <w:spacing w:after="0"/>
              <w:rPr>
                <w:sz w:val="20"/>
                <w:szCs w:val="20"/>
                <w:color w:val="auto"/>
              </w:rPr>
            </w:pPr>
            <w:r>
              <w:rPr>
                <w:rFonts w:ascii="Arial" w:cs="Arial" w:eastAsia="Arial" w:hAnsi="Arial"/>
                <w:sz w:val="11"/>
                <w:szCs w:val="11"/>
                <w:b w:val="1"/>
                <w:bCs w:val="1"/>
                <w:color w:val="auto"/>
              </w:rPr>
              <w:t>Risk-based capital metrics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120"/>
              <w:spacing w:after="0"/>
              <w:rPr>
                <w:sz w:val="20"/>
                <w:szCs w:val="20"/>
                <w:color w:val="auto"/>
              </w:rPr>
            </w:pPr>
            <w:r>
              <w:rPr>
                <w:rFonts w:ascii="Arial" w:cs="Arial" w:eastAsia="Arial" w:hAnsi="Arial"/>
                <w:sz w:val="11"/>
                <w:szCs w:val="11"/>
                <w:b w:val="1"/>
                <w:bCs w:val="1"/>
                <w:color w:val="auto"/>
              </w:rPr>
              <w:t>Standardized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206,087</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205,078</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197,719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190,867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183,591</w:t>
            </w:r>
          </w:p>
        </w:tc>
        <w:tc>
          <w:tcPr>
            <w:tcW w:w="240" w:type="dxa"/>
            <w:vAlign w:val="bottom"/>
          </w:tcPr>
          <w:p>
            <w:pPr>
              <w:spacing w:after="0"/>
              <w:rPr>
                <w:sz w:val="14"/>
                <w:szCs w:val="14"/>
                <w:color w:val="auto"/>
              </w:rPr>
            </w:pPr>
          </w:p>
        </w:tc>
        <w:tc>
          <w:tcPr>
            <w:tcW w:w="860" w:type="dxa"/>
            <w:vAlign w:val="bottom"/>
            <w:gridSpan w:val="3"/>
          </w:tcPr>
          <w:p>
            <w:pPr>
              <w:ind w:left="280"/>
              <w:spacing w:after="0"/>
              <w:rPr>
                <w:sz w:val="20"/>
                <w:szCs w:val="20"/>
                <w:color w:val="auto"/>
              </w:rPr>
            </w:pPr>
            <w:r>
              <w:rPr>
                <w:rFonts w:ascii="Arial" w:cs="Arial" w:eastAsia="Arial" w:hAnsi="Arial"/>
                <w:sz w:val="11"/>
                <w:szCs w:val="11"/>
                <w:color w:val="auto"/>
              </w:rPr>
              <w:t>— %</w:t>
            </w:r>
          </w:p>
        </w:tc>
        <w:tc>
          <w:tcPr>
            <w:tcW w:w="46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237,347</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234,844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227,486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220,674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213,406</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271,436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269,923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262,397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256,667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247,541</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1,579,200</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1,560,609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1,514,509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1,541,365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1,598,828</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Arial" w:cs="Arial" w:eastAsia="Arial" w:hAnsi="Arial"/>
                <w:sz w:val="11"/>
                <w:szCs w:val="11"/>
                <w:color w:val="auto"/>
              </w:rPr>
              <w:t>13.1 % (e)</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13.1 %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13.1 %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12.4 %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11.5 %</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13.3</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17.2</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15.5</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gridSpan w:val="7"/>
          </w:tcPr>
          <w:p>
            <w:pPr>
              <w:ind w:left="120"/>
              <w:spacing w:after="0"/>
              <w:rPr>
                <w:sz w:val="20"/>
                <w:szCs w:val="20"/>
                <w:color w:val="auto"/>
              </w:rPr>
            </w:pPr>
            <w:r>
              <w:rPr>
                <w:rFonts w:ascii="Arial" w:cs="Arial" w:eastAsia="Arial" w:hAnsi="Arial"/>
                <w:sz w:val="11"/>
                <w:szCs w:val="11"/>
                <w:b w:val="1"/>
                <w:bCs w:val="1"/>
                <w:color w:val="auto"/>
              </w:rPr>
              <w:t>Advanced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206,087</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205,078</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197,719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190,867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183,591</w:t>
            </w:r>
          </w:p>
        </w:tc>
        <w:tc>
          <w:tcPr>
            <w:tcW w:w="24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237,347</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234,844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227,486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220,674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213,406</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258,657</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257,228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249,947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244,112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234,434</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1,505,991</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1,484,431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1,429,334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1,450,587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1,489,134</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Arial" w:cs="Arial" w:eastAsia="Arial" w:hAnsi="Arial"/>
                <w:sz w:val="11"/>
                <w:szCs w:val="11"/>
                <w:color w:val="auto"/>
              </w:rPr>
              <w:t>13.7 % (e)</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13.8 %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13.8 %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12.3 %</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17.2</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15.7</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680" w:type="dxa"/>
            <w:vAlign w:val="bottom"/>
            <w:gridSpan w:val="7"/>
          </w:tcPr>
          <w:p>
            <w:pPr>
              <w:spacing w:after="0"/>
              <w:rPr>
                <w:sz w:val="20"/>
                <w:szCs w:val="20"/>
                <w:color w:val="auto"/>
              </w:rPr>
            </w:pPr>
            <w:r>
              <w:rPr>
                <w:rFonts w:ascii="Arial" w:cs="Arial" w:eastAsia="Arial" w:hAnsi="Arial"/>
                <w:sz w:val="11"/>
                <w:szCs w:val="11"/>
                <w:b w:val="1"/>
                <w:bCs w:val="1"/>
                <w:color w:val="auto"/>
              </w:rPr>
              <w:t>Leverage-based capital metrics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680" w:type="dxa"/>
            <w:vAlign w:val="bottom"/>
            <w:gridSpan w:val="7"/>
          </w:tcPr>
          <w:p>
            <w:pPr>
              <w:ind w:left="120"/>
              <w:spacing w:after="0"/>
              <w:rPr>
                <w:sz w:val="20"/>
                <w:szCs w:val="20"/>
                <w:color w:val="auto"/>
              </w:rPr>
            </w:pPr>
            <w:r>
              <w:rPr>
                <w:rFonts w:ascii="Arial" w:cs="Arial" w:eastAsia="Arial" w:hAnsi="Arial"/>
                <w:sz w:val="11"/>
                <w:szCs w:val="11"/>
                <w:color w:val="auto"/>
              </w:rPr>
              <w:t>Adjusted average assets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3,565,560</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3,353,319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3,243,290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3,176,729</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2,842,244</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1680" w:type="dxa"/>
            <w:vAlign w:val="bottom"/>
            <w:gridSpan w:val="7"/>
          </w:tcPr>
          <w:p>
            <w:pPr>
              <w:ind w:left="120"/>
              <w:spacing w:after="0"/>
              <w:rPr>
                <w:sz w:val="20"/>
                <w:szCs w:val="20"/>
                <w:color w:val="auto"/>
              </w:rPr>
            </w:pPr>
            <w:r>
              <w:rPr>
                <w:rFonts w:ascii="Arial" w:cs="Arial" w:eastAsia="Arial" w:hAnsi="Arial"/>
                <w:sz w:val="11"/>
                <w:szCs w:val="11"/>
                <w:color w:val="auto"/>
              </w:rPr>
              <w:t>Tier 1 leverage ratio</w:t>
            </w:r>
          </w:p>
        </w:tc>
        <w:tc>
          <w:tcPr>
            <w:tcW w:w="8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Arial" w:cs="Arial" w:eastAsia="Arial" w:hAnsi="Arial"/>
                <w:sz w:val="11"/>
                <w:szCs w:val="11"/>
                <w:color w:val="auto"/>
              </w:rPr>
              <w:t>6.7 % (e)</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7.5 %</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680" w:type="dxa"/>
            <w:vAlign w:val="bottom"/>
            <w:gridSpan w:val="7"/>
          </w:tcPr>
          <w:p>
            <w:pPr>
              <w:ind w:left="120"/>
              <w:spacing w:after="0"/>
              <w:rPr>
                <w:sz w:val="20"/>
                <w:szCs w:val="20"/>
                <w:color w:val="auto"/>
              </w:rPr>
            </w:pPr>
            <w:r>
              <w:rPr>
                <w:rFonts w:ascii="Arial" w:cs="Arial" w:eastAsia="Arial" w:hAnsi="Arial"/>
                <w:sz w:val="11"/>
                <w:szCs w:val="11"/>
                <w:color w:val="auto"/>
              </w:rPr>
              <w:t>Total leverage exposure</w:t>
            </w:r>
          </w:p>
        </w:tc>
        <w:tc>
          <w:tcPr>
            <w:tcW w:w="8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3,522,624</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24"/>
                <w:szCs w:val="2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3,401,542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3,247,392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3,228,424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3,535,822</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680" w:type="dxa"/>
            <w:vAlign w:val="bottom"/>
            <w:gridSpan w:val="7"/>
          </w:tcPr>
          <w:p>
            <w:pPr>
              <w:ind w:left="120"/>
              <w:spacing w:after="0"/>
              <w:rPr>
                <w:sz w:val="20"/>
                <w:szCs w:val="20"/>
                <w:color w:val="auto"/>
              </w:rPr>
            </w:pPr>
            <w:r>
              <w:rPr>
                <w:rFonts w:ascii="Arial" w:cs="Arial" w:eastAsia="Arial" w:hAnsi="Arial"/>
                <w:sz w:val="11"/>
                <w:szCs w:val="11"/>
                <w:color w:val="auto"/>
              </w:rPr>
              <w:t>SLR</w:t>
            </w:r>
          </w:p>
        </w:tc>
        <w:tc>
          <w:tcPr>
            <w:tcW w:w="8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Arial" w:cs="Arial" w:eastAsia="Arial" w:hAnsi="Arial"/>
                <w:sz w:val="11"/>
                <w:szCs w:val="11"/>
                <w:color w:val="auto"/>
              </w:rPr>
              <w:t>6.7 % (e)</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6.8 %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6.0 %</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80" w:type="dxa"/>
            <w:vAlign w:val="bottom"/>
            <w:gridSpan w:val="7"/>
          </w:tcPr>
          <w:p>
            <w:pPr>
              <w:spacing w:after="0"/>
              <w:rPr>
                <w:sz w:val="20"/>
                <w:szCs w:val="20"/>
                <w:color w:val="auto"/>
              </w:rPr>
            </w:pPr>
            <w:r>
              <w:rPr>
                <w:rFonts w:ascii="Arial" w:cs="Arial" w:eastAsia="Arial" w:hAnsi="Arial"/>
                <w:sz w:val="11"/>
                <w:szCs w:val="11"/>
                <w:b w:val="1"/>
                <w:bCs w:val="1"/>
                <w:color w:val="auto"/>
              </w:rPr>
              <w:t>TANGIBLE COMMON EQUITY</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00" w:type="dxa"/>
            <w:vAlign w:val="bottom"/>
            <w:tcBorders>
              <w:top w:val="single" w:sz="8" w:color="auto"/>
              <w:bottom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(period-end) (c)</w:t>
            </w:r>
          </w:p>
        </w:tc>
        <w:tc>
          <w:tcPr>
            <w:tcW w:w="7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680" w:type="dxa"/>
            <w:vAlign w:val="bottom"/>
            <w:gridSpan w:val="7"/>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249,151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249,291</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241,050</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234,403</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231,199</w:t>
            </w:r>
          </w:p>
        </w:tc>
        <w:tc>
          <w:tcPr>
            <w:tcW w:w="240" w:type="dxa"/>
            <w:vAlign w:val="bottom"/>
          </w:tcPr>
          <w:p>
            <w:pPr>
              <w:spacing w:after="0"/>
              <w:rPr>
                <w:sz w:val="13"/>
                <w:szCs w:val="13"/>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49,243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49,248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47,819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47,800</w:t>
            </w:r>
          </w:p>
        </w:tc>
        <w:tc>
          <w:tcPr>
            <w:tcW w:w="24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904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759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778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0"/>
        </w:trPr>
        <w:tc>
          <w:tcPr>
            <w:tcW w:w="1680" w:type="dxa"/>
            <w:vAlign w:val="bottom"/>
            <w:gridSpan w:val="7"/>
          </w:tcPr>
          <w:p>
            <w:pPr>
              <w:spacing w:after="0"/>
              <w:rPr>
                <w:sz w:val="20"/>
                <w:szCs w:val="20"/>
                <w:color w:val="auto"/>
              </w:rPr>
            </w:pPr>
            <w:r>
              <w:rPr>
                <w:rFonts w:ascii="Arial" w:cs="Arial" w:eastAsia="Arial" w:hAnsi="Arial"/>
                <w:sz w:val="11"/>
                <w:szCs w:val="11"/>
                <w:color w:val="auto"/>
                <w:w w:val="99"/>
              </w:rPr>
              <w:t>Add: Certain deferred tax liabilities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7"/>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2,453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2,405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2,389</w:t>
            </w:r>
          </w:p>
        </w:tc>
        <w:tc>
          <w:tcPr>
            <w:tcW w:w="240" w:type="dxa"/>
            <w:vAlign w:val="bottom"/>
          </w:tcPr>
          <w:p>
            <w:pPr>
              <w:spacing w:after="0"/>
              <w:rPr>
                <w:sz w:val="11"/>
                <w:szCs w:val="11"/>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680" w:type="dxa"/>
            <w:vAlign w:val="bottom"/>
            <w:gridSpan w:val="7"/>
          </w:tcPr>
          <w:p>
            <w:pPr>
              <w:ind w:left="120"/>
              <w:spacing w:after="0"/>
              <w:rPr>
                <w:sz w:val="20"/>
                <w:szCs w:val="20"/>
                <w:color w:val="auto"/>
              </w:rPr>
            </w:pPr>
            <w:r>
              <w:rPr>
                <w:rFonts w:ascii="Arial" w:cs="Arial" w:eastAsia="Arial" w:hAnsi="Arial"/>
                <w:sz w:val="11"/>
                <w:szCs w:val="11"/>
                <w:b w:val="1"/>
                <w:bCs w:val="1"/>
                <w:color w:val="auto"/>
                <w:w w:val="98"/>
              </w:rPr>
              <w:t>Total tangible common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201,490</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201,592</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194,877</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188,211</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184,988</w:t>
            </w:r>
          </w:p>
        </w:tc>
        <w:tc>
          <w:tcPr>
            <w:tcW w:w="24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b w:val="1"/>
                <w:bCs w:val="1"/>
                <w:color w:val="auto"/>
              </w:rPr>
              <w:t>TANGIBLE COMMON EQUITY</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(average) (c)</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80" w:type="dxa"/>
            <w:vAlign w:val="bottom"/>
            <w:gridSpan w:val="7"/>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245,542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241,672</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236,797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234,408</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234,530</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49,249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47,842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47,805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47,812</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752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769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812</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0"/>
        </w:trPr>
        <w:tc>
          <w:tcPr>
            <w:tcW w:w="1680" w:type="dxa"/>
            <w:vAlign w:val="bottom"/>
            <w:gridSpan w:val="7"/>
          </w:tcPr>
          <w:p>
            <w:pPr>
              <w:spacing w:after="0"/>
              <w:rPr>
                <w:sz w:val="20"/>
                <w:szCs w:val="20"/>
                <w:color w:val="auto"/>
              </w:rPr>
            </w:pPr>
            <w:r>
              <w:rPr>
                <w:rFonts w:ascii="Arial" w:cs="Arial" w:eastAsia="Arial" w:hAnsi="Arial"/>
                <w:sz w:val="11"/>
                <w:szCs w:val="11"/>
                <w:color w:val="auto"/>
                <w:w w:val="99"/>
              </w:rPr>
              <w:t>Add: Certain deferred tax liabilities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7"/>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2,416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2,401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2,385</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680" w:type="dxa"/>
            <w:vAlign w:val="bottom"/>
            <w:gridSpan w:val="7"/>
          </w:tcPr>
          <w:p>
            <w:pPr>
              <w:ind w:left="120"/>
              <w:spacing w:after="0"/>
              <w:rPr>
                <w:sz w:val="20"/>
                <w:szCs w:val="20"/>
                <w:color w:val="auto"/>
              </w:rPr>
            </w:pPr>
            <w:r>
              <w:rPr>
                <w:rFonts w:ascii="Arial" w:cs="Arial" w:eastAsia="Arial" w:hAnsi="Arial"/>
                <w:sz w:val="11"/>
                <w:szCs w:val="11"/>
                <w:b w:val="1"/>
                <w:bCs w:val="1"/>
                <w:color w:val="auto"/>
                <w:w w:val="98"/>
              </w:rPr>
              <w:t>Total tangible common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197,857</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195,494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190,609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188,205</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188,291</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b w:val="1"/>
                <w:bCs w:val="1"/>
                <w:color w:val="auto"/>
              </w:rPr>
              <w:t>INTANGIBLE ASSETS (period-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end)</w:t>
            </w:r>
          </w:p>
        </w:tc>
        <w:tc>
          <w:tcPr>
            <w:tcW w:w="1320" w:type="dxa"/>
            <w:vAlign w:val="bottom"/>
            <w:tcBorders>
              <w:top w:val="single" w:sz="8" w:color="auto"/>
            </w:tcBorders>
            <w:gridSpan w:val="5"/>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680" w:type="dxa"/>
            <w:vAlign w:val="bottom"/>
            <w:gridSpan w:val="7"/>
          </w:tcPr>
          <w:p>
            <w:pPr>
              <w:spacing w:after="0"/>
              <w:rPr>
                <w:sz w:val="20"/>
                <w:szCs w:val="20"/>
                <w:color w:val="auto"/>
              </w:rPr>
            </w:pPr>
            <w:r>
              <w:rPr>
                <w:rFonts w:ascii="Arial" w:cs="Arial" w:eastAsia="Arial" w:hAnsi="Arial"/>
                <w:sz w:val="11"/>
                <w:szCs w:val="11"/>
                <w:color w:val="auto"/>
              </w:rPr>
              <w:t>Goodwill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49,243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49,248</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47,819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47,811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47,800</w:t>
            </w:r>
          </w:p>
        </w:tc>
        <w:tc>
          <w:tcPr>
            <w:tcW w:w="240" w:type="dxa"/>
            <w:vAlign w:val="bottom"/>
          </w:tcPr>
          <w:p>
            <w:pPr>
              <w:spacing w:after="0"/>
              <w:rPr>
                <w:sz w:val="13"/>
                <w:szCs w:val="13"/>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Mortgage servicing rights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4,470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3,276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3,267</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2"/>
        </w:trPr>
        <w:tc>
          <w:tcPr>
            <w:tcW w:w="1680" w:type="dxa"/>
            <w:vAlign w:val="bottom"/>
            <w:gridSpan w:val="7"/>
          </w:tcPr>
          <w:p>
            <w:pPr>
              <w:spacing w:after="0"/>
              <w:rPr>
                <w:sz w:val="20"/>
                <w:szCs w:val="20"/>
                <w:color w:val="auto"/>
              </w:rPr>
            </w:pPr>
            <w:r>
              <w:rPr>
                <w:rFonts w:ascii="Arial" w:cs="Arial" w:eastAsia="Arial" w:hAnsi="Arial"/>
                <w:sz w:val="11"/>
                <w:szCs w:val="11"/>
                <w:color w:val="auto"/>
              </w:rPr>
              <w:t>Other intangible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904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759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778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54,588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53,428</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51,594</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51,669</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51,867</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801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40" w:right="160" w:hanging="332"/>
        <w:spacing w:after="0" w:line="253" w:lineRule="auto"/>
        <w:tabs>
          <w:tab w:leader="none" w:pos="337"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capital metrics reflect the relief provided by the Federal Reserve Board in response to the COVID-19 pandemic, including the CECL capital transition provisions that became effective in the first quarter of 2020. For the periods ended March 31, 2021, December 31, 2020, September 30, 2020, June 30, 2020 and March 31, 2020, the impact of the CECL capital transition provisions resulted in an increase to CET1 capital of $4.5 billion, $5.7 billion, $6.4 billion, $6.5 billion and $4.3 billion, respectively. The SLR reflects the temporary exclusions of U.S. Treasury securities and deposits at Federal Reserve Banks, which became effective April 1, 2020 and remained in effect through March 31, 2021. Refer to Regulatory Developments Relating to the COVID-19 Pandemic on pages 52-53 and Capital Risk Management on pages 91-101 of the Firm’s 2020 Form 10-K for additional information.</w:t>
      </w:r>
    </w:p>
    <w:p>
      <w:pPr>
        <w:spacing w:after="0" w:line="1" w:lineRule="exact"/>
        <w:rPr>
          <w:rFonts w:ascii="Arial" w:cs="Arial" w:eastAsia="Arial" w:hAnsi="Arial"/>
          <w:sz w:val="10"/>
          <w:szCs w:val="10"/>
          <w:color w:val="auto"/>
        </w:rPr>
      </w:pPr>
    </w:p>
    <w:p>
      <w:pPr>
        <w:ind w:left="340" w:right="140" w:hanging="332"/>
        <w:spacing w:after="0" w:line="230" w:lineRule="auto"/>
        <w:tabs>
          <w:tab w:leader="none" w:pos="337" w:val="left"/>
        </w:tabs>
        <w:numPr>
          <w:ilvl w:val="0"/>
          <w:numId w:val="22"/>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total quarterly average assets adjusted for on-balance sheet assets that are subject to deduction from Tier 1 capital, predominantly goodwill and other intangible assets.</w:t>
      </w:r>
    </w:p>
    <w:p>
      <w:pPr>
        <w:ind w:left="320" w:hanging="312"/>
        <w:spacing w:after="0" w:line="230" w:lineRule="auto"/>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Refer to page 28 for further discussion of TCE.</w:t>
      </w:r>
    </w:p>
    <w:p>
      <w:pPr>
        <w:ind w:left="320" w:hanging="312"/>
        <w:spacing w:after="0" w:line="230" w:lineRule="auto"/>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ind w:left="320" w:hanging="312"/>
        <w:spacing w:after="0"/>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Estimated.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57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8" w:lineRule="exact"/>
        <w:rPr>
          <w:sz w:val="20"/>
          <w:szCs w:val="20"/>
          <w:color w:val="auto"/>
        </w:rPr>
      </w:pPr>
    </w:p>
    <w:p>
      <w:pPr>
        <w:ind w:left="20" w:right="8520"/>
        <w:spacing w:after="0" w:line="242" w:lineRule="auto"/>
        <w:rPr>
          <w:sz w:val="20"/>
          <w:szCs w:val="20"/>
          <w:color w:val="auto"/>
        </w:rPr>
      </w:pPr>
      <w:r>
        <w:rPr>
          <w:rFonts w:ascii="Arial" w:cs="Arial" w:eastAsia="Arial" w:hAnsi="Arial"/>
          <w:sz w:val="14"/>
          <w:szCs w:val="14"/>
          <w:b w:val="1"/>
          <w:bCs w:val="1"/>
          <w:color w:val="auto"/>
        </w:rPr>
        <w:t>EARNINGS PER SHARE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-188595</wp:posOffset>
            </wp:positionV>
            <wp:extent cx="23742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line="222" w:lineRule="auto"/>
        <w:rPr>
          <w:sz w:val="20"/>
          <w:szCs w:val="20"/>
          <w:color w:val="auto"/>
        </w:rPr>
      </w:pPr>
      <w:r>
        <w:rPr>
          <w:rFonts w:ascii="Arial" w:cs="Arial" w:eastAsia="Arial" w:hAnsi="Arial"/>
          <w:sz w:val="11"/>
          <w:szCs w:val="11"/>
          <w:b w:val="1"/>
          <w:bCs w:val="1"/>
          <w:color w:val="auto"/>
        </w:rPr>
        <w:t>(in millions, except per share and</w:t>
      </w:r>
    </w:p>
    <w:p>
      <w:pPr>
        <w:ind w:left="20"/>
        <w:spacing w:after="0"/>
        <w:rPr>
          <w:sz w:val="20"/>
          <w:szCs w:val="20"/>
          <w:color w:val="auto"/>
        </w:rPr>
      </w:pPr>
      <w:r>
        <w:rPr>
          <w:rFonts w:ascii="Arial" w:cs="Arial" w:eastAsia="Arial" w:hAnsi="Arial"/>
          <w:sz w:val="11"/>
          <w:szCs w:val="11"/>
          <w:b w:val="1"/>
          <w:bCs w:val="1"/>
          <w:color w:val="auto"/>
        </w:rPr>
        <w:t>ratio data)</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QUARTERLY TRENDS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1Q21</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4Q20</w:t>
            </w: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3Q20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6"/>
              </w:rPr>
              <w:t>2Q20</w:t>
            </w: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240" w:type="dxa"/>
            <w:vAlign w:val="bottom"/>
            <w:gridSpan w:val="4"/>
            <w:vMerge w:val="restart"/>
          </w:tcPr>
          <w:p>
            <w:pPr>
              <w:spacing w:after="0"/>
              <w:rPr>
                <w:sz w:val="20"/>
                <w:szCs w:val="20"/>
                <w:color w:val="auto"/>
              </w:rPr>
            </w:pPr>
            <w:r>
              <w:rPr>
                <w:rFonts w:ascii="Arial" w:cs="Arial" w:eastAsia="Arial" w:hAnsi="Arial"/>
                <w:sz w:val="11"/>
                <w:szCs w:val="11"/>
                <w:b w:val="1"/>
                <w:bCs w:val="1"/>
                <w:color w:val="auto"/>
                <w:w w:val="97"/>
              </w:rPr>
              <w:t>EARNINGS PER SHARE</w:t>
            </w:r>
          </w:p>
        </w:tc>
        <w:tc>
          <w:tcPr>
            <w:tcW w:w="70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240" w:type="dxa"/>
            <w:vAlign w:val="bottom"/>
            <w:tcBorders>
              <w:bottom w:val="single" w:sz="8" w:color="auto"/>
            </w:tcBorders>
            <w:gridSpan w:val="4"/>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Basic earnings per share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14,300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12,136</w:t>
            </w:r>
          </w:p>
        </w:tc>
        <w:tc>
          <w:tcPr>
            <w:tcW w:w="1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9,443</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4,687</w:t>
            </w:r>
          </w:p>
        </w:tc>
        <w:tc>
          <w:tcPr>
            <w:tcW w:w="24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2,865</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18 %</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399 %</w:t>
            </w: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Less: Preferred stock dividends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401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421</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19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Net income applicable to</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13,921</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11,756</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9,062</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4,286</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2,444</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common equity</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39"/>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Less: Dividends and undistributed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earnings allocated to</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200"/>
              <w:spacing w:after="0"/>
              <w:rPr>
                <w:sz w:val="20"/>
                <w:szCs w:val="20"/>
                <w:color w:val="auto"/>
              </w:rPr>
            </w:pPr>
            <w:r>
              <w:rPr>
                <w:rFonts w:ascii="Arial" w:cs="Arial" w:eastAsia="Arial" w:hAnsi="Arial"/>
                <w:sz w:val="11"/>
                <w:szCs w:val="11"/>
                <w:color w:val="auto"/>
              </w:rPr>
              <w:t>participating securities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438</w:t>
            </w:r>
          </w:p>
        </w:tc>
        <w:tc>
          <w:tcPr>
            <w:tcW w:w="0" w:type="dxa"/>
            <w:vAlign w:val="bottom"/>
          </w:tcPr>
          <w:p>
            <w:pPr>
              <w:spacing w:after="0"/>
              <w:rPr>
                <w:sz w:val="1"/>
                <w:szCs w:val="1"/>
                <w:color w:val="auto"/>
              </w:rPr>
            </w:pPr>
          </w:p>
        </w:tc>
      </w:tr>
      <w:tr>
        <w:trPr>
          <w:trHeight w:val="22"/>
        </w:trPr>
        <w:tc>
          <w:tcPr>
            <w:tcW w:w="19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Net income applicable to</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gridSpan w:val="6"/>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13,851</w:t>
            </w:r>
          </w:p>
        </w:tc>
        <w:tc>
          <w:tcPr>
            <w:tcW w:w="16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11,699</w:t>
            </w:r>
          </w:p>
        </w:tc>
        <w:tc>
          <w:tcPr>
            <w:tcW w:w="180" w:type="dxa"/>
            <w:vAlign w:val="bottom"/>
          </w:tcPr>
          <w:p>
            <w:pPr>
              <w:spacing w:after="0"/>
              <w:rPr>
                <w:sz w:val="7"/>
                <w:szCs w:val="7"/>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9,015</w:t>
            </w:r>
          </w:p>
        </w:tc>
        <w:tc>
          <w:tcPr>
            <w:tcW w:w="380" w:type="dxa"/>
            <w:vAlign w:val="bottom"/>
            <w:gridSpan w:val="2"/>
            <w:vMerge w:val="restart"/>
          </w:tcPr>
          <w:p>
            <w:pPr>
              <w:jc w:val="right"/>
              <w:ind w:right="11"/>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4,265</w:t>
            </w:r>
          </w:p>
        </w:tc>
        <w:tc>
          <w:tcPr>
            <w:tcW w:w="240" w:type="dxa"/>
            <w:vAlign w:val="bottom"/>
          </w:tcPr>
          <w:p>
            <w:pPr>
              <w:spacing w:after="0"/>
              <w:rPr>
                <w:sz w:val="7"/>
                <w:szCs w:val="7"/>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2,431</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common stockholders</w:t>
            </w: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213"/>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Total weighted-average basic shares</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w w:val="97"/>
              </w:rPr>
              <w:t>3,073.5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w w:val="97"/>
              </w:rPr>
              <w:t>3,079.7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3,077.8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3,076.3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3,095.8</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94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4.51</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3.80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2.93</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1.39</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0.79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288"/>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Diluted earnings per share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 applicable to common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ind w:left="12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13,851</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11,699</w:t>
            </w:r>
          </w:p>
        </w:tc>
        <w:tc>
          <w:tcPr>
            <w:tcW w:w="1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9,015</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4,265</w:t>
            </w:r>
          </w:p>
        </w:tc>
        <w:tc>
          <w:tcPr>
            <w:tcW w:w="2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2,431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39"/>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Total weighted-average basic shares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w w:val="97"/>
              </w:rPr>
              <w:t>3,073.5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w w:val="97"/>
              </w:rPr>
              <w:t>3,079.7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3,077.8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3,076.3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3,095.8</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Add: Dilutive impact of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4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appreciation rights (“SARs”) and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employee stock options, unvested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performance share units</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(“PSUs”) and nondividend-earning</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restricted stock units</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240"/>
              <w:spacing w:after="0"/>
              <w:rPr>
                <w:sz w:val="20"/>
                <w:szCs w:val="20"/>
                <w:color w:val="auto"/>
              </w:rPr>
            </w:pPr>
            <w:r>
              <w:rPr>
                <w:rFonts w:ascii="Arial" w:cs="Arial" w:eastAsia="Arial" w:hAnsi="Arial"/>
                <w:sz w:val="11"/>
                <w:szCs w:val="11"/>
                <w:color w:val="auto"/>
              </w:rPr>
              <w:t>(“RSUs”)</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19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weighted-average diluted</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3,078.9</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3,085.1</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3,082.8</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3,081.0</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3,100.7</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shares outstanding</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4.50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3.79</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2.92</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1.38</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0.78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270"/>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COMMON DIVIDENDS</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4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1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0.90</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24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Dividend payout ratio</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114 %</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COMMON SHARE REPURCHASE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PROGRAM (a)</w:t>
            </w:r>
          </w:p>
        </w:tc>
        <w:tc>
          <w:tcPr>
            <w:tcW w:w="960" w:type="dxa"/>
            <w:vAlign w:val="bottom"/>
            <w:tcBorders>
              <w:top w:val="single" w:sz="8" w:color="auto"/>
            </w:tcBorders>
            <w:gridSpan w:val="4"/>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40" w:type="dxa"/>
            <w:vAlign w:val="bottom"/>
            <w:gridSpan w:val="6"/>
          </w:tcPr>
          <w:p>
            <w:pPr>
              <w:spacing w:after="0"/>
              <w:rPr>
                <w:sz w:val="20"/>
                <w:szCs w:val="20"/>
                <w:color w:val="auto"/>
              </w:rPr>
            </w:pPr>
            <w:r>
              <w:rPr>
                <w:rFonts w:ascii="Arial" w:cs="Arial" w:eastAsia="Arial" w:hAnsi="Arial"/>
                <w:sz w:val="11"/>
                <w:szCs w:val="11"/>
                <w:color w:val="auto"/>
              </w:rPr>
              <w:t>Total shares of common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spacing w:after="0"/>
              <w:rPr>
                <w:sz w:val="20"/>
                <w:szCs w:val="20"/>
                <w:color w:val="auto"/>
              </w:rPr>
            </w:pPr>
            <w:r>
              <w:rPr>
                <w:rFonts w:ascii="Arial" w:cs="Arial" w:eastAsia="Arial" w:hAnsi="Arial"/>
                <w:sz w:val="11"/>
                <w:szCs w:val="11"/>
                <w:color w:val="auto"/>
              </w:rPr>
              <w:t>repurchased</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1"/>
                <w:szCs w:val="11"/>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0"/>
        </w:trPr>
        <w:tc>
          <w:tcPr>
            <w:tcW w:w="1940" w:type="dxa"/>
            <w:vAlign w:val="bottom"/>
            <w:gridSpan w:val="6"/>
          </w:tcPr>
          <w:p>
            <w:pPr>
              <w:spacing w:after="0"/>
              <w:rPr>
                <w:sz w:val="20"/>
                <w:szCs w:val="20"/>
                <w:color w:val="auto"/>
              </w:rPr>
            </w:pPr>
            <w:r>
              <w:rPr>
                <w:rFonts w:ascii="Arial" w:cs="Arial" w:eastAsia="Arial" w:hAnsi="Arial"/>
                <w:sz w:val="11"/>
                <w:szCs w:val="11"/>
                <w:color w:val="auto"/>
              </w:rPr>
              <w:t>Average price paid per share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spacing w:after="0"/>
              <w:rPr>
                <w:sz w:val="20"/>
                <w:szCs w:val="20"/>
                <w:color w:val="auto"/>
              </w:rPr>
            </w:pPr>
            <w:r>
              <w:rPr>
                <w:rFonts w:ascii="Arial" w:cs="Arial" w:eastAsia="Arial" w:hAnsi="Arial"/>
                <w:sz w:val="11"/>
                <w:szCs w:val="11"/>
                <w:color w:val="auto"/>
              </w:rPr>
              <w:t>common stock</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144.25</w:t>
            </w:r>
          </w:p>
        </w:tc>
        <w:tc>
          <w:tcPr>
            <w:tcW w:w="1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127.92</w:t>
            </w:r>
          </w:p>
        </w:tc>
        <w:tc>
          <w:tcPr>
            <w:tcW w:w="240" w:type="dxa"/>
            <w:vAlign w:val="bottom"/>
          </w:tcPr>
          <w:p>
            <w:pPr>
              <w:spacing w:after="0"/>
              <w:rPr>
                <w:sz w:val="11"/>
                <w:szCs w:val="11"/>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1940" w:type="dxa"/>
            <w:vAlign w:val="bottom"/>
            <w:gridSpan w:val="6"/>
          </w:tcPr>
          <w:p>
            <w:pPr>
              <w:spacing w:after="0"/>
              <w:rPr>
                <w:sz w:val="20"/>
                <w:szCs w:val="20"/>
                <w:color w:val="auto"/>
              </w:rPr>
            </w:pPr>
            <w:r>
              <w:rPr>
                <w:rFonts w:ascii="Arial" w:cs="Arial" w:eastAsia="Arial" w:hAnsi="Arial"/>
                <w:sz w:val="11"/>
                <w:szCs w:val="11"/>
                <w:color w:val="auto"/>
              </w:rPr>
              <w:t>Aggregate repurchases of common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4,999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6,397</w:t>
            </w:r>
          </w:p>
        </w:tc>
        <w:tc>
          <w:tcPr>
            <w:tcW w:w="240" w:type="dxa"/>
            <w:vAlign w:val="bottom"/>
          </w:tcPr>
          <w:p>
            <w:pPr>
              <w:spacing w:after="0"/>
              <w:rPr>
                <w:sz w:val="11"/>
                <w:szCs w:val="11"/>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305"/>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EMPLOYEE ISSUANCE</w:t>
            </w:r>
          </w:p>
        </w:tc>
        <w:tc>
          <w:tcPr>
            <w:tcW w:w="7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940" w:type="dxa"/>
            <w:vAlign w:val="bottom"/>
            <w:gridSpan w:val="6"/>
          </w:tcPr>
          <w:p>
            <w:pPr>
              <w:spacing w:after="0"/>
              <w:rPr>
                <w:sz w:val="20"/>
                <w:szCs w:val="20"/>
                <w:color w:val="auto"/>
              </w:rPr>
            </w:pPr>
            <w:r>
              <w:rPr>
                <w:rFonts w:ascii="Arial" w:cs="Arial" w:eastAsia="Arial" w:hAnsi="Arial"/>
                <w:sz w:val="11"/>
                <w:szCs w:val="11"/>
                <w:color w:val="auto"/>
              </w:rPr>
              <w:t>Shares issued from treasury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spacing w:after="0"/>
              <w:rPr>
                <w:sz w:val="20"/>
                <w:szCs w:val="20"/>
                <w:color w:val="auto"/>
              </w:rPr>
            </w:pPr>
            <w:r>
              <w:rPr>
                <w:rFonts w:ascii="Arial" w:cs="Arial" w:eastAsia="Arial" w:hAnsi="Arial"/>
                <w:sz w:val="11"/>
                <w:szCs w:val="11"/>
                <w:color w:val="auto"/>
              </w:rPr>
              <w:t>related to employee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stock-based compensation awards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and employee stock</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purchase plans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1940" w:type="dxa"/>
            <w:vAlign w:val="bottom"/>
            <w:gridSpan w:val="6"/>
          </w:tcPr>
          <w:p>
            <w:pPr>
              <w:spacing w:after="0"/>
              <w:rPr>
                <w:sz w:val="20"/>
                <w:szCs w:val="20"/>
                <w:color w:val="auto"/>
              </w:rPr>
            </w:pPr>
            <w:r>
              <w:rPr>
                <w:rFonts w:ascii="Arial" w:cs="Arial" w:eastAsia="Arial" w:hAnsi="Arial"/>
                <w:sz w:val="11"/>
                <w:szCs w:val="11"/>
                <w:color w:val="auto"/>
              </w:rPr>
              <w:t>Net impact of employee issuances 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6"/>
          </w:tcPr>
          <w:p>
            <w:pPr>
              <w:spacing w:after="0"/>
              <w:rPr>
                <w:sz w:val="20"/>
                <w:szCs w:val="20"/>
                <w:color w:val="auto"/>
              </w:rPr>
            </w:pPr>
            <w:r>
              <w:rPr>
                <w:rFonts w:ascii="Arial" w:cs="Arial" w:eastAsia="Arial" w:hAnsi="Arial"/>
                <w:sz w:val="11"/>
                <w:szCs w:val="11"/>
                <w:color w:val="auto"/>
              </w:rPr>
              <w:t>stockholders’ equity (b)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667</w:t>
            </w:r>
          </w:p>
        </w:tc>
        <w:tc>
          <w:tcPr>
            <w:tcW w:w="1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217</w:t>
            </w:r>
          </w:p>
        </w:tc>
        <w:tc>
          <w:tcPr>
            <w:tcW w:w="1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263</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325</w:t>
            </w:r>
          </w:p>
        </w:tc>
        <w:tc>
          <w:tcPr>
            <w:tcW w:w="2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398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207</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242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40" w:right="20" w:hanging="332"/>
        <w:spacing w:after="0" w:line="230" w:lineRule="auto"/>
        <w:tabs>
          <w:tab w:leader="none" w:pos="337" w:val="left"/>
        </w:tabs>
        <w:numPr>
          <w:ilvl w:val="0"/>
          <w:numId w:val="23"/>
        </w:numPr>
        <w:rPr>
          <w:rFonts w:ascii="Arial" w:cs="Arial" w:eastAsia="Arial" w:hAnsi="Arial"/>
          <w:sz w:val="11"/>
          <w:szCs w:val="11"/>
          <w:color w:val="auto"/>
        </w:rPr>
      </w:pPr>
      <w:r>
        <w:rPr>
          <w:rFonts w:ascii="Arial" w:cs="Arial" w:eastAsia="Arial" w:hAnsi="Arial"/>
          <w:sz w:val="11"/>
          <w:szCs w:val="11"/>
          <w:color w:val="auto"/>
        </w:rPr>
        <w:t>On March 15, 2020, in response to the economic disruptions caused by the COVID-19 pandemic, the Firm temporarily suspended repurchases of its common stock. Subsequently, the Federal Reserve directed all large banks, including the Firm, to discontinue net share repurchases through the end of 2020. On December 18, 2020, the Federal Reserve announced that all large banks, including the Firm, could resume share repurchases commencing in the first quarter of 2021, subject to certain restrictions; the restrictions were extended until at least the second quarter of 2021. The Firm’s Board of Directors authorized a new common share repurchase program for up to $30 billion.</w:t>
      </w:r>
    </w:p>
    <w:p>
      <w:pPr>
        <w:spacing w:after="0" w:line="1" w:lineRule="exact"/>
        <w:rPr>
          <w:rFonts w:ascii="Arial" w:cs="Arial" w:eastAsia="Arial" w:hAnsi="Arial"/>
          <w:sz w:val="11"/>
          <w:szCs w:val="11"/>
          <w:color w:val="auto"/>
        </w:rPr>
      </w:pPr>
    </w:p>
    <w:p>
      <w:pPr>
        <w:ind w:left="340" w:right="200" w:hanging="332"/>
        <w:spacing w:after="0" w:line="238" w:lineRule="auto"/>
        <w:tabs>
          <w:tab w:leader="none" w:pos="33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 and the exercise of employee stock options and SARs.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57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-62230</wp:posOffset>
            </wp:positionV>
            <wp:extent cx="23742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BANKING</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1Q21</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4Q20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6"/>
              </w:rPr>
              <w:t>INCOME STATEMENT</w:t>
            </w:r>
          </w:p>
        </w:tc>
        <w:tc>
          <w:tcPr>
            <w:tcW w:w="1220" w:type="dxa"/>
            <w:vAlign w:val="bottom"/>
            <w:gridSpan w:val="3"/>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120" w:type="dxa"/>
            <w:vAlign w:val="bottom"/>
            <w:tcBorders>
              <w:bottom w:val="single" w:sz="8" w:color="auto"/>
            </w:tcBorders>
            <w:gridSpan w:val="3"/>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806</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771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617</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972</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0"/>
        </w:trPr>
        <w:tc>
          <w:tcPr>
            <w:tcW w:w="2340" w:type="dxa"/>
            <w:vAlign w:val="bottom"/>
            <w:gridSpan w:val="6"/>
          </w:tcPr>
          <w:p>
            <w:pPr>
              <w:spacing w:after="0"/>
              <w:rPr>
                <w:sz w:val="20"/>
                <w:szCs w:val="20"/>
                <w:color w:val="auto"/>
              </w:rPr>
            </w:pPr>
            <w:r>
              <w:rPr>
                <w:rFonts w:ascii="Arial" w:cs="Arial" w:eastAsia="Arial" w:hAnsi="Arial"/>
                <w:sz w:val="11"/>
                <w:szCs w:val="11"/>
                <w:color w:val="auto"/>
              </w:rPr>
              <w:t>Asset management, administration and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40" w:type="dxa"/>
            <w:vAlign w:val="bottom"/>
            <w:gridSpan w:val="6"/>
          </w:tcPr>
          <w:p>
            <w:pPr>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766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Card income (a)</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652</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All other income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1,328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1,387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1,445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2340" w:type="dxa"/>
            <w:vAlign w:val="bottom"/>
            <w:gridSpan w:val="6"/>
            <w:vMerge w:val="restart"/>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4,558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4,863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4,222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4,097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0"/>
        </w:trPr>
        <w:tc>
          <w:tcPr>
            <w:tcW w:w="2340" w:type="dxa"/>
            <w:vAlign w:val="bottom"/>
            <w:gridSpan w:val="6"/>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7,929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8,170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8,032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8,136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9,190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2"/>
        </w:trPr>
        <w:tc>
          <w:tcPr>
            <w:tcW w:w="2340" w:type="dxa"/>
            <w:vAlign w:val="bottom"/>
            <w:gridSpan w:val="6"/>
            <w:vMerge w:val="restart"/>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12,517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12,728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12,895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12,358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13,287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22"/>
        </w:trPr>
        <w:tc>
          <w:tcPr>
            <w:tcW w:w="234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5,828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5,772</w:t>
            </w:r>
          </w:p>
        </w:tc>
        <w:tc>
          <w:tcPr>
            <w:tcW w:w="24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24"/>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2,734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2,694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2,782</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Noncompensation expense (a)(b)</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4,226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4,073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4,487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2340" w:type="dxa"/>
            <w:vAlign w:val="bottom"/>
            <w:gridSpan w:val="6"/>
            <w:vMerge w:val="restart"/>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7,202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7,042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6,767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7,269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3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Income/(loss) before income tax</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340" w:type="dxa"/>
            <w:vAlign w:val="bottom"/>
            <w:gridSpan w:val="6"/>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8,917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5,769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5,188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(237)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246</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expense/(benefit)</w:t>
            </w: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55</w:t>
            </w:r>
          </w:p>
        </w:tc>
        <w:tc>
          <w:tcPr>
            <w:tcW w:w="26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0"/>
        </w:trPr>
        <w:tc>
          <w:tcPr>
            <w:tcW w:w="2340" w:type="dxa"/>
            <w:vAlign w:val="bottom"/>
            <w:gridSpan w:val="6"/>
          </w:tcPr>
          <w:p>
            <w:pPr>
              <w:spacing w:after="0"/>
              <w:rPr>
                <w:sz w:val="20"/>
                <w:szCs w:val="20"/>
                <w:color w:val="auto"/>
              </w:rPr>
            </w:pPr>
            <w:r>
              <w:rPr>
                <w:rFonts w:ascii="Arial" w:cs="Arial" w:eastAsia="Arial" w:hAnsi="Arial"/>
                <w:sz w:val="11"/>
                <w:szCs w:val="11"/>
                <w:color w:val="auto"/>
              </w:rPr>
              <w:t>Income tax expense/(benefit)</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2,189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1,444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52</w:t>
            </w:r>
          </w:p>
        </w:tc>
        <w:tc>
          <w:tcPr>
            <w:tcW w:w="2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4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6,728</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4,325</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3,871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56</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70"/>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Business Banking</w:t>
            </w:r>
          </w:p>
        </w:tc>
        <w:tc>
          <w:tcPr>
            <w:tcW w:w="60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5,635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5,744</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5,697</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5,248</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1,456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1,687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1,161</w:t>
            </w:r>
          </w:p>
        </w:tc>
        <w:tc>
          <w:tcPr>
            <w:tcW w:w="2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Card &amp; Auto (a)</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5,424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5,528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5,484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5,860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05"/>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DETAILS:</w:t>
            </w:r>
          </w:p>
        </w:tc>
        <w:tc>
          <w:tcPr>
            <w:tcW w:w="1720" w:type="dxa"/>
            <w:vAlign w:val="bottom"/>
            <w:tcBorders>
              <w:top w:val="single" w:sz="8" w:color="auto"/>
            </w:tcBorders>
            <w:gridSpan w:val="4"/>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gridSpan w:val="6"/>
          </w:tcPr>
          <w:p>
            <w:pPr>
              <w:spacing w:after="0"/>
              <w:rPr>
                <w:sz w:val="20"/>
                <w:szCs w:val="20"/>
                <w:color w:val="auto"/>
              </w:rPr>
            </w:pPr>
            <w:r>
              <w:rPr>
                <w:rFonts w:ascii="Arial" w:cs="Arial" w:eastAsia="Arial" w:hAnsi="Arial"/>
                <w:sz w:val="11"/>
                <w:szCs w:val="11"/>
                <w:color w:val="auto"/>
              </w:rPr>
              <w:t>Production revenue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803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Net mortgage servicing revenue (c)</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(46)</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4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766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1,076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FINANCIAL RATIOS</w:t>
            </w:r>
          </w:p>
        </w:tc>
        <w:tc>
          <w:tcPr>
            <w:tcW w:w="132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340" w:type="dxa"/>
            <w:vAlign w:val="bottom"/>
            <w:gridSpan w:val="6"/>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 %</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491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260" w:right="100" w:hanging="252"/>
        <w:spacing w:after="0" w:line="230" w:lineRule="auto"/>
        <w:tabs>
          <w:tab w:leader="none" w:pos="257"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ind w:left="260" w:right="120" w:hanging="252"/>
        <w:spacing w:after="0" w:line="230" w:lineRule="auto"/>
        <w:tabs>
          <w:tab w:leader="none" w:pos="257"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$916 million, $975 million and $1.0 billion for the three months ended March 31, 2021, December 31, 2020 and September 30, 2020, and $1.1 billion for the three months ended June 30, 2020 and March 31, 2020, respectively.</w:t>
      </w:r>
    </w:p>
    <w:p>
      <w:pPr>
        <w:ind w:left="260" w:right="120" w:hanging="252"/>
        <w:spacing w:after="0" w:line="238" w:lineRule="auto"/>
        <w:tabs>
          <w:tab w:leader="none" w:pos="251"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Included MSR risk management results of $(115) million, $(152) million, $145 million, $79 million and $(90) million for the three months ended March 31, 2021, December 31, 2020, September 30, 2020, June 30, 2020 and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11</w:t>
      </w:r>
    </w:p>
    <w:p>
      <w:pPr>
        <w:sectPr>
          <w:pgSz w:w="11900" w:h="16838" w:orient="portrait"/>
          <w:cols w:equalWidth="0" w:num="1">
            <w:col w:w="11240"/>
          </w:cols>
          <w:pgMar w:left="320" w:top="1029"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-62230</wp:posOffset>
            </wp:positionV>
            <wp:extent cx="237426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BANKING</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headcount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5"/>
          </w:tcPr>
          <w:p>
            <w:pPr>
              <w:jc w:val="right"/>
              <w:ind w:right="31"/>
              <w:spacing w:after="0"/>
              <w:rPr>
                <w:sz w:val="20"/>
                <w:szCs w:val="20"/>
                <w:color w:val="auto"/>
              </w:rPr>
            </w:pPr>
            <w:r>
              <w:rPr>
                <w:rFonts w:ascii="Arial" w:cs="Arial" w:eastAsia="Arial" w:hAnsi="Arial"/>
                <w:sz w:val="11"/>
                <w:szCs w:val="11"/>
                <w:b w:val="1"/>
                <w:bCs w:val="1"/>
                <w:color w:val="auto"/>
                <w:w w:val="95"/>
              </w:rPr>
              <w:t>QUARTERLY TRENDS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1Q21</w:t>
            </w:r>
          </w:p>
        </w:tc>
        <w:tc>
          <w:tcPr>
            <w:tcW w:w="120" w:type="dxa"/>
            <w:vAlign w:val="bottom"/>
          </w:tcPr>
          <w:p>
            <w:pPr>
              <w:spacing w:after="0" w:line="20" w:lineRule="exact"/>
              <w:rPr>
                <w:sz w:val="1"/>
                <w:szCs w:val="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4Q20</w:t>
            </w:r>
          </w:p>
        </w:tc>
        <w:tc>
          <w:tcPr>
            <w:tcW w:w="100" w:type="dxa"/>
            <w:vAlign w:val="bottom"/>
          </w:tcPr>
          <w:p>
            <w:pPr>
              <w:spacing w:after="0" w:line="20" w:lineRule="exact"/>
              <w:rPr>
                <w:sz w:val="1"/>
                <w:szCs w:val="1"/>
                <w:color w:val="auto"/>
              </w:rPr>
            </w:pP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340" w:type="dxa"/>
            <w:vAlign w:val="bottom"/>
            <w:gridSpan w:val="5"/>
            <w:vMerge w:val="restart"/>
          </w:tcPr>
          <w:p>
            <w:pPr>
              <w:spacing w:after="0"/>
              <w:rPr>
                <w:sz w:val="20"/>
                <w:szCs w:val="20"/>
                <w:color w:val="auto"/>
              </w:rPr>
            </w:pPr>
            <w:r>
              <w:rPr>
                <w:rFonts w:ascii="Arial" w:cs="Arial" w:eastAsia="Arial" w:hAnsi="Arial"/>
                <w:sz w:val="11"/>
                <w:szCs w:val="11"/>
                <w:b w:val="1"/>
                <w:bCs w:val="1"/>
                <w:color w:val="auto"/>
                <w:w w:val="99"/>
              </w:rPr>
              <w:t>SELECTED BALANCE SHEET DATA (period-</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end)</w:t>
            </w:r>
          </w:p>
        </w:tc>
        <w:tc>
          <w:tcPr>
            <w:tcW w:w="2040" w:type="dxa"/>
            <w:vAlign w:val="bottom"/>
            <w:tcBorders>
              <w:top w:val="single" w:sz="8" w:color="auto"/>
            </w:tcBorders>
            <w:gridSpan w:val="3"/>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3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487,978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496,705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487,063</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498,658</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513,352</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4"/>
        </w:trPr>
        <w:tc>
          <w:tcPr>
            <w:tcW w:w="23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Consumer &amp; Business Banking (b)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52,654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48,810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49,646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49,305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30,004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Home Lending (c)(d)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178,776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182,121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188,561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195,664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205,318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Card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132,493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144,216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140,377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141,656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154,021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67,662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66,432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62,304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59,287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61,468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210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1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431,585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440,888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445,912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450,811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2"/>
        </w:trPr>
        <w:tc>
          <w:tcPr>
            <w:tcW w:w="23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1,037,903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958,706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909,198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885,535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783,398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2"/>
        </w:trPr>
        <w:tc>
          <w:tcPr>
            <w:tcW w:w="23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06"/>
        </w:trPr>
        <w:tc>
          <w:tcPr>
            <w:tcW w:w="234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50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484,524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486,272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490,094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504,571</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525,695</w:t>
            </w:r>
          </w:p>
        </w:tc>
        <w:tc>
          <w:tcPr>
            <w:tcW w:w="2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324"/>
        </w:trPr>
        <w:tc>
          <w:tcPr>
            <w:tcW w:w="23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Consumer &amp; Business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49,868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49,506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49,596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43,442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29,570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Home Lending (c)(e)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182,247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185,733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192,172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199,532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211,333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Card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134,884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141,236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140,386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142,377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162,660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66,960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64,342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60,345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60,306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60,893</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210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1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433,959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440,817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442,499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445,657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464,456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22"/>
        </w:trPr>
        <w:tc>
          <w:tcPr>
            <w:tcW w:w="23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979,686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928,518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895,535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840,467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739,709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2"/>
        </w:trPr>
        <w:tc>
          <w:tcPr>
            <w:tcW w:w="23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4"/>
        </w:trPr>
        <w:tc>
          <w:tcPr>
            <w:tcW w:w="234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126,084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122,894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122,905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123,765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124,609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491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90"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ind w:left="340" w:right="340" w:hanging="332"/>
        <w:spacing w:after="0" w:line="230" w:lineRule="auto"/>
        <w:tabs>
          <w:tab w:leader="none" w:pos="337"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and June 30, 2020, included $23.4 billion, $19.2 billion, $20.3 billion and $19.9 billion of loans, respectively, in Business Banking under the Paycheck Protection Program (“PPP”). Refer to page 113 of the Firm’s 2020 Form 10-K for further information on the PPP.</w:t>
      </w:r>
    </w:p>
    <w:p>
      <w:pPr>
        <w:ind w:left="320" w:hanging="312"/>
        <w:spacing w:after="0" w:line="230" w:lineRule="auto"/>
        <w:tabs>
          <w:tab w:leader="none" w:pos="3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Prior-period amounts have been revised to conform with the current presentation.</w:t>
      </w:r>
    </w:p>
    <w:p>
      <w:pPr>
        <w:ind w:left="340" w:right="300" w:hanging="332"/>
        <w:spacing w:after="0" w:line="230" w:lineRule="auto"/>
        <w:tabs>
          <w:tab w:leader="none" w:pos="337"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Home Lending loans held-for-sale and loans at fair value were $13.2 billion, $9.7 billion, $10.0 billion, $8.6 billion and $10.8 billion, respectively.</w:t>
      </w:r>
    </w:p>
    <w:p>
      <w:pPr>
        <w:ind w:left="340" w:right="120" w:hanging="332"/>
        <w:spacing w:after="0" w:line="238" w:lineRule="auto"/>
        <w:tabs>
          <w:tab w:leader="none" w:pos="337" w:val="left"/>
        </w:tabs>
        <w:numPr>
          <w:ilvl w:val="0"/>
          <w:numId w:val="25"/>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$12.5 billion, $10.7 billion, $9.2 billion, $8.7 billion and $15.8 billion for the three months ended March 31, 2021, December 31, 2020, September 30, 2020, June 30, 2020 and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934"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-79375</wp:posOffset>
            </wp:positionV>
            <wp:extent cx="23742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COMMUNITY BANKING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ind w:left="20"/>
        <w:spacing w:after="0"/>
        <w:rPr>
          <w:sz w:val="20"/>
          <w:szCs w:val="20"/>
          <w:color w:val="auto"/>
        </w:rPr>
      </w:pPr>
      <w:r>
        <w:rPr>
          <w:rFonts w:ascii="Arial" w:cs="Arial" w:eastAsia="Arial" w:hAnsi="Arial"/>
          <w:sz w:val="11"/>
          <w:szCs w:val="11"/>
          <w:b w:val="1"/>
          <w:bCs w:val="1"/>
          <w:color w:val="auto"/>
        </w:rPr>
        <w:t>CONTINUED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(in millions, except ratio data)</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QUARTERLY TRENDS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right"/>
              <w:ind w:right="30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1Q21</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4Q20</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3Q20</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2Q20</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1Q20</w:t>
            </w: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4Q20</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CREDIT DATA AND QUALITY</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2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STATISTICS</w:t>
            </w:r>
          </w:p>
        </w:tc>
        <w:tc>
          <w:tcPr>
            <w:tcW w:w="8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gridSpan w:val="3"/>
          </w:tcPr>
          <w:p>
            <w:pPr>
              <w:spacing w:after="0"/>
              <w:rPr>
                <w:sz w:val="20"/>
                <w:szCs w:val="20"/>
                <w:color w:val="auto"/>
              </w:rPr>
            </w:pPr>
            <w:r>
              <w:rPr>
                <w:rFonts w:ascii="Arial" w:cs="Arial" w:eastAsia="Arial" w:hAnsi="Arial"/>
                <w:sz w:val="11"/>
                <w:szCs w:val="11"/>
                <w:color w:val="auto"/>
              </w:rPr>
              <w:t>Nonaccrual loans (a)(b)</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5,672</w:t>
            </w:r>
          </w:p>
        </w:tc>
        <w:tc>
          <w:tcPr>
            <w:tcW w:w="580" w:type="dxa"/>
            <w:vAlign w:val="bottom"/>
          </w:tcPr>
          <w:p>
            <w:pPr>
              <w:jc w:val="right"/>
              <w:ind w:right="246"/>
              <w:spacing w:after="0"/>
              <w:rPr>
                <w:sz w:val="20"/>
                <w:szCs w:val="20"/>
                <w:color w:val="auto"/>
              </w:rPr>
            </w:pPr>
            <w:r>
              <w:rPr>
                <w:rFonts w:ascii="Arial" w:cs="Arial" w:eastAsia="Arial" w:hAnsi="Arial"/>
                <w:sz w:val="11"/>
                <w:szCs w:val="11"/>
                <w:color w:val="auto"/>
              </w:rPr>
              <w:t>(f)</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5,675</w:t>
            </w:r>
          </w:p>
        </w:tc>
        <w:tc>
          <w:tcPr>
            <w:tcW w:w="620" w:type="dxa"/>
            <w:vAlign w:val="bottom"/>
          </w:tcPr>
          <w:p>
            <w:pPr>
              <w:jc w:val="right"/>
              <w:ind w:right="286"/>
              <w:spacing w:after="0"/>
              <w:rPr>
                <w:sz w:val="20"/>
                <w:szCs w:val="20"/>
                <w:color w:val="auto"/>
              </w:rPr>
            </w:pPr>
            <w:r>
              <w:rPr>
                <w:rFonts w:ascii="Arial" w:cs="Arial" w:eastAsia="Arial" w:hAnsi="Arial"/>
                <w:sz w:val="11"/>
                <w:szCs w:val="11"/>
                <w:color w:val="auto"/>
              </w:rPr>
              <w:t>(f)</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5,162</w:t>
            </w:r>
          </w:p>
        </w:tc>
        <w:tc>
          <w:tcPr>
            <w:tcW w:w="660" w:type="dxa"/>
            <w:vAlign w:val="bottom"/>
          </w:tcPr>
          <w:p>
            <w:pPr>
              <w:ind w:left="180"/>
              <w:spacing w:after="0"/>
              <w:rPr>
                <w:sz w:val="20"/>
                <w:szCs w:val="20"/>
                <w:color w:val="auto"/>
              </w:rPr>
            </w:pPr>
            <w:r>
              <w:rPr>
                <w:rFonts w:ascii="Arial" w:cs="Arial" w:eastAsia="Arial" w:hAnsi="Arial"/>
                <w:sz w:val="11"/>
                <w:szCs w:val="11"/>
                <w:color w:val="auto"/>
              </w:rPr>
              <w:t>(f)(g)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4,429</w:t>
            </w:r>
          </w:p>
        </w:tc>
        <w:tc>
          <w:tcPr>
            <w:tcW w:w="580" w:type="dxa"/>
            <w:vAlign w:val="bottom"/>
          </w:tcPr>
          <w:p>
            <w:pPr>
              <w:jc w:val="right"/>
              <w:ind w:right="246"/>
              <w:spacing w:after="0"/>
              <w:rPr>
                <w:sz w:val="20"/>
                <w:szCs w:val="20"/>
                <w:color w:val="auto"/>
              </w:rPr>
            </w:pPr>
            <w:r>
              <w:rPr>
                <w:rFonts w:ascii="Arial" w:cs="Arial" w:eastAsia="Arial" w:hAnsi="Arial"/>
                <w:sz w:val="11"/>
                <w:szCs w:val="11"/>
                <w:color w:val="auto"/>
              </w:rPr>
              <w:t>(f)</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4,022</w:t>
            </w:r>
          </w:p>
        </w:tc>
        <w:tc>
          <w:tcPr>
            <w:tcW w:w="220" w:type="dxa"/>
            <w:vAlign w:val="bottom"/>
          </w:tcPr>
          <w:p>
            <w:pPr>
              <w:spacing w:after="0"/>
              <w:rPr>
                <w:sz w:val="13"/>
                <w:szCs w:val="13"/>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580" w:type="dxa"/>
            <w:vAlign w:val="bottom"/>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62"/>
        </w:trPr>
        <w:tc>
          <w:tcPr>
            <w:tcW w:w="1840" w:type="dxa"/>
            <w:vAlign w:val="bottom"/>
            <w:gridSpan w:val="3"/>
          </w:tcPr>
          <w:p>
            <w:pPr>
              <w:spacing w:after="0"/>
              <w:rPr>
                <w:sz w:val="20"/>
                <w:szCs w:val="20"/>
                <w:color w:val="auto"/>
              </w:rPr>
            </w:pPr>
            <w:r>
              <w:rPr>
                <w:rFonts w:ascii="Arial" w:cs="Arial" w:eastAsia="Arial" w:hAnsi="Arial"/>
                <w:sz w:val="11"/>
                <w:szCs w:val="11"/>
                <w:color w:val="auto"/>
              </w:rPr>
              <w:t>Net charge-offs/(recoveries)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Consumer &amp; Business Banking</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74</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Home Lending</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(122)</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Card</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983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767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1,028</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1,178</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1,313</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48</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22"/>
        </w:trPr>
        <w:tc>
          <w:tcPr>
            <w:tcW w:w="18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rPr>
              <w:t>Total net charge-</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840" w:type="dxa"/>
            <w:vAlign w:val="bottom"/>
            <w:gridSpan w:val="3"/>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1,023</w:t>
            </w:r>
          </w:p>
        </w:tc>
        <w:tc>
          <w:tcPr>
            <w:tcW w:w="5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817</w:t>
            </w:r>
          </w:p>
        </w:tc>
        <w:tc>
          <w:tcPr>
            <w:tcW w:w="6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1,095</w:t>
            </w:r>
          </w:p>
        </w:tc>
        <w:tc>
          <w:tcPr>
            <w:tcW w:w="66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1,278</w:t>
            </w:r>
          </w:p>
        </w:tc>
        <w:tc>
          <w:tcPr>
            <w:tcW w:w="5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1,313</w:t>
            </w: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840" w:type="dxa"/>
            <w:vAlign w:val="bottom"/>
            <w:gridSpan w:val="3"/>
          </w:tcPr>
          <w:p>
            <w:pPr>
              <w:ind w:left="340"/>
              <w:spacing w:after="0"/>
              <w:rPr>
                <w:sz w:val="20"/>
                <w:szCs w:val="20"/>
                <w:color w:val="auto"/>
              </w:rPr>
            </w:pPr>
            <w:r>
              <w:rPr>
                <w:rFonts w:ascii="Arial" w:cs="Arial" w:eastAsia="Arial" w:hAnsi="Arial"/>
                <w:sz w:val="11"/>
                <w:szCs w:val="11"/>
                <w:b w:val="1"/>
                <w:bCs w:val="1"/>
                <w:color w:val="auto"/>
              </w:rPr>
              <w:t>offs/(recoveries)</w:t>
            </w: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0"/>
        </w:trPr>
        <w:tc>
          <w:tcPr>
            <w:tcW w:w="1840" w:type="dxa"/>
            <w:vAlign w:val="bottom"/>
            <w:gridSpan w:val="3"/>
          </w:tcPr>
          <w:p>
            <w:pPr>
              <w:spacing w:after="0"/>
              <w:rPr>
                <w:sz w:val="20"/>
                <w:szCs w:val="20"/>
                <w:color w:val="auto"/>
              </w:rPr>
            </w:pPr>
            <w:r>
              <w:rPr>
                <w:rFonts w:ascii="Arial" w:cs="Arial" w:eastAsia="Arial" w:hAnsi="Arial"/>
                <w:sz w:val="11"/>
                <w:szCs w:val="11"/>
                <w:color w:val="auto"/>
              </w:rPr>
              <w:t>Net charge-off/(recovery) rate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Consumer &amp; Business Banking (c)</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0.53</w:t>
            </w:r>
          </w:p>
        </w:tc>
        <w:tc>
          <w:tcPr>
            <w:tcW w:w="580" w:type="dxa"/>
            <w:vAlign w:val="bottom"/>
          </w:tcPr>
          <w:p>
            <w:pPr>
              <w:jc w:val="right"/>
              <w:ind w:right="42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0.60</w:t>
            </w:r>
          </w:p>
        </w:tc>
        <w:tc>
          <w:tcPr>
            <w:tcW w:w="620" w:type="dxa"/>
            <w:vAlign w:val="bottom"/>
          </w:tcPr>
          <w:p>
            <w:pPr>
              <w:jc w:val="right"/>
              <w:ind w:right="4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0.43</w:t>
            </w:r>
          </w:p>
        </w:tc>
        <w:tc>
          <w:tcPr>
            <w:tcW w:w="66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0.56</w:t>
            </w:r>
          </w:p>
        </w:tc>
        <w:tc>
          <w:tcPr>
            <w:tcW w:w="580" w:type="dxa"/>
            <w:vAlign w:val="bottom"/>
          </w:tcPr>
          <w:p>
            <w:pPr>
              <w:jc w:val="right"/>
              <w:ind w:right="42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1.01</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Home Lending</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(0.11)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Card</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2.97</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2.17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3.33</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0.16</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0.15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0.32</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gridSpan w:val="3"/>
          </w:tcPr>
          <w:p>
            <w:pPr>
              <w:ind w:left="340"/>
              <w:spacing w:after="0"/>
              <w:rPr>
                <w:sz w:val="20"/>
                <w:szCs w:val="20"/>
                <w:color w:val="auto"/>
              </w:rPr>
            </w:pPr>
            <w:r>
              <w:rPr>
                <w:rFonts w:ascii="Arial" w:cs="Arial" w:eastAsia="Arial" w:hAnsi="Arial"/>
                <w:sz w:val="11"/>
                <w:szCs w:val="11"/>
                <w:b w:val="1"/>
                <w:bCs w:val="1"/>
                <w:color w:val="auto"/>
              </w:rPr>
              <w:t>Total net charge-</w:t>
            </w:r>
          </w:p>
        </w:tc>
        <w:tc>
          <w:tcPr>
            <w:tcW w:w="10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0.99</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0.76</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1.18</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1.18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40" w:type="dxa"/>
            <w:vAlign w:val="bottom"/>
            <w:gridSpan w:val="3"/>
          </w:tcPr>
          <w:p>
            <w:pPr>
              <w:ind w:left="340"/>
              <w:spacing w:after="0"/>
              <w:rPr>
                <w:sz w:val="20"/>
                <w:szCs w:val="20"/>
                <w:color w:val="auto"/>
              </w:rPr>
            </w:pPr>
            <w:r>
              <w:rPr>
                <w:rFonts w:ascii="Arial" w:cs="Arial" w:eastAsia="Arial" w:hAnsi="Arial"/>
                <w:sz w:val="11"/>
                <w:szCs w:val="11"/>
                <w:b w:val="1"/>
                <w:bCs w:val="1"/>
                <w:color w:val="auto"/>
              </w:rPr>
              <w:t>off/(recovery) rate</w:t>
            </w: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840" w:type="dxa"/>
            <w:vAlign w:val="bottom"/>
            <w:gridSpan w:val="3"/>
          </w:tcPr>
          <w:p>
            <w:pPr>
              <w:spacing w:after="0"/>
              <w:rPr>
                <w:sz w:val="20"/>
                <w:szCs w:val="20"/>
                <w:color w:val="auto"/>
              </w:rPr>
            </w:pPr>
            <w:r>
              <w:rPr>
                <w:rFonts w:ascii="Arial" w:cs="Arial" w:eastAsia="Arial" w:hAnsi="Arial"/>
                <w:sz w:val="11"/>
                <w:szCs w:val="11"/>
                <w:color w:val="auto"/>
              </w:rPr>
              <w:t>30+ day delinquency rate (d)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Home Lending (e)</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580" w:type="dxa"/>
            <w:vAlign w:val="bottom"/>
          </w:tcPr>
          <w:p>
            <w:pPr>
              <w:jc w:val="right"/>
              <w:ind w:right="42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1.15</w:t>
            </w:r>
          </w:p>
        </w:tc>
        <w:tc>
          <w:tcPr>
            <w:tcW w:w="620" w:type="dxa"/>
            <w:vAlign w:val="bottom"/>
          </w:tcPr>
          <w:p>
            <w:pPr>
              <w:jc w:val="right"/>
              <w:ind w:right="4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66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1.30</w:t>
            </w:r>
          </w:p>
        </w:tc>
        <w:tc>
          <w:tcPr>
            <w:tcW w:w="580" w:type="dxa"/>
            <w:vAlign w:val="bottom"/>
          </w:tcPr>
          <w:p>
            <w:pPr>
              <w:jc w:val="right"/>
              <w:ind w:right="42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1.48</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Card</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1.57</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1.96</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0.42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0.69</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0.54</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0.54</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0.89</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1"/>
                <w:szCs w:val="11"/>
                <w:color w:val="auto"/>
              </w:rPr>
              <w:t>90+ day delinquency rate - Card (d)</w:t>
            </w:r>
          </w:p>
        </w:tc>
        <w:tc>
          <w:tcPr>
            <w:tcW w:w="10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0.92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0.93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1"/>
                <w:szCs w:val="11"/>
                <w:color w:val="auto"/>
              </w:rPr>
              <w:t>Allowance for loan losses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Consumer &amp; Business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1,022</w:t>
            </w: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1,372</w:t>
            </w:r>
          </w:p>
        </w:tc>
        <w:tc>
          <w:tcPr>
            <w:tcW w:w="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1,372</w:t>
            </w:r>
          </w:p>
        </w:tc>
        <w:tc>
          <w:tcPr>
            <w:tcW w:w="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1,372</w:t>
            </w: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884</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Home Lending</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1,238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1,813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2,685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2,957</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2,137</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Card</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14,300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17,800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17,800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17,800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14,950</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892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1,042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1,044</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1,044</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732</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40" w:type="dxa"/>
            <w:vAlign w:val="bottom"/>
            <w:gridSpan w:val="3"/>
          </w:tcPr>
          <w:p>
            <w:pPr>
              <w:ind w:left="200"/>
              <w:spacing w:after="0"/>
              <w:rPr>
                <w:sz w:val="20"/>
                <w:szCs w:val="20"/>
                <w:color w:val="auto"/>
              </w:rPr>
            </w:pPr>
            <w:r>
              <w:rPr>
                <w:rFonts w:ascii="Arial" w:cs="Arial" w:eastAsia="Arial" w:hAnsi="Arial"/>
                <w:sz w:val="11"/>
                <w:szCs w:val="11"/>
                <w:b w:val="1"/>
                <w:bCs w:val="1"/>
                <w:color w:val="auto"/>
                <w:w w:val="99"/>
              </w:rPr>
              <w:t>Total allowance for loan losses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17,452</w:t>
            </w:r>
          </w:p>
        </w:tc>
        <w:tc>
          <w:tcPr>
            <w:tcW w:w="5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22,027</w:t>
            </w:r>
          </w:p>
        </w:tc>
        <w:tc>
          <w:tcPr>
            <w:tcW w:w="6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22,901</w:t>
            </w:r>
          </w:p>
        </w:tc>
        <w:tc>
          <w:tcPr>
            <w:tcW w:w="6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23,173</w:t>
            </w:r>
          </w:p>
        </w:tc>
        <w:tc>
          <w:tcPr>
            <w:tcW w:w="5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18,703</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74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82"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340" w:right="80" w:hanging="332"/>
        <w:spacing w:after="0" w:line="230" w:lineRule="auto"/>
        <w:tabs>
          <w:tab w:leader="none" w:pos="33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nonaccrual loans excluded mortgage loans 90 or more days past due and insured by U.S. government agencies of $458 million, $558 million, $851 million, $561 million and $616 million, respectively. These amounts have been excluded based upon the government guarantee.</w:t>
      </w:r>
    </w:p>
    <w:p>
      <w:pPr>
        <w:ind w:left="320" w:hanging="312"/>
        <w:spacing w:after="0" w:line="230" w:lineRule="auto"/>
        <w:tabs>
          <w:tab w:leader="none" w:pos="3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Prior-period amounts have been revised to conform with the current presentation.</w:t>
      </w:r>
    </w:p>
    <w:p>
      <w:pPr>
        <w:ind w:left="340" w:right="140" w:hanging="332"/>
        <w:spacing w:after="0" w:line="230" w:lineRule="auto"/>
        <w:tabs>
          <w:tab w:leader="none" w:pos="331"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and June 30, 2020, included $23.4 billion, $19.2 billion, $20.3 billion and $19.9 billion of loans, respectively, under the PPP. Given that PPP loans are guaranteed by the SBA, the Firm does not expect to realize material credit losses on these loans. Refer to page 113 of the Firm’s 2020 Form 10-K for further information on the PPP.</w:t>
      </w:r>
    </w:p>
    <w:p>
      <w:pPr>
        <w:jc w:val="both"/>
        <w:ind w:left="340" w:right="140" w:hanging="332"/>
        <w:spacing w:after="0" w:line="230" w:lineRule="auto"/>
        <w:tabs>
          <w:tab w:leader="none" w:pos="33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and June 30, 2020, the principal balance of loans under payment deferral programs offered in response to the COVID-19 pandemic were as follows: (1) $8.1 billion, $9.1 billion, $10.2 billion and $18.2 billion in Home Lending, respectively; (2) $105 million, $264 million, $368 million and $4.4 billion in Card, respectively; and (3) $127 million, $376 million, $411 million and $12.3 billion in Auto, respectively. Loans that are performing according to their modified terms are generally not considered delinquent.</w:t>
      </w:r>
    </w:p>
    <w:p>
      <w:pPr>
        <w:ind w:left="340" w:right="60" w:hanging="332"/>
        <w:spacing w:after="0" w:line="230" w:lineRule="auto"/>
        <w:tabs>
          <w:tab w:leader="none" w:pos="33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excluded mortgage loans 30 or more days past due and insured by U.S. government agencies of $557 million, $744 million, $1.1 billion, $826 million and $1.0 billion, respectively. These amounts have been excluded based upon the government guarantee.</w:t>
      </w:r>
    </w:p>
    <w:p>
      <w:pPr>
        <w:ind w:left="340" w:right="180" w:hanging="332"/>
        <w:spacing w:after="0" w:line="253" w:lineRule="auto"/>
        <w:tabs>
          <w:tab w:leader="none" w:pos="334" w:val="left"/>
        </w:tabs>
        <w:numPr>
          <w:ilvl w:val="0"/>
          <w:numId w:val="26"/>
        </w:numPr>
        <w:rPr>
          <w:rFonts w:ascii="Arial" w:cs="Arial" w:eastAsia="Arial" w:hAnsi="Arial"/>
          <w:sz w:val="10"/>
          <w:szCs w:val="10"/>
          <w:color w:val="auto"/>
        </w:rPr>
      </w:pPr>
      <w:r>
        <w:rPr>
          <w:rFonts w:ascii="Arial" w:cs="Arial" w:eastAsia="Arial" w:hAnsi="Arial"/>
          <w:sz w:val="10"/>
          <w:szCs w:val="10"/>
          <w:color w:val="auto"/>
        </w:rPr>
        <w:t>Generally excludes loans that were under payment deferral programs offered in response to the COVID-19 pandemic. Beginning in the third quarter of 2020, includes loans to customers that have exited COVID-19 payment deferral programs and are 90 or more days past due, predominantly all of which were considered collateral-dependent and charged down to the lower of amortized cost or fair value of the underlying collateral less costs to sell.</w:t>
      </w:r>
    </w:p>
    <w:p>
      <w:pPr>
        <w:ind w:left="320" w:hanging="312"/>
        <w:spacing w:after="0"/>
        <w:tabs>
          <w:tab w:leader="none" w:pos="3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1029" w:right="339" w:bottom="1440" w:gutter="0" w:footer="0" w:header="0"/>
        </w:sectPr>
      </w:pPr>
    </w:p>
    <w:bookmarkStart w:id="25" w:name="page26"/>
    <w:bookmarkEnd w:id="25"/>
    <w:p>
      <w:pPr>
        <w:ind w:left="28"/>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8"/>
        <w:spacing w:after="0"/>
        <w:rPr>
          <w:sz w:val="20"/>
          <w:szCs w:val="20"/>
          <w:color w:val="auto"/>
        </w:rPr>
      </w:pPr>
      <w:r>
        <w:rPr>
          <w:rFonts w:ascii="Arial" w:cs="Arial" w:eastAsia="Arial" w:hAnsi="Arial"/>
          <w:sz w:val="14"/>
          <w:szCs w:val="14"/>
          <w:b w:val="1"/>
          <w:bCs w:val="1"/>
          <w:color w:val="auto"/>
        </w:rPr>
        <w:t>CONSUMER &amp; COMMUNITY</w:t>
      </w:r>
    </w:p>
    <w:p>
      <w:pPr>
        <w:ind w:left="28"/>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-95885</wp:posOffset>
            </wp:positionV>
            <wp:extent cx="237426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8"/>
        <w:spacing w:after="0"/>
        <w:rPr>
          <w:sz w:val="20"/>
          <w:szCs w:val="20"/>
          <w:color w:val="auto"/>
        </w:rPr>
      </w:pPr>
      <w:r>
        <w:rPr>
          <w:rFonts w:ascii="Arial" w:cs="Arial" w:eastAsia="Arial" w:hAnsi="Arial"/>
          <w:sz w:val="11"/>
          <w:szCs w:val="11"/>
          <w:b w:val="1"/>
          <w:bCs w:val="1"/>
          <w:color w:val="auto"/>
        </w:rPr>
        <w:t>FINANCIAL HIGHLIGHTS,</w:t>
      </w:r>
    </w:p>
    <w:p>
      <w:pPr>
        <w:ind w:left="28"/>
        <w:spacing w:after="0"/>
        <w:rPr>
          <w:sz w:val="20"/>
          <w:szCs w:val="20"/>
          <w:color w:val="auto"/>
        </w:rPr>
      </w:pPr>
      <w:r>
        <w:rPr>
          <w:rFonts w:ascii="Arial" w:cs="Arial" w:eastAsia="Arial" w:hAnsi="Arial"/>
          <w:sz w:val="11"/>
          <w:szCs w:val="11"/>
          <w:b w:val="1"/>
          <w:bCs w:val="1"/>
          <w:color w:val="auto"/>
        </w:rPr>
        <w:t>CONTINUED</w:t>
      </w:r>
    </w:p>
    <w:p>
      <w:pPr>
        <w:spacing w:after="0" w:line="17"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(in millions, except ratio data and</w:t>
      </w:r>
    </w:p>
    <w:p>
      <w:pPr>
        <w:ind w:left="28"/>
        <w:spacing w:after="0"/>
        <w:rPr>
          <w:sz w:val="20"/>
          <w:szCs w:val="20"/>
          <w:color w:val="auto"/>
        </w:rPr>
      </w:pPr>
      <w:r>
        <w:rPr>
          <w:rFonts w:ascii="Arial" w:cs="Arial" w:eastAsia="Arial" w:hAnsi="Arial"/>
          <w:sz w:val="11"/>
          <w:szCs w:val="11"/>
          <w:b w:val="1"/>
          <w:bCs w:val="1"/>
          <w:color w:val="auto"/>
        </w:rPr>
        <w:t>where otherwise noted)</w:t>
      </w:r>
    </w:p>
    <w:p>
      <w:pPr>
        <w:spacing w:after="0" w:line="18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5"/>
          </w:tcPr>
          <w:p>
            <w:pPr>
              <w:jc w:val="right"/>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ind w:right="30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1Q21</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4Q20</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3Q20</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2Q20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4Q20</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5"/>
              </w:rPr>
              <w:t>BUSINESS METRICS</w:t>
            </w:r>
          </w:p>
        </w:tc>
        <w:tc>
          <w:tcPr>
            <w:tcW w:w="8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080" w:type="dxa"/>
            <w:vAlign w:val="bottom"/>
            <w:tcBorders>
              <w:bottom w:val="single" w:sz="8" w:color="auto"/>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Branches</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4,872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4,908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4,960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4,923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4,967</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Active digital customers (in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thousands) (a)</w:t>
            </w:r>
          </w:p>
        </w:tc>
        <w:tc>
          <w:tcPr>
            <w:tcW w:w="1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56,671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55,274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54,779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54,505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53,833</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Active mobile customers (in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thousands) (b)</w:t>
            </w:r>
          </w:p>
        </w:tc>
        <w:tc>
          <w:tcPr>
            <w:tcW w:w="1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41,872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40,899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40,164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39,044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38,256</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30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Debit and credit card sales volume (in</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290.3</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299.4</w:t>
            </w:r>
          </w:p>
        </w:tc>
        <w:tc>
          <w:tcPr>
            <w:tcW w:w="2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278.2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237.6</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266.0</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324"/>
        </w:trPr>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Consumer &amp; Business Banking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Average deposits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960,662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907,884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874,325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821,624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724,970</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Deposit margin</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1.29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1.43</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3"/>
          </w:tcPr>
          <w:p>
            <w:pPr>
              <w:ind w:left="20"/>
              <w:spacing w:after="0"/>
              <w:rPr>
                <w:sz w:val="20"/>
                <w:szCs w:val="20"/>
                <w:color w:val="auto"/>
              </w:rPr>
            </w:pPr>
            <w:r>
              <w:rPr>
                <w:rFonts w:ascii="Arial" w:cs="Arial" w:eastAsia="Arial" w:hAnsi="Arial"/>
                <w:sz w:val="11"/>
                <w:szCs w:val="11"/>
                <w:color w:val="auto"/>
                <w:w w:val="99"/>
              </w:rPr>
              <w:t>Business banking origination volume (c) $</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10,035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722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23,042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1,491</w:t>
            </w:r>
          </w:p>
        </w:tc>
        <w:tc>
          <w:tcPr>
            <w:tcW w:w="2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NM</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Client investment assets</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636,962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590,206</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529,196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494,390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442,634</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Number of client advisors</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4,417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4,290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4,259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4,291</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4"/>
        </w:trPr>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Home Lending (in billions)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w w:val="97"/>
              </w:rPr>
              <w:t>Mortgage origination volume by channel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Retail</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23.0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18.0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62"/>
        </w:trPr>
        <w:tc>
          <w:tcPr>
            <w:tcW w:w="1940" w:type="dxa"/>
            <w:vAlign w:val="bottom"/>
            <w:gridSpan w:val="2"/>
          </w:tcPr>
          <w:p>
            <w:pPr>
              <w:ind w:left="140"/>
              <w:spacing w:after="0"/>
              <w:rPr>
                <w:sz w:val="20"/>
                <w:szCs w:val="20"/>
                <w:color w:val="auto"/>
              </w:rPr>
            </w:pPr>
            <w:r>
              <w:rPr>
                <w:rFonts w:ascii="Arial" w:cs="Arial" w:eastAsia="Arial" w:hAnsi="Arial"/>
                <w:sz w:val="11"/>
                <w:szCs w:val="11"/>
                <w:color w:val="auto"/>
              </w:rPr>
              <w:t>Correspondent</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14.0</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2"/>
        </w:trPr>
        <w:tc>
          <w:tcPr>
            <w:tcW w:w="19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Total mortgage origination</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39.3</w:t>
            </w:r>
          </w:p>
        </w:tc>
        <w:tc>
          <w:tcPr>
            <w:tcW w:w="22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32.5</w:t>
            </w:r>
          </w:p>
        </w:tc>
        <w:tc>
          <w:tcPr>
            <w:tcW w:w="2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29.0</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24.2</w:t>
            </w:r>
          </w:p>
        </w:tc>
        <w:tc>
          <w:tcPr>
            <w:tcW w:w="24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28.1</w:t>
            </w: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40" w:type="dxa"/>
            <w:vAlign w:val="bottom"/>
            <w:gridSpan w:val="2"/>
          </w:tcPr>
          <w:p>
            <w:pPr>
              <w:ind w:left="220"/>
              <w:spacing w:after="0"/>
              <w:rPr>
                <w:sz w:val="20"/>
                <w:szCs w:val="20"/>
                <w:color w:val="auto"/>
              </w:rPr>
            </w:pPr>
            <w:r>
              <w:rPr>
                <w:rFonts w:ascii="Arial" w:cs="Arial" w:eastAsia="Arial" w:hAnsi="Arial"/>
                <w:sz w:val="11"/>
                <w:szCs w:val="11"/>
                <w:b w:val="1"/>
                <w:bCs w:val="1"/>
                <w:color w:val="auto"/>
              </w:rPr>
              <w:t>volume (d)</w:t>
            </w:r>
          </w:p>
        </w:tc>
        <w:tc>
          <w:tcPr>
            <w:tcW w:w="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9"/>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Third-party mortgage loans serviced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(period-end)</w:t>
            </w:r>
          </w:p>
        </w:tc>
        <w:tc>
          <w:tcPr>
            <w:tcW w:w="1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447.3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454.8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482.4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505.0</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MSR carrying value (period-end)</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Ratio of MSR carrying value (period-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40" w:type="dxa"/>
            <w:vAlign w:val="bottom"/>
            <w:gridSpan w:val="2"/>
          </w:tcPr>
          <w:p>
            <w:pPr>
              <w:ind w:left="100"/>
              <w:spacing w:after="0" w:line="108" w:lineRule="exact"/>
              <w:rPr>
                <w:sz w:val="20"/>
                <w:szCs w:val="20"/>
                <w:color w:val="auto"/>
              </w:rPr>
            </w:pPr>
            <w:r>
              <w:rPr>
                <w:rFonts w:ascii="Arial" w:cs="Arial" w:eastAsia="Arial" w:hAnsi="Arial"/>
                <w:sz w:val="11"/>
                <w:szCs w:val="11"/>
                <w:color w:val="auto"/>
              </w:rPr>
              <w:t>end) to third-party mortgage loans</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100"/>
              <w:spacing w:after="0"/>
              <w:rPr>
                <w:sz w:val="20"/>
                <w:szCs w:val="20"/>
                <w:color w:val="auto"/>
              </w:rPr>
            </w:pPr>
            <w:r>
              <w:rPr>
                <w:rFonts w:ascii="Arial" w:cs="Arial" w:eastAsia="Arial" w:hAnsi="Arial"/>
                <w:sz w:val="11"/>
                <w:szCs w:val="11"/>
                <w:color w:val="auto"/>
              </w:rPr>
              <w:t>serviced (period-end)</w:t>
            </w:r>
          </w:p>
        </w:tc>
        <w:tc>
          <w:tcPr>
            <w:tcW w:w="1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1.02</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0.74</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0.66</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0.64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0.65</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MSR revenue multiple (e)</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3.78 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2.64 x</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2.28 x</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2.29 x</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 x</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Credit card sales volume, excluding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Commercial Card (in billions)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183.7</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197.0</w:t>
            </w:r>
          </w:p>
        </w:tc>
        <w:tc>
          <w:tcPr>
            <w:tcW w:w="2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178.1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148.5</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179.1</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Net revenue rate (f)</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11.53</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11.22</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10.96</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11.02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10.54</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Loan and lease origination volume (in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2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7.7</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rPr>
                <w:sz w:val="20"/>
                <w:szCs w:val="20"/>
                <w:color w:val="auto"/>
              </w:rPr>
            </w:pPr>
            <w:r>
              <w:rPr>
                <w:rFonts w:ascii="Arial" w:cs="Arial" w:eastAsia="Arial" w:hAnsi="Arial"/>
                <w:sz w:val="11"/>
                <w:szCs w:val="11"/>
                <w:color w:val="auto"/>
              </w:rPr>
              <w:t>Average auto operating lease assets</w:t>
            </w: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20,300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20,810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21,684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22,579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23,081</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1242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8" w:right="1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1" w:lineRule="exact"/>
        <w:rPr>
          <w:sz w:val="20"/>
          <w:szCs w:val="20"/>
          <w:color w:val="auto"/>
        </w:rPr>
      </w:pPr>
    </w:p>
    <w:p>
      <w:pPr>
        <w:ind w:left="328" w:hanging="328"/>
        <w:spacing w:after="0"/>
        <w:tabs>
          <w:tab w:leader="none" w:pos="3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ind w:left="328" w:hanging="328"/>
        <w:spacing w:after="0" w:line="230" w:lineRule="auto"/>
        <w:tabs>
          <w:tab w:leader="none" w:pos="3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ind w:left="328" w:right="80" w:hanging="328"/>
        <w:spacing w:after="0" w:line="230" w:lineRule="auto"/>
        <w:tabs>
          <w:tab w:leader="none" w:pos="319"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Included $9.3 billion, $396 million and $21.5 billion of origination volume under the PPP for the three months ended March 31, 2021, September 30, 2020 and June 30, 2020, respectively. There were no originations under the PPP for the three months ended December 31, 2020. Refer to page 113 of the Firm’s 2020 Form 10-K for further information on the PPP.</w:t>
      </w:r>
    </w:p>
    <w:p>
      <w:pPr>
        <w:ind w:left="328" w:right="100" w:hanging="328"/>
        <w:spacing w:after="0" w:line="230" w:lineRule="auto"/>
        <w:tabs>
          <w:tab w:leader="none" w:pos="325" w:val="left"/>
        </w:tabs>
        <w:numPr>
          <w:ilvl w:val="0"/>
          <w:numId w:val="27"/>
        </w:numPr>
        <w:rPr>
          <w:rFonts w:ascii="Arial" w:cs="Arial" w:eastAsia="Arial" w:hAnsi="Arial"/>
          <w:sz w:val="11"/>
          <w:szCs w:val="11"/>
          <w:color w:val="auto"/>
        </w:rPr>
      </w:pPr>
      <w:r>
        <w:rPr>
          <w:rFonts w:ascii="Arial" w:cs="Arial" w:eastAsia="Arial" w:hAnsi="Arial"/>
          <w:sz w:val="11"/>
          <w:szCs w:val="11"/>
          <w:color w:val="auto"/>
        </w:rPr>
        <w:t>Firmwide mortgage origination volume was $43.2 billion, $37.0 billion, $36.2 billion, $28.3 billion and $31.9 billion for the three months ended March 31, 2021, December 31, 2020, September 30, 2020, June 30, 2020 and March 31, 2020, respectively.</w:t>
      </w:r>
    </w:p>
    <w:p>
      <w:pPr>
        <w:ind w:left="328" w:right="520" w:hanging="328"/>
        <w:spacing w:after="0" w:line="230" w:lineRule="auto"/>
        <w:tabs>
          <w:tab w:leader="none" w:pos="325"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Represents the ratio of MSR carrying value (period-end) to third-party mortgage loans serviced (period-end) divided by the ratio of annualized loan servicing-related revenue to third-party mortgage loans serviced (average).</w:t>
      </w:r>
    </w:p>
    <w:p>
      <w:pPr>
        <w:ind w:left="328" w:right="200" w:hanging="328"/>
        <w:spacing w:after="0" w:line="230" w:lineRule="auto"/>
        <w:tabs>
          <w:tab w:leader="none" w:pos="322"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the second quarter of 2020, the Firm reclassified certain spend-based credit card reward costs from marketing expense to be a reduction of card income, with no effect on net income. Prior-period amounts have been revised to conform with the current presentation.</w:t>
      </w:r>
    </w:p>
    <w:p>
      <w:pPr>
        <w:ind w:left="328" w:hanging="328"/>
        <w:spacing w:after="0"/>
        <w:tabs>
          <w:tab w:leader="none" w:pos="3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0908"/>
          </w:cols>
          <w:pgMar w:left="652" w:top="1029"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237426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w:t>
      </w:r>
    </w:p>
    <w:p>
      <w:pPr>
        <w:ind w:left="20"/>
        <w:spacing w:after="0"/>
        <w:rPr>
          <w:sz w:val="20"/>
          <w:szCs w:val="20"/>
          <w:color w:val="auto"/>
        </w:rPr>
      </w:pPr>
      <w:r>
        <w:rPr>
          <w:rFonts w:ascii="Arial" w:cs="Arial" w:eastAsia="Arial" w:hAnsi="Arial"/>
          <w:sz w:val="14"/>
          <w:szCs w:val="14"/>
          <w:b w:val="1"/>
          <w:bCs w:val="1"/>
          <w:color w:val="auto"/>
        </w:rPr>
        <w:t>INVESTMENT BANK</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98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ratio data)</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w w:val="95"/>
              </w:rPr>
              <w:t>QUARTERLY TRENDS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1Q21</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4Q20</w:t>
            </w: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2Q20</w:t>
            </w:r>
          </w:p>
        </w:tc>
        <w:tc>
          <w:tcPr>
            <w:tcW w:w="160" w:type="dxa"/>
            <w:vAlign w:val="bottom"/>
          </w:tcPr>
          <w:p>
            <w:pPr>
              <w:spacing w:after="0" w:line="20" w:lineRule="exact"/>
              <w:rPr>
                <w:sz w:val="1"/>
                <w:szCs w:val="1"/>
                <w:color w:val="auto"/>
              </w:rPr>
            </w:pPr>
          </w:p>
        </w:tc>
        <w:tc>
          <w:tcPr>
            <w:tcW w:w="5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6"/>
              </w:rPr>
              <w:t>INCOME STATEMENT</w:t>
            </w:r>
          </w:p>
        </w:tc>
        <w:tc>
          <w:tcPr>
            <w:tcW w:w="86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120" w:type="dxa"/>
            <w:vAlign w:val="bottom"/>
            <w:tcBorders>
              <w:bottom w:val="single" w:sz="8" w:color="auto"/>
            </w:tcBorders>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98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Investment banking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2,988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2,558</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2,165</w:t>
            </w:r>
          </w:p>
        </w:tc>
        <w:tc>
          <w:tcPr>
            <w:tcW w:w="3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2,847</w:t>
            </w:r>
          </w:p>
        </w:tc>
        <w:tc>
          <w:tcPr>
            <w:tcW w:w="240" w:type="dxa"/>
            <w:vAlign w:val="bottom"/>
          </w:tcPr>
          <w:p>
            <w:pPr>
              <w:spacing w:after="0"/>
              <w:rPr>
                <w:sz w:val="14"/>
                <w:szCs w:val="14"/>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1,907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6,045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2,982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3,990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7,400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3,188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103</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593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574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546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450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0"/>
        </w:trPr>
        <w:tc>
          <w:tcPr>
            <w:tcW w:w="1980" w:type="dxa"/>
            <w:vAlign w:val="bottom"/>
            <w:gridSpan w:val="4"/>
          </w:tcPr>
          <w:p>
            <w:pPr>
              <w:spacing w:after="0"/>
              <w:rPr>
                <w:sz w:val="20"/>
                <w:szCs w:val="20"/>
                <w:color w:val="auto"/>
              </w:rPr>
            </w:pPr>
            <w:r>
              <w:rPr>
                <w:rFonts w:ascii="Arial" w:cs="Arial" w:eastAsia="Arial" w:hAnsi="Arial"/>
                <w:sz w:val="11"/>
                <w:szCs w:val="11"/>
                <w:color w:val="auto"/>
              </w:rPr>
              <w:t>Asset management, administration and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gridSpan w:val="4"/>
          </w:tcPr>
          <w:p>
            <w:pPr>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1,286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1,086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1,148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1,261</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96</w:t>
            </w:r>
          </w:p>
        </w:tc>
        <w:tc>
          <w:tcPr>
            <w:tcW w:w="0" w:type="dxa"/>
            <w:vAlign w:val="bottom"/>
          </w:tcPr>
          <w:p>
            <w:pPr>
              <w:spacing w:after="0"/>
              <w:rPr>
                <w:sz w:val="1"/>
                <w:szCs w:val="1"/>
                <w:color w:val="auto"/>
              </w:rPr>
            </w:pPr>
          </w:p>
        </w:tc>
      </w:tr>
      <w:tr>
        <w:trPr>
          <w:trHeight w:val="22"/>
        </w:trPr>
        <w:tc>
          <w:tcPr>
            <w:tcW w:w="19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42</w:t>
            </w:r>
          </w:p>
        </w:tc>
        <w:tc>
          <w:tcPr>
            <w:tcW w:w="240" w:type="dxa"/>
            <w:vAlign w:val="bottom"/>
          </w:tcPr>
          <w:p>
            <w:pPr>
              <w:spacing w:after="0" w:line="20" w:lineRule="exact"/>
              <w:rPr>
                <w:sz w:val="1"/>
                <w:szCs w:val="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35"/>
        </w:trPr>
        <w:tc>
          <w:tcPr>
            <w:tcW w:w="1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11,088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7,802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8,118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12,304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6,896</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8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3,517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3,550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4,079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3,107</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2"/>
        </w:trPr>
        <w:tc>
          <w:tcPr>
            <w:tcW w:w="19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line="20" w:lineRule="exact"/>
              <w:rPr>
                <w:sz w:val="1"/>
                <w:szCs w:val="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5"/>
        </w:trPr>
        <w:tc>
          <w:tcPr>
            <w:tcW w:w="1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14,605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11,352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11,546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16,383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10,003</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98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3"/>
                <w:szCs w:val="2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(331)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(581)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1,987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1,401</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70"/>
        </w:trPr>
        <w:tc>
          <w:tcPr>
            <w:tcW w:w="198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4,329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3,997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3,006</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2,775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2,981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3,181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2,949</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9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line="20" w:lineRule="exact"/>
              <w:rPr>
                <w:sz w:val="1"/>
                <w:szCs w:val="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5"/>
        </w:trPr>
        <w:tc>
          <w:tcPr>
            <w:tcW w:w="1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7,104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4,939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5,832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6,812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5,955</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198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3"/>
                <w:szCs w:val="2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7,832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6,994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5,795</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7,584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2,647</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2,092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1,486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2,133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662</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216</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98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5,740</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5,349</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4,309</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5,451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1,985</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256"/>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96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98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27 %</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9 %</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60</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80" w:type="dxa"/>
            <w:vAlign w:val="bottom"/>
            <w:gridSpan w:val="4"/>
          </w:tcPr>
          <w:p>
            <w:pPr>
              <w:spacing w:after="0"/>
              <w:rPr>
                <w:sz w:val="20"/>
                <w:szCs w:val="20"/>
                <w:color w:val="auto"/>
              </w:rPr>
            </w:pPr>
            <w:r>
              <w:rPr>
                <w:rFonts w:ascii="Arial" w:cs="Arial" w:eastAsia="Arial" w:hAnsi="Arial"/>
                <w:sz w:val="11"/>
                <w:szCs w:val="11"/>
                <w:color w:val="auto"/>
              </w:rPr>
              <w:t>Compensation expense as percentage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gridSpan w:val="4"/>
          </w:tcPr>
          <w:p>
            <w:pPr>
              <w:spacing w:after="0"/>
              <w:rPr>
                <w:sz w:val="20"/>
                <w:szCs w:val="20"/>
                <w:color w:val="auto"/>
              </w:rPr>
            </w:pPr>
            <w:r>
              <w:rPr>
                <w:rFonts w:ascii="Arial" w:cs="Arial" w:eastAsia="Arial" w:hAnsi="Arial"/>
                <w:sz w:val="11"/>
                <w:szCs w:val="11"/>
                <w:color w:val="auto"/>
              </w:rPr>
              <w:t>of total net revenue</w:t>
            </w: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BUSINESS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gridSpan w:val="4"/>
          </w:tcPr>
          <w:p>
            <w:pPr>
              <w:spacing w:after="0"/>
              <w:rPr>
                <w:sz w:val="20"/>
                <w:szCs w:val="20"/>
                <w:color w:val="auto"/>
              </w:rPr>
            </w:pPr>
            <w:r>
              <w:rPr>
                <w:rFonts w:ascii="Arial" w:cs="Arial" w:eastAsia="Arial" w:hAnsi="Arial"/>
                <w:sz w:val="11"/>
                <w:szCs w:val="11"/>
                <w:color w:val="auto"/>
              </w:rPr>
              <w:t>Investment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2,851</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2,497</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2,087</w:t>
            </w:r>
          </w:p>
        </w:tc>
        <w:tc>
          <w:tcPr>
            <w:tcW w:w="3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3,401</w:t>
            </w:r>
          </w:p>
        </w:tc>
        <w:tc>
          <w:tcPr>
            <w:tcW w:w="24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886</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Wholesale Payments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1,332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1,387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1,414</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350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2"/>
        </w:trPr>
        <w:tc>
          <w:tcPr>
            <w:tcW w:w="19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Banking</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line="20" w:lineRule="exact"/>
              <w:rPr>
                <w:sz w:val="1"/>
                <w:szCs w:val="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35"/>
        </w:trPr>
        <w:tc>
          <w:tcPr>
            <w:tcW w:w="1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4,508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4,117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3,752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5,058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2,650</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8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2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5,761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3,950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4,597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7,338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4,993</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3,289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1,999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2,380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2,237</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1,097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1,074</w:t>
            </w:r>
          </w:p>
        </w:tc>
        <w:tc>
          <w:tcPr>
            <w:tcW w:w="2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980" w:type="dxa"/>
            <w:vAlign w:val="bottom"/>
            <w:gridSpan w:val="4"/>
          </w:tcPr>
          <w:p>
            <w:pPr>
              <w:spacing w:after="0"/>
              <w:rPr>
                <w:sz w:val="20"/>
                <w:szCs w:val="20"/>
                <w:color w:val="auto"/>
              </w:rPr>
            </w:pPr>
            <w:r>
              <w:rPr>
                <w:rFonts w:ascii="Arial" w:cs="Arial" w:eastAsia="Arial" w:hAnsi="Arial"/>
                <w:sz w:val="11"/>
                <w:szCs w:val="11"/>
                <w:color w:val="auto"/>
              </w:rPr>
              <w:t>Credit Adjustments &amp; Other (b)</w:t>
            </w:r>
          </w:p>
        </w:tc>
        <w:tc>
          <w:tcPr>
            <w:tcW w:w="12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(951)</w:t>
            </w:r>
          </w:p>
        </w:tc>
        <w:tc>
          <w:tcPr>
            <w:tcW w:w="24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2"/>
        </w:trPr>
        <w:tc>
          <w:tcPr>
            <w:tcW w:w="19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w w:val="98"/>
              </w:rPr>
              <w:t>Total Markets &amp; Securities Services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line="20" w:lineRule="exact"/>
              <w:rPr>
                <w:sz w:val="1"/>
                <w:szCs w:val="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35"/>
        </w:trPr>
        <w:tc>
          <w:tcPr>
            <w:tcW w:w="1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10,097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7,235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7,794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11,325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7,353</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9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14,605</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11,352</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11,546</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16,383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10,003</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259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382"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jc w:val="both"/>
        <w:ind w:left="340" w:hanging="332"/>
        <w:spacing w:after="0" w:line="230" w:lineRule="auto"/>
        <w:tabs>
          <w:tab w:leader="none" w:pos="337"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Includes tax-equivalent adjustments, predominantly due to income tax credits related to alternative energy investments; income tax credits and amortization of the cost of investments in affordable housing projects; as well as tax-exempt income from municipal bonds of $703 million, $655 million, $533 million, $591 million and $573 million for the three months ended March 31, 2021, December 31, 2020, September 30, 2020, June 30, 2020 and March 31, 2020, respectively. In the first quarter of 2021, in relation to the reclassification of certain deferred investment tax credits, prior-period tax-equivalent adjustment amounts have been revised to conform with the current presentation. Refer to footnote (a) on page 2 for further information.</w:t>
      </w:r>
    </w:p>
    <w:p>
      <w:pPr>
        <w:spacing w:after="0" w:line="1" w:lineRule="exact"/>
        <w:rPr>
          <w:rFonts w:ascii="Arial" w:cs="Arial" w:eastAsia="Arial" w:hAnsi="Arial"/>
          <w:sz w:val="11"/>
          <w:szCs w:val="11"/>
          <w:color w:val="auto"/>
        </w:rPr>
      </w:pPr>
    </w:p>
    <w:p>
      <w:pPr>
        <w:ind w:left="340" w:right="500" w:hanging="332"/>
        <w:spacing w:after="0" w:line="238" w:lineRule="auto"/>
        <w:tabs>
          <w:tab w:leader="none" w:pos="337"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Consists primarily of credit valuation adjustments (“CVA”) managed centrally within CIB and funding valuation adjustments (“FVA”) on derivatives and certain components of fair value option elected liabilities. Results are presented net of associated hedging activities and net of CVA and FVA amounts allocated to Fixed Income Markets and Equity Markets.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240"/>
          </w:cols>
          <w:pgMar w:left="320" w:top="1029"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-79375</wp:posOffset>
            </wp:positionV>
            <wp:extent cx="23742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INVESTMENT BANK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ind w:left="20"/>
        <w:spacing w:after="0"/>
        <w:rPr>
          <w:sz w:val="20"/>
          <w:szCs w:val="20"/>
          <w:color w:val="auto"/>
        </w:rPr>
      </w:pPr>
      <w:r>
        <w:rPr>
          <w:rFonts w:ascii="Arial" w:cs="Arial" w:eastAsia="Arial" w:hAnsi="Arial"/>
          <w:sz w:val="11"/>
          <w:szCs w:val="11"/>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w:t>
      </w:r>
    </w:p>
    <w:p>
      <w:pPr>
        <w:ind w:left="20"/>
        <w:spacing w:after="0"/>
        <w:rPr>
          <w:sz w:val="20"/>
          <w:szCs w:val="20"/>
          <w:color w:val="auto"/>
        </w:rPr>
      </w:pPr>
      <w:r>
        <w:rPr>
          <w:rFonts w:ascii="Arial" w:cs="Arial" w:eastAsia="Arial" w:hAnsi="Arial"/>
          <w:sz w:val="11"/>
          <w:szCs w:val="11"/>
          <w:b w:val="1"/>
          <w:bCs w:val="1"/>
          <w:color w:val="auto"/>
        </w:rPr>
        <w:t>headcount data)</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w w:val="99"/>
              </w:rPr>
              <w:t>QUARTERLY TRENDS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1Q21</w:t>
            </w: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4Q20</w:t>
            </w:r>
          </w:p>
        </w:tc>
        <w:tc>
          <w:tcPr>
            <w:tcW w:w="80" w:type="dxa"/>
            <w:vAlign w:val="bottom"/>
          </w:tcPr>
          <w:p>
            <w:pPr>
              <w:spacing w:after="0" w:line="20" w:lineRule="exact"/>
              <w:rPr>
                <w:sz w:val="1"/>
                <w:szCs w:val="1"/>
                <w:color w:val="auto"/>
              </w:rPr>
            </w:pPr>
          </w:p>
        </w:tc>
        <w:tc>
          <w:tcPr>
            <w:tcW w:w="6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3Q20</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2Q20</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8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SELECTED BALANCE SHEET</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4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 (period-end)</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Total assets (a)</w:t>
            </w:r>
          </w:p>
        </w:tc>
        <w:tc>
          <w:tcPr>
            <w:tcW w:w="900" w:type="dxa"/>
            <w:vAlign w:val="bottom"/>
            <w:gridSpan w:val="3"/>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1,355,123</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1,095,926</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1,088,282</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1,080,189</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1,216,558</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62"/>
        </w:trPr>
        <w:tc>
          <w:tcPr>
            <w:tcW w:w="1840" w:type="dxa"/>
            <w:vAlign w:val="bottom"/>
            <w:gridSpan w:val="6"/>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Loans retained (b)</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134,134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133,296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126,841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140,770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165,376</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fair value (c)</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45,846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39,588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33,046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34,017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34,644</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2"/>
        </w:trPr>
        <w:tc>
          <w:tcPr>
            <w:tcW w:w="18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179,980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172,884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159,887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174,787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200,020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68"/>
        </w:trPr>
        <w:tc>
          <w:tcPr>
            <w:tcW w:w="1840" w:type="dxa"/>
            <w:vAlign w:val="bottom"/>
            <w:gridSpan w:val="6"/>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83,000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80,000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SELECTED BALANCE SHEET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0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DATA (average)</w:t>
            </w:r>
          </w:p>
        </w:tc>
        <w:tc>
          <w:tcPr>
            <w:tcW w:w="720" w:type="dxa"/>
            <w:vAlign w:val="bottom"/>
            <w:tcBorders>
              <w:top w:val="single" w:sz="8" w:color="auto"/>
            </w:tcBorders>
            <w:gridSpan w:val="3"/>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gridSpan w:val="6"/>
          </w:tcPr>
          <w:p>
            <w:pPr>
              <w:spacing w:after="0"/>
              <w:rPr>
                <w:sz w:val="20"/>
                <w:szCs w:val="20"/>
                <w:color w:val="auto"/>
              </w:rPr>
            </w:pPr>
            <w:r>
              <w:rPr>
                <w:rFonts w:ascii="Arial" w:cs="Arial" w:eastAsia="Arial" w:hAnsi="Arial"/>
                <w:sz w:val="11"/>
                <w:szCs w:val="11"/>
                <w:color w:val="auto"/>
              </w:rPr>
              <w:t>Total assets (a)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1,293,864</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1,139,424</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1,099,618</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1,166,867</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1,081,912</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Trading assets - debt and equity</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instruments (c)</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464,692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442,443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425,789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421,953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398,504</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Trading assets - derivative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receivables</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77,735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77,946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78,339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76,710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55,133</w:t>
            </w:r>
          </w:p>
        </w:tc>
        <w:tc>
          <w:tcPr>
            <w:tcW w:w="240" w:type="dxa"/>
            <w:vAlign w:val="bottom"/>
          </w:tcPr>
          <w:p>
            <w:pPr>
              <w:spacing w:after="0"/>
              <w:rPr>
                <w:sz w:val="11"/>
                <w:szCs w:val="11"/>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62"/>
        </w:trPr>
        <w:tc>
          <w:tcPr>
            <w:tcW w:w="1840" w:type="dxa"/>
            <w:vAlign w:val="bottom"/>
            <w:gridSpan w:val="6"/>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Loans retained (b)</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136,794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128,765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131,187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154,038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128,838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fair value (c)</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45,671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36,228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30,205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33,538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35,211</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2"/>
        </w:trPr>
        <w:tc>
          <w:tcPr>
            <w:tcW w:w="18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182,465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164,993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161,392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187,576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164,049</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68"/>
        </w:trPr>
        <w:tc>
          <w:tcPr>
            <w:tcW w:w="1840" w:type="dxa"/>
            <w:vAlign w:val="bottom"/>
            <w:gridSpan w:val="6"/>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83,000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80,000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80,000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Headcount</w:t>
            </w: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62,772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61,733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61,830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60,950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60,245</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8"/>
                <w:szCs w:val="18"/>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CREDIT DATA AND QUALITY</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2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STATISTICS</w:t>
            </w:r>
          </w:p>
        </w:tc>
        <w:tc>
          <w:tcPr>
            <w:tcW w:w="860" w:type="dxa"/>
            <w:vAlign w:val="bottom"/>
            <w:tcBorders>
              <w:top w:val="single" w:sz="8" w:color="auto"/>
            </w:tcBorders>
            <w:gridSpan w:val="3"/>
          </w:tcPr>
          <w:p>
            <w:pPr>
              <w:spacing w:after="0"/>
              <w:rPr>
                <w:sz w:val="7"/>
                <w:szCs w:val="7"/>
                <w:color w:val="auto"/>
              </w:rPr>
            </w:pPr>
          </w:p>
        </w:tc>
        <w:tc>
          <w:tcPr>
            <w:tcW w:w="3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gridSpan w:val="6"/>
          </w:tcPr>
          <w:p>
            <w:pPr>
              <w:spacing w:after="0"/>
              <w:rPr>
                <w:sz w:val="20"/>
                <w:szCs w:val="20"/>
                <w:color w:val="auto"/>
              </w:rPr>
            </w:pPr>
            <w:r>
              <w:rPr>
                <w:rFonts w:ascii="Arial" w:cs="Arial" w:eastAsia="Arial" w:hAnsi="Arial"/>
                <w:sz w:val="11"/>
                <w:szCs w:val="11"/>
                <w:color w:val="auto"/>
              </w:rPr>
              <w:t>Net charge-offs/(recoveries)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88</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240" w:type="dxa"/>
            <w:vAlign w:val="bottom"/>
          </w:tcPr>
          <w:p>
            <w:pPr>
              <w:spacing w:after="0"/>
              <w:rPr>
                <w:sz w:val="13"/>
                <w:szCs w:val="13"/>
                <w:color w:val="auto"/>
              </w:rPr>
            </w:pPr>
          </w:p>
        </w:tc>
        <w:tc>
          <w:tcPr>
            <w:tcW w:w="860" w:type="dxa"/>
            <w:vAlign w:val="bottom"/>
            <w:gridSpan w:val="2"/>
          </w:tcPr>
          <w:p>
            <w:pPr>
              <w:ind w:left="420"/>
              <w:spacing w:after="0"/>
              <w:rPr>
                <w:sz w:val="20"/>
                <w:szCs w:val="20"/>
                <w:color w:val="auto"/>
              </w:rPr>
            </w:pPr>
            <w:r>
              <w:rPr>
                <w:rFonts w:ascii="Arial" w:cs="Arial" w:eastAsia="Arial" w:hAnsi="Arial"/>
                <w:sz w:val="11"/>
                <w:szCs w:val="11"/>
                <w:color w:val="auto"/>
              </w:rPr>
              <w:t>NM</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840" w:type="dxa"/>
            <w:vAlign w:val="bottom"/>
            <w:gridSpan w:val="6"/>
          </w:tcPr>
          <w:p>
            <w:pPr>
              <w:spacing w:after="0"/>
              <w:rPr>
                <w:sz w:val="20"/>
                <w:szCs w:val="20"/>
                <w:color w:val="auto"/>
              </w:rPr>
            </w:pPr>
            <w:r>
              <w:rPr>
                <w:rFonts w:ascii="Arial" w:cs="Arial" w:eastAsia="Arial" w:hAnsi="Arial"/>
                <w:sz w:val="11"/>
                <w:szCs w:val="11"/>
                <w:color w:val="auto"/>
              </w:rPr>
              <w:t>Nonperforming assets: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Nonaccrual 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6"/>
          </w:tcPr>
          <w:p>
            <w:pPr>
              <w:ind w:left="200"/>
              <w:spacing w:after="0"/>
              <w:rPr>
                <w:sz w:val="20"/>
                <w:szCs w:val="20"/>
                <w:color w:val="auto"/>
              </w:rPr>
            </w:pPr>
            <w:r>
              <w:rPr>
                <w:rFonts w:ascii="Arial" w:cs="Arial" w:eastAsia="Arial" w:hAnsi="Arial"/>
                <w:sz w:val="11"/>
                <w:szCs w:val="11"/>
                <w:color w:val="auto"/>
              </w:rPr>
              <w:t>Nonaccrual loans retained (d)</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1,178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1,195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689</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40"/>
        </w:trPr>
        <w:tc>
          <w:tcPr>
            <w:tcW w:w="1840" w:type="dxa"/>
            <w:vAlign w:val="bottom"/>
            <w:gridSpan w:val="6"/>
          </w:tcPr>
          <w:p>
            <w:pPr>
              <w:ind w:left="200"/>
              <w:spacing w:after="0"/>
              <w:rPr>
                <w:sz w:val="20"/>
                <w:szCs w:val="20"/>
                <w:color w:val="auto"/>
              </w:rPr>
            </w:pPr>
            <w:r>
              <w:rPr>
                <w:rFonts w:ascii="Arial" w:cs="Arial" w:eastAsia="Arial" w:hAnsi="Arial"/>
                <w:sz w:val="11"/>
                <w:szCs w:val="11"/>
                <w:color w:val="auto"/>
              </w:rPr>
              <w:t>Nonaccrual loans held-for-sale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200"/>
              <w:spacing w:after="0"/>
              <w:rPr>
                <w:sz w:val="20"/>
                <w:szCs w:val="20"/>
                <w:color w:val="auto"/>
              </w:rPr>
            </w:pPr>
            <w:r>
              <w:rPr>
                <w:rFonts w:ascii="Arial" w:cs="Arial" w:eastAsia="Arial" w:hAnsi="Arial"/>
                <w:sz w:val="11"/>
                <w:szCs w:val="11"/>
                <w:color w:val="auto"/>
              </w:rPr>
              <w:t>and loans at fair value (c)(e)</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2,111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766</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22"/>
        </w:trPr>
        <w:tc>
          <w:tcPr>
            <w:tcW w:w="18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2,108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2,670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3,289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2,705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1,455</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214"/>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85</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407</w:t>
            </w:r>
          </w:p>
        </w:tc>
        <w:tc>
          <w:tcPr>
            <w:tcW w:w="240" w:type="dxa"/>
            <w:vAlign w:val="bottom"/>
          </w:tcPr>
          <w:p>
            <w:pPr>
              <w:spacing w:after="0"/>
              <w:rPr>
                <w:sz w:val="18"/>
                <w:szCs w:val="18"/>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4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Assets acquired in loan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satisfactions</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88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22"/>
        </w:trPr>
        <w:tc>
          <w:tcPr>
            <w:tcW w:w="18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2,489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2,811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3,517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2,848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1,583</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60"/>
        </w:trPr>
        <w:tc>
          <w:tcPr>
            <w:tcW w:w="1840" w:type="dxa"/>
            <w:vAlign w:val="bottom"/>
            <w:gridSpan w:val="6"/>
          </w:tcPr>
          <w:p>
            <w:pPr>
              <w:spacing w:after="0"/>
              <w:rPr>
                <w:sz w:val="20"/>
                <w:szCs w:val="20"/>
                <w:color w:val="auto"/>
              </w:rPr>
            </w:pPr>
            <w:r>
              <w:rPr>
                <w:rFonts w:ascii="Arial" w:cs="Arial" w:eastAsia="Arial" w:hAnsi="Arial"/>
                <w:sz w:val="11"/>
                <w:szCs w:val="11"/>
                <w:color w:val="auto"/>
              </w:rPr>
              <w:t>Allowance for credit losses: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Allowance for loan losses</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2,366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3,039</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1,422</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Allowance for lending-related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commitments</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1,534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1,706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1,634</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1,468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
        </w:trPr>
        <w:tc>
          <w:tcPr>
            <w:tcW w:w="1840" w:type="dxa"/>
            <w:vAlign w:val="bottom"/>
            <w:gridSpan w:val="6"/>
            <w:vMerge w:val="restart"/>
          </w:tcPr>
          <w:p>
            <w:pPr>
              <w:ind w:left="200"/>
              <w:spacing w:after="0"/>
              <w:rPr>
                <w:sz w:val="20"/>
                <w:szCs w:val="20"/>
                <w:color w:val="auto"/>
              </w:rPr>
            </w:pPr>
            <w:r>
              <w:rPr>
                <w:rFonts w:ascii="Arial" w:cs="Arial" w:eastAsia="Arial" w:hAnsi="Arial"/>
                <w:sz w:val="11"/>
                <w:szCs w:val="11"/>
                <w:b w:val="1"/>
                <w:bCs w:val="1"/>
                <w:color w:val="auto"/>
              </w:rPr>
              <w:t>Total allowance for credit</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8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3,584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3,900</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4,569</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4,673</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2,890</w:t>
            </w: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840" w:type="dxa"/>
            <w:vAlign w:val="bottom"/>
            <w:gridSpan w:val="6"/>
          </w:tcPr>
          <w:p>
            <w:pPr>
              <w:ind w:left="200"/>
              <w:spacing w:after="0"/>
              <w:rPr>
                <w:sz w:val="20"/>
                <w:szCs w:val="20"/>
                <w:color w:val="auto"/>
              </w:rPr>
            </w:pPr>
            <w:r>
              <w:rPr>
                <w:rFonts w:ascii="Arial" w:cs="Arial" w:eastAsia="Arial" w:hAnsi="Arial"/>
                <w:sz w:val="11"/>
                <w:szCs w:val="11"/>
                <w:b w:val="1"/>
                <w:bCs w:val="1"/>
                <w:color w:val="auto"/>
              </w:rPr>
              <w:t>losses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14"/>
        </w:trPr>
        <w:tc>
          <w:tcPr>
            <w:tcW w:w="1840" w:type="dxa"/>
            <w:vAlign w:val="bottom"/>
            <w:gridSpan w:val="6"/>
          </w:tcPr>
          <w:p>
            <w:pPr>
              <w:spacing w:after="0"/>
              <w:rPr>
                <w:sz w:val="20"/>
                <w:szCs w:val="20"/>
                <w:color w:val="auto"/>
              </w:rPr>
            </w:pPr>
            <w:r>
              <w:rPr>
                <w:rFonts w:ascii="Arial" w:cs="Arial" w:eastAsia="Arial" w:hAnsi="Arial"/>
                <w:sz w:val="11"/>
                <w:szCs w:val="11"/>
                <w:color w:val="auto"/>
              </w:rPr>
              <w:t>Net charge-off/(recovery) rate (b)(f)</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0.27 %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0.07 %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0.53 %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0.17 %</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Allowance for loan losses to period-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end loans retained (b)</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2.26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2.16</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0.86</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Allowance for loan losses to period-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end loans retained,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excluding trade finance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ind w:left="120"/>
              <w:spacing w:after="0"/>
              <w:rPr>
                <w:sz w:val="20"/>
                <w:szCs w:val="20"/>
                <w:color w:val="auto"/>
              </w:rPr>
            </w:pPr>
            <w:r>
              <w:rPr>
                <w:rFonts w:ascii="Arial" w:cs="Arial" w:eastAsia="Arial" w:hAnsi="Arial"/>
                <w:sz w:val="11"/>
                <w:szCs w:val="11"/>
                <w:color w:val="auto"/>
              </w:rPr>
              <w:t>conduits (g)</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2.87</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Allowance for loan losses to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nonaccrual loans retained (b)(d)</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254</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206</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gridSpan w:val="6"/>
          </w:tcPr>
          <w:p>
            <w:pPr>
              <w:spacing w:after="0"/>
              <w:rPr>
                <w:sz w:val="20"/>
                <w:szCs w:val="20"/>
                <w:color w:val="auto"/>
              </w:rPr>
            </w:pPr>
            <w:r>
              <w:rPr>
                <w:rFonts w:ascii="Arial" w:cs="Arial" w:eastAsia="Arial" w:hAnsi="Arial"/>
                <w:sz w:val="11"/>
                <w:szCs w:val="11"/>
                <w:color w:val="auto"/>
              </w:rPr>
              <w:t>Nonaccrual loans to total period-end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6"/>
          </w:tcPr>
          <w:p>
            <w:pPr>
              <w:spacing w:after="0"/>
              <w:rPr>
                <w:sz w:val="20"/>
                <w:szCs w:val="20"/>
                <w:color w:val="auto"/>
              </w:rPr>
            </w:pPr>
            <w:r>
              <w:rPr>
                <w:rFonts w:ascii="Arial" w:cs="Arial" w:eastAsia="Arial" w:hAnsi="Arial"/>
                <w:sz w:val="11"/>
                <w:szCs w:val="11"/>
                <w:color w:val="auto"/>
              </w:rPr>
              <w:t>loans (c)</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0.73</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174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1"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1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20" w:hanging="312"/>
        <w:spacing w:after="0" w:line="230" w:lineRule="auto"/>
        <w:tabs>
          <w:tab w:leader="none" w:pos="3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Loans retained includes credit portfolio loans, loans held by consolidated Firm-administered multi-seller conduits, trade finance loans, other held-for-investment loans and overdrafts.</w:t>
      </w:r>
    </w:p>
    <w:p>
      <w:pPr>
        <w:ind w:left="340" w:right="420" w:hanging="332"/>
        <w:spacing w:after="0" w:line="230" w:lineRule="auto"/>
        <w:tabs>
          <w:tab w:leader="none" w:pos="331"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and other assets. Prior-period amounts have been revised to conform with the current presentation.</w:t>
      </w:r>
    </w:p>
    <w:p>
      <w:pPr>
        <w:ind w:left="340" w:right="100" w:hanging="332"/>
        <w:spacing w:after="0" w:line="230" w:lineRule="auto"/>
        <w:tabs>
          <w:tab w:leader="none" w:pos="337" w:val="left"/>
        </w:tabs>
        <w:numPr>
          <w:ilvl w:val="0"/>
          <w:numId w:val="29"/>
        </w:numPr>
        <w:rPr>
          <w:rFonts w:ascii="Arial" w:cs="Arial" w:eastAsia="Arial" w:hAnsi="Arial"/>
          <w:sz w:val="11"/>
          <w:szCs w:val="11"/>
          <w:color w:val="auto"/>
        </w:rPr>
      </w:pPr>
      <w:r>
        <w:rPr>
          <w:rFonts w:ascii="Arial" w:cs="Arial" w:eastAsia="Arial" w:hAnsi="Arial"/>
          <w:sz w:val="11"/>
          <w:szCs w:val="11"/>
          <w:color w:val="auto"/>
        </w:rPr>
        <w:t>Allowance for loan losses of $174 million, $278 million, $320 million, $340 million and $317 million were held against nonaccrual loans at March 31, 2021, December 31, 2020, September 30, 2020, June 30, 2020 and March 31, 2020, respectively.</w:t>
      </w:r>
    </w:p>
    <w:p>
      <w:pPr>
        <w:ind w:left="340" w:right="80" w:hanging="332"/>
        <w:spacing w:after="0" w:line="230" w:lineRule="auto"/>
        <w:tabs>
          <w:tab w:leader="none" w:pos="337" w:val="left"/>
        </w:tabs>
        <w:numPr>
          <w:ilvl w:val="0"/>
          <w:numId w:val="29"/>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nonaccrual loans excluded mortgage loans 90 or more days past due and insured by U.S. government agencies of $340 million, $316 million, $297 million, $135 million and $124 million, respectively. These amounts have been excluded based upon the government guarantee.</w:t>
      </w:r>
    </w:p>
    <w:p>
      <w:pPr>
        <w:ind w:left="320" w:hanging="312"/>
        <w:spacing w:after="0" w:line="230" w:lineRule="auto"/>
        <w:tabs>
          <w:tab w:leader="none" w:pos="3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ind w:left="320" w:hanging="312"/>
        <w:spacing w:after="0" w:line="230" w:lineRule="auto"/>
        <w:tabs>
          <w:tab w:leader="none" w:pos="3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trade finance and conduits, a non-GAAP financial measure, to provide a more meaningful assessment of CIB’s allowance coverage ratio.</w:t>
      </w:r>
    </w:p>
    <w:p>
      <w:pPr>
        <w:ind w:left="320" w:hanging="312"/>
        <w:spacing w:after="0"/>
        <w:tabs>
          <w:tab w:leader="none" w:pos="3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934"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237426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 INVESTMENT</w:t>
      </w:r>
    </w:p>
    <w:p>
      <w:pPr>
        <w:ind w:left="20"/>
        <w:spacing w:after="0"/>
        <w:rPr>
          <w:sz w:val="20"/>
          <w:szCs w:val="20"/>
          <w:color w:val="auto"/>
        </w:rPr>
      </w:pPr>
      <w:r>
        <w:rPr>
          <w:rFonts w:ascii="Arial" w:cs="Arial" w:eastAsia="Arial" w:hAnsi="Arial"/>
          <w:sz w:val="14"/>
          <w:szCs w:val="14"/>
          <w:b w:val="1"/>
          <w:bCs w:val="1"/>
          <w:color w:val="auto"/>
        </w:rPr>
        <w:t>BANK</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where otherwise noted)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1"/>
                <w:szCs w:val="11"/>
                <w:b w:val="1"/>
                <w:bCs w:val="1"/>
                <w:color w:val="auto"/>
                <w:w w:val="99"/>
              </w:rPr>
              <w:t>QUARTERLY TRENDS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1Q21</w:t>
            </w: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4Q20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7"/>
              </w:rPr>
              <w:t>BUSINESS METRICS</w:t>
            </w:r>
          </w:p>
        </w:tc>
        <w:tc>
          <w:tcPr>
            <w:tcW w:w="124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080" w:type="dxa"/>
            <w:vAlign w:val="bottom"/>
            <w:tcBorders>
              <w:bottom w:val="single" w:sz="8" w:color="auto"/>
            </w:tcBorders>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320" w:type="dxa"/>
            <w:vAlign w:val="bottom"/>
            <w:gridSpan w:val="4"/>
          </w:tcPr>
          <w:p>
            <w:pPr>
              <w:spacing w:after="0"/>
              <w:rPr>
                <w:sz w:val="20"/>
                <w:szCs w:val="20"/>
                <w:color w:val="auto"/>
              </w:rPr>
            </w:pPr>
            <w:r>
              <w:rPr>
                <w:rFonts w:ascii="Arial" w:cs="Arial" w:eastAsia="Arial" w:hAnsi="Arial"/>
                <w:sz w:val="11"/>
                <w:szCs w:val="11"/>
                <w:color w:val="auto"/>
              </w:rPr>
              <w:t>Advisory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428</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602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Equity underwriting</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331</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Debt underwriting</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1,073</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2"/>
        </w:trPr>
        <w:tc>
          <w:tcPr>
            <w:tcW w:w="232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20" w:type="dxa"/>
            <w:vAlign w:val="bottom"/>
            <w:gridSpan w:val="4"/>
            <w:vMerge w:val="continue"/>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2,988</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2,558</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2,165</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2,847</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1,907</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301"/>
        </w:trPr>
        <w:tc>
          <w:tcPr>
            <w:tcW w:w="2320" w:type="dxa"/>
            <w:vAlign w:val="bottom"/>
            <w:gridSpan w:val="4"/>
          </w:tcPr>
          <w:p>
            <w:pPr>
              <w:spacing w:after="0"/>
              <w:rPr>
                <w:sz w:val="20"/>
                <w:szCs w:val="20"/>
                <w:color w:val="auto"/>
              </w:rPr>
            </w:pPr>
            <w:r>
              <w:rPr>
                <w:rFonts w:ascii="Arial" w:cs="Arial" w:eastAsia="Arial" w:hAnsi="Arial"/>
                <w:sz w:val="11"/>
                <w:szCs w:val="11"/>
                <w:color w:val="auto"/>
              </w:rPr>
              <w:t>Client deposits and other third-party liabilities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20" w:type="dxa"/>
            <w:vAlign w:val="bottom"/>
            <w:gridSpan w:val="4"/>
          </w:tcPr>
          <w:p>
            <w:pPr>
              <w:spacing w:after="0"/>
              <w:rPr>
                <w:sz w:val="20"/>
                <w:szCs w:val="20"/>
                <w:color w:val="auto"/>
              </w:rPr>
            </w:pPr>
            <w:r>
              <w:rPr>
                <w:rFonts w:ascii="Arial" w:cs="Arial" w:eastAsia="Arial" w:hAnsi="Arial"/>
                <w:sz w:val="11"/>
                <w:szCs w:val="11"/>
                <w:color w:val="auto"/>
              </w:rPr>
              <w:t>(average) (a)</w:t>
            </w:r>
          </w:p>
        </w:tc>
        <w:tc>
          <w:tcPr>
            <w:tcW w:w="10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705,764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683,818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634,961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607,902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514,464</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324"/>
        </w:trPr>
        <w:tc>
          <w:tcPr>
            <w:tcW w:w="2320" w:type="dxa"/>
            <w:vAlign w:val="bottom"/>
            <w:gridSpan w:val="4"/>
          </w:tcPr>
          <w:p>
            <w:pPr>
              <w:spacing w:after="0"/>
              <w:rPr>
                <w:sz w:val="20"/>
                <w:szCs w:val="20"/>
                <w:color w:val="auto"/>
              </w:rPr>
            </w:pPr>
            <w:r>
              <w:rPr>
                <w:rFonts w:ascii="Arial" w:cs="Arial" w:eastAsia="Arial" w:hAnsi="Arial"/>
                <w:sz w:val="11"/>
                <w:szCs w:val="11"/>
                <w:color w:val="auto"/>
              </w:rPr>
              <w:t>Merchant processing volume (in billions) (b)</w:t>
            </w: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425.7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444.5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371.9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374.8</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4"/>
                <w:szCs w:val="2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02"/>
        </w:trPr>
        <w:tc>
          <w:tcPr>
            <w:tcW w:w="2320" w:type="dxa"/>
            <w:vAlign w:val="bottom"/>
            <w:gridSpan w:val="4"/>
          </w:tcPr>
          <w:p>
            <w:pPr>
              <w:spacing w:after="0"/>
              <w:rPr>
                <w:sz w:val="20"/>
                <w:szCs w:val="20"/>
                <w:color w:val="auto"/>
              </w:rPr>
            </w:pPr>
            <w:r>
              <w:rPr>
                <w:rFonts w:ascii="Arial" w:cs="Arial" w:eastAsia="Arial" w:hAnsi="Arial"/>
                <w:sz w:val="11"/>
                <w:szCs w:val="11"/>
                <w:color w:val="auto"/>
              </w:rPr>
              <w:t>Assets under custody (“AUC”) (period-end) (in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20" w:type="dxa"/>
            <w:vAlign w:val="bottom"/>
            <w:gridSpan w:val="4"/>
          </w:tcPr>
          <w:p>
            <w:pPr>
              <w:spacing w:after="0"/>
              <w:rPr>
                <w:sz w:val="20"/>
                <w:szCs w:val="20"/>
                <w:color w:val="auto"/>
              </w:rPr>
            </w:pPr>
            <w:r>
              <w:rPr>
                <w:rFonts w:ascii="Arial" w:cs="Arial" w:eastAsia="Arial" w:hAnsi="Arial"/>
                <w:sz w:val="11"/>
                <w:szCs w:val="11"/>
                <w:color w:val="auto"/>
              </w:rPr>
              <w:t>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31,251</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30,980</w:t>
            </w:r>
          </w:p>
        </w:tc>
        <w:tc>
          <w:tcPr>
            <w:tcW w:w="2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28,628</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27,447</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24,409</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306"/>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95% Confidence Level - Total CIB VaR</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 (c)</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CIB trading VaR by risk type: (d)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Fixed income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Foreign exchange</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Equities</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Commodities and other</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Diversification benefit to CIB trading VaR (e)</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2"/>
        </w:trPr>
        <w:tc>
          <w:tcPr>
            <w:tcW w:w="232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CIB trading VaR (d)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101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57</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60"/>
        </w:trPr>
        <w:tc>
          <w:tcPr>
            <w:tcW w:w="2320" w:type="dxa"/>
            <w:vAlign w:val="bottom"/>
            <w:gridSpan w:val="4"/>
          </w:tcPr>
          <w:p>
            <w:pPr>
              <w:spacing w:after="0"/>
              <w:rPr>
                <w:sz w:val="20"/>
                <w:szCs w:val="20"/>
                <w:color w:val="auto"/>
              </w:rPr>
            </w:pPr>
            <w:r>
              <w:rPr>
                <w:rFonts w:ascii="Arial" w:cs="Arial" w:eastAsia="Arial" w:hAnsi="Arial"/>
                <w:sz w:val="11"/>
                <w:szCs w:val="11"/>
                <w:color w:val="auto"/>
              </w:rPr>
              <w:t>Credit portfolio VaR (f)</w:t>
            </w:r>
          </w:p>
        </w:tc>
        <w:tc>
          <w:tcPr>
            <w:tcW w:w="1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Diversification benefit to CIB VaR (e)</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2"/>
        </w:trPr>
        <w:tc>
          <w:tcPr>
            <w:tcW w:w="232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CIB VaR</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20" w:type="dxa"/>
            <w:vAlign w:val="bottom"/>
            <w:gridSpan w:val="4"/>
            <w:vMerge w:val="continue"/>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99</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91</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90</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127</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82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Wholesale Payments and Securities Services businesses.</w:t>
      </w:r>
    </w:p>
    <w:p>
      <w:pPr>
        <w:ind w:left="320" w:hanging="312"/>
        <w:spacing w:after="0" w:line="230" w:lineRule="auto"/>
        <w:tabs>
          <w:tab w:leader="none" w:pos="3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Represents total merchant processing volume across CIB, CCB and CB.</w:t>
      </w:r>
    </w:p>
    <w:p>
      <w:pPr>
        <w:ind w:left="340" w:right="60" w:hanging="332"/>
        <w:spacing w:after="0" w:line="230" w:lineRule="auto"/>
        <w:tabs>
          <w:tab w:leader="none" w:pos="331" w:val="left"/>
        </w:tabs>
        <w:numPr>
          <w:ilvl w:val="0"/>
          <w:numId w:val="30"/>
        </w:numPr>
        <w:rPr>
          <w:rFonts w:ascii="Arial" w:cs="Arial" w:eastAsia="Arial" w:hAnsi="Arial"/>
          <w:sz w:val="11"/>
          <w:szCs w:val="11"/>
          <w:color w:val="auto"/>
        </w:rPr>
      </w:pPr>
      <w:r>
        <w:rPr>
          <w:rFonts w:ascii="Arial" w:cs="Arial" w:eastAsia="Arial" w:hAnsi="Arial"/>
          <w:sz w:val="11"/>
          <w:szCs w:val="11"/>
          <w:color w:val="auto"/>
        </w:rPr>
        <w:t>Effective July 1, 2020, the Firm refined the scope of VaR to exclude certain asset-backed fair value option elected loans, and included them in other sensitivity-based measures to more effectively measure the risk from these loans. In the absence of this refinement, the average VaR for each of the following reported components would have been higher by the following amounts: CIB fixed income of $21 million, $28 million and $15 million, CIB trading VaR of $19 million, $24 million and $11 million and CIB VaR of $20 million, $24 million and $12 million for the three months ended March 31, 2021, December 31, 2020 and September 30, 2020, respectively.</w:t>
      </w:r>
    </w:p>
    <w:p>
      <w:pPr>
        <w:ind w:left="340" w:right="20" w:hanging="332"/>
        <w:spacing w:after="0" w:line="230" w:lineRule="auto"/>
        <w:tabs>
          <w:tab w:leader="none" w:pos="337" w:val="left"/>
        </w:tabs>
        <w:numPr>
          <w:ilvl w:val="0"/>
          <w:numId w:val="30"/>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137–139 of the Firm’s 2020 Form 10-K for further information.</w:t>
      </w:r>
    </w:p>
    <w:p>
      <w:pPr>
        <w:ind w:left="320" w:hanging="312"/>
        <w:spacing w:after="0" w:line="230" w:lineRule="auto"/>
        <w:tabs>
          <w:tab w:leader="none" w:pos="3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Average portfolio VaR was less than the sum of the VaR of the components described above, which is due to portfolio diversification. The diversification effect reflects the fact that the risks were not perfectly correlated.</w:t>
      </w:r>
    </w:p>
    <w:p>
      <w:pPr>
        <w:ind w:left="340" w:right="180" w:hanging="332"/>
        <w:spacing w:after="0" w:line="238" w:lineRule="auto"/>
        <w:tabs>
          <w:tab w:leader="none" w:pos="334" w:val="left"/>
        </w:tabs>
        <w:numPr>
          <w:ilvl w:val="0"/>
          <w:numId w:val="30"/>
        </w:numPr>
        <w:rPr>
          <w:rFonts w:ascii="Arial" w:cs="Arial" w:eastAsia="Arial" w:hAnsi="Arial"/>
          <w:sz w:val="11"/>
          <w:szCs w:val="11"/>
          <w:color w:val="auto"/>
        </w:rPr>
      </w:pPr>
      <w:r>
        <w:rPr>
          <w:rFonts w:ascii="Arial" w:cs="Arial" w:eastAsia="Arial" w:hAnsi="Arial"/>
          <w:sz w:val="11"/>
          <w:szCs w:val="11"/>
          <w:color w:val="auto"/>
        </w:rPr>
        <w:t>Credit portfolio VaR includes the derivative CVA, hedges of the CVA and hedges of the retained loan portfolio, which are reported in principal transactions revenue. This VaR does not include the retained loan portfolio, which is not reported at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1029"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-35560</wp:posOffset>
            </wp:positionV>
            <wp:extent cx="23742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1Q21</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4Q20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2Q20</w:t>
            </w: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6"/>
              </w:rPr>
              <w:t>INCOME STATEMENT</w:t>
            </w:r>
          </w:p>
        </w:tc>
        <w:tc>
          <w:tcPr>
            <w:tcW w:w="1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120" w:type="dxa"/>
            <w:vAlign w:val="bottom"/>
            <w:tcBorders>
              <w:bottom w:val="single" w:sz="8" w:color="auto"/>
            </w:tcBorders>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331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325</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304</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297</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All other income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2"/>
        </w:trPr>
        <w:tc>
          <w:tcPr>
            <w:tcW w:w="23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917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875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823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608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60"/>
        </w:trPr>
        <w:tc>
          <w:tcPr>
            <w:tcW w:w="2300" w:type="dxa"/>
            <w:vAlign w:val="bottom"/>
            <w:gridSpan w:val="3"/>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1,476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1,588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3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2,393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2,463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2,400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2,165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322"/>
        </w:trPr>
        <w:tc>
          <w:tcPr>
            <w:tcW w:w="2300" w:type="dxa"/>
            <w:vAlign w:val="bottom"/>
            <w:gridSpan w:val="3"/>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(1,181)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24"/>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3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969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950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969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893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986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0"/>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Income/(loss) before income tax</w:t>
            </w:r>
          </w:p>
        </w:tc>
        <w:tc>
          <w:tcPr>
            <w:tcW w:w="120" w:type="dxa"/>
            <w:vAlign w:val="bottom"/>
          </w:tcPr>
          <w:p>
            <w:pPr>
              <w:spacing w:after="0"/>
              <w:rPr>
                <w:sz w:val="24"/>
                <w:szCs w:val="24"/>
                <w:color w:val="auto"/>
              </w:rPr>
            </w:pP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1,542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2,694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1,463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(924)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169</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expense/(benefit)</w:t>
            </w: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0"/>
        </w:trPr>
        <w:tc>
          <w:tcPr>
            <w:tcW w:w="2300" w:type="dxa"/>
            <w:vAlign w:val="bottom"/>
            <w:gridSpan w:val="3"/>
          </w:tcPr>
          <w:p>
            <w:pPr>
              <w:spacing w:after="0"/>
              <w:rPr>
                <w:sz w:val="20"/>
                <w:szCs w:val="20"/>
                <w:color w:val="auto"/>
              </w:rPr>
            </w:pPr>
            <w:r>
              <w:rPr>
                <w:rFonts w:ascii="Arial" w:cs="Arial" w:eastAsia="Arial" w:hAnsi="Arial"/>
                <w:sz w:val="11"/>
                <w:szCs w:val="11"/>
                <w:color w:val="auto"/>
              </w:rPr>
              <w:t>Income tax expense/(benefit)</w:t>
            </w: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374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NET INCOME/(LOSS)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1,168</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2,034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1,086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(681)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88"/>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Revenue by product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Lending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1,168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1,177</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1,138</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1,127</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954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Wholesale payments</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Investment banking (b)</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3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Commercial Banking net revenue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300" w:type="dxa"/>
            <w:vAlign w:val="bottom"/>
            <w:gridSpan w:val="3"/>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2,393</w:t>
            </w:r>
          </w:p>
        </w:tc>
        <w:tc>
          <w:tcPr>
            <w:tcW w:w="2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2,463</w:t>
            </w:r>
          </w:p>
        </w:tc>
        <w:tc>
          <w:tcPr>
            <w:tcW w:w="220" w:type="dxa"/>
            <w:vAlign w:val="bottom"/>
          </w:tcPr>
          <w:p>
            <w:pPr>
              <w:spacing w:after="0"/>
              <w:rPr>
                <w:sz w:val="7"/>
                <w:szCs w:val="7"/>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2,285</w:t>
            </w:r>
          </w:p>
        </w:tc>
        <w:tc>
          <w:tcPr>
            <w:tcW w:w="240" w:type="dxa"/>
            <w:vAlign w:val="bottom"/>
            <w:vMerge w:val="restart"/>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2,400</w:t>
            </w:r>
          </w:p>
        </w:tc>
        <w:tc>
          <w:tcPr>
            <w:tcW w:w="260" w:type="dxa"/>
            <w:vAlign w:val="bottom"/>
          </w:tcPr>
          <w:p>
            <w:pPr>
              <w:spacing w:after="0"/>
              <w:rPr>
                <w:sz w:val="7"/>
                <w:szCs w:val="7"/>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2,165</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(a)</w:t>
            </w:r>
          </w:p>
        </w:tc>
        <w:tc>
          <w:tcPr>
            <w:tcW w:w="1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89"/>
        </w:trPr>
        <w:tc>
          <w:tcPr>
            <w:tcW w:w="2300" w:type="dxa"/>
            <w:vAlign w:val="bottom"/>
            <w:gridSpan w:val="3"/>
          </w:tcPr>
          <w:p>
            <w:pPr>
              <w:spacing w:after="0"/>
              <w:rPr>
                <w:sz w:val="20"/>
                <w:szCs w:val="20"/>
                <w:color w:val="auto"/>
              </w:rPr>
            </w:pPr>
            <w:r>
              <w:rPr>
                <w:rFonts w:ascii="Arial" w:cs="Arial" w:eastAsia="Arial" w:hAnsi="Arial"/>
                <w:sz w:val="11"/>
                <w:szCs w:val="11"/>
                <w:color w:val="auto"/>
              </w:rPr>
              <w:t>Investment banking revenue, gross (c)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1,129</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971</w:t>
            </w:r>
          </w:p>
        </w:tc>
        <w:tc>
          <w:tcPr>
            <w:tcW w:w="2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840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851</w:t>
            </w:r>
          </w:p>
        </w:tc>
        <w:tc>
          <w:tcPr>
            <w:tcW w:w="260" w:type="dxa"/>
            <w:vAlign w:val="bottom"/>
          </w:tcPr>
          <w:p>
            <w:pPr>
              <w:spacing w:after="0"/>
              <w:rPr>
                <w:sz w:val="24"/>
                <w:szCs w:val="2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324"/>
        </w:trPr>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Revenue by client segment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Middle Market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916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947</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870</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856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541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175</w:t>
            </w:r>
          </w:p>
        </w:tc>
        <w:tc>
          <w:tcPr>
            <w:tcW w:w="0" w:type="dxa"/>
            <w:vAlign w:val="bottom"/>
          </w:tcPr>
          <w:p>
            <w:pPr>
              <w:spacing w:after="0"/>
              <w:rPr>
                <w:sz w:val="1"/>
                <w:szCs w:val="1"/>
                <w:color w:val="auto"/>
              </w:rPr>
            </w:pPr>
          </w:p>
        </w:tc>
      </w:tr>
      <w:tr>
        <w:trPr>
          <w:trHeight w:val="22"/>
        </w:trPr>
        <w:tc>
          <w:tcPr>
            <w:tcW w:w="23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Total Commercial Banking net revenue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300" w:type="dxa"/>
            <w:vAlign w:val="bottom"/>
            <w:gridSpan w:val="3"/>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2,393</w:t>
            </w:r>
          </w:p>
        </w:tc>
        <w:tc>
          <w:tcPr>
            <w:tcW w:w="2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2,463</w:t>
            </w:r>
          </w:p>
        </w:tc>
        <w:tc>
          <w:tcPr>
            <w:tcW w:w="220" w:type="dxa"/>
            <w:vAlign w:val="bottom"/>
          </w:tcPr>
          <w:p>
            <w:pPr>
              <w:spacing w:after="0"/>
              <w:rPr>
                <w:sz w:val="7"/>
                <w:szCs w:val="7"/>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2,285</w:t>
            </w:r>
          </w:p>
        </w:tc>
        <w:tc>
          <w:tcPr>
            <w:tcW w:w="3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2,400</w:t>
            </w:r>
          </w:p>
        </w:tc>
        <w:tc>
          <w:tcPr>
            <w:tcW w:w="260" w:type="dxa"/>
            <w:vAlign w:val="bottom"/>
          </w:tcPr>
          <w:p>
            <w:pPr>
              <w:spacing w:after="0"/>
              <w:rPr>
                <w:sz w:val="7"/>
                <w:szCs w:val="7"/>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2,165</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(a)</w:t>
            </w: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28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300" w:type="dxa"/>
            <w:vAlign w:val="bottom"/>
            <w:gridSpan w:val="3"/>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(13) %</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46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In the fourth quarter of 2020, payment processing-only clients along with the associated revenue and expenses were realigned to CIB’s Wholesale Payments business from CCB and 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340" w:right="40" w:hanging="332"/>
        <w:spacing w:after="0" w:line="230" w:lineRule="auto"/>
        <w:tabs>
          <w:tab w:leader="none" w:pos="337" w:val="left"/>
        </w:tabs>
        <w:numPr>
          <w:ilvl w:val="0"/>
          <w:numId w:val="31"/>
        </w:numPr>
        <w:rPr>
          <w:rFonts w:ascii="Arial" w:cs="Arial" w:eastAsia="Arial" w:hAnsi="Arial"/>
          <w:sz w:val="11"/>
          <w:szCs w:val="11"/>
          <w:color w:val="auto"/>
        </w:rPr>
      </w:pPr>
      <w:r>
        <w:rPr>
          <w:rFonts w:ascii="Arial" w:cs="Arial" w:eastAsia="Arial" w:hAnsi="Arial"/>
          <w:sz w:val="11"/>
          <w:szCs w:val="11"/>
          <w:color w:val="auto"/>
        </w:rPr>
        <w:t>Total net revenue included tax-equivalent adjustments from income tax credits related to equity investments in designated community development entities and in entities established for rehabilitation of historic properties, as well as tax-exempt income related to municipal financing activities of $73 million, $107 million, $82 million, $80 million and $81 million for the three months ended March 31, 2021, December 31, 2020, September 30, 2020, June 30, 2020 and March 31, 2020, respectively. In the first quarter of 2021, in relation to the reclassification of certain deferred investment tax credits, prior-period tax-equivalent adjustment amounts have been revised to conform with the current presentation. Refer to footnote (a) on page 2 for further information.</w:t>
      </w:r>
    </w:p>
    <w:p>
      <w:pPr>
        <w:spacing w:after="0" w:line="1" w:lineRule="exact"/>
        <w:rPr>
          <w:rFonts w:ascii="Arial" w:cs="Arial" w:eastAsia="Arial" w:hAnsi="Arial"/>
          <w:sz w:val="11"/>
          <w:szCs w:val="11"/>
          <w:color w:val="auto"/>
        </w:rPr>
      </w:pPr>
    </w:p>
    <w:p>
      <w:pPr>
        <w:ind w:left="320" w:hanging="312"/>
        <w:spacing w:after="0" w:line="230" w:lineRule="auto"/>
        <w:tabs>
          <w:tab w:leader="none" w:pos="3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CB’s share of revenue from investment banking products sold to CB clients through the CIB.</w:t>
      </w:r>
    </w:p>
    <w:p>
      <w:pPr>
        <w:ind w:left="320" w:hanging="312"/>
        <w:spacing w:after="0"/>
        <w:tabs>
          <w:tab w:leader="none" w:pos="3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Refer to page 65 of the Firm’s 2020 Form 10-K for discussion of revenue sharing.</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664"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-35560</wp:posOffset>
            </wp:positionV>
            <wp:extent cx="237426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(in millions, except headcount and ratio</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6"/>
            <w:vMerge w:val="restart"/>
          </w:tcPr>
          <w:p>
            <w:pPr>
              <w:jc w:val="right"/>
              <w:ind w:right="4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data)</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1Q21</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4Q20</w:t>
            </w:r>
          </w:p>
        </w:tc>
        <w:tc>
          <w:tcPr>
            <w:tcW w:w="120" w:type="dxa"/>
            <w:vAlign w:val="bottom"/>
          </w:tcPr>
          <w:p>
            <w:pPr>
              <w:spacing w:after="0" w:line="20" w:lineRule="exact"/>
              <w:rPr>
                <w:sz w:val="1"/>
                <w:szCs w:val="1"/>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3Q20</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2Q20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223,583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228,911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228,583</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235,034</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247,786</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202,975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207,880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214,352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223,192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232,254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1,112</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5"/>
            <w:vMerge w:val="continue"/>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205,859</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210,125</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214,701</w:t>
            </w: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224,109</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233,366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22,000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Period-end loans by client segment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Middle Market Banking (b)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59,983</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61,115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61,812</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64,211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60,317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45,540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47,420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49,857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56,182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69,540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100,035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101,146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102,484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103,117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102,799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710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Commercial Banking loans (b)</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205,859</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210,125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214,701</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224,109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233,366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225,574</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227,431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231,691</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247,512</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226,071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204,164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210,621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217,498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233,044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209,988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1,831</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5"/>
            <w:vMerge w:val="continue"/>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206,742</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212,175</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218,127</w:t>
            </w: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233,546</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211,819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Client deposits and other third-party liabilities</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290,992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276,694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248,289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236,968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188,808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22,000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Average loans by client segment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Middle Market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60,011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60,869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63,029</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66,279</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56,045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45,719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48,825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51,608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63,308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53,032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100,661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101,969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102,905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103,516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101,526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585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1,216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Commercial Banking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206,742</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212,175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218,127</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233,546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211,819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11,748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11,704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11,802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11,779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162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60</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79</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(82)</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Nonperforming assets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1"/>
                <w:szCs w:val="11"/>
                <w:color w:val="auto"/>
              </w:rPr>
              <w:t>Nonaccrual loans retained (c)</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1,134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1,468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gridSpan w:val="5"/>
          </w:tcPr>
          <w:p>
            <w:pPr>
              <w:ind w:left="200"/>
              <w:spacing w:after="0"/>
              <w:rPr>
                <w:sz w:val="20"/>
                <w:szCs w:val="20"/>
                <w:color w:val="auto"/>
              </w:rPr>
            </w:pPr>
            <w:r>
              <w:rPr>
                <w:rFonts w:ascii="Arial" w:cs="Arial" w:eastAsia="Arial" w:hAnsi="Arial"/>
                <w:sz w:val="11"/>
                <w:szCs w:val="11"/>
                <w:color w:val="auto"/>
              </w:rPr>
              <w:t>Nonaccrual loans held-for-sale and loans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1"/>
                <w:szCs w:val="11"/>
                <w:color w:val="auto"/>
              </w:rPr>
              <w:t>at fair value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1,134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1,406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1,553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1,377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793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1,158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1,430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1,577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1,401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817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3,086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4,466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4,730</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2,680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1"/>
                <w:szCs w:val="11"/>
                <w:color w:val="auto"/>
                <w:w w:val="99"/>
              </w:rPr>
              <w:t>Allowance for lending-related commitments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864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807</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3,839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3,986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5,330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5,537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3,185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Net charge-off/(recovery) rate (d)</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0.06</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0.31  %</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0.11</w:t>
            </w:r>
          </w:p>
        </w:tc>
        <w:tc>
          <w:tcPr>
            <w:tcW w:w="2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0.14</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0.19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2.08</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2.12</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w w:val="99"/>
              </w:rPr>
              <w:t>Allowance for loan losses to nonaccrual loans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retained (c)</w:t>
            </w: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378</w:t>
            </w:r>
          </w:p>
        </w:tc>
        <w:tc>
          <w:tcPr>
            <w:tcW w:w="360" w:type="dxa"/>
            <w:vAlign w:val="bottom"/>
            <w:gridSpan w:val="2"/>
          </w:tcPr>
          <w:p>
            <w:pPr>
              <w:jc w:val="right"/>
              <w:ind w:right="166"/>
              <w:spacing w:after="0"/>
              <w:rPr>
                <w:sz w:val="20"/>
                <w:szCs w:val="20"/>
                <w:color w:val="auto"/>
              </w:rPr>
            </w:pPr>
            <w:r>
              <w:rPr>
                <w:rFonts w:ascii="Arial" w:cs="Arial" w:eastAsia="Arial" w:hAnsi="Arial"/>
                <w:sz w:val="11"/>
                <w:szCs w:val="11"/>
                <w:color w:val="auto"/>
                <w:w w:val="88"/>
              </w:rPr>
              <w:t>(e)</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338</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1"/>
                <w:szCs w:val="11"/>
                <w:color w:val="auto"/>
              </w:rPr>
              <w:t>Nonaccrual loans to period-end total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0.55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0.72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0.61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 the first quarter of 2021, the Firm reclassified certain deferred investment tax credits. Prior-period amounts have been revised to conform with the current presentation. Refer to footnote (a) on page 2 for further information.</w:t>
      </w:r>
    </w:p>
    <w:p>
      <w:pPr>
        <w:ind w:left="340" w:right="220" w:hanging="332"/>
        <w:spacing w:after="0" w:line="230" w:lineRule="auto"/>
        <w:tabs>
          <w:tab w:leader="none" w:pos="337" w:val="left"/>
        </w:tabs>
        <w:numPr>
          <w:ilvl w:val="0"/>
          <w:numId w:val="32"/>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and June 30, 2020, total loans included $7.4 billion, $6.6 billion, $6.6 billion and $6.5 billion of loans, respectively, under the PPP, of which $7.2 billion, $6.4 billion, $6.4 billion and $6.3 billion was in Middle Market Banking. Refer to page 113 of the Firm’s 2020 Form 10-K for further information on the PPP.</w:t>
      </w:r>
    </w:p>
    <w:p>
      <w:pPr>
        <w:ind w:left="340" w:right="240" w:hanging="332"/>
        <w:spacing w:after="0" w:line="230" w:lineRule="auto"/>
        <w:tabs>
          <w:tab w:leader="none" w:pos="331" w:val="left"/>
        </w:tabs>
        <w:numPr>
          <w:ilvl w:val="0"/>
          <w:numId w:val="32"/>
        </w:numPr>
        <w:rPr>
          <w:rFonts w:ascii="Arial" w:cs="Arial" w:eastAsia="Arial" w:hAnsi="Arial"/>
          <w:sz w:val="11"/>
          <w:szCs w:val="11"/>
          <w:color w:val="auto"/>
        </w:rPr>
      </w:pPr>
      <w:r>
        <w:rPr>
          <w:rFonts w:ascii="Arial" w:cs="Arial" w:eastAsia="Arial" w:hAnsi="Arial"/>
          <w:sz w:val="11"/>
          <w:szCs w:val="11"/>
          <w:color w:val="auto"/>
        </w:rPr>
        <w:t>Allowance for loan losses of $227 million, $273 million, $367 million, $287 million and $175 million was held against nonaccrual loans retained at March 31, 2021, December 31, 2020, September 30, 2020, June 30, 2020 and March 31, 2020, respectively.</w:t>
      </w:r>
    </w:p>
    <w:p>
      <w:pPr>
        <w:ind w:left="320" w:hanging="312"/>
        <w:spacing w:after="0" w:line="230" w:lineRule="auto"/>
        <w:tabs>
          <w:tab w:leader="none" w:pos="3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ind w:left="320" w:hanging="312"/>
        <w:spacing w:after="0"/>
        <w:tabs>
          <w:tab w:leader="none" w:pos="3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66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w:t>
      </w:r>
    </w:p>
    <w:p>
      <w:pPr>
        <w:ind w:left="20"/>
        <w:spacing w:after="0"/>
        <w:rPr>
          <w:sz w:val="20"/>
          <w:szCs w:val="20"/>
          <w:color w:val="auto"/>
        </w:rPr>
      </w:pPr>
      <w:r>
        <w:rPr>
          <w:rFonts w:ascii="Arial" w:cs="Arial" w:eastAsia="Arial" w:hAnsi="Arial"/>
          <w:sz w:val="14"/>
          <w:szCs w:val="14"/>
          <w:b w:val="1"/>
          <w:bCs w:val="1"/>
          <w:color w:val="auto"/>
        </w:rPr>
        <w:t>MANAGEMENT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headcount</w:t>
      </w:r>
    </w:p>
    <w:p>
      <w:pPr>
        <w:ind w:left="20"/>
        <w:spacing w:after="0"/>
        <w:rPr>
          <w:sz w:val="20"/>
          <w:szCs w:val="20"/>
          <w:color w:val="auto"/>
        </w:rPr>
      </w:pPr>
      <w:r>
        <w:rPr>
          <w:rFonts w:ascii="Arial" w:cs="Arial" w:eastAsia="Arial" w:hAnsi="Arial"/>
          <w:sz w:val="11"/>
          <w:szCs w:val="11"/>
          <w:b w:val="1"/>
          <w:bCs w:val="1"/>
          <w:color w:val="auto"/>
        </w:rPr>
        <w:t>data)</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1Q21</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4Q20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2Q20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6"/>
              </w:rPr>
              <w:t>INCOME STATEMENT</w:t>
            </w:r>
          </w:p>
        </w:tc>
        <w:tc>
          <w:tcPr>
            <w:tcW w:w="11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120" w:type="dxa"/>
            <w:vAlign w:val="bottom"/>
            <w:tcBorders>
              <w:bottom w:val="single" w:sz="8" w:color="auto"/>
            </w:tcBorders>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00" w:type="dxa"/>
            <w:vAlign w:val="bottom"/>
            <w:gridSpan w:val="4"/>
          </w:tcPr>
          <w:p>
            <w:pPr>
              <w:spacing w:after="0"/>
              <w:rPr>
                <w:sz w:val="20"/>
                <w:szCs w:val="20"/>
                <w:color w:val="auto"/>
              </w:rPr>
            </w:pPr>
            <w:r>
              <w:rPr>
                <w:rFonts w:ascii="Arial" w:cs="Arial" w:eastAsia="Arial" w:hAnsi="Arial"/>
                <w:sz w:val="11"/>
                <w:szCs w:val="11"/>
                <w:color w:val="auto"/>
              </w:rPr>
              <w:t>Asset management, administration and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4"/>
          </w:tcPr>
          <w:p>
            <w:pPr>
              <w:spacing w:after="0"/>
              <w:rPr>
                <w:sz w:val="20"/>
                <w:szCs w:val="20"/>
                <w:color w:val="auto"/>
              </w:rPr>
            </w:pPr>
            <w:r>
              <w:rPr>
                <w:rFonts w:ascii="Arial" w:cs="Arial" w:eastAsia="Arial" w:hAnsi="Arial"/>
                <w:sz w:val="11"/>
                <w:szCs w:val="11"/>
                <w:color w:val="auto"/>
              </w:rPr>
              <w:t>commissions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2,888</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2,892</w:t>
            </w:r>
          </w:p>
        </w:tc>
        <w:tc>
          <w:tcPr>
            <w:tcW w:w="2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2,646</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2,489</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2,583</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 %</w:t>
            </w:r>
          </w:p>
        </w:tc>
        <w:tc>
          <w:tcPr>
            <w:tcW w:w="60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197</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3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3,146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2,979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2,739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2,575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2,529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0"/>
        </w:trPr>
        <w:tc>
          <w:tcPr>
            <w:tcW w:w="230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888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815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855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860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2"/>
        </w:trPr>
        <w:tc>
          <w:tcPr>
            <w:tcW w:w="23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4,077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3,867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3,554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3,430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3,389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322"/>
        </w:trPr>
        <w:tc>
          <w:tcPr>
            <w:tcW w:w="230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NM</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24"/>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1,226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1,185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1,209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3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2,574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2,443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2,323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2,435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1,624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1,113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1,163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884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860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1,244</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786</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876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669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270"/>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Asset Management</w:t>
            </w:r>
          </w:p>
        </w:tc>
        <w:tc>
          <w:tcPr>
            <w:tcW w:w="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2,185</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2,210</w:t>
            </w:r>
          </w:p>
        </w:tc>
        <w:tc>
          <w:tcPr>
            <w:tcW w:w="2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1,924</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1,780</w:t>
            </w:r>
          </w:p>
        </w:tc>
        <w:tc>
          <w:tcPr>
            <w:tcW w:w="38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1,740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Global Private Bank (a)</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1,892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1,657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1,650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4,077</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3,867</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3,554</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3,430</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3,389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28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30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Global Private Bank (a)</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Headcount</w:t>
            </w:r>
          </w:p>
        </w:tc>
        <w:tc>
          <w:tcPr>
            <w:tcW w:w="12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20,578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20,683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21,058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21,273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21,302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02"/>
        </w:trPr>
        <w:tc>
          <w:tcPr>
            <w:tcW w:w="230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00" w:type="dxa"/>
            <w:vAlign w:val="bottom"/>
            <w:gridSpan w:val="4"/>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2,462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2,462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2,418</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465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390"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 the first quarter of 2021, the Wealth Management business was renamed Global Private Bank.</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570"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w:t>
      </w:r>
    </w:p>
    <w:p>
      <w:pPr>
        <w:ind w:left="20"/>
        <w:spacing w:after="0"/>
        <w:rPr>
          <w:sz w:val="20"/>
          <w:szCs w:val="20"/>
          <w:color w:val="auto"/>
        </w:rPr>
      </w:pPr>
      <w:r>
        <w:rPr>
          <w:rFonts w:ascii="Arial" w:cs="Arial" w:eastAsia="Arial" w:hAnsi="Arial"/>
          <w:sz w:val="14"/>
          <w:szCs w:val="14"/>
          <w:b w:val="1"/>
          <w:bCs w:val="1"/>
          <w:color w:val="auto"/>
        </w:rPr>
        <w:t>MANAGEMENT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6"/>
          </w:tcPr>
          <w:p>
            <w:pPr>
              <w:jc w:val="right"/>
              <w:ind w:right="80"/>
              <w:spacing w:after="0"/>
              <w:rPr>
                <w:sz w:val="20"/>
                <w:szCs w:val="20"/>
                <w:color w:val="auto"/>
              </w:rPr>
            </w:pPr>
            <w:r>
              <w:rPr>
                <w:rFonts w:ascii="Arial" w:cs="Arial" w:eastAsia="Arial" w:hAnsi="Arial"/>
                <w:sz w:val="11"/>
                <w:szCs w:val="11"/>
                <w:b w:val="1"/>
                <w:bCs w:val="1"/>
                <w:color w:val="auto"/>
                <w:w w:val="97"/>
              </w:rPr>
              <w:t>QUARTERLY TRENDS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1Q21</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4Q20</w:t>
            </w:r>
          </w:p>
        </w:tc>
        <w:tc>
          <w:tcPr>
            <w:tcW w:w="120" w:type="dxa"/>
            <w:vAlign w:val="bottom"/>
          </w:tcPr>
          <w:p>
            <w:pPr>
              <w:spacing w:after="0" w:line="20" w:lineRule="exact"/>
              <w:rPr>
                <w:sz w:val="1"/>
                <w:szCs w:val="1"/>
                <w:color w:val="auto"/>
              </w:rPr>
            </w:pPr>
          </w:p>
        </w:tc>
        <w:tc>
          <w:tcPr>
            <w:tcW w:w="4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3Q20</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2Q20</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24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2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213,088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203,384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187,858</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176,782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178,897</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192,256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186,608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172,695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162,904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163,763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217,460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198,755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166,049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160,993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160,231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10,500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10,500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306"/>
        </w:trPr>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40" w:type="dxa"/>
            <w:vAlign w:val="bottom"/>
            <w:gridSpan w:val="5"/>
          </w:tcPr>
          <w:p>
            <w:pPr>
              <w:spacing w:after="0"/>
              <w:rPr>
                <w:sz w:val="20"/>
                <w:szCs w:val="20"/>
                <w:color w:val="auto"/>
              </w:rPr>
            </w:pPr>
            <w:r>
              <w:rPr>
                <w:rFonts w:ascii="Arial" w:cs="Arial" w:eastAsia="Arial" w:hAnsi="Arial"/>
                <w:sz w:val="11"/>
                <w:szCs w:val="11"/>
                <w:color w:val="auto"/>
              </w:rPr>
              <w:t>Total assets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207,505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193,026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181,850</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175,887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174,834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188,726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176,758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167,645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161,196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159,513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206,562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180,348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162,589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160,102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144,570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10,500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10,500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306"/>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4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956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436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240" w:type="dxa"/>
            <w:vAlign w:val="bottom"/>
            <w:gridSpan w:val="5"/>
          </w:tcPr>
          <w:p>
            <w:pPr>
              <w:ind w:left="120"/>
              <w:spacing w:after="0"/>
              <w:rPr>
                <w:sz w:val="20"/>
                <w:szCs w:val="20"/>
                <w:color w:val="auto"/>
              </w:rPr>
            </w:pPr>
            <w:r>
              <w:rPr>
                <w:rFonts w:ascii="Arial" w:cs="Arial" w:eastAsia="Arial" w:hAnsi="Arial"/>
                <w:sz w:val="11"/>
                <w:szCs w:val="11"/>
                <w:color w:val="auto"/>
                <w:w w:val="99"/>
              </w:rPr>
              <w:t>Allowance for lending-related commitments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22"/>
        </w:trPr>
        <w:tc>
          <w:tcPr>
            <w:tcW w:w="224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621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674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450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0"/>
        </w:trPr>
        <w:tc>
          <w:tcPr>
            <w:tcW w:w="2240" w:type="dxa"/>
            <w:vAlign w:val="bottom"/>
            <w:gridSpan w:val="5"/>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(0.04)  %</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0.34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w w:val="99"/>
              </w:rPr>
              <w:t>Allowance for loan losses to nonaccrual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0.47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4312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570"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-35560</wp:posOffset>
            </wp:positionV>
            <wp:extent cx="23742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2021</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line="20" w:lineRule="exact"/>
              <w:rPr>
                <w:sz w:val="1"/>
                <w:szCs w:val="1"/>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line="20" w:lineRule="exact"/>
              <w:rPr>
                <w:sz w:val="1"/>
                <w:szCs w:val="1"/>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500" w:type="dxa"/>
            <w:vAlign w:val="bottom"/>
          </w:tcPr>
          <w:p>
            <w:pPr>
              <w:spacing w:after="0"/>
              <w:rPr>
                <w:sz w:val="20"/>
                <w:szCs w:val="20"/>
                <w:color w:val="auto"/>
              </w:rPr>
            </w:pPr>
            <w:r>
              <w:rPr>
                <w:rFonts w:ascii="Arial" w:cs="Arial" w:eastAsia="Arial" w:hAnsi="Arial"/>
                <w:sz w:val="11"/>
                <w:szCs w:val="11"/>
                <w:b w:val="1"/>
                <w:bCs w:val="1"/>
                <w:color w:val="auto"/>
              </w:rPr>
              <w:t>Mar 31,</w:t>
            </w: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CLIENT ASSETS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4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641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674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704</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619</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7 %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574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517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144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139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2,833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2,560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2,476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2,210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0"/>
        </w:trPr>
        <w:tc>
          <w:tcPr>
            <w:tcW w:w="2440" w:type="dxa"/>
            <w:vAlign w:val="bottom"/>
            <w:gridSpan w:val="2"/>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995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681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 CLIENT ASSETS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3,828</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3,652</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3,370</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3,241</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2,891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2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650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631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577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Global Institutional (a)</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1,245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1,107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Global Funds (a)</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665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526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2,833</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2,716</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2,560</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2,476</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2,210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44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1,664</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1,581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1,422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1,360</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1,233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Global Institutional (a)</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1,278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1,128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Global Funds (a)</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530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 CLIENT ASSETS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3,828</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3,652</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3,370</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3,241</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2,891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2,716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2,560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2,476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2,210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2,328</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77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(192)</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2,833</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2,716</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2,560</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2,476</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2,210</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3,652</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3,370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3,241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2,891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3,089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4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3,828</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3,652</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3,370</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3,241</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2,891</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51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82"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In the fourth quarter of 2020, the Firm realigned certain wealth management clients from AWM to CCB. Prior-period amounts have been revised to conform with the current presentation. Refer to Business segment changes on page 65 of the Firm’s 2020 Form 10-K for further information.</w:t>
      </w:r>
    </w:p>
    <w:p>
      <w:pPr>
        <w:spacing w:after="0" w:line="4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 the first quarter of 2021, Institutional and Retail client segments were renamed to Global Institutional and Global Funds, respectively.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22</w:t>
      </w:r>
    </w:p>
    <w:p>
      <w:pPr>
        <w:sectPr>
          <w:pgSz w:w="11900" w:h="16838" w:orient="portrait"/>
          <w:cols w:equalWidth="0" w:num="1">
            <w:col w:w="11240"/>
          </w:cols>
          <w:pgMar w:left="320" w:top="664"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-35560</wp:posOffset>
            </wp:positionV>
            <wp:extent cx="23742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headcount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6"/>
          </w:tcPr>
          <w:p>
            <w:pPr>
              <w:jc w:val="center"/>
              <w:ind w:right="11"/>
              <w:spacing w:after="0"/>
              <w:rPr>
                <w:sz w:val="20"/>
                <w:szCs w:val="20"/>
                <w:color w:val="auto"/>
              </w:rPr>
            </w:pPr>
            <w:r>
              <w:rPr>
                <w:rFonts w:ascii="Arial" w:cs="Arial" w:eastAsia="Arial" w:hAnsi="Arial"/>
                <w:sz w:val="11"/>
                <w:szCs w:val="11"/>
                <w:b w:val="1"/>
                <w:bCs w:val="1"/>
                <w:color w:val="auto"/>
                <w:w w:val="97"/>
              </w:rPr>
              <w:t>QUARTERLY TRENDS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1Q21</w:t>
            </w: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4Q20</w:t>
            </w:r>
          </w:p>
        </w:tc>
        <w:tc>
          <w:tcPr>
            <w:tcW w:w="80" w:type="dxa"/>
            <w:vAlign w:val="bottom"/>
          </w:tcPr>
          <w:p>
            <w:pPr>
              <w:spacing w:after="0" w:line="20" w:lineRule="exact"/>
              <w:rPr>
                <w:sz w:val="1"/>
                <w:szCs w:val="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3Q20</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6"/>
              </w:rPr>
              <w:t>2Q20</w:t>
            </w:r>
          </w:p>
        </w:tc>
        <w:tc>
          <w:tcPr>
            <w:tcW w:w="100" w:type="dxa"/>
            <w:vAlign w:val="bottom"/>
          </w:tcPr>
          <w:p>
            <w:pPr>
              <w:spacing w:after="0" w:line="20" w:lineRule="exact"/>
              <w:rPr>
                <w:sz w:val="1"/>
                <w:szCs w:val="1"/>
                <w:color w:val="auto"/>
              </w:rPr>
            </w:pP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6"/>
              </w:rPr>
              <w:t>INCOME STATEMENT</w:t>
            </w:r>
          </w:p>
        </w:tc>
        <w:tc>
          <w:tcPr>
            <w:tcW w:w="1100" w:type="dxa"/>
            <w:vAlign w:val="bottom"/>
            <w:gridSpan w:val="3"/>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87</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 %</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gains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(61)</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382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592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343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331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(418)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2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(473)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(249)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(339)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(754)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NM</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876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361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719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147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146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2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Income/(loss) before income tax</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(1,365)</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(568)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(1,154)</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(905)</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expense/(benefit)</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(140)</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(785)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(274)</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(699)</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(568)</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(364)</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Treasury and Chief Investment Office (“CIO”)</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(473)</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(249)</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(339)</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(754)</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(59)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(699)</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(568)</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(364)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3"/>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1,409,564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1,359,831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1,253,275</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1,221,980</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981,937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1,569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1,670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1,650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38,168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38,366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38,861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38,920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38,785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SUPPLEMENTAL INFORMATION</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TREASURY and CIO</w:t>
            </w:r>
          </w:p>
        </w:tc>
        <w:tc>
          <w:tcPr>
            <w:tcW w:w="5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gains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466</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26</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372,443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410,803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442,943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426,470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372,954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Held-to-maturity securities (average)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207,957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155,525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103,596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71,713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46,673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580,400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566,328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546,539</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498,183</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419,627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377,911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386,065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387,663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483,752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397,891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Held-to-maturity securities, net of allowance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for credit losses (period-end) (b)(c)</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217,452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201,821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141,553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72,908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71,200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20" w:type="dxa"/>
            <w:vAlign w:val="bottom"/>
            <w:gridSpan w:val="5"/>
            <w:vMerge w:val="restart"/>
          </w:tcPr>
          <w:p>
            <w:pPr>
              <w:spacing w:after="0"/>
              <w:rPr>
                <w:sz w:val="20"/>
                <w:szCs w:val="20"/>
                <w:color w:val="auto"/>
              </w:rPr>
            </w:pPr>
            <w:r>
              <w:rPr>
                <w:rFonts w:ascii="Arial" w:cs="Arial" w:eastAsia="Arial" w:hAnsi="Arial"/>
                <w:sz w:val="11"/>
                <w:szCs w:val="11"/>
                <w:color w:val="auto"/>
              </w:rPr>
              <w:t>Investment securities portfolio, net of</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20" w:type="dxa"/>
            <w:vAlign w:val="bottom"/>
            <w:gridSpan w:val="5"/>
            <w:vMerge w:val="continue"/>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595,363</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587,886</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529,216</w:t>
            </w:r>
          </w:p>
        </w:tc>
        <w:tc>
          <w:tcPr>
            <w:tcW w:w="3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556,660</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469,091</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allowance for credit losses (period-end) (b)</w:t>
            </w: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40" w:right="360" w:hanging="332"/>
        <w:spacing w:after="0" w:line="230" w:lineRule="auto"/>
        <w:tabs>
          <w:tab w:leader="none" w:pos="337"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Included tax-equivalent adjustments, driven by tax-exempt income from municipal bonds, of $67 million, $55 million, $62 million, $63 million and $61 million for the three months ended March 31, 2021, December 31, 2020, September 30, 2020, June 30, 2020 and March 31, 2020, respectively.</w:t>
      </w:r>
    </w:p>
    <w:p>
      <w:pPr>
        <w:ind w:left="340" w:right="500" w:hanging="332"/>
        <w:spacing w:after="0" w:line="230" w:lineRule="auto"/>
        <w:tabs>
          <w:tab w:leader="none" w:pos="337" w:val="left"/>
        </w:tabs>
        <w:numPr>
          <w:ilvl w:val="0"/>
          <w:numId w:val="36"/>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the allowance for credit losses on HTM securities was $94 million, $78 million, $120 million, $23 million and $19 million, respectively.</w:t>
      </w:r>
    </w:p>
    <w:p>
      <w:pPr>
        <w:ind w:left="340" w:right="120" w:hanging="332"/>
        <w:spacing w:after="0" w:line="238" w:lineRule="auto"/>
        <w:tabs>
          <w:tab w:leader="none" w:pos="331" w:val="left"/>
        </w:tabs>
        <w:numPr>
          <w:ilvl w:val="0"/>
          <w:numId w:val="36"/>
        </w:numPr>
        <w:rPr>
          <w:rFonts w:ascii="Arial" w:cs="Arial" w:eastAsia="Arial" w:hAnsi="Arial"/>
          <w:sz w:val="11"/>
          <w:szCs w:val="11"/>
          <w:color w:val="auto"/>
        </w:rPr>
      </w:pPr>
      <w:r>
        <w:rPr>
          <w:rFonts w:ascii="Arial" w:cs="Arial" w:eastAsia="Arial" w:hAnsi="Arial"/>
          <w:sz w:val="11"/>
          <w:szCs w:val="11"/>
          <w:color w:val="auto"/>
        </w:rPr>
        <w:t>During 2020, the Firm transferred $164.2 billion of investment securities from AFS to HTM for capital management purposes, comprised of $63.7 billion, $74.4 billion and $26.1 billion in the fourth, third and first quarters of 2020,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40"/>
          </w:cols>
          <w:pgMar w:left="320" w:top="664"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w:t>
      </w:r>
    </w:p>
    <w:p>
      <w:pPr>
        <w:ind w:left="20"/>
        <w:spacing w:after="0"/>
        <w:rPr>
          <w:sz w:val="20"/>
          <w:szCs w:val="20"/>
          <w:color w:val="auto"/>
        </w:rPr>
      </w:pPr>
      <w:r>
        <w:rPr>
          <w:rFonts w:ascii="Arial" w:cs="Arial" w:eastAsia="Arial" w:hAnsi="Arial"/>
          <w:sz w:val="14"/>
          <w:szCs w:val="14"/>
          <w:b w:val="1"/>
          <w:bCs w:val="1"/>
          <w:color w:val="auto"/>
        </w:rPr>
        <w:t>INFORMATION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2021</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line="20" w:lineRule="exact"/>
              <w:rPr>
                <w:sz w:val="1"/>
                <w:szCs w:val="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line="20" w:lineRule="exact"/>
              <w:rPr>
                <w:sz w:val="1"/>
                <w:szCs w:val="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0"/>
        </w:trPr>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2020</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1040" w:type="dxa"/>
            <w:vAlign w:val="bottom"/>
            <w:vMerge w:val="restart"/>
          </w:tcPr>
          <w:p>
            <w:pPr>
              <w:spacing w:after="0"/>
              <w:rPr>
                <w:sz w:val="20"/>
                <w:szCs w:val="20"/>
                <w:color w:val="auto"/>
              </w:rPr>
            </w:pPr>
            <w:r>
              <w:rPr>
                <w:rFonts w:ascii="Arial" w:cs="Arial" w:eastAsia="Arial" w:hAnsi="Arial"/>
                <w:sz w:val="11"/>
                <w:szCs w:val="11"/>
                <w:b w:val="1"/>
                <w:bCs w:val="1"/>
                <w:color w:val="auto"/>
                <w:w w:val="96"/>
              </w:rPr>
              <w:t>CREDIT EXPOSURE</w:t>
            </w:r>
          </w:p>
        </w:tc>
        <w:tc>
          <w:tcPr>
            <w:tcW w:w="11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1040" w:type="dxa"/>
            <w:vAlign w:val="bottom"/>
            <w:tcBorders>
              <w:bottom w:val="single" w:sz="8" w:color="auto"/>
            </w:tcBorders>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Consumer, excluding credit card loans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302,392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302,127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305,106</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307,005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293,779</w:t>
            </w:r>
          </w:p>
        </w:tc>
        <w:tc>
          <w:tcPr>
            <w:tcW w:w="240" w:type="dxa"/>
            <w:vAlign w:val="bottom"/>
          </w:tcPr>
          <w:p>
            <w:pPr>
              <w:spacing w:after="0"/>
              <w:rPr>
                <w:sz w:val="13"/>
                <w:szCs w:val="13"/>
                <w:color w:val="auto"/>
              </w:rPr>
            </w:pPr>
          </w:p>
        </w:tc>
        <w:tc>
          <w:tcPr>
            <w:tcW w:w="940" w:type="dxa"/>
            <w:vAlign w:val="bottom"/>
            <w:gridSpan w:val="3"/>
          </w:tcPr>
          <w:p>
            <w:pPr>
              <w:ind w:left="340"/>
              <w:spacing w:after="0"/>
              <w:rPr>
                <w:sz w:val="20"/>
                <w:szCs w:val="20"/>
                <w:color w:val="auto"/>
              </w:rPr>
            </w:pPr>
            <w:r>
              <w:rPr>
                <w:rFonts w:ascii="Arial" w:cs="Arial" w:eastAsia="Arial" w:hAnsi="Arial"/>
                <w:sz w:val="11"/>
                <w:szCs w:val="11"/>
                <w:color w:val="auto"/>
              </w:rPr>
              <w:t>— %</w:t>
            </w:r>
          </w:p>
        </w:tc>
        <w:tc>
          <w:tcPr>
            <w:tcW w:w="500" w:type="dxa"/>
            <w:vAlign w:val="bottom"/>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40"/>
        </w:trPr>
        <w:tc>
          <w:tcPr>
            <w:tcW w:w="2160" w:type="dxa"/>
            <w:vAlign w:val="bottom"/>
            <w:gridSpan w:val="2"/>
          </w:tcPr>
          <w:p>
            <w:pPr>
              <w:ind w:left="120"/>
              <w:spacing w:after="0"/>
              <w:rPr>
                <w:sz w:val="20"/>
                <w:szCs w:val="20"/>
                <w:color w:val="auto"/>
              </w:rPr>
            </w:pPr>
            <w:r>
              <w:rPr>
                <w:rFonts w:ascii="Arial" w:cs="Arial" w:eastAsia="Arial" w:hAnsi="Arial"/>
                <w:sz w:val="11"/>
                <w:szCs w:val="11"/>
                <w:color w:val="auto"/>
                <w:w w:val="98"/>
              </w:rPr>
              <w:t>Loans held-for-sale and loans at fair value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22,516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16,452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16,992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16,193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17,729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consumer, excluding credit card</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324,908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318,579</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322,098</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323,198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311,508</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loans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Credit card loans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1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131,772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143,432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139,590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141,656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154,021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Loans held-for-sale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784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787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credit card loans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132,493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144,216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140,377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141,656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154,021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consumer loans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457,401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462,795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462,475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464,854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465,529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22"/>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Wholesale loans (c)</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514,478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514,947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500,841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516,787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555,289</w:t>
            </w:r>
          </w:p>
        </w:tc>
        <w:tc>
          <w:tcPr>
            <w:tcW w:w="24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0"/>
        </w:trPr>
        <w:tc>
          <w:tcPr>
            <w:tcW w:w="2160" w:type="dxa"/>
            <w:vAlign w:val="bottom"/>
            <w:gridSpan w:val="2"/>
          </w:tcPr>
          <w:p>
            <w:pPr>
              <w:ind w:left="120"/>
              <w:spacing w:after="0"/>
              <w:rPr>
                <w:sz w:val="20"/>
                <w:szCs w:val="20"/>
                <w:color w:val="auto"/>
              </w:rPr>
            </w:pPr>
            <w:r>
              <w:rPr>
                <w:rFonts w:ascii="Arial" w:cs="Arial" w:eastAsia="Arial" w:hAnsi="Arial"/>
                <w:sz w:val="11"/>
                <w:szCs w:val="11"/>
                <w:color w:val="auto"/>
                <w:w w:val="98"/>
              </w:rPr>
              <w:t>Loans held-for-sale and loans at fair value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39,428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35,111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26,424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27,741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28,792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2"/>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wholesale loans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553,906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550,058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527,265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544,528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584,081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2"/>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1,011,307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1,012,853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989,740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1,009,382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1,049,610</w:t>
            </w:r>
          </w:p>
        </w:tc>
        <w:tc>
          <w:tcPr>
            <w:tcW w:w="240" w:type="dxa"/>
            <w:vAlign w:val="bottom"/>
          </w:tcPr>
          <w:p>
            <w:pPr>
              <w:spacing w:after="0"/>
              <w:rPr>
                <w:sz w:val="24"/>
                <w:szCs w:val="2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73,119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79,630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76,626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74,846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81,648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16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58,180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47,710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30,847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22,403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33,376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22"/>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credit-related assets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1,142,606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1,140,193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1,097,213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1,106,631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1,164,634</w:t>
            </w:r>
          </w:p>
        </w:tc>
        <w:tc>
          <w:tcPr>
            <w:tcW w:w="240" w:type="dxa"/>
            <w:vAlign w:val="bottom"/>
          </w:tcPr>
          <w:p>
            <w:pPr>
              <w:spacing w:after="0"/>
              <w:rPr>
                <w:sz w:val="11"/>
                <w:szCs w:val="11"/>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22"/>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56,245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57,319</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46,425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45,348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41,535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1"/>
                <w:szCs w:val="11"/>
                <w:color w:val="auto"/>
              </w:rPr>
              <w:t>Credit card (e)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674,367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658,506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662,860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673,836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681,442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1"/>
                <w:szCs w:val="11"/>
                <w:color w:val="auto"/>
              </w:rPr>
              <w:t>Wholesale (b)</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481,244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449,863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441,235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413,357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363,245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2"/>
        </w:trPr>
        <w:tc>
          <w:tcPr>
            <w:tcW w:w="2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1,211,856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1,165,688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1,150,520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1,132,541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1,086,222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2,354,462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2,305,881</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2,247,733</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2,239,172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2,250,856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89"/>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1"/>
                <w:szCs w:val="11"/>
                <w:color w:val="auto"/>
              </w:rPr>
              <w:t>Consumer exposure (b)(f)</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1,188,013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1,178,620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1,171,760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1,184,038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1,188,506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1"/>
                <w:szCs w:val="11"/>
                <w:color w:val="auto"/>
              </w:rPr>
              <w:t>Wholesale exposures (b)(g)</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1,166,449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1,127,261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1,075,973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1,055,134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1,062,350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2,354,462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2,305,881</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2,247,733</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2,239,172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2,250,856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379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ind w:left="340" w:right="80" w:hanging="332"/>
        <w:spacing w:after="0" w:line="230" w:lineRule="auto"/>
        <w:tabs>
          <w:tab w:leader="none" w:pos="337" w:val="left"/>
        </w:tabs>
        <w:numPr>
          <w:ilvl w:val="0"/>
          <w:numId w:val="37"/>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which resulted in a corresponding reclassification of certain off-balance sheet commitments. Prior-period amounts have been revised to conform with the current presentation.</w:t>
      </w:r>
    </w:p>
    <w:p>
      <w:pPr>
        <w:ind w:left="320" w:hanging="312"/>
        <w:spacing w:after="0" w:line="230"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Includes loans held in CIB, CB, AWM, Corporate as well as risk-rated business banking and auto dealer loans held in CCB for which the wholesale methodology is applied when determining the allowance for loan losses.</w:t>
      </w:r>
    </w:p>
    <w:p>
      <w:pPr>
        <w:ind w:left="320" w:hanging="312"/>
        <w:spacing w:after="0" w:line="230"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ind w:left="320" w:hanging="312"/>
        <w:spacing w:after="0" w:line="230"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CB and CIB.</w:t>
      </w:r>
    </w:p>
    <w:p>
      <w:pPr>
        <w:ind w:left="320" w:hanging="312"/>
        <w:spacing w:after="0" w:line="230"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ind w:left="320" w:hanging="312"/>
        <w:spacing w:after="0" w:line="230"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ind w:left="320" w:hanging="312"/>
        <w:spacing w:after="0"/>
        <w:tabs>
          <w:tab w:leader="none" w:pos="3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71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right="8880"/>
        <w:spacing w:after="0" w:line="244" w:lineRule="auto"/>
        <w:rPr>
          <w:sz w:val="20"/>
          <w:szCs w:val="20"/>
          <w:color w:val="auto"/>
        </w:rPr>
      </w:pPr>
      <w:r>
        <w:rPr>
          <w:rFonts w:ascii="Arial" w:cs="Arial" w:eastAsia="Arial" w:hAnsi="Arial"/>
          <w:sz w:val="14"/>
          <w:szCs w:val="14"/>
          <w:b w:val="1"/>
          <w:bCs w:val="1"/>
          <w:color w:val="auto"/>
        </w:rPr>
        <w:t>CREDIT-RELATED INFORMATION, CONTINUED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2021</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8"/>
              </w:rPr>
              <w:t>Dec 31,</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Sep 30,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Jun 30,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1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NONPERFORMING ASSETS (a)</w:t>
            </w: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Consumer nonaccrual loans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100"/>
              <w:spacing w:after="0"/>
              <w:rPr>
                <w:sz w:val="20"/>
                <w:szCs w:val="20"/>
                <w:color w:val="auto"/>
              </w:rPr>
            </w:pPr>
            <w:r>
              <w:rPr>
                <w:rFonts w:ascii="Arial" w:cs="Arial" w:eastAsia="Arial" w:hAnsi="Arial"/>
                <w:sz w:val="11"/>
                <w:szCs w:val="11"/>
                <w:color w:val="auto"/>
              </w:rPr>
              <w:t>Loans retained</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5,382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5,464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5,047</w:t>
            </w:r>
          </w:p>
        </w:tc>
        <w:tc>
          <w:tcPr>
            <w:tcW w:w="26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4,246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3,877</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0"/>
        </w:trPr>
        <w:tc>
          <w:tcPr>
            <w:tcW w:w="1860" w:type="dxa"/>
            <w:vAlign w:val="bottom"/>
            <w:gridSpan w:val="2"/>
          </w:tcPr>
          <w:p>
            <w:pPr>
              <w:ind w:left="100"/>
              <w:spacing w:after="0"/>
              <w:rPr>
                <w:sz w:val="20"/>
                <w:szCs w:val="20"/>
                <w:color w:val="auto"/>
              </w:rPr>
            </w:pPr>
            <w:r>
              <w:rPr>
                <w:rFonts w:ascii="Arial" w:cs="Arial" w:eastAsia="Arial" w:hAnsi="Arial"/>
                <w:sz w:val="11"/>
                <w:szCs w:val="11"/>
                <w:color w:val="auto"/>
                <w:w w:val="99"/>
              </w:rPr>
              <w:t>Loans held-for-sale and loans at fair</w:t>
            </w:r>
          </w:p>
        </w:tc>
        <w:tc>
          <w:tcPr>
            <w:tcW w:w="10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608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1,358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1,001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522</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spacing w:after="0"/>
              <w:rPr>
                <w:sz w:val="20"/>
                <w:szCs w:val="20"/>
                <w:color w:val="auto"/>
              </w:rPr>
            </w:pPr>
            <w:r>
              <w:rPr>
                <w:rFonts w:ascii="Arial" w:cs="Arial" w:eastAsia="Arial" w:hAnsi="Arial"/>
                <w:sz w:val="11"/>
                <w:szCs w:val="11"/>
                <w:color w:val="auto"/>
              </w:rPr>
              <w:t>value (b)</w:t>
            </w: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2"/>
        </w:trPr>
        <w:tc>
          <w:tcPr>
            <w:tcW w:w="1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5,990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6,467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6,405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5,247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4,399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322"/>
        </w:trPr>
        <w:tc>
          <w:tcPr>
            <w:tcW w:w="1860" w:type="dxa"/>
            <w:vAlign w:val="bottom"/>
            <w:gridSpan w:val="2"/>
          </w:tcPr>
          <w:p>
            <w:pPr>
              <w:spacing w:after="0"/>
              <w:rPr>
                <w:sz w:val="20"/>
                <w:szCs w:val="20"/>
                <w:color w:val="auto"/>
              </w:rPr>
            </w:pPr>
            <w:r>
              <w:rPr>
                <w:rFonts w:ascii="Arial" w:cs="Arial" w:eastAsia="Arial" w:hAnsi="Arial"/>
                <w:sz w:val="11"/>
                <w:szCs w:val="11"/>
                <w:b w:val="1"/>
                <w:bCs w:val="1"/>
                <w:color w:val="auto"/>
              </w:rPr>
              <w:t>Wholesale nonaccrual loans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3,015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3,318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3,745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1,957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40"/>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fair value (b)</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701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852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257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22"/>
        </w:trPr>
        <w:tc>
          <w:tcPr>
            <w:tcW w:w="1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3,716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4,106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4,597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4,072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2,214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82"/>
        </w:trPr>
        <w:tc>
          <w:tcPr>
            <w:tcW w:w="1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nonaccrual loans</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9,706</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10,573</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11,002</w:t>
            </w:r>
          </w:p>
        </w:tc>
        <w:tc>
          <w:tcPr>
            <w:tcW w:w="26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9,319</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6,613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1860" w:type="dxa"/>
            <w:vAlign w:val="bottom"/>
            <w:gridSpan w:val="2"/>
          </w:tcPr>
          <w:p>
            <w:pPr>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284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407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1"/>
                <w:szCs w:val="11"/>
                <w:color w:val="auto"/>
              </w:rPr>
              <w:t>Assets acquired in loan satisfactions</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267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364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1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nonperforming assets</w:t>
            </w: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10,257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10,906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11,462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9,715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7,062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39"/>
        </w:trPr>
        <w:tc>
          <w:tcPr>
            <w:tcW w:w="1860" w:type="dxa"/>
            <w:vAlign w:val="bottom"/>
            <w:gridSpan w:val="2"/>
          </w:tcPr>
          <w:p>
            <w:pPr>
              <w:spacing w:after="0"/>
              <w:rPr>
                <w:sz w:val="20"/>
                <w:szCs w:val="20"/>
                <w:color w:val="auto"/>
              </w:rPr>
            </w:pPr>
            <w:r>
              <w:rPr>
                <w:rFonts w:ascii="Arial" w:cs="Arial" w:eastAsia="Arial" w:hAnsi="Arial"/>
                <w:sz w:val="11"/>
                <w:szCs w:val="11"/>
                <w:color w:val="auto"/>
              </w:rPr>
              <w:t>Wholesale lending-related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spacing w:after="0"/>
              <w:rPr>
                <w:sz w:val="20"/>
                <w:szCs w:val="20"/>
                <w:color w:val="auto"/>
              </w:rPr>
            </w:pPr>
            <w:r>
              <w:rPr>
                <w:rFonts w:ascii="Arial" w:cs="Arial" w:eastAsia="Arial" w:hAnsi="Arial"/>
                <w:sz w:val="11"/>
                <w:szCs w:val="11"/>
                <w:color w:val="auto"/>
              </w:rPr>
              <w:t>commitments (b)(c)</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800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607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619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860" w:type="dxa"/>
            <w:vAlign w:val="bottom"/>
            <w:gridSpan w:val="2"/>
          </w:tcPr>
          <w:p>
            <w:pPr>
              <w:spacing w:after="0"/>
              <w:rPr>
                <w:sz w:val="20"/>
                <w:szCs w:val="20"/>
                <w:color w:val="auto"/>
              </w:rPr>
            </w:pPr>
            <w:r>
              <w:rPr>
                <w:rFonts w:ascii="Arial" w:cs="Arial" w:eastAsia="Arial" w:hAnsi="Arial"/>
                <w:sz w:val="11"/>
                <w:szCs w:val="11"/>
                <w:b w:val="1"/>
                <w:bCs w:val="1"/>
                <w:color w:val="auto"/>
              </w:rPr>
              <w:t>Total nonperforming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11,057</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11,483</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12,069</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10,480</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7,681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70"/>
        </w:trPr>
        <w:tc>
          <w:tcPr>
            <w:tcW w:w="2480" w:type="dxa"/>
            <w:vAlign w:val="bottom"/>
            <w:gridSpan w:val="5"/>
          </w:tcPr>
          <w:p>
            <w:pPr>
              <w:spacing w:after="0"/>
              <w:rPr>
                <w:sz w:val="20"/>
                <w:szCs w:val="20"/>
                <w:color w:val="auto"/>
              </w:rPr>
            </w:pPr>
            <w:r>
              <w:rPr>
                <w:rFonts w:ascii="Arial" w:cs="Arial" w:eastAsia="Arial" w:hAnsi="Arial"/>
                <w:sz w:val="11"/>
                <w:szCs w:val="11"/>
                <w:b w:val="1"/>
                <w:bCs w:val="1"/>
                <w:color w:val="auto"/>
              </w:rPr>
              <w:t>NONACCRUAL LOAN-RELATED RATIOS (d)</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rPr>
              <w:t>0.96 %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1.04 %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1.11 %</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0.92 %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0.63 %</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spacing w:after="0"/>
              <w:rPr>
                <w:sz w:val="20"/>
                <w:szCs w:val="20"/>
                <w:color w:val="auto"/>
              </w:rPr>
            </w:pPr>
            <w:r>
              <w:rPr>
                <w:rFonts w:ascii="Arial" w:cs="Arial" w:eastAsia="Arial" w:hAnsi="Arial"/>
                <w:sz w:val="11"/>
                <w:szCs w:val="11"/>
                <w:color w:val="auto"/>
              </w:rPr>
              <w:t>Total consumer, excluding credit card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spacing w:after="0"/>
              <w:rPr>
                <w:sz w:val="20"/>
                <w:szCs w:val="20"/>
                <w:color w:val="auto"/>
              </w:rPr>
            </w:pPr>
            <w:r>
              <w:rPr>
                <w:rFonts w:ascii="Arial" w:cs="Arial" w:eastAsia="Arial" w:hAnsi="Arial"/>
                <w:sz w:val="11"/>
                <w:szCs w:val="11"/>
                <w:color w:val="auto"/>
              </w:rPr>
              <w:t>nonaccrual loans to</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total consumer, excluding credit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card loans (b)</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1.84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1.99</w:t>
            </w:r>
          </w:p>
        </w:tc>
        <w:tc>
          <w:tcPr>
            <w:tcW w:w="26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1.41</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spacing w:after="0"/>
              <w:rPr>
                <w:sz w:val="20"/>
                <w:szCs w:val="20"/>
                <w:color w:val="auto"/>
              </w:rPr>
            </w:pPr>
            <w:r>
              <w:rPr>
                <w:rFonts w:ascii="Arial" w:cs="Arial" w:eastAsia="Arial" w:hAnsi="Arial"/>
                <w:sz w:val="11"/>
                <w:szCs w:val="11"/>
                <w:color w:val="auto"/>
              </w:rPr>
              <w:t>Total wholesale nonaccrual loans to</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2"/>
          </w:tcPr>
          <w:p>
            <w:pPr>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120"/>
              <w:spacing w:after="0"/>
              <w:rPr>
                <w:sz w:val="20"/>
                <w:szCs w:val="20"/>
                <w:color w:val="auto"/>
              </w:rPr>
            </w:pPr>
            <w:r>
              <w:rPr>
                <w:rFonts w:ascii="Arial" w:cs="Arial" w:eastAsia="Arial" w:hAnsi="Arial"/>
                <w:sz w:val="11"/>
                <w:szCs w:val="11"/>
                <w:color w:val="auto"/>
              </w:rPr>
              <w:t>wholesale loans (b)</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0.67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0.75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0.87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0.38</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1830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40" w:right="40" w:hanging="332"/>
        <w:spacing w:after="0" w:line="230" w:lineRule="auto"/>
        <w:tabs>
          <w:tab w:leader="none" w:pos="337" w:val="left"/>
        </w:tabs>
        <w:numPr>
          <w:ilvl w:val="0"/>
          <w:numId w:val="38"/>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nonperforming assets excluded: (1) mortgage loans 90 or more days past due and insured by U.S. government agencies of $798 million, $874 million, $1.1 billion, $696 million and $740 million, respectively; and (2) real estate owned (“REO”) insured by U.S. government agencies of $8 million, $9 million, $10 million, $13 million and $29 million, respectively. Prior-period amounts of mortgage loans 90 or more days past due and insured by U.S. government agencies excluded from nonperforming assets have been revised to conform with the current presentation, refer to footnote (b) below for additional information. These amounts have been excluded based upon the government guarantee. In addition, the Firm’s policy is generally to exempt credit card loans from being placed on nonaccrual status as permitted by regulatory guidance. Refer to Note 12 of the Firm’s 2020 Form 10-K for additional information on the Firm’s credit card nonaccrual and charge-off policies.</w:t>
      </w:r>
    </w:p>
    <w:p>
      <w:pPr>
        <w:spacing w:after="0" w:line="1" w:lineRule="exact"/>
        <w:rPr>
          <w:rFonts w:ascii="Arial" w:cs="Arial" w:eastAsia="Arial" w:hAnsi="Arial"/>
          <w:sz w:val="11"/>
          <w:szCs w:val="11"/>
          <w:color w:val="auto"/>
        </w:rPr>
      </w:pPr>
    </w:p>
    <w:p>
      <w:pPr>
        <w:ind w:left="340" w:right="80" w:hanging="332"/>
        <w:spacing w:after="0" w:line="230" w:lineRule="auto"/>
        <w:tabs>
          <w:tab w:leader="none" w:pos="337" w:val="left"/>
        </w:tabs>
        <w:numPr>
          <w:ilvl w:val="0"/>
          <w:numId w:val="38"/>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which resulted in a corresponding reclassification of certain off-balance sheet commitments. Prior-period amounts have been revised to conform with the current presentation.</w:t>
      </w:r>
    </w:p>
    <w:p>
      <w:pPr>
        <w:ind w:left="320" w:hanging="312"/>
        <w:spacing w:after="0" w:line="230"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ind w:left="320" w:hanging="312"/>
        <w:spacing w:after="0" w:line="230"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Generally excludes loans that were under payment deferral or other assistance, including amendments or waivers of financial covenants, in response to the COVID-19 pandemic.</w:t>
      </w:r>
    </w:p>
    <w:p>
      <w:pPr>
        <w:ind w:left="320" w:hanging="312"/>
        <w:spacing w:after="0"/>
        <w:tabs>
          <w:tab w:leader="none" w:pos="3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705"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-10160</wp:posOffset>
            </wp:positionV>
            <wp:extent cx="237426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right="8880"/>
        <w:spacing w:after="0" w:line="242" w:lineRule="auto"/>
        <w:rPr>
          <w:sz w:val="20"/>
          <w:szCs w:val="20"/>
          <w:color w:val="auto"/>
        </w:rPr>
      </w:pPr>
      <w:r>
        <w:rPr>
          <w:rFonts w:ascii="Arial" w:cs="Arial" w:eastAsia="Arial" w:hAnsi="Arial"/>
          <w:sz w:val="14"/>
          <w:szCs w:val="14"/>
          <w:b w:val="1"/>
          <w:bCs w:val="1"/>
          <w:color w:val="auto"/>
        </w:rPr>
        <w:t>CREDIT-RELATED INFORMATION, CONTINUED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4"/>
          </w:tcPr>
          <w:p>
            <w:pPr>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30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1Q21</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4Q20</w:t>
            </w: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3Q20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2Q20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4Q20</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SUMMARY OF CHANGES IN THE</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ALLOWANCES</w:t>
            </w:r>
          </w:p>
        </w:tc>
        <w:tc>
          <w:tcPr>
            <w:tcW w:w="920" w:type="dxa"/>
            <w:vAlign w:val="bottom"/>
            <w:tcBorders>
              <w:top w:val="single" w:sz="8" w:color="auto"/>
            </w:tcBorders>
            <w:gridSpan w:val="3"/>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ALLOWANCE FOR LOAN LOSSES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28,328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30,814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31,591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23,244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17,295</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1"/>
                <w:szCs w:val="11"/>
                <w:color w:val="auto"/>
              </w:rPr>
              <w:t>Gross charge-offs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1,468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1,586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1,902</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1"/>
                <w:szCs w:val="11"/>
                <w:color w:val="auto"/>
              </w:rPr>
              <w:t>Gross recoveries collected</w:t>
            </w: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(406)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(433)</w:t>
            </w: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2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1,057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1,050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1,180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1,560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1,469</w:t>
            </w: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Provision for loan losses</w:t>
            </w: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(4,279)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(1,433)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9,906</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7,418</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(199)</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5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Ending balance</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6"/>
            <w:vMerge w:val="continue"/>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23,001</w:t>
            </w:r>
          </w:p>
        </w:tc>
        <w:tc>
          <w:tcPr>
            <w:tcW w:w="1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28,328</w:t>
            </w:r>
          </w:p>
        </w:tc>
        <w:tc>
          <w:tcPr>
            <w:tcW w:w="1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30,814</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31,591</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23,244</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ALLOWANCE FOR LENDING-</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00" w:type="dxa"/>
            <w:vAlign w:val="bottom"/>
            <w:gridSpan w:val="6"/>
            <w:vMerge w:val="continue"/>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RELATED COMMITMENTS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2,409</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2,823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2,710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2,147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1,289</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6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Provision for lending-related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commitments</w:t>
            </w:r>
          </w:p>
        </w:tc>
        <w:tc>
          <w:tcPr>
            <w:tcW w:w="12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563</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858</w:t>
            </w:r>
          </w:p>
        </w:tc>
        <w:tc>
          <w:tcPr>
            <w:tcW w:w="240" w:type="dxa"/>
            <w:vAlign w:val="bottom"/>
          </w:tcPr>
          <w:p>
            <w:pPr>
              <w:spacing w:after="0"/>
              <w:rPr>
                <w:sz w:val="11"/>
                <w:szCs w:val="11"/>
                <w:color w:val="auto"/>
              </w:rPr>
            </w:pP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Ending balance</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6"/>
            <w:vMerge w:val="continue"/>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2,516</w:t>
            </w:r>
          </w:p>
        </w:tc>
        <w:tc>
          <w:tcPr>
            <w:tcW w:w="1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2,409</w:t>
            </w:r>
          </w:p>
        </w:tc>
        <w:tc>
          <w:tcPr>
            <w:tcW w:w="1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2,823</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2,710</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2,147</w:t>
            </w: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Total allowance for credit losses (a)</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25,517</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30,737</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33,637</w:t>
            </w: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34,301</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25,391</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6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NET CHARGE-OFF/(RECOVERY)</w:t>
            </w: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8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RATES</w:t>
            </w:r>
          </w:p>
        </w:tc>
        <w:tc>
          <w:tcPr>
            <w:tcW w:w="22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0.03 %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0.05 %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0.08 %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0.11 %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(0.01)%</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3.25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Total consumer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0.93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0.97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0.04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0.13</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Total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0.45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0.44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0.49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0.64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0.62</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Memo: Average retained loans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302,055</w:t>
            </w:r>
          </w:p>
        </w:tc>
        <w:tc>
          <w:tcPr>
            <w:tcW w:w="1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303,421</w:t>
            </w:r>
          </w:p>
        </w:tc>
        <w:tc>
          <w:tcPr>
            <w:tcW w:w="1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306,201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304,179</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294,156</w:t>
            </w:r>
          </w:p>
        </w:tc>
        <w:tc>
          <w:tcPr>
            <w:tcW w:w="24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134,155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140,459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140,200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142,377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162,660</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00" w:type="dxa"/>
            <w:vAlign w:val="bottom"/>
            <w:gridSpan w:val="6"/>
            <w:vMerge w:val="restart"/>
          </w:tcPr>
          <w:p>
            <w:pPr>
              <w:ind w:left="120"/>
              <w:spacing w:after="0"/>
              <w:rPr>
                <w:sz w:val="20"/>
                <w:szCs w:val="20"/>
                <w:color w:val="auto"/>
              </w:rPr>
            </w:pPr>
            <w:r>
              <w:rPr>
                <w:rFonts w:ascii="Arial" w:cs="Arial" w:eastAsia="Arial" w:hAnsi="Arial"/>
                <w:sz w:val="11"/>
                <w:szCs w:val="11"/>
                <w:color w:val="auto"/>
              </w:rPr>
              <w:t>Total average retained consumer</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gridSpan w:val="6"/>
          </w:tcPr>
          <w:p>
            <w:pPr>
              <w:ind w:left="120"/>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436,210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443,880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446,401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446,556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456,816</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515,858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503,249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504,449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540,248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491,819</w:t>
            </w: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5"/>
              </w:rPr>
              <w:t>952,068</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947,129</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950,850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986,804</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948,635</w:t>
            </w: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40" w:right="220" w:hanging="332"/>
        <w:spacing w:after="0" w:line="230" w:lineRule="auto"/>
        <w:tabs>
          <w:tab w:leader="none" w:pos="337" w:val="left"/>
        </w:tabs>
        <w:numPr>
          <w:ilvl w:val="0"/>
          <w:numId w:val="39"/>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excludes allowance for credit losses on HTM securities of $94 million, $78 million, $120 million, $23 million and $19 million, respectively; and provision for credit losses on HTM securities of $16 million, $(42) million, $97 million, $4 million and $9 million for the three months ended March 31, 2021, December 31, 2020, September 30, 2020, June 30, 2020 and March 31, 2020, respectively.</w:t>
      </w:r>
    </w:p>
    <w:p>
      <w:pPr>
        <w:ind w:left="320" w:hanging="312"/>
        <w:spacing w:after="0"/>
        <w:tabs>
          <w:tab w:leader="none" w:pos="3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71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3742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8" w:lineRule="exact"/>
        <w:rPr>
          <w:sz w:val="20"/>
          <w:szCs w:val="20"/>
          <w:color w:val="auto"/>
        </w:rPr>
      </w:pPr>
    </w:p>
    <w:p>
      <w:pPr>
        <w:ind w:left="20" w:right="8880"/>
        <w:spacing w:after="0" w:line="242" w:lineRule="auto"/>
        <w:rPr>
          <w:sz w:val="20"/>
          <w:szCs w:val="20"/>
          <w:color w:val="auto"/>
        </w:rPr>
      </w:pPr>
      <w:r>
        <w:rPr>
          <w:rFonts w:ascii="Arial" w:cs="Arial" w:eastAsia="Arial" w:hAnsi="Arial"/>
          <w:sz w:val="14"/>
          <w:szCs w:val="14"/>
          <w:b w:val="1"/>
          <w:bCs w:val="1"/>
          <w:color w:val="auto"/>
        </w:rPr>
        <w:t>CREDIT-RELATED INFORMATION, CONTINUED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ind w:left="400"/>
              <w:spacing w:after="0"/>
              <w:rPr>
                <w:sz w:val="20"/>
                <w:szCs w:val="20"/>
                <w:color w:val="auto"/>
              </w:rPr>
            </w:pPr>
            <w:r>
              <w:rPr>
                <w:rFonts w:ascii="Arial" w:cs="Arial" w:eastAsia="Arial" w:hAnsi="Arial"/>
                <w:sz w:val="11"/>
                <w:szCs w:val="11"/>
                <w:b w:val="1"/>
                <w:bCs w:val="1"/>
                <w:color w:val="auto"/>
              </w:rPr>
              <w:t>Mar 31, 2021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Sep 30,</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Jun 30,</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19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ALLOWANCE COMPONENTS AND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RATIOS</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ALLOWANCE FOR LOAN LOSSES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Consumer, excluding credit card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(a)</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(348)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228</w:t>
            </w:r>
          </w:p>
        </w:tc>
        <w:tc>
          <w:tcPr>
            <w:tcW w:w="2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263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223</w:t>
            </w:r>
          </w:p>
        </w:tc>
        <w:tc>
          <w:tcPr>
            <w:tcW w:w="240" w:type="dxa"/>
            <w:vAlign w:val="bottom"/>
          </w:tcPr>
          <w:p>
            <w:pPr>
              <w:spacing w:after="0"/>
              <w:rPr>
                <w:sz w:val="14"/>
                <w:szCs w:val="14"/>
                <w:color w:val="auto"/>
              </w:rPr>
            </w:pPr>
          </w:p>
        </w:tc>
        <w:tc>
          <w:tcPr>
            <w:tcW w:w="940" w:type="dxa"/>
            <w:vAlign w:val="bottom"/>
            <w:gridSpan w:val="3"/>
          </w:tcPr>
          <w:p>
            <w:pPr>
              <w:ind w:left="400"/>
              <w:spacing w:after="0"/>
              <w:rPr>
                <w:sz w:val="20"/>
                <w:szCs w:val="20"/>
                <w:color w:val="auto"/>
              </w:rPr>
            </w:pPr>
            <w:r>
              <w:rPr>
                <w:rFonts w:ascii="Arial" w:cs="Arial" w:eastAsia="Arial" w:hAnsi="Arial"/>
                <w:sz w:val="11"/>
                <w:szCs w:val="11"/>
                <w:color w:val="auto"/>
              </w:rPr>
              <w:t>NM</w:t>
            </w:r>
          </w:p>
        </w:tc>
        <w:tc>
          <w:tcPr>
            <w:tcW w:w="5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3,643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4,274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3,231</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92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w w:val="98"/>
              </w:rPr>
              <w:t>Total consumer, excluding credit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2,682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3,636</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4,502</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4,872</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3,454</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ind w:left="200"/>
              <w:spacing w:after="0"/>
              <w:rPr>
                <w:sz w:val="20"/>
                <w:szCs w:val="20"/>
                <w:color w:val="auto"/>
              </w:rPr>
            </w:pPr>
            <w:r>
              <w:rPr>
                <w:rFonts w:ascii="Arial" w:cs="Arial" w:eastAsia="Arial" w:hAnsi="Arial"/>
                <w:sz w:val="11"/>
                <w:szCs w:val="11"/>
                <w:b w:val="1"/>
                <w:bCs w:val="1"/>
                <w:color w:val="auto"/>
              </w:rPr>
              <w:t>card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Credit card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(b)</w:t>
            </w: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652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530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13,778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17,167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17,148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17,158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14,420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
        </w:trPr>
        <w:tc>
          <w:tcPr>
            <w:tcW w:w="192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14,300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17,800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17,800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17,800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14,950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Total consumer</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16,982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21,436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22,302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22,672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18,404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Wholesale</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(c)</w:t>
            </w: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529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556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5,490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6,210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7,720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8,162</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4,284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192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Total wholesale</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6,019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6,892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8,512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8,919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4,840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23,001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28,328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30,814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31,591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23,244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9"/>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for lending-related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commitments</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2,516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2,409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2,823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2,710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2,147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credit losses (d)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25,517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30,737</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33,637</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34,301</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25,391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CREDIT RATIOS</w:t>
            </w:r>
          </w:p>
        </w:tc>
        <w:tc>
          <w:tcPr>
            <w:tcW w:w="10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920" w:type="dxa"/>
            <w:vAlign w:val="bottom"/>
            <w:gridSpan w:val="4"/>
          </w:tcPr>
          <w:p>
            <w:pPr>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total</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0.89 %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1.48 %</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1.18 %</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spacing w:after="0"/>
              <w:rPr>
                <w:sz w:val="20"/>
                <w:szCs w:val="20"/>
                <w:color w:val="auto"/>
              </w:rPr>
            </w:pPr>
            <w:r>
              <w:rPr>
                <w:rFonts w:ascii="Arial" w:cs="Arial" w:eastAsia="Arial" w:hAnsi="Arial"/>
                <w:sz w:val="11"/>
                <w:szCs w:val="11"/>
                <w:color w:val="auto"/>
              </w:rPr>
              <w:t>Credit card allowance to total credit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card retained loans</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10.85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12.41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12.75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9.71</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spacing w:after="0"/>
              <w:rPr>
                <w:sz w:val="20"/>
                <w:szCs w:val="20"/>
                <w:color w:val="auto"/>
              </w:rPr>
            </w:pPr>
            <w:r>
              <w:rPr>
                <w:rFonts w:ascii="Arial" w:cs="Arial" w:eastAsia="Arial" w:hAnsi="Arial"/>
                <w:sz w:val="11"/>
                <w:szCs w:val="11"/>
                <w:color w:val="auto"/>
                <w:w w:val="99"/>
              </w:rPr>
              <w:t>Wholesale allowance to total wholesale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1.70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1.73</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0.87</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spacing w:after="0"/>
              <w:rPr>
                <w:sz w:val="20"/>
                <w:szCs w:val="20"/>
                <w:color w:val="auto"/>
              </w:rPr>
            </w:pPr>
            <w:r>
              <w:rPr>
                <w:rFonts w:ascii="Arial" w:cs="Arial" w:eastAsia="Arial" w:hAnsi="Arial"/>
                <w:sz w:val="11"/>
                <w:szCs w:val="11"/>
                <w:color w:val="auto"/>
                <w:w w:val="99"/>
              </w:rPr>
              <w:t>Wholesale allowance to total wholesale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ind w:left="120"/>
              <w:spacing w:after="0"/>
              <w:rPr>
                <w:sz w:val="20"/>
                <w:szCs w:val="20"/>
                <w:color w:val="auto"/>
              </w:rPr>
            </w:pPr>
            <w:r>
              <w:rPr>
                <w:rFonts w:ascii="Arial" w:cs="Arial" w:eastAsia="Arial" w:hAnsi="Arial"/>
                <w:sz w:val="11"/>
                <w:szCs w:val="11"/>
                <w:color w:val="auto"/>
                <w:w w:val="99"/>
              </w:rPr>
              <w:t>excluding trade finance and conduits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1.83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1.84</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0.93</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2.42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3.26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2.32</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gridSpan w:val="4"/>
          </w:tcPr>
          <w:p>
            <w:pPr>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consumer,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excluding credit card retained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nonaccrual loans (f)</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89</w:t>
            </w:r>
          </w:p>
        </w:tc>
        <w:tc>
          <w:tcPr>
            <w:tcW w:w="26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89</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spacing w:after="0"/>
              <w:rPr>
                <w:sz w:val="20"/>
                <w:szCs w:val="20"/>
                <w:color w:val="auto"/>
              </w:rPr>
            </w:pPr>
            <w:r>
              <w:rPr>
                <w:rFonts w:ascii="Arial" w:cs="Arial" w:eastAsia="Arial" w:hAnsi="Arial"/>
                <w:sz w:val="11"/>
                <w:szCs w:val="11"/>
                <w:color w:val="auto"/>
              </w:rPr>
              <w:t>Total allowance, excluding credit card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retained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ind w:left="160"/>
              <w:spacing w:after="0"/>
              <w:rPr>
                <w:sz w:val="20"/>
                <w:szCs w:val="20"/>
                <w:color w:val="auto"/>
              </w:rPr>
            </w:pPr>
            <w:r>
              <w:rPr>
                <w:rFonts w:ascii="Arial" w:cs="Arial" w:eastAsia="Arial" w:hAnsi="Arial"/>
                <w:sz w:val="11"/>
                <w:szCs w:val="11"/>
                <w:color w:val="auto"/>
              </w:rPr>
              <w:t>nonaccrual loans, excluding credit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card nonaccrual loans (f)</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142</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gridSpan w:val="4"/>
          </w:tcPr>
          <w:p>
            <w:pPr>
              <w:spacing w:after="0"/>
              <w:rPr>
                <w:sz w:val="20"/>
                <w:szCs w:val="20"/>
                <w:color w:val="auto"/>
              </w:rPr>
            </w:pPr>
            <w:r>
              <w:rPr>
                <w:rFonts w:ascii="Arial" w:cs="Arial" w:eastAsia="Arial" w:hAnsi="Arial"/>
                <w:sz w:val="11"/>
                <w:szCs w:val="11"/>
                <w:color w:val="auto"/>
              </w:rPr>
              <w:t>Wholesale allowance to wholesale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color w:val="auto"/>
              </w:rPr>
              <w:t>retained nonaccrual loans</w:t>
            </w:r>
          </w:p>
        </w:tc>
        <w:tc>
          <w:tcPr>
            <w:tcW w:w="10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227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261</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247</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274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323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398</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nonaccrual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25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49"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modified PCD loans and loans that have been modified or are reasonably expected to be modified in a troubled debt restructuring (“TDR”).</w:t>
      </w:r>
    </w:p>
    <w:p>
      <w:pPr>
        <w:ind w:left="340" w:right="240" w:hanging="332"/>
        <w:spacing w:after="0" w:line="230" w:lineRule="auto"/>
        <w:tabs>
          <w:tab w:leader="none" w:pos="33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asset-specific credit card allowance for loan losses relates to loans that have been modified or are reasonably expected to be modified in a TDR; the Firm calculates this allowance based on the loans’ original contractual interest rates and does not consider any incremental penalty rates.</w:t>
      </w:r>
    </w:p>
    <w:p>
      <w:pPr>
        <w:ind w:left="320" w:hanging="312"/>
        <w:spacing w:after="0" w:line="230" w:lineRule="auto"/>
        <w:tabs>
          <w:tab w:leader="none" w:pos="3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risk-rated loans that have been placed on nonaccrual status and loans that have been modified or are reasonably expected to be modified in a TDR.</w:t>
      </w:r>
    </w:p>
    <w:p>
      <w:pPr>
        <w:ind w:left="340" w:right="360" w:hanging="332"/>
        <w:spacing w:after="0" w:line="230" w:lineRule="auto"/>
        <w:tabs>
          <w:tab w:leader="none" w:pos="337" w:val="left"/>
        </w:tabs>
        <w:numPr>
          <w:ilvl w:val="0"/>
          <w:numId w:val="40"/>
        </w:numPr>
        <w:rPr>
          <w:rFonts w:ascii="Arial" w:cs="Arial" w:eastAsia="Arial" w:hAnsi="Arial"/>
          <w:sz w:val="11"/>
          <w:szCs w:val="11"/>
          <w:color w:val="auto"/>
        </w:rPr>
      </w:pPr>
      <w:r>
        <w:rPr>
          <w:rFonts w:ascii="Arial" w:cs="Arial" w:eastAsia="Arial" w:hAnsi="Arial"/>
          <w:sz w:val="11"/>
          <w:szCs w:val="11"/>
          <w:color w:val="auto"/>
        </w:rPr>
        <w:t>At March 31, 2021, December 31, 2020, September 30, 2020, June 30, 2020 and March 31, 2020 excludes allowance for credit losses on HTM securities of $94 million, $78 million, $120 million, $23 million and $19 million, respectively.</w:t>
      </w:r>
    </w:p>
    <w:p>
      <w:pPr>
        <w:ind w:left="340" w:right="380" w:hanging="332"/>
        <w:spacing w:after="0" w:line="230" w:lineRule="auto"/>
        <w:tabs>
          <w:tab w:leader="none" w:pos="337" w:val="left"/>
        </w:tabs>
        <w:numPr>
          <w:ilvl w:val="0"/>
          <w:numId w:val="40"/>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CIB’s trade finance and conduits, a non-GAAP financial measure, to provide a more meaningful assessment of the wholesale allowance coverage ratio.</w:t>
      </w:r>
    </w:p>
    <w:p>
      <w:pPr>
        <w:ind w:left="320" w:hanging="312"/>
        <w:spacing w:after="0" w:line="230" w:lineRule="auto"/>
        <w:tabs>
          <w:tab w:leader="none" w:pos="3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Refer to footnote (a) on page 25 for information on the Firm’s nonaccrual policy for credit card loans.</w:t>
      </w:r>
    </w:p>
    <w:p>
      <w:pPr>
        <w:ind w:left="320" w:hanging="312"/>
        <w:spacing w:after="0"/>
        <w:tabs>
          <w:tab w:leader="none" w:pos="3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664"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-35560</wp:posOffset>
            </wp:positionV>
            <wp:extent cx="23742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left="340" w:right="80" w:hanging="332"/>
        <w:spacing w:after="0" w:line="252"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w:t>
      </w:r>
      <w:r>
        <w:rPr>
          <w:rFonts w:ascii="Arial" w:cs="Arial" w:eastAsia="Arial" w:hAnsi="Arial"/>
          <w:sz w:val="16"/>
          <w:szCs w:val="16"/>
          <w:color w:val="auto"/>
        </w:rPr>
        <w:t xml:space="preserve"> </w:t>
      </w:r>
      <w:r>
        <w:rPr>
          <w:rFonts w:ascii="Arial" w:cs="Arial" w:eastAsia="Arial" w:hAnsi="Arial"/>
          <w:sz w:val="16"/>
          <w:szCs w:val="16"/>
          <w:b w:val="1"/>
          <w:bCs w:val="1"/>
          <w:color w:val="auto"/>
        </w:rPr>
        <w:t>basis</w:t>
      </w:r>
      <w:r>
        <w:rPr>
          <w:rFonts w:ascii="Arial" w:cs="Arial" w:eastAsia="Arial" w:hAnsi="Arial"/>
          <w:sz w:val="16"/>
          <w:szCs w:val="16"/>
          <w:color w:val="auto"/>
        </w:rPr>
        <w:t>; these Firmwide managed basis results are non-GAAP financial measures. The Firm also reviews the results of the lines of business on a</w:t>
      </w:r>
      <w:r>
        <w:rPr>
          <w:rFonts w:ascii="Arial" w:cs="Arial" w:eastAsia="Arial" w:hAnsi="Arial"/>
          <w:sz w:val="16"/>
          <w:szCs w:val="16"/>
          <w:b w:val="1"/>
          <w:bCs w:val="1"/>
          <w:color w:val="auto"/>
        </w:rPr>
        <w:t xml:space="preserve"> </w:t>
      </w:r>
      <w:r>
        <w:rPr>
          <w:rFonts w:ascii="Arial" w:cs="Arial" w:eastAsia="Arial" w:hAnsi="Arial"/>
          <w:sz w:val="16"/>
          <w:szCs w:val="16"/>
          <w:color w:val="auto"/>
        </w:rPr>
        <w:t>managed basis. The Firm’s definition of managed basis starts, in each case, with the reported U.S. GAAP results and includes certain reclassifications to present total net revenue for the Firm (and each of the reportable business segments)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74" w:lineRule="exact"/>
        <w:rPr>
          <w:rFonts w:ascii="Arial" w:cs="Arial" w:eastAsia="Arial" w:hAnsi="Arial"/>
          <w:sz w:val="16"/>
          <w:szCs w:val="16"/>
          <w:color w:val="auto"/>
        </w:rPr>
      </w:pPr>
    </w:p>
    <w:p>
      <w:pPr>
        <w:ind w:left="340" w:right="280" w:hanging="332"/>
        <w:spacing w:after="0" w:line="286"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 is useful in assessing the ability of a lending institution to generate income in excess of its provision for credit losses.</w:t>
      </w:r>
    </w:p>
    <w:p>
      <w:pPr>
        <w:spacing w:after="0" w:line="47" w:lineRule="exact"/>
        <w:rPr>
          <w:rFonts w:ascii="Arial" w:cs="Arial" w:eastAsia="Arial" w:hAnsi="Arial"/>
          <w:sz w:val="16"/>
          <w:szCs w:val="16"/>
          <w:color w:val="auto"/>
        </w:rPr>
      </w:pPr>
    </w:p>
    <w:p>
      <w:pPr>
        <w:ind w:left="340" w:right="220" w:hanging="332"/>
        <w:spacing w:after="0" w:line="25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TCE, ROTCE, and TBVPS </w:t>
      </w:r>
      <w:r>
        <w:rPr>
          <w:rFonts w:ascii="Arial" w:cs="Arial" w:eastAsia="Arial" w:hAnsi="Arial"/>
          <w:sz w:val="16"/>
          <w:szCs w:val="16"/>
          <w:color w:val="auto"/>
        </w:rPr>
        <w:t>are each non-GAAP financial measures. TCE represents the Firm’s common stockholders’ equity (i.e., total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spacing w:after="0" w:line="71" w:lineRule="exact"/>
        <w:rPr>
          <w:rFonts w:ascii="Arial" w:cs="Arial" w:eastAsia="Arial" w:hAnsi="Arial"/>
          <w:sz w:val="16"/>
          <w:szCs w:val="16"/>
          <w:color w:val="auto"/>
        </w:rPr>
      </w:pPr>
    </w:p>
    <w:p>
      <w:pPr>
        <w:ind w:left="340" w:right="140" w:hanging="332"/>
        <w:spacing w:after="0" w:line="266"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ratio of the wholesale and CIB’s </w:t>
      </w:r>
      <w:r>
        <w:rPr>
          <w:rFonts w:ascii="Arial" w:cs="Arial" w:eastAsia="Arial" w:hAnsi="Arial"/>
          <w:sz w:val="16"/>
          <w:szCs w:val="16"/>
          <w:b w:val="1"/>
          <w:bCs w:val="1"/>
          <w:color w:val="auto"/>
        </w:rPr>
        <w:t>allowance for loan losses to period-end loans retained, excluding trade finance and conduits</w:t>
      </w:r>
      <w:r>
        <w:rPr>
          <w:rFonts w:ascii="Arial" w:cs="Arial" w:eastAsia="Arial" w:hAnsi="Arial"/>
          <w:sz w:val="16"/>
          <w:szCs w:val="16"/>
          <w:color w:val="auto"/>
        </w:rPr>
        <w:t>, is calculated excluding loans accounted for at fair value, loans held-for-sale, CIB’s trade finance loans and consolidated Firm-administered multi-seller conduits, as well as their related allowances, to provide a more meaningful assessment of the respective allowance coverage ratio.</w:t>
      </w:r>
    </w:p>
    <w:p>
      <w:pPr>
        <w:spacing w:after="0" w:line="83" w:lineRule="exact"/>
        <w:rPr>
          <w:rFonts w:ascii="Arial" w:cs="Arial" w:eastAsia="Arial" w:hAnsi="Arial"/>
          <w:sz w:val="16"/>
          <w:szCs w:val="16"/>
          <w:color w:val="auto"/>
        </w:rPr>
      </w:pPr>
    </w:p>
    <w:p>
      <w:pPr>
        <w:ind w:left="340" w:right="100" w:hanging="332"/>
        <w:spacing w:after="0" w:line="248"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addition to reviewing net interest income and the net yield on a managed basis, management also reviews these metrics excluding CIB Markets, as shown below; these metrics, which exclude CIB Markets, are non-GAAP financial measures. Management reviews these metrics to assess the performance of the Firm’s lending, investing (including asset-liability management) and deposit-raising activities. The resulting metrics that exclude CIB Markets are referred to as non-markets-related net interest income and net yield. CIB Markets consists of Fixed Income Markets and Equity Markets. Management believes that disclosure of non-markets-related net interest income and net yield provides investors and analysts with other measures by which to analyze the non-markets-related business trends of the Firm and provides a comparable measure to other financial institutions that are primarily focused on lending, investing and deposit-raising activities.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ind w:left="46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rPr>
              <w:t>1Q21 Change</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1Q21</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4Q20</w:t>
            </w:r>
          </w:p>
        </w:tc>
        <w:tc>
          <w:tcPr>
            <w:tcW w:w="80" w:type="dxa"/>
            <w:vAlign w:val="bottom"/>
          </w:tcPr>
          <w:p>
            <w:pPr>
              <w:spacing w:after="0" w:line="20" w:lineRule="exact"/>
              <w:rPr>
                <w:sz w:val="1"/>
                <w:szCs w:val="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3Q20</w:t>
            </w:r>
          </w:p>
        </w:tc>
        <w:tc>
          <w:tcPr>
            <w:tcW w:w="80" w:type="dxa"/>
            <w:vAlign w:val="bottom"/>
          </w:tcPr>
          <w:p>
            <w:pPr>
              <w:spacing w:after="0" w:line="20" w:lineRule="exact"/>
              <w:rPr>
                <w:sz w:val="1"/>
                <w:szCs w:val="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2Q20</w:t>
            </w:r>
          </w:p>
        </w:tc>
        <w:tc>
          <w:tcPr>
            <w:tcW w:w="80" w:type="dxa"/>
            <w:vAlign w:val="bottom"/>
          </w:tcPr>
          <w:p>
            <w:pPr>
              <w:spacing w:after="0" w:line="20" w:lineRule="exact"/>
              <w:rPr>
                <w:sz w:val="1"/>
                <w:szCs w:val="1"/>
                <w:color w:val="auto"/>
              </w:rPr>
            </w:pPr>
          </w:p>
        </w:tc>
        <w:tc>
          <w:tcPr>
            <w:tcW w:w="6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1Q20</w:t>
            </w: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rPr>
                <w:sz w:val="20"/>
                <w:szCs w:val="20"/>
                <w:color w:val="auto"/>
              </w:rPr>
            </w:pPr>
            <w:r>
              <w:rPr>
                <w:rFonts w:ascii="Arial" w:cs="Arial" w:eastAsia="Arial" w:hAnsi="Arial"/>
                <w:sz w:val="11"/>
                <w:szCs w:val="11"/>
                <w:color w:val="auto"/>
              </w:rPr>
              <w:t>(in millions, except rates)</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4Q20</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1Q20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120" w:type="dxa"/>
            <w:vAlign w:val="bottom"/>
          </w:tcPr>
          <w:p>
            <w:pPr>
              <w:ind w:left="20"/>
              <w:spacing w:after="0"/>
              <w:rPr>
                <w:sz w:val="20"/>
                <w:szCs w:val="20"/>
                <w:color w:val="auto"/>
              </w:rPr>
            </w:pPr>
            <w:r>
              <w:rPr>
                <w:rFonts w:ascii="Arial" w:cs="Arial" w:eastAsia="Arial" w:hAnsi="Arial"/>
                <w:sz w:val="11"/>
                <w:szCs w:val="11"/>
                <w:color w:val="auto"/>
              </w:rPr>
              <w:t>Net interest income -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12,889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13,258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13,013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13,853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14,439</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110</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11"/>
                <w:szCs w:val="11"/>
                <w:color w:val="auto"/>
              </w:rPr>
              <w:t>Net interest income - managed basis (a)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12,998</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13,355</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13,117</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13,960</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14,549</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rPr>
                <w:sz w:val="20"/>
                <w:szCs w:val="20"/>
                <w:color w:val="auto"/>
              </w:rPr>
            </w:pPr>
            <w:r>
              <w:rPr>
                <w:rFonts w:ascii="Arial" w:cs="Arial" w:eastAsia="Arial" w:hAnsi="Arial"/>
                <w:sz w:val="11"/>
                <w:szCs w:val="11"/>
                <w:color w:val="auto"/>
              </w:rPr>
              <w:t>Less: CIB Markets net interest income</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1,596</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2"/>
        </w:trPr>
        <w:tc>
          <w:tcPr>
            <w:tcW w:w="2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Net interest income excluding CIB</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20" w:type="dxa"/>
            <w:vAlign w:val="bottom"/>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10,775</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11,189</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11,041</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11,424</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12,953</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Markets (a)</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88"/>
        </w:trPr>
        <w:tc>
          <w:tcPr>
            <w:tcW w:w="2120" w:type="dxa"/>
            <w:vAlign w:val="bottom"/>
          </w:tcPr>
          <w:p>
            <w:pPr>
              <w:ind w:left="20"/>
              <w:spacing w:after="0"/>
              <w:rPr>
                <w:sz w:val="20"/>
                <w:szCs w:val="20"/>
                <w:color w:val="auto"/>
              </w:rPr>
            </w:pPr>
            <w:r>
              <w:rPr>
                <w:rFonts w:ascii="Arial" w:cs="Arial" w:eastAsia="Arial" w:hAnsi="Arial"/>
                <w:sz w:val="11"/>
                <w:szCs w:val="11"/>
                <w:color w:val="auto"/>
              </w:rPr>
              <w:t>Average interest-earning assets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3,126,569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2,955,646</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2,874,974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2,819,689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2,465,549</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color w:val="auto"/>
                <w:w w:val="97"/>
              </w:rPr>
              <w:t>Less: Average CIB Markets interest-earning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20"/>
              <w:spacing w:after="0"/>
              <w:rPr>
                <w:sz w:val="20"/>
                <w:szCs w:val="20"/>
                <w:color w:val="auto"/>
              </w:rPr>
            </w:pPr>
            <w:r>
              <w:rPr>
                <w:rFonts w:ascii="Arial" w:cs="Arial" w:eastAsia="Arial" w:hAnsi="Arial"/>
                <w:sz w:val="11"/>
                <w:szCs w:val="11"/>
                <w:color w:val="auto"/>
              </w:rPr>
              <w:t>assets (b)</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866,591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743,337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730,141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795,511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735,852</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2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Average interest-earning assets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20" w:type="dxa"/>
            <w:vAlign w:val="bottom"/>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2,259,978</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3"/>
              </w:rPr>
              <w:t>2,212,309</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2,144,833</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2,024,178</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1,729,697</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excluding CIB Markets</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267"/>
        </w:trPr>
        <w:tc>
          <w:tcPr>
            <w:tcW w:w="2120" w:type="dxa"/>
            <w:vAlign w:val="bottom"/>
          </w:tcPr>
          <w:p>
            <w:pPr>
              <w:ind w:left="20"/>
              <w:spacing w:after="0"/>
              <w:rPr>
                <w:sz w:val="20"/>
                <w:szCs w:val="20"/>
                <w:color w:val="auto"/>
              </w:rPr>
            </w:pPr>
            <w:r>
              <w:rPr>
                <w:rFonts w:ascii="Arial" w:cs="Arial" w:eastAsia="Arial" w:hAnsi="Arial"/>
                <w:sz w:val="11"/>
                <w:szCs w:val="11"/>
                <w:color w:val="auto"/>
              </w:rPr>
              <w:t>Net yield on average interest-earning</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20"/>
              <w:spacing w:after="0"/>
              <w:rPr>
                <w:sz w:val="20"/>
                <w:szCs w:val="20"/>
                <w:color w:val="auto"/>
              </w:rPr>
            </w:pPr>
            <w:r>
              <w:rPr>
                <w:rFonts w:ascii="Arial" w:cs="Arial" w:eastAsia="Arial" w:hAnsi="Arial"/>
                <w:sz w:val="11"/>
                <w:szCs w:val="11"/>
                <w:color w:val="auto"/>
              </w:rPr>
              <w:t>assets - managed basis</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1.69 %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1.82 %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1.99 %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2.37 %</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color w:val="auto"/>
              </w:rPr>
              <w:t>Net yield on average CIB Markets interest-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0.87</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Net yield on average interest-earning</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assets excluding CIB Markets</w:t>
            </w: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3.01</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Interest includes the effect of related hedges. Taxable-equivalent amounts are used where applicable.</w:t>
      </w:r>
    </w:p>
    <w:p>
      <w:pPr>
        <w:ind w:left="500" w:right="240" w:hanging="168"/>
        <w:spacing w:after="0" w:line="238" w:lineRule="auto"/>
        <w:tabs>
          <w:tab w:leader="none" w:pos="5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In the third quarter of 2020, the Firm reclassified certain fair value option elected lending-related positions from trading assets to loans and other assets.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sectPr>
      <w:pgSz w:w="11900" w:h="16838" w:orient="portrait"/>
      <w:cols w:equalWidth="0" w:num="1">
        <w:col w:w="11240"/>
      </w:cols>
      <w:pgMar w:left="320" w:top="7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decimal"/>
      <w:start w:val="101"/>
    </w:lvl>
  </w:abstractNum>
  <w:abstractNum w:abstractNumId="3">
    <w:nsid w:val="2D1D5AE9"/>
    <w:multiLevelType w:val="hybridMultilevel"/>
    <w:lvl w:ilvl="0">
      <w:lvlJc w:val="left"/>
      <w:lvlText w:val="%1"/>
      <w:numFmt w:val="decimal"/>
      <w:start w:val="104"/>
    </w:lvl>
  </w:abstractNum>
  <w:abstractNum w:abstractNumId="4">
    <w:nsid w:val="6763845E"/>
    <w:multiLevelType w:val="hybridMultilevel"/>
    <w:lvl w:ilvl="0">
      <w:lvlJc w:val="left"/>
      <w:lvlText w:val="n"/>
      <w:numFmt w:val="bullet"/>
      <w:start w:val="1"/>
    </w:lvl>
  </w:abstractNum>
  <w:abstractNum w:abstractNumId="5">
    <w:nsid w:val="75A2A8D4"/>
    <w:multiLevelType w:val="hybridMultilevel"/>
    <w:lvl w:ilvl="0">
      <w:lvlJc w:val="left"/>
      <w:lvlText w:val="n"/>
      <w:numFmt w:val="bullet"/>
      <w:start w:val="1"/>
    </w:lvl>
  </w:abstractNum>
  <w:abstractNum w:abstractNumId="6">
    <w:nsid w:val="8EDBDAB"/>
    <w:multiLevelType w:val="hybridMultilevel"/>
    <w:lvl w:ilvl="0">
      <w:lvlJc w:val="left"/>
      <w:lvlText w:val="n"/>
      <w:numFmt w:val="bullet"/>
      <w:start w:val="1"/>
    </w:lvl>
  </w:abstractNum>
  <w:abstractNum w:abstractNumId="7">
    <w:nsid w:val="79838CB2"/>
    <w:multiLevelType w:val="hybridMultilevel"/>
    <w:lvl w:ilvl="0">
      <w:lvlJc w:val="left"/>
      <w:lvlText w:val="n"/>
      <w:numFmt w:val="bullet"/>
      <w:start w:val="1"/>
    </w:lvl>
  </w:abstractNum>
  <w:abstractNum w:abstractNumId="8">
    <w:nsid w:val="4353D0CD"/>
    <w:multiLevelType w:val="hybridMultilevel"/>
    <w:lvl w:ilvl="0">
      <w:lvlJc w:val="left"/>
      <w:lvlText w:val="n"/>
      <w:numFmt w:val="bullet"/>
      <w:start w:val="1"/>
    </w:lvl>
  </w:abstractNum>
  <w:abstractNum w:abstractNumId="9">
    <w:nsid w:val="B03E0C6"/>
    <w:multiLevelType w:val="hybridMultilevel"/>
    <w:lvl w:ilvl="0">
      <w:lvlJc w:val="left"/>
      <w:lvlText w:val="n"/>
      <w:numFmt w:val="bullet"/>
      <w:start w:val="1"/>
    </w:lvl>
  </w:abstractNum>
  <w:abstractNum w:abstractNumId="10">
    <w:nsid w:val="189A769B"/>
    <w:multiLevelType w:val="hybridMultilevel"/>
    <w:lvl w:ilvl="0">
      <w:lvlJc w:val="left"/>
      <w:lvlText w:val="&amp;"/>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decimal"/>
      <w:start w:val="3"/>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2021-04-14T05:48:10Z</dcterms:created>
  <dcterms:modified xsi:type="dcterms:W3CDTF">2021-04-14T05:48:10Z</dcterms:modified>
</cp:coreProperties>
</file>