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180688dfwp.htm"/>
      <w:bookmarkStart w:id="1" w:name="ksd180688dfwp"/>
      <w:bookmarkEnd w:id="0"/>
      <w:bookmarkEnd w:id="1"/>
      <w:r>
        <w:rPr/>
        <w:drawing>
          <wp:inline distT="0" distB="0" distL="0" distR="0">
            <wp:extent cx="26384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4476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333-285537 </w:t>
      </w:r>
    </w:p>
    <w:p>
      <w:pPr>
        <w:pStyle w:val="TextBody"/>
        <w:bidi w:val="0"/>
        <w:spacing w:before="0" w:after="0"/>
        <w:jc w:val="right"/>
        <w:rPr>
          <w:rFonts w:ascii="Times New Roman" w:hAnsi="Times New Roman"/>
          <w:sz w:val="20"/>
        </w:rPr>
      </w:pPr>
      <w:r>
        <w:rPr>
          <w:rFonts w:ascii="Times New Roman" w:hAnsi="Times New Roman"/>
          <w:sz w:val="20"/>
        </w:rPr>
        <w:t xml:space="preserve">Dated: October 13, 2026 </w:t>
      </w:r>
    </w:p>
    <w:p>
      <w:pPr>
        <w:pStyle w:val="TextBody"/>
        <w:bidi w:val="0"/>
        <w:spacing w:before="48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240" w:after="0"/>
        <w:jc w:val="left"/>
        <w:rPr>
          <w:rFonts w:ascii="Times New Roman" w:hAnsi="Times New Roman"/>
          <w:sz w:val="20"/>
        </w:rPr>
      </w:pPr>
      <w:r>
        <w:rPr>
          <w:rFonts w:ascii="Times New Roman" w:hAnsi="Times New Roman"/>
          <w:sz w:val="20"/>
        </w:rPr>
        <w:t xml:space="preserve">This term sheet supplements the information set forth under “Description of the Notes” in the Prospectus Supplement, subject to completion, dated October 13, 2026 to the Prospectus dated April 10, 2025 (the “Preliminary Prospectus Supplement”).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02"/>
        <w:gridCol w:w="120"/>
        <w:gridCol w:w="4774"/>
      </w:tblGrid>
      <w:tr>
        <w:trPr/>
        <w:tc>
          <w:tcPr>
            <w:tcW w:w="49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4" w:type="dxa"/>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JPMorgan Chase &amp; Co.</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Security Type:</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SEC Registered Senior Notes</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Security: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Fixed-to-Floating Rate Notes due 2037</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Currency: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USD</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Size:</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$3,750,000,000</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Maturity: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October 20, 2037</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Fixed Rate Period: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From and including October 20, 2026 to, but excluding, October 20, 2036</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Floating Rate Period: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From and including October 20, 2036 to, but excluding, Maturity</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Payment Frequency: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Semi-annual during the Fixed Rate Period and quarterly during the Floating Rate Period</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Day Count Fraction:</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30/360 during the Fixed Rate Period, Actual/360 during the Floating Rate Period</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4.625% due August 15, 2036</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Benchmark Treasury Yield: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5.217%</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+90 basis points</w:t>
            </w:r>
          </w:p>
        </w:tc>
      </w:tr>
      <w:tr>
        <w:trPr>
          <w:trHeight w:val="120" w:hRule="atLeast"/>
        </w:trPr>
        <w:tc>
          <w:tcPr>
            <w:tcW w:w="4902" w:type="dxa"/>
            <w:tcBorders/>
            <w:vAlign w:val="center"/>
          </w:tcPr>
          <w:p>
            <w:pPr>
              <w:pStyle w:val="TableContents"/>
              <w:bidi w:val="0"/>
              <w:spacing w:before="0" w:after="283"/>
              <w:jc w:val="left"/>
              <w:rPr>
                <w:sz w:val="4"/>
                <w:szCs w:val="4"/>
              </w:rPr>
            </w:pPr>
            <w:r>
              <w:rPr>
                <w:sz w:val="4"/>
                <w:szCs w:val="4"/>
              </w:rPr>
            </w:r>
          </w:p>
        </w:tc>
        <w:tc>
          <w:tcPr>
            <w:tcW w:w="4894" w:type="dxa"/>
            <w:gridSpan w:val="2"/>
            <w:tcBorders/>
            <w:vAlign w:val="center"/>
          </w:tcPr>
          <w:p>
            <w:pPr>
              <w:pStyle w:val="TableContents"/>
              <w:bidi w:val="0"/>
              <w:spacing w:before="0" w:after="283"/>
              <w:jc w:val="left"/>
              <w:rPr>
                <w:sz w:val="4"/>
                <w:szCs w:val="4"/>
              </w:rPr>
            </w:pPr>
            <w:r>
              <w:rPr>
                <w:sz w:val="4"/>
                <w:szCs w:val="4"/>
              </w:rPr>
            </w:r>
          </w:p>
        </w:tc>
      </w:tr>
      <w:tr>
        <w:trPr/>
        <w:tc>
          <w:tcPr>
            <w:tcW w:w="4902" w:type="dxa"/>
            <w:tcBorders/>
          </w:tcPr>
          <w:p>
            <w:pPr>
              <w:pStyle w:val="TableContents"/>
              <w:bidi w:val="0"/>
              <w:spacing w:before="0" w:after="283"/>
              <w:jc w:val="left"/>
              <w:rPr/>
            </w:pPr>
            <w:r>
              <w:rPr/>
              <w:t>Reoffer Yield:</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left"/>
              <w:rPr/>
            </w:pPr>
            <w:r>
              <w:rPr/>
              <w:t>6.117%</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27"/>
        <w:gridCol w:w="121"/>
        <w:gridCol w:w="4748"/>
      </w:tblGrid>
      <w:tr>
        <w:trPr/>
        <w:tc>
          <w:tcPr>
            <w:tcW w:w="492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48" w:type="dxa"/>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Fixed Rate Coupon: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6.117%, payable semiannually in arrears during the Fixed Rate Period.</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Floating Rate Coupon: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An annual floating rate equal to the Floating Rate Index plus a spread of 1.255% per annum, payable quarterly in arrears during the Floating Rate Period.</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Floating Rate Index:</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Benchmark rate (expected to be Compounded SOFR as described under “Description of the Notes—Interest on the notes” in the Preliminary Prospectus Supplement).</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Floating Rate Reset Frequency:</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Quarterly during the Floating Rate Period</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Price to Public:</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100% of face amount</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Proceeds (Before Expenses) to Issuer:</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$3,733,125,000</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During the Fixed Rate Period, each April 20 and October 20, beginning April 20, 2027 and including October 20, 2036, and during the Floating Rate Period, each of January 20, 2037, April 20, 2037, July 20, 2037 and October 20, 2037.</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Business Day:</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New York</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Business Day Convention: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During the Fixed Rate Period, following business day. During the Floating Rate Period, modified following business day.</w:t>
            </w:r>
          </w:p>
        </w:tc>
      </w:tr>
      <w:tr>
        <w:trPr>
          <w:trHeight w:val="120" w:hRule="atLeast"/>
        </w:trPr>
        <w:tc>
          <w:tcPr>
            <w:tcW w:w="4927" w:type="dxa"/>
            <w:tcBorders/>
            <w:vAlign w:val="center"/>
          </w:tcPr>
          <w:p>
            <w:pPr>
              <w:pStyle w:val="TableContents"/>
              <w:bidi w:val="0"/>
              <w:spacing w:before="0" w:after="283"/>
              <w:jc w:val="left"/>
              <w:rPr>
                <w:sz w:val="4"/>
                <w:szCs w:val="4"/>
              </w:rPr>
            </w:pPr>
            <w:r>
              <w:rPr>
                <w:sz w:val="4"/>
                <w:szCs w:val="4"/>
              </w:rPr>
            </w:r>
          </w:p>
        </w:tc>
        <w:tc>
          <w:tcPr>
            <w:tcW w:w="4869" w:type="dxa"/>
            <w:gridSpan w:val="2"/>
            <w:tcBorders/>
            <w:vAlign w:val="center"/>
          </w:tcPr>
          <w:p>
            <w:pPr>
              <w:pStyle w:val="TableContents"/>
              <w:bidi w:val="0"/>
              <w:spacing w:before="0" w:after="283"/>
              <w:jc w:val="left"/>
              <w:rPr>
                <w:sz w:val="4"/>
                <w:szCs w:val="4"/>
              </w:rPr>
            </w:pPr>
            <w:r>
              <w:rPr>
                <w:sz w:val="4"/>
                <w:szCs w:val="4"/>
              </w:rPr>
            </w:r>
          </w:p>
        </w:tc>
      </w:tr>
      <w:tr>
        <w:trPr/>
        <w:tc>
          <w:tcPr>
            <w:tcW w:w="4927" w:type="dxa"/>
            <w:tcBorders/>
          </w:tcPr>
          <w:p>
            <w:pPr>
              <w:pStyle w:val="TableContents"/>
              <w:bidi w:val="0"/>
              <w:spacing w:before="0" w:after="283"/>
              <w:jc w:val="left"/>
              <w:rPr/>
            </w:pPr>
            <w:r>
              <w:rPr/>
              <w:t>Optional Redemption:</w:t>
            </w:r>
          </w:p>
        </w:tc>
        <w:tc>
          <w:tcPr>
            <w:tcW w:w="121"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We may redeem the notes, at our option, in whole at any time or in part from time to time, on or after April 20, 2027 and prior to October 20, 2036 upon at least 5 days’ but no more than 60 days’ notice to holders of the notes, at a redemption price equal to the greater of: (i) (a) the sum of the present values of the remaining scheduled payments of principal and interest on the notes to be redeemed discounted to the redemption date (assuming the notes matured on October 20, 2036) on a semi-annual basis (assuming a 360-day year consisting of twelve 30-day months) at the “Treasury Rate” plus 15 basis points less (b) interest accrued on those notes to the redemption date; and (ii) 100% of the principal amount of the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25"/>
        <w:gridCol w:w="120"/>
        <w:gridCol w:w="4751"/>
      </w:tblGrid>
      <w:tr>
        <w:trPr/>
        <w:tc>
          <w:tcPr>
            <w:tcW w:w="49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5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notes to be redeemed; plus, in either case, accrued and unpaid interest on the notes to be redeemed to, but excluding, the redemption date.</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In addition, we may redeem the notes, at our option, in whole, but not in part, on October 20, 2036 upon at least 5 days’ but no more than 60 days’ notice to holders of the notes, at a redemption price equal to 100% of the principal amount of the notes to be redeemed plus accrued and unpaid interest thereon to, but excluding, the redemption date.</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In addition, we may redeem the notes, at our option, in whole at any time or in part from time to time, on or after July 20, 2037 upon at least 5 days’ but no more than 60 days’ notice to holders of the notes, at a redemption price equal to 100% of the principal amount of the notes to be redeemed plus accrued and unpaid interest thereon to, but excluding, the redemption date.</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The foregoing supplements and supersedes the information set forth under “Description of the Notes” in the Preliminary Prospectus Supplement.</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pPr>
            <w:r>
              <w:rPr/>
              <w:t>CUSIP/ISIN:</w:t>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48128BBA8 / US48128BBA89</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October 13, 2026</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October 20, 2026 (T+5)</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pPr>
            <w:r>
              <w:rPr/>
              <w:t>Denominations:</w:t>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$2,000 x $1,000</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pPr>
            <w:r>
              <w:rPr/>
              <w:t>Concurrent Issuance:</w:t>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In addition to the notes described in this term sheet, JPMorgan Chase &amp; Co. is concurrently offering $350,000,000 of floating rate notes due 2030 and $2,900,000,000 of fixed-to-floating rate notes due 2030. The consummation of each of these offerings is not contingent on any other offering.</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pPr>
            <w:r>
              <w:rPr/>
              <w:t>Sole Bookrunner:</w:t>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283"/>
              <w:jc w:val="left"/>
              <w:rPr/>
            </w:pPr>
            <w:r>
              <w:rPr/>
              <w:t>J.P. Morgan Securities LLC</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4871"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283"/>
              <w:jc w:val="left"/>
              <w:rPr/>
            </w:pPr>
            <w:r>
              <w:rPr/>
              <w:t>Co-Managers:</w:t>
            </w:r>
          </w:p>
        </w:tc>
        <w:tc>
          <w:tcPr>
            <w:tcW w:w="120" w:type="dxa"/>
            <w:tcBorders/>
            <w:vAlign w:val="bottom"/>
          </w:tcPr>
          <w:p>
            <w:pPr>
              <w:pStyle w:val="TableContents"/>
              <w:bidi w:val="0"/>
              <w:spacing w:before="0" w:after="283"/>
              <w:jc w:val="left"/>
              <w:rPr/>
            </w:pPr>
            <w:r>
              <w:rPr/>
              <w:t>  </w:t>
            </w:r>
          </w:p>
        </w:tc>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CaixaBank, S.A.</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Commonwealth Bank of Australia</w:t>
            </w:r>
          </w:p>
          <w:p>
            <w:pPr>
              <w:pStyle w:val="TableContents"/>
              <w:bidi w:val="0"/>
              <w:spacing w:before="0" w:after="20"/>
              <w:jc w:val="left"/>
              <w:rPr>
                <w:rFonts w:ascii="Times New Roman" w:hAnsi="Times New Roman"/>
                <w:sz w:val="20"/>
              </w:rPr>
            </w:pPr>
            <w:r>
              <w:rPr>
                <w:rFonts w:ascii="Times New Roman" w:hAnsi="Times New Roman"/>
                <w:sz w:val="20"/>
              </w:rPr>
              <w:t>Desjardins Securities Inc.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732"/>
        <w:gridCol w:w="125"/>
        <w:gridCol w:w="4939"/>
      </w:tblGrid>
      <w:tr>
        <w:trPr/>
        <w:tc>
          <w:tcPr>
            <w:tcW w:w="473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3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732" w:type="dxa"/>
            <w:tcBorders/>
            <w:vAlign w:val="center"/>
          </w:tcPr>
          <w:p>
            <w:pPr>
              <w:pStyle w:val="TableContents"/>
              <w:bidi w:val="0"/>
              <w:spacing w:before="0" w:after="283"/>
              <w:jc w:val="left"/>
              <w:rPr>
                <w:sz w:val="4"/>
                <w:szCs w:val="4"/>
              </w:rPr>
            </w:pPr>
            <w:r>
              <w:rPr>
                <w:sz w:val="4"/>
                <w:szCs w:val="4"/>
              </w:rPr>
            </w:r>
          </w:p>
        </w:tc>
        <w:tc>
          <w:tcPr>
            <w:tcW w:w="5064" w:type="dxa"/>
            <w:gridSpan w:val="2"/>
            <w:tcBorders/>
            <w:vAlign w:val="center"/>
          </w:tcPr>
          <w:p>
            <w:pPr>
              <w:pStyle w:val="TableContents"/>
              <w:bidi w:val="0"/>
              <w:spacing w:before="0" w:after="283"/>
              <w:jc w:val="left"/>
              <w:rPr>
                <w:sz w:val="4"/>
                <w:szCs w:val="4"/>
              </w:rPr>
            </w:pPr>
            <w:r>
              <w:rPr>
                <w:sz w:val="4"/>
                <w:szCs w:val="4"/>
              </w:rPr>
            </w:r>
          </w:p>
        </w:tc>
      </w:tr>
      <w:tr>
        <w:trPr/>
        <w:tc>
          <w:tcPr>
            <w:tcW w:w="4732"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939" w:type="dxa"/>
            <w:tcBorders/>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Goodbody Stockbrokers UC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0"/>
              <w:jc w:val="left"/>
              <w:rPr>
                <w:rFonts w:ascii="Times New Roman" w:hAnsi="Times New Roman"/>
                <w:sz w:val="20"/>
              </w:rPr>
            </w:pPr>
            <w:r>
              <w:rPr>
                <w:rFonts w:ascii="Times New Roman" w:hAnsi="Times New Roman"/>
                <w:sz w:val="20"/>
              </w:rPr>
              <w:t>Lloyds Securities Inc.</w:t>
            </w:r>
          </w:p>
          <w:p>
            <w:pPr>
              <w:pStyle w:val="TableContents"/>
              <w:bidi w:val="0"/>
              <w:spacing w:before="0" w:after="0"/>
              <w:jc w:val="left"/>
              <w:rPr>
                <w:rFonts w:ascii="Times New Roman" w:hAnsi="Times New Roman"/>
                <w:sz w:val="20"/>
              </w:rPr>
            </w:pPr>
            <w:r>
              <w:rPr>
                <w:rFonts w:ascii="Times New Roman" w:hAnsi="Times New Roman"/>
                <w:sz w:val="20"/>
              </w:rPr>
              <w:t>nabSecurities, LLC</w:t>
            </w:r>
          </w:p>
          <w:p>
            <w:pPr>
              <w:pStyle w:val="TableContents"/>
              <w:bidi w:val="0"/>
              <w:spacing w:before="0" w:after="0"/>
              <w:jc w:val="left"/>
              <w:rPr>
                <w:rFonts w:ascii="Times New Roman" w:hAnsi="Times New Roman"/>
                <w:sz w:val="20"/>
              </w:rPr>
            </w:pPr>
            <w:r>
              <w:rPr>
                <w:rFonts w:ascii="Times New Roman" w:hAnsi="Times New Roman"/>
                <w:sz w:val="20"/>
              </w:rPr>
              <w:t>National Bank of Canada Financial Inc.</w:t>
            </w:r>
          </w:p>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p>
            <w:pPr>
              <w:pStyle w:val="TableContents"/>
              <w:bidi w:val="0"/>
              <w:spacing w:before="0" w:after="0"/>
              <w:jc w:val="left"/>
              <w:rPr>
                <w:rFonts w:ascii="Times New Roman" w:hAnsi="Times New Roman"/>
                <w:sz w:val="20"/>
              </w:rPr>
            </w:pPr>
            <w:r>
              <w:rPr>
                <w:rFonts w:ascii="Times New Roman" w:hAnsi="Times New Roman"/>
                <w:sz w:val="20"/>
              </w:rPr>
              <w:t>Nykredit Bank A/S</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Rabo Securities USA, Inc.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UniCredit Capital Markets LLC</w:t>
            </w:r>
          </w:p>
          <w:p>
            <w:pPr>
              <w:pStyle w:val="TableContents"/>
              <w:bidi w:val="0"/>
              <w:spacing w:before="0" w:after="0"/>
              <w:jc w:val="left"/>
              <w:rPr>
                <w:rFonts w:ascii="Times New Roman" w:hAnsi="Times New Roman"/>
                <w:sz w:val="20"/>
              </w:rPr>
            </w:pPr>
            <w:r>
              <w:rPr>
                <w:rFonts w:ascii="Times New Roman" w:hAnsi="Times New Roman"/>
                <w:sz w:val="20"/>
              </w:rPr>
              <w:t>Westpac Capital Markets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American Veterans Group, PBC</w:t>
            </w:r>
          </w:p>
          <w:p>
            <w:pPr>
              <w:pStyle w:val="TableContents"/>
              <w:bidi w:val="0"/>
              <w:spacing w:before="0" w:after="0"/>
              <w:jc w:val="left"/>
              <w:rPr>
                <w:rFonts w:ascii="Times New Roman" w:hAnsi="Times New Roman"/>
                <w:sz w:val="20"/>
              </w:rPr>
            </w:pPr>
            <w:r>
              <w:rPr>
                <w:rFonts w:ascii="Times New Roman" w:hAnsi="Times New Roman"/>
                <w:sz w:val="20"/>
              </w:rPr>
              <w:t>Apto Partners, LLC</w:t>
            </w:r>
          </w:p>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C.L. King &amp; Associates, Inc.</w:t>
            </w:r>
          </w:p>
          <w:p>
            <w:pPr>
              <w:pStyle w:val="TableContents"/>
              <w:bidi w:val="0"/>
              <w:spacing w:before="0" w:after="0"/>
              <w:jc w:val="left"/>
              <w:rPr>
                <w:rFonts w:ascii="Times New Roman" w:hAnsi="Times New Roman"/>
                <w:sz w:val="20"/>
              </w:rPr>
            </w:pPr>
            <w:r>
              <w:rPr>
                <w:rFonts w:ascii="Times New Roman" w:hAnsi="Times New Roman"/>
                <w:sz w:val="20"/>
              </w:rPr>
              <w:t>Cabrera Capital Markets LLC</w:t>
            </w:r>
          </w:p>
          <w:p>
            <w:pPr>
              <w:pStyle w:val="TableContents"/>
              <w:bidi w:val="0"/>
              <w:spacing w:before="0" w:after="0"/>
              <w:jc w:val="left"/>
              <w:rPr>
                <w:rFonts w:ascii="Times New Roman" w:hAnsi="Times New Roman"/>
                <w:sz w:val="20"/>
              </w:rPr>
            </w:pPr>
            <w:r>
              <w:rPr>
                <w:rFonts w:ascii="Times New Roman" w:hAnsi="Times New Roman"/>
                <w:sz w:val="20"/>
              </w:rPr>
              <w:t>CastleOak Securities, L.P.</w:t>
            </w:r>
          </w:p>
          <w:p>
            <w:pPr>
              <w:pStyle w:val="TableContents"/>
              <w:bidi w:val="0"/>
              <w:spacing w:before="0" w:after="0"/>
              <w:jc w:val="left"/>
              <w:rPr>
                <w:rFonts w:ascii="Times New Roman" w:hAnsi="Times New Roman"/>
                <w:sz w:val="20"/>
              </w:rPr>
            </w:pPr>
            <w:r>
              <w:rPr>
                <w:rFonts w:ascii="Times New Roman" w:hAnsi="Times New Roman"/>
                <w:sz w:val="20"/>
              </w:rPr>
              <w:t>Drexel Hamilton, LLC</w:t>
            </w:r>
          </w:p>
          <w:p>
            <w:pPr>
              <w:pStyle w:val="TableContents"/>
              <w:bidi w:val="0"/>
              <w:spacing w:before="0" w:after="0"/>
              <w:jc w:val="left"/>
              <w:rPr>
                <w:rFonts w:ascii="Times New Roman" w:hAnsi="Times New Roman"/>
                <w:sz w:val="20"/>
              </w:rPr>
            </w:pPr>
            <w:r>
              <w:rPr>
                <w:rFonts w:ascii="Times New Roman" w:hAnsi="Times New Roman"/>
                <w:sz w:val="20"/>
              </w:rPr>
              <w:t>Falcon Square Capital LLC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Stern Brothers &amp; Co.</w:t>
            </w:r>
          </w:p>
          <w:p>
            <w:pPr>
              <w:pStyle w:val="TableContents"/>
              <w:bidi w:val="0"/>
              <w:spacing w:before="0" w:after="0"/>
              <w:jc w:val="left"/>
              <w:rPr>
                <w:rFonts w:ascii="Times New Roman" w:hAnsi="Times New Roman"/>
                <w:sz w:val="20"/>
              </w:rPr>
            </w:pPr>
            <w:r>
              <w:rPr>
                <w:rFonts w:ascii="Times New Roman" w:hAnsi="Times New Roman"/>
                <w:sz w:val="20"/>
              </w:rPr>
              <w:t>Telsey Advisory Group LLC</w:t>
            </w:r>
          </w:p>
          <w:p>
            <w:pPr>
              <w:pStyle w:val="TableContents"/>
              <w:bidi w:val="0"/>
              <w:spacing w:before="0" w:after="20"/>
              <w:jc w:val="left"/>
              <w:rPr>
                <w:rFonts w:ascii="Times New Roman" w:hAnsi="Times New Roman"/>
                <w:sz w:val="20"/>
              </w:rPr>
            </w:pPr>
            <w:r>
              <w:rPr>
                <w:rFonts w:ascii="Times New Roman" w:hAnsi="Times New Roman"/>
                <w:sz w:val="20"/>
              </w:rPr>
              <w:t>Tigress Financial Partners,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 </w:t>
      </w:r>
    </w:p>
    <w:p>
      <w:pPr>
        <w:pStyle w:val="TextBody"/>
        <w:bidi w:val="0"/>
        <w:spacing w:before="240" w:after="0"/>
        <w:jc w:val="left"/>
        <w:rPr>
          <w:rFonts w:ascii="Times New Roman" w:hAnsi="Times New Roman"/>
          <w:sz w:val="20"/>
        </w:rPr>
      </w:pPr>
      <w:r>
        <w:rPr>
          <w:rFonts w:ascii="Times New Roman" w:hAnsi="Times New Roman"/>
          <w:sz w:val="20"/>
        </w:rPr>
        <w:t xml:space="preserve">Settlement Period: The closing will occur on October 20, 2026 which will be more than one U.S. business day after the date of this pricing term sheet. Rule 15c6-1 under the Securities Exchange Act of 1934 generally requires that securities trades in the secondary market settle in one business day, unless the parties to a trade expressly agree otherwise. </w:t>
      </w:r>
    </w:p>
    <w:p>
      <w:pPr>
        <w:pStyle w:val="TextBody"/>
        <w:bidi w:val="0"/>
        <w:spacing w:before="240" w:after="0"/>
        <w:jc w:val="left"/>
        <w:rPr>
          <w:rFonts w:ascii="Times New Roman" w:hAnsi="Times New Roman"/>
          <w:sz w:val="20"/>
        </w:rPr>
      </w:pPr>
      <w:r>
        <w:rPr>
          <w:rFonts w:ascii="Times New Roman" w:hAnsi="Times New Roman"/>
          <w:sz w:val="20"/>
        </w:rPr>
        <w:t xml:space="preserve">JPMorgan Chase &amp; Co. has filed a registration statement (including a prospectus, as supplemented by a prospectus supplement) with the Securities and Exchange Commission, or SEC, for the offering to which this term sheet relates. Before you invest,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 </w:t>
      </w:r>
    </w:p>
    <w:p>
      <w:pPr>
        <w:pStyle w:val="TextBody"/>
        <w:bidi w:val="0"/>
        <w:spacing w:before="240" w:after="0"/>
        <w:jc w:val="left"/>
        <w:rPr>
          <w:rFonts w:ascii="Times New Roman" w:hAnsi="Times New Roman"/>
          <w:sz w:val="20"/>
        </w:rPr>
      </w:pPr>
      <w:r>
        <w:rPr>
          <w:rFonts w:ascii="Times New Roman" w:hAnsi="Times New Roman"/>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1111</Words>
  <Characters>5827</Characters>
  <CharactersWithSpaces>6916</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