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208280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January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227330</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tbl>
      <w:tblPr>
        <w:tblLayout w:type="fixed"/>
        <w:tblInd w:w="2460" w:type="dxa"/>
        <w:tblCellMar>
          <w:top w:w="0" w:type="dxa"/>
          <w:left w:w="0" w:type="dxa"/>
          <w:bottom w:w="0" w:type="dxa"/>
          <w:right w:w="0" w:type="dxa"/>
        </w:tblCellMar>
      </w:tblPr>
      <w:tr>
        <w:trPr>
          <w:trHeight w:val="175"/>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Delaware</w:t>
            </w:r>
          </w:p>
        </w:tc>
        <w:tc>
          <w:tcPr>
            <w:tcW w:w="2000" w:type="dxa"/>
            <w:vAlign w:val="bottom"/>
          </w:tcPr>
          <w:p>
            <w:pPr>
              <w:jc w:val="right"/>
              <w:ind w:right="857"/>
              <w:spacing w:after="0"/>
              <w:rPr>
                <w:sz w:val="20"/>
                <w:szCs w:val="20"/>
                <w:color w:val="auto"/>
              </w:rPr>
            </w:pPr>
            <w:r>
              <w:rPr>
                <w:rFonts w:ascii="Arial" w:cs="Arial" w:eastAsia="Arial" w:hAnsi="Arial"/>
                <w:sz w:val="13"/>
                <w:szCs w:val="13"/>
                <w:b w:val="1"/>
                <w:bCs w:val="1"/>
                <w:color w:val="auto"/>
              </w:rPr>
              <w:t>1-5805</w:t>
            </w:r>
          </w:p>
        </w:tc>
        <w:tc>
          <w:tcPr>
            <w:tcW w:w="1380" w:type="dxa"/>
            <w:vAlign w:val="bottom"/>
          </w:tcPr>
          <w:p>
            <w:pPr>
              <w:jc w:val="right"/>
              <w:ind w:right="117"/>
              <w:spacing w:after="0"/>
              <w:rPr>
                <w:sz w:val="20"/>
                <w:szCs w:val="20"/>
                <w:color w:val="auto"/>
              </w:rPr>
            </w:pPr>
            <w:r>
              <w:rPr>
                <w:rFonts w:ascii="Arial" w:cs="Arial" w:eastAsia="Arial" w:hAnsi="Arial"/>
                <w:sz w:val="13"/>
                <w:szCs w:val="13"/>
                <w:b w:val="1"/>
                <w:bCs w:val="1"/>
                <w:color w:val="auto"/>
              </w:rPr>
              <w:t>13-2624428</w:t>
            </w:r>
          </w:p>
        </w:tc>
      </w:tr>
      <w:tr>
        <w:trPr>
          <w:trHeight w:val="132"/>
        </w:trPr>
        <w:tc>
          <w:tcPr>
            <w:tcW w:w="2440" w:type="dxa"/>
            <w:vAlign w:val="bottom"/>
          </w:tcPr>
          <w:p>
            <w:pPr>
              <w:jc w:val="center"/>
              <w:ind w:right="17"/>
              <w:spacing w:after="0" w:line="132" w:lineRule="exact"/>
              <w:rPr>
                <w:sz w:val="20"/>
                <w:szCs w:val="20"/>
                <w:color w:val="auto"/>
              </w:rPr>
            </w:pPr>
            <w:r>
              <w:rPr>
                <w:rFonts w:ascii="Arial" w:cs="Arial" w:eastAsia="Arial" w:hAnsi="Arial"/>
                <w:sz w:val="13"/>
                <w:szCs w:val="13"/>
                <w:b w:val="1"/>
                <w:bCs w:val="1"/>
                <w:color w:val="auto"/>
                <w:w w:val="96"/>
              </w:rPr>
              <w:t>(State or other jurisdiction of</w:t>
            </w:r>
          </w:p>
        </w:tc>
        <w:tc>
          <w:tcPr>
            <w:tcW w:w="2000" w:type="dxa"/>
            <w:vAlign w:val="bottom"/>
          </w:tcPr>
          <w:p>
            <w:pPr>
              <w:jc w:val="center"/>
              <w:ind w:right="177"/>
              <w:spacing w:after="0" w:line="132" w:lineRule="exact"/>
              <w:rPr>
                <w:sz w:val="20"/>
                <w:szCs w:val="20"/>
                <w:color w:val="auto"/>
              </w:rPr>
            </w:pPr>
            <w:r>
              <w:rPr>
                <w:rFonts w:ascii="Arial" w:cs="Arial" w:eastAsia="Arial" w:hAnsi="Arial"/>
                <w:sz w:val="13"/>
                <w:szCs w:val="13"/>
                <w:b w:val="1"/>
                <w:bCs w:val="1"/>
                <w:color w:val="auto"/>
                <w:w w:val="96"/>
              </w:rPr>
              <w:t>(Commission File Number)</w:t>
            </w:r>
          </w:p>
        </w:tc>
        <w:tc>
          <w:tcPr>
            <w:tcW w:w="1380" w:type="dxa"/>
            <w:vAlign w:val="bottom"/>
          </w:tcPr>
          <w:p>
            <w:pPr>
              <w:jc w:val="center"/>
              <w:ind w:left="277"/>
              <w:spacing w:after="0" w:line="132" w:lineRule="exact"/>
              <w:rPr>
                <w:sz w:val="20"/>
                <w:szCs w:val="20"/>
                <w:color w:val="auto"/>
              </w:rPr>
            </w:pPr>
            <w:r>
              <w:rPr>
                <w:rFonts w:ascii="Arial" w:cs="Arial" w:eastAsia="Arial" w:hAnsi="Arial"/>
                <w:sz w:val="13"/>
                <w:szCs w:val="13"/>
                <w:b w:val="1"/>
                <w:bCs w:val="1"/>
                <w:color w:val="auto"/>
                <w:w w:val="97"/>
              </w:rPr>
              <w:t>(I.R.S. employer</w:t>
            </w:r>
          </w:p>
        </w:tc>
      </w:tr>
      <w:tr>
        <w:trPr>
          <w:trHeight w:val="178"/>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incorporation or organization)</w:t>
            </w:r>
          </w:p>
        </w:tc>
        <w:tc>
          <w:tcPr>
            <w:tcW w:w="2000" w:type="dxa"/>
            <w:vAlign w:val="bottom"/>
          </w:tcPr>
          <w:p>
            <w:pPr>
              <w:spacing w:after="0"/>
              <w:rPr>
                <w:sz w:val="15"/>
                <w:szCs w:val="15"/>
                <w:color w:val="auto"/>
              </w:rPr>
            </w:pPr>
          </w:p>
        </w:tc>
        <w:tc>
          <w:tcPr>
            <w:tcW w:w="1380" w:type="dxa"/>
            <w:vAlign w:val="bottom"/>
          </w:tcPr>
          <w:p>
            <w:pPr>
              <w:jc w:val="center"/>
              <w:ind w:left="277"/>
              <w:spacing w:after="0"/>
              <w:rPr>
                <w:sz w:val="20"/>
                <w:szCs w:val="20"/>
                <w:color w:val="auto"/>
              </w:rPr>
            </w:pPr>
            <w:r>
              <w:rPr>
                <w:rFonts w:ascii="Arial" w:cs="Arial" w:eastAsia="Arial" w:hAnsi="Arial"/>
                <w:sz w:val="13"/>
                <w:szCs w:val="13"/>
                <w:b w:val="1"/>
                <w:bCs w:val="1"/>
                <w:color w:val="auto"/>
                <w:w w:val="95"/>
              </w:rPr>
              <w:t>identification no.)</w:t>
            </w:r>
          </w:p>
        </w:tc>
      </w:tr>
      <w:tr>
        <w:trPr>
          <w:trHeight w:val="325"/>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383 Madison Avenue,</w:t>
            </w: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8"/>
        </w:trPr>
        <w:tc>
          <w:tcPr>
            <w:tcW w:w="2440" w:type="dxa"/>
            <w:vAlign w:val="bottom"/>
          </w:tcPr>
          <w:p>
            <w:pPr>
              <w:ind w:left="560"/>
              <w:spacing w:after="0"/>
              <w:rPr>
                <w:sz w:val="20"/>
                <w:szCs w:val="20"/>
                <w:color w:val="auto"/>
              </w:rPr>
            </w:pPr>
            <w:r>
              <w:rPr>
                <w:rFonts w:ascii="Arial" w:cs="Arial" w:eastAsia="Arial" w:hAnsi="Arial"/>
                <w:sz w:val="13"/>
                <w:szCs w:val="13"/>
                <w:b w:val="1"/>
                <w:bCs w:val="1"/>
                <w:color w:val="auto"/>
              </w:rPr>
              <w:t>New York, New York</w:t>
            </w:r>
          </w:p>
        </w:tc>
        <w:tc>
          <w:tcPr>
            <w:tcW w:w="2000" w:type="dxa"/>
            <w:vAlign w:val="bottom"/>
          </w:tcPr>
          <w:p>
            <w:pPr>
              <w:spacing w:after="0"/>
              <w:rPr>
                <w:sz w:val="15"/>
                <w:szCs w:val="15"/>
                <w:color w:val="auto"/>
              </w:rPr>
            </w:pPr>
          </w:p>
        </w:tc>
        <w:tc>
          <w:tcPr>
            <w:tcW w:w="1380" w:type="dxa"/>
            <w:vAlign w:val="bottom"/>
          </w:tcPr>
          <w:p>
            <w:pPr>
              <w:jc w:val="right"/>
              <w:ind w:right="277"/>
              <w:spacing w:after="0"/>
              <w:rPr>
                <w:sz w:val="20"/>
                <w:szCs w:val="20"/>
                <w:color w:val="auto"/>
              </w:rPr>
            </w:pPr>
            <w:r>
              <w:rPr>
                <w:rFonts w:ascii="Arial" w:cs="Arial" w:eastAsia="Arial" w:hAnsi="Arial"/>
                <w:sz w:val="13"/>
                <w:szCs w:val="13"/>
                <w:b w:val="1"/>
                <w:bCs w:val="1"/>
                <w:color w:val="auto"/>
              </w:rPr>
              <w:t>10179</w:t>
            </w:r>
          </w:p>
        </w:tc>
      </w:tr>
      <w:tr>
        <w:trPr>
          <w:trHeight w:val="216"/>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000" w:type="dxa"/>
            <w:vAlign w:val="bottom"/>
          </w:tcPr>
          <w:p>
            <w:pPr>
              <w:spacing w:after="0"/>
              <w:rPr>
                <w:sz w:val="18"/>
                <w:szCs w:val="18"/>
                <w:color w:val="auto"/>
              </w:rPr>
            </w:pPr>
          </w:p>
        </w:tc>
        <w:tc>
          <w:tcPr>
            <w:tcW w:w="1380" w:type="dxa"/>
            <w:vAlign w:val="bottom"/>
          </w:tcPr>
          <w:p>
            <w:pPr>
              <w:jc w:val="center"/>
              <w:ind w:left="297"/>
              <w:spacing w:after="0"/>
              <w:rPr>
                <w:sz w:val="20"/>
                <w:szCs w:val="20"/>
                <w:color w:val="auto"/>
              </w:rPr>
            </w:pPr>
            <w:r>
              <w:rPr>
                <w:rFonts w:ascii="Arial" w:cs="Arial" w:eastAsia="Arial" w:hAnsi="Arial"/>
                <w:sz w:val="13"/>
                <w:szCs w:val="13"/>
                <w:b w:val="1"/>
                <w:bCs w:val="1"/>
                <w:color w:val="auto"/>
                <w:w w:val="96"/>
              </w:rPr>
              <w:t>(Zip Code)</w:t>
            </w:r>
          </w:p>
        </w:tc>
      </w:tr>
    </w:tbl>
    <w:p>
      <w:pPr>
        <w:spacing w:after="0" w:line="14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242"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7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23"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Title of each class</w:t>
            </w: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Trading Symbol(s)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6"/>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Common stock</w:t>
            </w:r>
          </w:p>
        </w:tc>
        <w:tc>
          <w:tcPr>
            <w:tcW w:w="1740" w:type="dxa"/>
            <w:vAlign w:val="bottom"/>
            <w:gridSpan w:val="3"/>
          </w:tcPr>
          <w:p>
            <w:pPr>
              <w:ind w:left="100"/>
              <w:spacing w:after="0"/>
              <w:rPr>
                <w:sz w:val="20"/>
                <w:szCs w:val="20"/>
                <w:color w:val="auto"/>
              </w:rPr>
            </w:pPr>
            <w:r>
              <w:rPr>
                <w:rFonts w:ascii="Arial" w:cs="Arial" w:eastAsia="Arial" w:hAnsi="Arial"/>
                <w:sz w:val="13"/>
                <w:szCs w:val="13"/>
                <w:b w:val="1"/>
                <w:bCs w:val="1"/>
                <w:color w:val="auto"/>
              </w:rPr>
              <w:t>JPM</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The New York Stock Exchange</w:t>
            </w:r>
          </w:p>
        </w:tc>
      </w:tr>
      <w:tr>
        <w:trPr>
          <w:trHeight w:val="132"/>
        </w:trPr>
        <w:tc>
          <w:tcPr>
            <w:tcW w:w="5860" w:type="dxa"/>
            <w:vAlign w:val="bottom"/>
            <w:gridSpan w:val="2"/>
          </w:tcPr>
          <w:p>
            <w:pPr>
              <w:spacing w:after="0" w:line="132"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6.10% Non-</w:t>
            </w:r>
          </w:p>
        </w:tc>
        <w:tc>
          <w:tcPr>
            <w:tcW w:w="1740" w:type="dxa"/>
            <w:vAlign w:val="bottom"/>
            <w:gridSpan w:val="3"/>
          </w:tcPr>
          <w:p>
            <w:pPr>
              <w:ind w:left="100"/>
              <w:spacing w:after="0" w:line="132" w:lineRule="exact"/>
              <w:rPr>
                <w:sz w:val="20"/>
                <w:szCs w:val="20"/>
                <w:color w:val="auto"/>
              </w:rPr>
            </w:pPr>
            <w:r>
              <w:rPr>
                <w:rFonts w:ascii="Arial" w:cs="Arial" w:eastAsia="Arial" w:hAnsi="Arial"/>
                <w:sz w:val="13"/>
                <w:szCs w:val="13"/>
                <w:b w:val="1"/>
                <w:bCs w:val="1"/>
                <w:color w:val="auto"/>
              </w:rPr>
              <w:t>JPM PR G</w:t>
            </w:r>
          </w:p>
        </w:tc>
        <w:tc>
          <w:tcPr>
            <w:tcW w:w="3200" w:type="dxa"/>
            <w:vAlign w:val="bottom"/>
            <w:gridSpan w:val="2"/>
          </w:tcPr>
          <w:p>
            <w:pPr>
              <w:ind w:left="540"/>
              <w:spacing w:after="0" w:line="132" w:lineRule="exact"/>
              <w:rPr>
                <w:sz w:val="20"/>
                <w:szCs w:val="20"/>
                <w:color w:val="auto"/>
              </w:rPr>
            </w:pPr>
            <w:r>
              <w:rPr>
                <w:rFonts w:ascii="Arial" w:cs="Arial" w:eastAsia="Arial" w:hAnsi="Arial"/>
                <w:sz w:val="13"/>
                <w:szCs w:val="13"/>
                <w:b w:val="1"/>
                <w:bCs w:val="1"/>
                <w:color w:val="auto"/>
              </w:rPr>
              <w:t>The New York Stock Exchange</w:t>
            </w:r>
          </w:p>
        </w:tc>
      </w:tr>
      <w:tr>
        <w:trPr>
          <w:trHeight w:val="165"/>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AA</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2"/>
        </w:trPr>
        <w:tc>
          <w:tcPr>
            <w:tcW w:w="5860" w:type="dxa"/>
            <w:vAlign w:val="bottom"/>
            <w:gridSpan w:val="2"/>
          </w:tcPr>
          <w:p>
            <w:pPr>
              <w:spacing w:after="0" w:line="132"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6.15% Non-</w:t>
            </w:r>
          </w:p>
        </w:tc>
        <w:tc>
          <w:tcPr>
            <w:tcW w:w="1740" w:type="dxa"/>
            <w:vAlign w:val="bottom"/>
            <w:gridSpan w:val="3"/>
          </w:tcPr>
          <w:p>
            <w:pPr>
              <w:ind w:left="100"/>
              <w:spacing w:after="0" w:line="132" w:lineRule="exact"/>
              <w:rPr>
                <w:sz w:val="20"/>
                <w:szCs w:val="20"/>
                <w:color w:val="auto"/>
              </w:rPr>
            </w:pPr>
            <w:r>
              <w:rPr>
                <w:rFonts w:ascii="Arial" w:cs="Arial" w:eastAsia="Arial" w:hAnsi="Arial"/>
                <w:sz w:val="13"/>
                <w:szCs w:val="13"/>
                <w:b w:val="1"/>
                <w:bCs w:val="1"/>
                <w:color w:val="auto"/>
              </w:rPr>
              <w:t>JPM PR H</w:t>
            </w:r>
          </w:p>
        </w:tc>
        <w:tc>
          <w:tcPr>
            <w:tcW w:w="3200" w:type="dxa"/>
            <w:vAlign w:val="bottom"/>
            <w:gridSpan w:val="2"/>
          </w:tcPr>
          <w:p>
            <w:pPr>
              <w:ind w:left="540"/>
              <w:spacing w:after="0" w:line="132" w:lineRule="exact"/>
              <w:rPr>
                <w:sz w:val="20"/>
                <w:szCs w:val="20"/>
                <w:color w:val="auto"/>
              </w:rPr>
            </w:pPr>
            <w:r>
              <w:rPr>
                <w:rFonts w:ascii="Arial" w:cs="Arial" w:eastAsia="Arial" w:hAnsi="Arial"/>
                <w:sz w:val="13"/>
                <w:szCs w:val="13"/>
                <w:b w:val="1"/>
                <w:bCs w:val="1"/>
                <w:color w:val="auto"/>
              </w:rPr>
              <w:t>The New York Stock Exchange</w:t>
            </w:r>
          </w:p>
        </w:tc>
      </w:tr>
      <w:tr>
        <w:trPr>
          <w:trHeight w:val="165"/>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BB</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2"/>
        </w:trPr>
        <w:tc>
          <w:tcPr>
            <w:tcW w:w="5860" w:type="dxa"/>
            <w:vAlign w:val="bottom"/>
            <w:gridSpan w:val="2"/>
          </w:tcPr>
          <w:p>
            <w:pPr>
              <w:spacing w:after="0" w:line="132"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740" w:type="dxa"/>
            <w:vAlign w:val="bottom"/>
            <w:gridSpan w:val="3"/>
          </w:tcPr>
          <w:p>
            <w:pPr>
              <w:ind w:left="100"/>
              <w:spacing w:after="0" w:line="132" w:lineRule="exact"/>
              <w:rPr>
                <w:sz w:val="20"/>
                <w:szCs w:val="20"/>
                <w:color w:val="auto"/>
              </w:rPr>
            </w:pPr>
            <w:r>
              <w:rPr>
                <w:rFonts w:ascii="Arial" w:cs="Arial" w:eastAsia="Arial" w:hAnsi="Arial"/>
                <w:sz w:val="13"/>
                <w:szCs w:val="13"/>
                <w:b w:val="1"/>
                <w:bCs w:val="1"/>
                <w:color w:val="auto"/>
              </w:rPr>
              <w:t>JPM PR D</w:t>
            </w:r>
          </w:p>
        </w:tc>
        <w:tc>
          <w:tcPr>
            <w:tcW w:w="3200" w:type="dxa"/>
            <w:vAlign w:val="bottom"/>
            <w:gridSpan w:val="2"/>
          </w:tcPr>
          <w:p>
            <w:pPr>
              <w:ind w:left="540"/>
              <w:spacing w:after="0" w:line="132" w:lineRule="exact"/>
              <w:rPr>
                <w:sz w:val="20"/>
                <w:szCs w:val="20"/>
                <w:color w:val="auto"/>
              </w:rPr>
            </w:pPr>
            <w:r>
              <w:rPr>
                <w:rFonts w:ascii="Arial" w:cs="Arial" w:eastAsia="Arial" w:hAnsi="Arial"/>
                <w:sz w:val="13"/>
                <w:szCs w:val="13"/>
                <w:b w:val="1"/>
                <w:bCs w:val="1"/>
                <w:color w:val="auto"/>
              </w:rPr>
              <w:t>The New York Stock Exchange</w:t>
            </w:r>
          </w:p>
        </w:tc>
      </w:tr>
      <w:tr>
        <w:trPr>
          <w:trHeight w:val="165"/>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2"/>
        </w:trPr>
        <w:tc>
          <w:tcPr>
            <w:tcW w:w="5860" w:type="dxa"/>
            <w:vAlign w:val="bottom"/>
            <w:gridSpan w:val="2"/>
          </w:tcPr>
          <w:p>
            <w:pPr>
              <w:spacing w:after="0" w:line="132"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740" w:type="dxa"/>
            <w:vAlign w:val="bottom"/>
            <w:gridSpan w:val="3"/>
          </w:tcPr>
          <w:p>
            <w:pPr>
              <w:ind w:left="100"/>
              <w:spacing w:after="0" w:line="132" w:lineRule="exact"/>
              <w:rPr>
                <w:sz w:val="20"/>
                <w:szCs w:val="20"/>
                <w:color w:val="auto"/>
              </w:rPr>
            </w:pPr>
            <w:r>
              <w:rPr>
                <w:rFonts w:ascii="Arial" w:cs="Arial" w:eastAsia="Arial" w:hAnsi="Arial"/>
                <w:sz w:val="13"/>
                <w:szCs w:val="13"/>
                <w:b w:val="1"/>
                <w:bCs w:val="1"/>
                <w:color w:val="auto"/>
              </w:rPr>
              <w:t>JPM PR C</w:t>
            </w:r>
          </w:p>
        </w:tc>
        <w:tc>
          <w:tcPr>
            <w:tcW w:w="3200" w:type="dxa"/>
            <w:vAlign w:val="bottom"/>
            <w:gridSpan w:val="2"/>
          </w:tcPr>
          <w:p>
            <w:pPr>
              <w:ind w:left="540"/>
              <w:spacing w:after="0" w:line="132" w:lineRule="exact"/>
              <w:rPr>
                <w:sz w:val="20"/>
                <w:szCs w:val="20"/>
                <w:color w:val="auto"/>
              </w:rPr>
            </w:pPr>
            <w:r>
              <w:rPr>
                <w:rFonts w:ascii="Arial" w:cs="Arial" w:eastAsia="Arial" w:hAnsi="Arial"/>
                <w:sz w:val="13"/>
                <w:szCs w:val="13"/>
                <w:b w:val="1"/>
                <w:bCs w:val="1"/>
                <w:color w:val="auto"/>
              </w:rPr>
              <w:t>The New York Stock Exchange</w:t>
            </w:r>
          </w:p>
        </w:tc>
      </w:tr>
      <w:tr>
        <w:trPr>
          <w:trHeight w:val="165"/>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2"/>
        </w:trPr>
        <w:tc>
          <w:tcPr>
            <w:tcW w:w="5860" w:type="dxa"/>
            <w:vAlign w:val="bottom"/>
            <w:gridSpan w:val="2"/>
          </w:tcPr>
          <w:p>
            <w:pPr>
              <w:spacing w:after="0" w:line="132"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740" w:type="dxa"/>
            <w:vAlign w:val="bottom"/>
            <w:gridSpan w:val="3"/>
          </w:tcPr>
          <w:p>
            <w:pPr>
              <w:ind w:left="100"/>
              <w:spacing w:after="0" w:line="132" w:lineRule="exact"/>
              <w:rPr>
                <w:sz w:val="20"/>
                <w:szCs w:val="20"/>
                <w:color w:val="auto"/>
              </w:rPr>
            </w:pPr>
            <w:r>
              <w:rPr>
                <w:rFonts w:ascii="Arial" w:cs="Arial" w:eastAsia="Arial" w:hAnsi="Arial"/>
                <w:sz w:val="13"/>
                <w:szCs w:val="13"/>
                <w:b w:val="1"/>
                <w:bCs w:val="1"/>
                <w:color w:val="auto"/>
              </w:rPr>
              <w:t>JPM PR J</w:t>
            </w:r>
          </w:p>
        </w:tc>
        <w:tc>
          <w:tcPr>
            <w:tcW w:w="3200" w:type="dxa"/>
            <w:vAlign w:val="bottom"/>
            <w:gridSpan w:val="2"/>
          </w:tcPr>
          <w:p>
            <w:pPr>
              <w:ind w:left="540"/>
              <w:spacing w:after="0" w:line="132" w:lineRule="exact"/>
              <w:rPr>
                <w:sz w:val="20"/>
                <w:szCs w:val="20"/>
                <w:color w:val="auto"/>
              </w:rPr>
            </w:pPr>
            <w:r>
              <w:rPr>
                <w:rFonts w:ascii="Arial" w:cs="Arial" w:eastAsia="Arial" w:hAnsi="Arial"/>
                <w:sz w:val="13"/>
                <w:szCs w:val="13"/>
                <w:b w:val="1"/>
                <w:bCs w:val="1"/>
                <w:color w:val="auto"/>
              </w:rPr>
              <w:t>The New York Stock Exchange</w:t>
            </w:r>
          </w:p>
        </w:tc>
      </w:tr>
      <w:tr>
        <w:trPr>
          <w:trHeight w:val="165"/>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75"/>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Alerian MLP Index ETNs due May 24, 2024</w:t>
            </w:r>
          </w:p>
        </w:tc>
        <w:tc>
          <w:tcPr>
            <w:tcW w:w="1740" w:type="dxa"/>
            <w:vAlign w:val="bottom"/>
            <w:gridSpan w:val="3"/>
          </w:tcPr>
          <w:p>
            <w:pPr>
              <w:ind w:left="100"/>
              <w:spacing w:after="0"/>
              <w:rPr>
                <w:sz w:val="20"/>
                <w:szCs w:val="20"/>
                <w:color w:val="auto"/>
              </w:rPr>
            </w:pPr>
            <w:r>
              <w:rPr>
                <w:rFonts w:ascii="Arial" w:cs="Arial" w:eastAsia="Arial" w:hAnsi="Arial"/>
                <w:sz w:val="13"/>
                <w:szCs w:val="13"/>
                <w:b w:val="1"/>
                <w:bCs w:val="1"/>
                <w:color w:val="auto"/>
              </w:rPr>
              <w:t>AMJ</w:t>
            </w:r>
          </w:p>
        </w:tc>
        <w:tc>
          <w:tcPr>
            <w:tcW w:w="3200" w:type="dxa"/>
            <w:vAlign w:val="bottom"/>
            <w:gridSpan w:val="2"/>
          </w:tcPr>
          <w:p>
            <w:pPr>
              <w:ind w:left="540"/>
              <w:spacing w:after="0"/>
              <w:rPr>
                <w:sz w:val="20"/>
                <w:szCs w:val="20"/>
                <w:color w:val="auto"/>
              </w:rPr>
            </w:pPr>
            <w:r>
              <w:rPr>
                <w:rFonts w:ascii="Arial" w:cs="Arial" w:eastAsia="Arial" w:hAnsi="Arial"/>
                <w:sz w:val="13"/>
                <w:szCs w:val="13"/>
                <w:b w:val="1"/>
                <w:bCs w:val="1"/>
                <w:color w:val="auto"/>
              </w:rPr>
              <w:t>NYSE Arca, Inc.</w:t>
            </w:r>
          </w:p>
        </w:tc>
      </w:tr>
      <w:tr>
        <w:trPr>
          <w:trHeight w:val="132"/>
        </w:trPr>
        <w:tc>
          <w:tcPr>
            <w:tcW w:w="5860" w:type="dxa"/>
            <w:vAlign w:val="bottom"/>
            <w:gridSpan w:val="2"/>
          </w:tcPr>
          <w:p>
            <w:pPr>
              <w:spacing w:after="0" w:line="132" w:lineRule="exact"/>
              <w:rPr>
                <w:sz w:val="20"/>
                <w:szCs w:val="20"/>
                <w:color w:val="auto"/>
              </w:rPr>
            </w:pPr>
            <w:r>
              <w:rPr>
                <w:rFonts w:ascii="Arial" w:cs="Arial" w:eastAsia="Arial" w:hAnsi="Arial"/>
                <w:sz w:val="13"/>
                <w:szCs w:val="13"/>
                <w:b w:val="1"/>
                <w:bCs w:val="1"/>
                <w:color w:val="auto"/>
                <w:w w:val="98"/>
              </w:rPr>
              <w:t>Guarantee of Callable Step-Up Fixed Rate Notes due April 26, 2028 of JPMorgan Chase Financial</w:t>
            </w:r>
          </w:p>
        </w:tc>
        <w:tc>
          <w:tcPr>
            <w:tcW w:w="1740" w:type="dxa"/>
            <w:vAlign w:val="bottom"/>
            <w:gridSpan w:val="3"/>
          </w:tcPr>
          <w:p>
            <w:pPr>
              <w:ind w:left="100"/>
              <w:spacing w:after="0" w:line="132" w:lineRule="exact"/>
              <w:rPr>
                <w:sz w:val="20"/>
                <w:szCs w:val="20"/>
                <w:color w:val="auto"/>
              </w:rPr>
            </w:pPr>
            <w:r>
              <w:rPr>
                <w:rFonts w:ascii="Arial" w:cs="Arial" w:eastAsia="Arial" w:hAnsi="Arial"/>
                <w:sz w:val="13"/>
                <w:szCs w:val="13"/>
                <w:b w:val="1"/>
                <w:bCs w:val="1"/>
                <w:color w:val="auto"/>
              </w:rPr>
              <w:t>JPM/28</w:t>
            </w:r>
          </w:p>
        </w:tc>
        <w:tc>
          <w:tcPr>
            <w:tcW w:w="3200" w:type="dxa"/>
            <w:vAlign w:val="bottom"/>
            <w:gridSpan w:val="2"/>
          </w:tcPr>
          <w:p>
            <w:pPr>
              <w:ind w:left="540"/>
              <w:spacing w:after="0" w:line="132" w:lineRule="exact"/>
              <w:rPr>
                <w:sz w:val="20"/>
                <w:szCs w:val="20"/>
                <w:color w:val="auto"/>
              </w:rPr>
            </w:pPr>
            <w:r>
              <w:rPr>
                <w:rFonts w:ascii="Arial" w:cs="Arial" w:eastAsia="Arial" w:hAnsi="Arial"/>
                <w:sz w:val="13"/>
                <w:szCs w:val="13"/>
                <w:b w:val="1"/>
                <w:bCs w:val="1"/>
                <w:color w:val="auto"/>
              </w:rPr>
              <w:t>The New York Stock Exchange</w:t>
            </w:r>
          </w:p>
        </w:tc>
      </w:tr>
      <w:tr>
        <w:trPr>
          <w:trHeight w:val="178"/>
        </w:trPr>
        <w:tc>
          <w:tcPr>
            <w:tcW w:w="586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Company LLC</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tcPr>
          <w:p>
            <w:pPr>
              <w:spacing w:after="0"/>
              <w:rPr>
                <w:sz w:val="15"/>
                <w:szCs w:val="15"/>
                <w:color w:val="auto"/>
              </w:rPr>
            </w:pPr>
          </w:p>
        </w:tc>
      </w:tr>
    </w:tbl>
    <w:p>
      <w:pPr>
        <w:spacing w:after="0" w:line="119" w:lineRule="exact"/>
        <w:rPr>
          <w:sz w:val="24"/>
          <w:szCs w:val="24"/>
          <w:color w:val="auto"/>
        </w:rPr>
      </w:pPr>
    </w:p>
    <w:p>
      <w:pPr>
        <w:spacing w:after="0" w:line="26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74" w:lineRule="exact"/>
        <w:rPr>
          <w:sz w:val="24"/>
          <w:szCs w:val="24"/>
          <w:color w:val="auto"/>
        </w:rPr>
      </w:pPr>
    </w:p>
    <w:p>
      <w:pPr>
        <w:ind w:right="12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92" w:right="519" w:bottom="1440" w:gutter="0" w:footer="0" w:header="0"/>
        </w:sectPr>
      </w:pPr>
    </w:p>
    <w:bookmarkStart w:id="1" w:name="page2"/>
    <w:bookmarkEnd w:id="1"/>
    <w:p>
      <w:pPr>
        <w:ind w:right="580"/>
        <w:spacing w:after="0" w:line="287" w:lineRule="auto"/>
        <w:rPr>
          <w:sz w:val="20"/>
          <w:szCs w:val="20"/>
          <w:color w:val="auto"/>
        </w:rPr>
      </w:pPr>
      <w:r>
        <w:rPr>
          <w:rFonts w:ascii="Arial" w:cs="Arial" w:eastAsia="Arial" w:hAnsi="Arial"/>
          <w:sz w:val="18"/>
          <w:szCs w:val="18"/>
          <w:b w:val="1"/>
          <w:bCs w:val="1"/>
          <w:color w:val="auto"/>
        </w:rPr>
        <w:t>Item 5.02(e) Departure of Directors or Certain Officers; Election of Directors; Appointment of Certain Officers; Compensation Arrangements of Certain Officers.</w:t>
      </w:r>
    </w:p>
    <w:p>
      <w:pPr>
        <w:spacing w:after="0" w:line="209"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JPMorgan Chase &amp; Co. (the “Firm”) announced that the independent members of the Board of Directors (the “Board”) approved the total compensation for 2020 for Mr. James Dimon, CEO, in the amount of $31,500,000, which is unchanged from last year. Mr. Dimon’s total compensation includes an annual base salary of $1,500,000 and performance-based variable incentive compensation of $30,000,000. $5,000,000 of the variable incentive compensation will be delivered in cash and the remaining $25,000,000 will be delivered in the form of Performance Share Units ("PSUs"). The amounts of base salary, cash incentive, and PSUs remain unchanged from last year. The key features of the PSU program are also consistent with last year, including the financial metric (return on tangible common equity</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 "ROTCE") with absolute and relative performance goals, payout levels, vesting and hold requirements, as well as clawback and recovery provisions</w:t>
      </w:r>
      <w:r>
        <w:rPr>
          <w:rFonts w:ascii="Arial" w:cs="Arial" w:eastAsia="Arial" w:hAnsi="Arial"/>
          <w:sz w:val="22"/>
          <w:szCs w:val="22"/>
          <w:color w:val="auto"/>
          <w:vertAlign w:val="superscript"/>
        </w:rPr>
        <w:t>2</w:t>
      </w:r>
      <w:r>
        <w:rPr>
          <w:rFonts w:ascii="Arial" w:cs="Arial" w:eastAsia="Arial" w:hAnsi="Arial"/>
          <w:sz w:val="17"/>
          <w:szCs w:val="17"/>
          <w:color w:val="auto"/>
        </w:rPr>
        <w:t>.</w:t>
      </w:r>
    </w:p>
    <w:p>
      <w:pPr>
        <w:spacing w:after="0" w:line="12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determining Mr. Dimon's compensation, the independent members of the Board took into account the Firm's strong performance in 2020 and over the long term, across four broad dimensions: Business Results; Risk, Controls &amp; Conduct; Client/Customer/Stakeholder; and Teamwork &amp; Leadership.</w:t>
      </w:r>
    </w:p>
    <w:p>
      <w:pPr>
        <w:spacing w:after="0" w:line="191"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Amid the unprecedented health and economic consequences of COVID-19, under Mr. Dimon's stewardship, the Firm continued to provide uninterrupted service to its clients and customers, while supporting and providing a safe work environment for its employees and helping those communities hit hard by the COVID-19 pandemic. In 2020 the Firm reported record revenue of $ 122.9 billion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net income of $29.1 billion, or $8.88 per share, with ROTCE of 14%, while adding $ 12.2 billion of credit reserves during the year to absorb potential future losses and returning $16.3 billion of capital to shareholders. The Firm maintained its $0.90 per share quarterly dividend and suspended net share repurchases from March 15, 2020 through the end of the year to retain capital and reinforce its fortress balance sheet.</w:t>
      </w:r>
    </w:p>
    <w:p>
      <w:pPr>
        <w:spacing w:after="0" w:line="20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Firm ended the year with a common equity Tier 1 ratio of 13.1% (vs. 12.4% at the beginning of the year), capital above $200 billion and $1.4 trillion of cash and marketable securities, providing it with meaningful capacity to support clients and further invest in its business and communities. During 2020 the Firm raised over $2 trillion</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credit and capital for its consumer and institutional clients around the world, which includes nonprofits and U.S. government entities, including states, municipalities, hospitals and universities. The Firm also improved its digital capabilities, made acquisitions that will enhance its product offerings and deepen its engagement with its customers, opened branches in new markets and received approval to open branches in 10 additional states which would allow it to be the first bank to operate branches in all of the lower 48 U.S. states. The Firm continued to invest in its communities – for example, through its initial commitments to support those most impacted by the pandemic and its longer-term commitment to advance racial equality and promote economic growth.</w:t>
      </w:r>
    </w:p>
    <w:p>
      <w:pPr>
        <w:spacing w:after="0" w:line="216" w:lineRule="exact"/>
        <w:rPr>
          <w:sz w:val="20"/>
          <w:szCs w:val="20"/>
          <w:color w:val="auto"/>
        </w:rPr>
      </w:pPr>
    </w:p>
    <w:p>
      <w:pPr>
        <w:jc w:val="both"/>
        <w:ind w:right="40" w:firstLine="8"/>
        <w:spacing w:after="0" w:line="223" w:lineRule="auto"/>
        <w:tabs>
          <w:tab w:leader="none" w:pos="92"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Revenue reported is on a managed basis. Managed revenue and ROTCE are non-GAAP financial measures. For further discussion, see notes (a) and (b) on page 6 of Exhibit 99.1 to the Firm’s Current Report on Form 8-K dated January 15, 2021, which has been filed with the U.S. Securities and Exchange Commission, containing the Firm's earnings press release for the quarter ended December 31, 2020.</w:t>
      </w:r>
    </w:p>
    <w:p>
      <w:pPr>
        <w:spacing w:after="0" w:line="1" w:lineRule="exact"/>
        <w:rPr>
          <w:rFonts w:ascii="Arial" w:cs="Arial" w:eastAsia="Arial" w:hAnsi="Arial"/>
          <w:sz w:val="19"/>
          <w:szCs w:val="19"/>
          <w:color w:val="auto"/>
          <w:vertAlign w:val="superscript"/>
        </w:rPr>
      </w:pPr>
    </w:p>
    <w:p>
      <w:pPr>
        <w:ind w:right="80"/>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Equity incentives are subject to the JPMorgan Chase Bonus Recoupment Policy which applies in the event of a material restatement of the Firm's financial results. In addition, all equity awards granted in 2021 contain recapture provisions that enable the Firm to cancel outstanding awards and/or recover the value of certain stock distributed under the award in specified circumstances. In addition to recapture provisions, portions of equity awards awarded to the CEO are also subject to additional Protection-based Vesting provisions under which awards may be cancelled as determined by the Compensation &amp; Management Development Committee of the Board of Directors and ratified by the Board of Directors.</w:t>
      </w:r>
    </w:p>
    <w:p>
      <w:pPr>
        <w:spacing w:after="0" w:line="120"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Credit provided to clients represents new and renewed credit, including loans and commitments.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08"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w:t>
      </w:r>
    </w:p>
    <w:p>
      <w:pPr>
        <w:sectPr>
          <w:pgSz w:w="11900" w:h="16838" w:orient="portrait"/>
          <w:cols w:equalWidth="0" w:num="1">
            <w:col w:w="11240"/>
          </w:cols>
          <w:pgMar w:left="320" w:top="884"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28575</wp:posOffset>
            </wp:positionV>
            <wp:extent cx="942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101</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5366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167" w:lineRule="exact"/>
        <w:rPr>
          <w:sz w:val="20"/>
          <w:szCs w:val="20"/>
          <w:color w:val="auto"/>
        </w:rPr>
      </w:pPr>
    </w:p>
    <w:p>
      <w:pPr>
        <w:ind w:right="980"/>
        <w:spacing w:after="0" w:line="242" w:lineRule="auto"/>
        <w:rPr>
          <w:sz w:val="20"/>
          <w:szCs w:val="20"/>
          <w:color w:val="auto"/>
        </w:rPr>
      </w:pPr>
      <w:r>
        <w:rPr>
          <w:rFonts w:ascii="Arial" w:cs="Arial" w:eastAsia="Arial" w:hAnsi="Arial"/>
          <w:sz w:val="18"/>
          <w:szCs w:val="18"/>
          <w:color w:val="auto"/>
        </w:rPr>
        <w:t>Pursuant to Rule 406 of Regulation S-T, the cover page is formatted in Inline XBRL (Inline eXtensible Business Reporting Language).</w:t>
      </w:r>
    </w:p>
    <w:p>
      <w:pPr>
        <w:spacing w:after="0" w:line="1" w:lineRule="exact"/>
        <w:rPr>
          <w:sz w:val="20"/>
          <w:szCs w:val="20"/>
          <w:color w:val="auto"/>
        </w:rPr>
      </w:pPr>
    </w:p>
    <w:p>
      <w:pPr>
        <w:ind w:right="940"/>
        <w:spacing w:after="0" w:line="234" w:lineRule="auto"/>
        <w:rPr>
          <w:sz w:val="20"/>
          <w:szCs w:val="20"/>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sz w:val="20"/>
          <w:szCs w:val="20"/>
          <w:color w:val="auto"/>
        </w:rPr>
      </w:pPr>
    </w:p>
    <w:p>
      <w:pPr>
        <w:sectPr>
          <w:pgSz w:w="11900" w:h="16838" w:orient="portrait"/>
          <w:cols w:equalWidth="0" w:num="2">
            <w:col w:w="1780" w:space="460"/>
            <w:col w:w="9000"/>
          </w:cols>
          <w:pgMar w:left="320" w:top="8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63" w:lineRule="exact"/>
        <w:rPr>
          <w:sz w:val="20"/>
          <w:szCs w:val="20"/>
          <w:color w:val="auto"/>
        </w:rPr>
      </w:pPr>
    </w:p>
    <w:tbl>
      <w:tblPr>
        <w:tblLayout w:type="fixed"/>
        <w:tblInd w:w="580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36"/>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90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Molly Carpenter</w:t>
            </w:r>
          </w:p>
        </w:tc>
      </w:tr>
      <w:tr>
        <w:trPr>
          <w:trHeight w:val="214"/>
        </w:trPr>
        <w:tc>
          <w:tcPr>
            <w:tcW w:w="5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Molly Carpenter</w:t>
            </w:r>
          </w:p>
        </w:tc>
      </w:tr>
      <w:tr>
        <w:trPr>
          <w:trHeight w:val="243"/>
        </w:trPr>
        <w:tc>
          <w:tcPr>
            <w:tcW w:w="500" w:type="dxa"/>
            <w:vAlign w:val="bottom"/>
          </w:tcPr>
          <w:p>
            <w:pPr>
              <w:spacing w:after="0"/>
              <w:rPr>
                <w:sz w:val="21"/>
                <w:szCs w:val="21"/>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January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2021-01-21T15:34:29Z</dcterms:created>
  <dcterms:modified xsi:type="dcterms:W3CDTF">2021-01-21T15:34:29Z</dcterms:modified>
</cp:coreProperties>
</file>