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color w:val="808080"/>
        </w:rPr>
        <w:t>JPMorgan Chase Financial Company LLC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4"/>
          <w:szCs w:val="14"/>
          <w:color w:val="808080"/>
        </w:rPr>
        <w:t>Free Writing Prospectus Filed Pursuant to Rule 433</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color w:val="808080"/>
        </w:rPr>
        <w:t>Registration Statement Nos. 333-293684 and 333-293684-01</w:t>
      </w:r>
    </w:p>
    <w:p>
      <w:pPr>
        <w:jc w:val="right"/>
        <w:spacing w:after="0" w:line="229" w:lineRule="auto"/>
        <w:rPr>
          <w:sz w:val="20"/>
          <w:szCs w:val="20"/>
          <w:color w:val="auto"/>
        </w:rPr>
      </w:pPr>
      <w:r>
        <w:rPr>
          <w:rFonts w:ascii="Arial" w:cs="Arial" w:eastAsia="Arial" w:hAnsi="Arial"/>
          <w:sz w:val="14"/>
          <w:szCs w:val="14"/>
          <w:color w:val="808080"/>
        </w:rPr>
        <w:t>Dated June 15, 2026</w:t>
      </w:r>
    </w:p>
    <w:p>
      <w:pPr>
        <w:spacing w:after="0" w:line="1" w:lineRule="exact"/>
        <w:rPr>
          <w:sz w:val="24"/>
          <w:szCs w:val="24"/>
          <w:color w:val="auto"/>
        </w:rPr>
      </w:pPr>
    </w:p>
    <w:p>
      <w:pPr>
        <w:spacing w:after="0"/>
        <w:rPr>
          <w:sz w:val="20"/>
          <w:szCs w:val="20"/>
          <w:color w:val="auto"/>
        </w:rPr>
      </w:pPr>
      <w:r>
        <w:rPr>
          <w:rFonts w:ascii="Arial" w:cs="Arial" w:eastAsia="Arial" w:hAnsi="Arial"/>
          <w:sz w:val="29"/>
          <w:szCs w:val="29"/>
          <w:color w:val="296DC1"/>
        </w:rPr>
        <w:t>3-Year RTY/SPX/SX5E Contingent Income Auto-Callable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80" w:right="640"/>
        <w:spacing w:after="0" w:line="273" w:lineRule="auto"/>
        <w:rPr>
          <w:sz w:val="20"/>
          <w:szCs w:val="20"/>
          <w:color w:val="auto"/>
        </w:rPr>
      </w:pPr>
      <w:r>
        <w:rPr>
          <w:rFonts w:ascii="Arial" w:cs="Arial" w:eastAsia="Arial" w:hAnsi="Arial"/>
          <w:sz w:val="12"/>
          <w:szCs w:val="12"/>
          <w:b w:val="1"/>
          <w:bCs w:val="1"/>
          <w:i w:val="1"/>
          <w:iCs w:val="1"/>
          <w:color w:val="auto"/>
        </w:rPr>
        <w:t>This document provides a summary of the terms of the securities.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sectPr>
          <w:pgSz w:w="11900" w:h="16838" w:orient="portrait"/>
          <w:cols w:equalWidth="0" w:num="1">
            <w:col w:w="11240"/>
          </w:cols>
          <w:pgMar w:left="320" w:top="219" w:right="339" w:bottom="1440" w:gutter="0" w:footer="0" w:header="0"/>
        </w:sectPr>
      </w:pPr>
    </w:p>
    <w:p>
      <w:pPr>
        <w:spacing w:after="0" w:line="196"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FFFFFF"/>
        </w:rPr>
        <w:t>SUMMARY TERMS</w:t>
      </w:r>
    </w:p>
    <w:p>
      <w:pPr>
        <w:spacing w:after="0" w:line="55"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Issuer:</w:t>
      </w:r>
    </w:p>
    <w:p>
      <w:pPr>
        <w:spacing w:after="0" w:line="163"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Guarantor:</w:t>
      </w:r>
    </w:p>
    <w:p>
      <w:pPr>
        <w:spacing w:after="0" w:line="15"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Underlying indices:</w:t>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Early redemption:</w:t>
      </w:r>
    </w:p>
    <w:p>
      <w:pPr>
        <w:spacing w:after="0" w:line="20" w:lineRule="exact"/>
        <w:rPr>
          <w:sz w:val="24"/>
          <w:szCs w:val="24"/>
          <w:color w:val="auto"/>
        </w:rPr>
      </w:pPr>
      <w:r>
        <w:rPr>
          <w:sz w:val="24"/>
          <w:szCs w:val="24"/>
          <w:color w:val="auto"/>
        </w:rPr>
        <w:br w:type="column"/>
      </w:r>
    </w:p>
    <w:p>
      <w:pPr>
        <w:spacing w:after="0" w:line="392" w:lineRule="exact"/>
        <w:rPr>
          <w:sz w:val="24"/>
          <w:szCs w:val="24"/>
          <w:color w:val="auto"/>
        </w:rPr>
      </w:pPr>
    </w:p>
    <w:p>
      <w:pPr>
        <w:ind w:right="200"/>
        <w:spacing w:after="0" w:line="251" w:lineRule="auto"/>
        <w:rPr>
          <w:sz w:val="20"/>
          <w:szCs w:val="20"/>
          <w:color w:val="auto"/>
        </w:rPr>
      </w:pPr>
      <w:r>
        <w:rPr>
          <w:rFonts w:ascii="Arial" w:cs="Arial" w:eastAsia="Arial" w:hAnsi="Arial"/>
          <w:sz w:val="14"/>
          <w:szCs w:val="14"/>
          <w:color w:val="auto"/>
        </w:rPr>
        <w:t>JPMorgan Chase Financial Company LLC (“JPMorgan Financial”)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-1086485</wp:posOffset>
            </wp:positionH>
            <wp:positionV relativeFrom="paragraph">
              <wp:posOffset>-379095</wp:posOffset>
            </wp:positionV>
            <wp:extent cx="348869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88690" cy="17145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-1905</wp:posOffset>
            </wp:positionV>
            <wp:extent cx="3488690" cy="102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88690" cy="102870"/>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4"/>
          <w:szCs w:val="14"/>
          <w:color w:val="auto"/>
        </w:rPr>
        <w:t>JPMorgan Chase &amp; Co.</w:t>
      </w:r>
    </w:p>
    <w:p>
      <w:pPr>
        <w:spacing w:after="0" w:line="188" w:lineRule="auto"/>
        <w:rPr>
          <w:sz w:val="20"/>
          <w:szCs w:val="20"/>
          <w:color w:val="auto"/>
        </w:rPr>
      </w:pPr>
      <w:r>
        <w:rPr>
          <w:rFonts w:ascii="Arial" w:cs="Arial" w:eastAsia="Arial" w:hAnsi="Arial"/>
          <w:sz w:val="13"/>
          <w:szCs w:val="13"/>
          <w:color w:val="auto"/>
        </w:rPr>
        <w:t>Russell 2000</w:t>
      </w:r>
      <w:r>
        <w:rPr>
          <w:rFonts w:ascii="Arial" w:cs="Arial" w:eastAsia="Arial" w:hAnsi="Arial"/>
          <w:sz w:val="21"/>
          <w:szCs w:val="21"/>
          <w:color w:val="auto"/>
          <w:vertAlign w:val="superscript"/>
        </w:rPr>
        <w:t>®</w:t>
      </w:r>
      <w:r>
        <w:rPr>
          <w:rFonts w:ascii="Arial" w:cs="Arial" w:eastAsia="Arial" w:hAnsi="Arial"/>
          <w:sz w:val="13"/>
          <w:szCs w:val="13"/>
          <w:color w:val="auto"/>
        </w:rPr>
        <w:t xml:space="preserve"> Index (Bloomberg ticker: RTY Index) (the</w:t>
      </w:r>
    </w:p>
    <w:p>
      <w:pPr>
        <w:spacing w:after="0" w:line="188" w:lineRule="auto"/>
        <w:rPr>
          <w:sz w:val="20"/>
          <w:szCs w:val="20"/>
          <w:color w:val="auto"/>
        </w:rPr>
      </w:pPr>
      <w:r>
        <w:rPr>
          <w:rFonts w:ascii="Arial" w:cs="Arial" w:eastAsia="Arial" w:hAnsi="Arial"/>
          <w:sz w:val="13"/>
          <w:szCs w:val="13"/>
          <w:color w:val="auto"/>
        </w:rPr>
        <w:t>“RTY Index”), S&amp;P 500</w:t>
      </w:r>
      <w:r>
        <w:rPr>
          <w:rFonts w:ascii="Arial" w:cs="Arial" w:eastAsia="Arial" w:hAnsi="Arial"/>
          <w:sz w:val="21"/>
          <w:szCs w:val="21"/>
          <w:color w:val="auto"/>
          <w:vertAlign w:val="superscript"/>
        </w:rPr>
        <w:t>®</w:t>
      </w:r>
      <w:r>
        <w:rPr>
          <w:rFonts w:ascii="Arial" w:cs="Arial" w:eastAsia="Arial" w:hAnsi="Arial"/>
          <w:sz w:val="13"/>
          <w:szCs w:val="13"/>
          <w:color w:val="auto"/>
        </w:rPr>
        <w:t xml:space="preserve"> Index (Bloomberg ticker: SPX</w:t>
      </w:r>
    </w:p>
    <w:p>
      <w:pPr>
        <w:ind w:right="180"/>
        <w:spacing w:after="0" w:line="217" w:lineRule="auto"/>
        <w:rPr>
          <w:sz w:val="20"/>
          <w:szCs w:val="20"/>
          <w:color w:val="auto"/>
        </w:rPr>
      </w:pPr>
      <w:r>
        <w:rPr>
          <w:rFonts w:ascii="Arial" w:cs="Arial" w:eastAsia="Arial" w:hAnsi="Arial"/>
          <w:sz w:val="14"/>
          <w:szCs w:val="14"/>
          <w:color w:val="auto"/>
        </w:rPr>
        <w:t>Index) (the “SPX Index”) and EURO STOXX 50</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Index (Bloomberg ticker: SX5E Index) (the “SX5E Index”) (each, an “underlying index”)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-1086485</wp:posOffset>
            </wp:positionH>
            <wp:positionV relativeFrom="paragraph">
              <wp:posOffset>-10160</wp:posOffset>
            </wp:positionV>
            <wp:extent cx="3488690" cy="1294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88690" cy="1294130"/>
                    </a:xfrm>
                    <a:prstGeom prst="rect">
                      <a:avLst/>
                    </a:prstGeom>
                    <a:noFill/>
                  </pic:spPr>
                </pic:pic>
              </a:graphicData>
            </a:graphic>
          </wp:anchor>
        </w:drawing>
      </w:r>
    </w:p>
    <w:p>
      <w:pPr>
        <w:spacing w:after="0" w:line="244" w:lineRule="auto"/>
        <w:rPr>
          <w:sz w:val="20"/>
          <w:szCs w:val="20"/>
          <w:color w:val="auto"/>
        </w:rPr>
      </w:pPr>
      <w:r>
        <w:rPr>
          <w:rFonts w:ascii="Arial" w:cs="Arial" w:eastAsia="Arial" w:hAnsi="Arial"/>
          <w:sz w:val="14"/>
          <w:szCs w:val="14"/>
          <w:color w:val="auto"/>
        </w:rPr>
        <w:t>If, on any of the determination dates (other than the final determination date), the closing level of each underlying index is greater than or equal to its initial index value, the securities will be automatically redeemed for an early redemption payment on the first contingent payment date immediately following the related determination date. No further payments will be made on the securities once they have been redeemed.</w:t>
      </w:r>
    </w:p>
    <w:p>
      <w:pPr>
        <w:spacing w:after="0" w:line="13" w:lineRule="exact"/>
        <w:rPr>
          <w:sz w:val="24"/>
          <w:szCs w:val="24"/>
          <w:color w:val="auto"/>
        </w:rPr>
      </w:pPr>
    </w:p>
    <w:p>
      <w:pPr>
        <w:spacing w:after="0" w:line="244" w:lineRule="auto"/>
        <w:rPr>
          <w:sz w:val="20"/>
          <w:szCs w:val="20"/>
          <w:color w:val="auto"/>
        </w:rPr>
      </w:pPr>
      <w:r>
        <w:rPr>
          <w:rFonts w:ascii="Arial" w:cs="Arial" w:eastAsia="Arial" w:hAnsi="Arial"/>
          <w:sz w:val="14"/>
          <w:szCs w:val="14"/>
          <w:b w:val="1"/>
          <w:bCs w:val="1"/>
          <w:color w:val="auto"/>
        </w:rPr>
        <w:t>The securities will not be redeemed early on any contingent payment date if the closing level of any underlying index is below its initial index value on the related determination date.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200" w:type="dxa"/>
            <w:vAlign w:val="bottom"/>
          </w:tcPr>
          <w:p>
            <w:pPr>
              <w:ind w:left="100"/>
              <w:spacing w:after="0"/>
              <w:rPr>
                <w:sz w:val="20"/>
                <w:szCs w:val="20"/>
                <w:color w:val="auto"/>
              </w:rPr>
            </w:pPr>
            <w:r>
              <w:rPr>
                <w:rFonts w:ascii="Arial" w:cs="Arial" w:eastAsia="Arial" w:hAnsi="Arial"/>
                <w:sz w:val="13"/>
                <w:szCs w:val="13"/>
                <w:b w:val="1"/>
                <w:bCs w:val="1"/>
                <w:color w:val="296DC1"/>
              </w:rPr>
              <w:t>Initial index</w:t>
            </w:r>
          </w:p>
        </w:tc>
        <w:tc>
          <w:tcPr>
            <w:tcW w:w="4280" w:type="dxa"/>
            <w:vAlign w:val="bottom"/>
          </w:tcPr>
          <w:p>
            <w:pPr>
              <w:ind w:left="80"/>
              <w:spacing w:after="0"/>
              <w:rPr>
                <w:sz w:val="20"/>
                <w:szCs w:val="20"/>
                <w:color w:val="auto"/>
              </w:rPr>
            </w:pPr>
            <w:r>
              <w:rPr>
                <w:rFonts w:ascii="Arial" w:cs="Arial" w:eastAsia="Arial" w:hAnsi="Arial"/>
                <w:sz w:val="13"/>
                <w:szCs w:val="13"/>
                <w:color w:val="auto"/>
              </w:rPr>
              <w:t>With respect to each underlying index, its closing level on the pricing</w:t>
            </w:r>
          </w:p>
        </w:tc>
      </w:tr>
      <w:tr>
        <w:trPr>
          <w:trHeight w:val="188"/>
        </w:trPr>
        <w:tc>
          <w:tcPr>
            <w:tcW w:w="1200" w:type="dxa"/>
            <w:vAlign w:val="bottom"/>
          </w:tcPr>
          <w:p>
            <w:pPr>
              <w:ind w:left="100"/>
              <w:spacing w:after="0"/>
              <w:rPr>
                <w:sz w:val="20"/>
                <w:szCs w:val="20"/>
                <w:color w:val="auto"/>
              </w:rPr>
            </w:pPr>
            <w:r>
              <w:rPr>
                <w:rFonts w:ascii="Arial" w:cs="Arial" w:eastAsia="Arial" w:hAnsi="Arial"/>
                <w:sz w:val="13"/>
                <w:szCs w:val="13"/>
                <w:b w:val="1"/>
                <w:bCs w:val="1"/>
                <w:color w:val="296DC1"/>
              </w:rPr>
              <w:t>value:</w:t>
            </w:r>
          </w:p>
        </w:tc>
        <w:tc>
          <w:tcPr>
            <w:tcW w:w="4280" w:type="dxa"/>
            <w:vAlign w:val="bottom"/>
          </w:tcPr>
          <w:p>
            <w:pPr>
              <w:ind w:left="80"/>
              <w:spacing w:after="0"/>
              <w:rPr>
                <w:sz w:val="20"/>
                <w:szCs w:val="20"/>
                <w:color w:val="auto"/>
              </w:rPr>
            </w:pPr>
            <w:r>
              <w:rPr>
                <w:rFonts w:ascii="Arial" w:cs="Arial" w:eastAsia="Arial" w:hAnsi="Arial"/>
                <w:sz w:val="13"/>
                <w:szCs w:val="13"/>
                <w:color w:val="auto"/>
              </w:rPr>
              <w:t>date</w:t>
            </w:r>
          </w:p>
        </w:tc>
      </w:tr>
      <w:tr>
        <w:trPr>
          <w:trHeight w:val="149"/>
        </w:trPr>
        <w:tc>
          <w:tcPr>
            <w:tcW w:w="1200" w:type="dxa"/>
            <w:vAlign w:val="bottom"/>
            <w:shd w:val="clear" w:color="auto" w:fill="DCEBF4"/>
          </w:tcPr>
          <w:p>
            <w:pPr>
              <w:ind w:left="100"/>
              <w:spacing w:after="0"/>
              <w:rPr>
                <w:sz w:val="20"/>
                <w:szCs w:val="20"/>
                <w:color w:val="auto"/>
              </w:rPr>
            </w:pPr>
            <w:r>
              <w:rPr>
                <w:rFonts w:ascii="Arial" w:cs="Arial" w:eastAsia="Arial" w:hAnsi="Arial"/>
                <w:sz w:val="13"/>
                <w:szCs w:val="13"/>
                <w:b w:val="1"/>
                <w:bCs w:val="1"/>
                <w:color w:val="296DC1"/>
              </w:rPr>
              <w:t>Final index</w:t>
            </w:r>
          </w:p>
        </w:tc>
        <w:tc>
          <w:tcPr>
            <w:tcW w:w="4280" w:type="dxa"/>
            <w:vAlign w:val="bottom"/>
            <w:shd w:val="clear" w:color="auto" w:fill="DCEBF4"/>
          </w:tcPr>
          <w:p>
            <w:pPr>
              <w:ind w:left="80"/>
              <w:spacing w:after="0"/>
              <w:rPr>
                <w:sz w:val="20"/>
                <w:szCs w:val="20"/>
                <w:color w:val="auto"/>
              </w:rPr>
            </w:pPr>
            <w:r>
              <w:rPr>
                <w:rFonts w:ascii="Arial" w:cs="Arial" w:eastAsia="Arial" w:hAnsi="Arial"/>
                <w:sz w:val="13"/>
                <w:szCs w:val="13"/>
                <w:color w:val="auto"/>
              </w:rPr>
              <w:t>With respect to each underlying index, its closing level on the final</w:t>
            </w:r>
          </w:p>
        </w:tc>
      </w:tr>
      <w:tr>
        <w:trPr>
          <w:trHeight w:val="190"/>
        </w:trPr>
        <w:tc>
          <w:tcPr>
            <w:tcW w:w="1200" w:type="dxa"/>
            <w:vAlign w:val="bottom"/>
            <w:shd w:val="clear" w:color="auto" w:fill="DCEBF4"/>
          </w:tcPr>
          <w:p>
            <w:pPr>
              <w:ind w:left="100"/>
              <w:spacing w:after="0"/>
              <w:rPr>
                <w:sz w:val="20"/>
                <w:szCs w:val="20"/>
                <w:color w:val="auto"/>
              </w:rPr>
            </w:pPr>
            <w:r>
              <w:rPr>
                <w:rFonts w:ascii="Arial" w:cs="Arial" w:eastAsia="Arial" w:hAnsi="Arial"/>
                <w:sz w:val="13"/>
                <w:szCs w:val="13"/>
                <w:b w:val="1"/>
                <w:bCs w:val="1"/>
                <w:color w:val="296DC1"/>
              </w:rPr>
              <w:t>value:</w:t>
            </w:r>
          </w:p>
        </w:tc>
        <w:tc>
          <w:tcPr>
            <w:tcW w:w="4280" w:type="dxa"/>
            <w:vAlign w:val="bottom"/>
            <w:shd w:val="clear" w:color="auto" w:fill="DCEBF4"/>
          </w:tcPr>
          <w:p>
            <w:pPr>
              <w:ind w:left="80"/>
              <w:spacing w:after="0"/>
              <w:rPr>
                <w:sz w:val="20"/>
                <w:szCs w:val="20"/>
                <w:color w:val="auto"/>
              </w:rPr>
            </w:pPr>
            <w:r>
              <w:rPr>
                <w:rFonts w:ascii="Arial" w:cs="Arial" w:eastAsia="Arial" w:hAnsi="Arial"/>
                <w:sz w:val="13"/>
                <w:szCs w:val="13"/>
                <w:color w:val="auto"/>
              </w:rPr>
              <w:t>determination date</w:t>
            </w:r>
          </w:p>
        </w:tc>
      </w:tr>
      <w:tr>
        <w:trPr>
          <w:trHeight w:val="147"/>
        </w:trPr>
        <w:tc>
          <w:tcPr>
            <w:tcW w:w="1200" w:type="dxa"/>
            <w:vAlign w:val="bottom"/>
          </w:tcPr>
          <w:p>
            <w:pPr>
              <w:ind w:left="100"/>
              <w:spacing w:after="0" w:line="148" w:lineRule="exact"/>
              <w:rPr>
                <w:sz w:val="20"/>
                <w:szCs w:val="20"/>
                <w:color w:val="auto"/>
              </w:rPr>
            </w:pPr>
            <w:r>
              <w:rPr>
                <w:rFonts w:ascii="Arial" w:cs="Arial" w:eastAsia="Arial" w:hAnsi="Arial"/>
                <w:sz w:val="13"/>
                <w:szCs w:val="13"/>
                <w:b w:val="1"/>
                <w:bCs w:val="1"/>
                <w:color w:val="296DC1"/>
              </w:rPr>
              <w:t>Worst</w:t>
            </w:r>
          </w:p>
        </w:tc>
        <w:tc>
          <w:tcPr>
            <w:tcW w:w="4280" w:type="dxa"/>
            <w:vAlign w:val="bottom"/>
          </w:tcPr>
          <w:p>
            <w:pPr>
              <w:ind w:left="80"/>
              <w:spacing w:after="0" w:line="148" w:lineRule="exact"/>
              <w:rPr>
                <w:sz w:val="20"/>
                <w:szCs w:val="20"/>
                <w:color w:val="auto"/>
              </w:rPr>
            </w:pPr>
            <w:r>
              <w:rPr>
                <w:rFonts w:ascii="Arial" w:cs="Arial" w:eastAsia="Arial" w:hAnsi="Arial"/>
                <w:sz w:val="13"/>
                <w:szCs w:val="13"/>
                <w:color w:val="auto"/>
              </w:rPr>
              <w:t>The underlying index with the worst index performance factor</w:t>
            </w:r>
          </w:p>
        </w:tc>
      </w:tr>
      <w:tr>
        <w:trPr>
          <w:trHeight w:val="148"/>
        </w:trPr>
        <w:tc>
          <w:tcPr>
            <w:tcW w:w="1200" w:type="dxa"/>
            <w:vAlign w:val="bottom"/>
          </w:tcPr>
          <w:p>
            <w:pPr>
              <w:ind w:left="100"/>
              <w:spacing w:after="0"/>
              <w:rPr>
                <w:sz w:val="20"/>
                <w:szCs w:val="20"/>
                <w:color w:val="auto"/>
              </w:rPr>
            </w:pPr>
            <w:r>
              <w:rPr>
                <w:rFonts w:ascii="Arial" w:cs="Arial" w:eastAsia="Arial" w:hAnsi="Arial"/>
                <w:sz w:val="13"/>
                <w:szCs w:val="13"/>
                <w:b w:val="1"/>
                <w:bCs w:val="1"/>
                <w:color w:val="296DC1"/>
              </w:rPr>
              <w:t>performing</w:t>
            </w:r>
          </w:p>
        </w:tc>
        <w:tc>
          <w:tcPr>
            <w:tcW w:w="4280" w:type="dxa"/>
            <w:vAlign w:val="bottom"/>
          </w:tcPr>
          <w:p>
            <w:pPr>
              <w:spacing w:after="0"/>
              <w:rPr>
                <w:sz w:val="12"/>
                <w:szCs w:val="12"/>
                <w:color w:val="auto"/>
              </w:rPr>
            </w:pPr>
          </w:p>
        </w:tc>
      </w:tr>
      <w:tr>
        <w:trPr>
          <w:trHeight w:val="148"/>
        </w:trPr>
        <w:tc>
          <w:tcPr>
            <w:tcW w:w="1200" w:type="dxa"/>
            <w:vAlign w:val="bottom"/>
          </w:tcPr>
          <w:p>
            <w:pPr>
              <w:ind w:left="100"/>
              <w:spacing w:after="0"/>
              <w:rPr>
                <w:sz w:val="20"/>
                <w:szCs w:val="20"/>
                <w:color w:val="auto"/>
              </w:rPr>
            </w:pPr>
            <w:r>
              <w:rPr>
                <w:rFonts w:ascii="Arial" w:cs="Arial" w:eastAsia="Arial" w:hAnsi="Arial"/>
                <w:sz w:val="13"/>
                <w:szCs w:val="13"/>
                <w:b w:val="1"/>
                <w:bCs w:val="1"/>
                <w:color w:val="296DC1"/>
              </w:rPr>
              <w:t>underlying</w:t>
            </w:r>
          </w:p>
        </w:tc>
        <w:tc>
          <w:tcPr>
            <w:tcW w:w="4280" w:type="dxa"/>
            <w:vAlign w:val="bottom"/>
          </w:tcPr>
          <w:p>
            <w:pPr>
              <w:spacing w:after="0"/>
              <w:rPr>
                <w:sz w:val="12"/>
                <w:szCs w:val="12"/>
                <w:color w:val="auto"/>
              </w:rPr>
            </w:pPr>
          </w:p>
        </w:tc>
      </w:tr>
      <w:tr>
        <w:trPr>
          <w:trHeight w:val="188"/>
        </w:trPr>
        <w:tc>
          <w:tcPr>
            <w:tcW w:w="1200" w:type="dxa"/>
            <w:vAlign w:val="bottom"/>
          </w:tcPr>
          <w:p>
            <w:pPr>
              <w:ind w:left="100"/>
              <w:spacing w:after="0"/>
              <w:rPr>
                <w:sz w:val="20"/>
                <w:szCs w:val="20"/>
                <w:color w:val="auto"/>
              </w:rPr>
            </w:pPr>
            <w:r>
              <w:rPr>
                <w:rFonts w:ascii="Arial" w:cs="Arial" w:eastAsia="Arial" w:hAnsi="Arial"/>
                <w:sz w:val="13"/>
                <w:szCs w:val="13"/>
                <w:b w:val="1"/>
                <w:bCs w:val="1"/>
                <w:color w:val="296DC1"/>
              </w:rPr>
              <w:t>index:</w:t>
            </w:r>
          </w:p>
        </w:tc>
        <w:tc>
          <w:tcPr>
            <w:tcW w:w="4280" w:type="dxa"/>
            <w:vAlign w:val="bottom"/>
          </w:tcPr>
          <w:p>
            <w:pPr>
              <w:spacing w:after="0"/>
              <w:rPr>
                <w:sz w:val="16"/>
                <w:szCs w:val="16"/>
                <w:color w:val="auto"/>
              </w:rPr>
            </w:pPr>
          </w:p>
        </w:tc>
      </w:tr>
      <w:tr>
        <w:trPr>
          <w:trHeight w:val="149"/>
        </w:trPr>
        <w:tc>
          <w:tcPr>
            <w:tcW w:w="1200" w:type="dxa"/>
            <w:vAlign w:val="bottom"/>
            <w:shd w:val="clear" w:color="auto" w:fill="DCEBF4"/>
          </w:tcPr>
          <w:p>
            <w:pPr>
              <w:ind w:left="100"/>
              <w:spacing w:after="0"/>
              <w:rPr>
                <w:sz w:val="20"/>
                <w:szCs w:val="20"/>
                <w:color w:val="auto"/>
              </w:rPr>
            </w:pPr>
            <w:r>
              <w:rPr>
                <w:rFonts w:ascii="Arial" w:cs="Arial" w:eastAsia="Arial" w:hAnsi="Arial"/>
                <w:sz w:val="13"/>
                <w:szCs w:val="13"/>
                <w:b w:val="1"/>
                <w:bCs w:val="1"/>
                <w:color w:val="296DC1"/>
              </w:rPr>
              <w:t>Index</w:t>
            </w:r>
          </w:p>
        </w:tc>
        <w:tc>
          <w:tcPr>
            <w:tcW w:w="4280" w:type="dxa"/>
            <w:vAlign w:val="bottom"/>
            <w:shd w:val="clear" w:color="auto" w:fill="DCEBF4"/>
          </w:tcPr>
          <w:p>
            <w:pPr>
              <w:ind w:left="80"/>
              <w:spacing w:after="0"/>
              <w:rPr>
                <w:sz w:val="20"/>
                <w:szCs w:val="20"/>
                <w:color w:val="auto"/>
              </w:rPr>
            </w:pPr>
            <w:r>
              <w:rPr>
                <w:rFonts w:ascii="Arial" w:cs="Arial" w:eastAsia="Arial" w:hAnsi="Arial"/>
                <w:sz w:val="13"/>
                <w:szCs w:val="13"/>
                <w:color w:val="auto"/>
              </w:rPr>
              <w:t xml:space="preserve">With respect to each underlying index, its final index value </w:t>
            </w:r>
            <w:r>
              <w:rPr>
                <w:rFonts w:ascii="Arial" w:cs="Arial" w:eastAsia="Arial" w:hAnsi="Arial"/>
                <w:sz w:val="13"/>
                <w:szCs w:val="13"/>
                <w:i w:val="1"/>
                <w:iCs w:val="1"/>
                <w:color w:val="auto"/>
              </w:rPr>
              <w:t>divided by</w:t>
            </w:r>
          </w:p>
        </w:tc>
      </w:tr>
      <w:tr>
        <w:trPr>
          <w:trHeight w:val="148"/>
        </w:trPr>
        <w:tc>
          <w:tcPr>
            <w:tcW w:w="1200" w:type="dxa"/>
            <w:vAlign w:val="bottom"/>
            <w:shd w:val="clear" w:color="auto" w:fill="DCEBF4"/>
          </w:tcPr>
          <w:p>
            <w:pPr>
              <w:ind w:left="100"/>
              <w:spacing w:after="0"/>
              <w:rPr>
                <w:sz w:val="20"/>
                <w:szCs w:val="20"/>
                <w:color w:val="auto"/>
              </w:rPr>
            </w:pPr>
            <w:r>
              <w:rPr>
                <w:rFonts w:ascii="Arial" w:cs="Arial" w:eastAsia="Arial" w:hAnsi="Arial"/>
                <w:sz w:val="13"/>
                <w:szCs w:val="13"/>
                <w:b w:val="1"/>
                <w:bCs w:val="1"/>
                <w:color w:val="296DC1"/>
              </w:rPr>
              <w:t>performance</w:t>
            </w:r>
          </w:p>
        </w:tc>
        <w:tc>
          <w:tcPr>
            <w:tcW w:w="4280" w:type="dxa"/>
            <w:vAlign w:val="bottom"/>
            <w:shd w:val="clear" w:color="auto" w:fill="DCEBF4"/>
          </w:tcPr>
          <w:p>
            <w:pPr>
              <w:ind w:left="80"/>
              <w:spacing w:after="0"/>
              <w:rPr>
                <w:sz w:val="20"/>
                <w:szCs w:val="20"/>
                <w:color w:val="auto"/>
              </w:rPr>
            </w:pPr>
            <w:r>
              <w:rPr>
                <w:rFonts w:ascii="Arial" w:cs="Arial" w:eastAsia="Arial" w:hAnsi="Arial"/>
                <w:sz w:val="13"/>
                <w:szCs w:val="13"/>
                <w:color w:val="auto"/>
              </w:rPr>
              <w:t>its initial index value</w:t>
            </w:r>
          </w:p>
        </w:tc>
      </w:tr>
      <w:tr>
        <w:trPr>
          <w:trHeight w:val="190"/>
        </w:trPr>
        <w:tc>
          <w:tcPr>
            <w:tcW w:w="1200" w:type="dxa"/>
            <w:vAlign w:val="bottom"/>
            <w:shd w:val="clear" w:color="auto" w:fill="DCEBF4"/>
          </w:tcPr>
          <w:p>
            <w:pPr>
              <w:ind w:left="100"/>
              <w:spacing w:after="0"/>
              <w:rPr>
                <w:sz w:val="20"/>
                <w:szCs w:val="20"/>
                <w:color w:val="auto"/>
              </w:rPr>
            </w:pPr>
            <w:r>
              <w:rPr>
                <w:rFonts w:ascii="Arial" w:cs="Arial" w:eastAsia="Arial" w:hAnsi="Arial"/>
                <w:sz w:val="13"/>
                <w:szCs w:val="13"/>
                <w:b w:val="1"/>
                <w:bCs w:val="1"/>
                <w:color w:val="296DC1"/>
              </w:rPr>
              <w:t>factor:</w:t>
            </w:r>
          </w:p>
        </w:tc>
        <w:tc>
          <w:tcPr>
            <w:tcW w:w="4280" w:type="dxa"/>
            <w:vAlign w:val="bottom"/>
            <w:shd w:val="clear" w:color="auto" w:fill="DCEBF4"/>
          </w:tcPr>
          <w:p>
            <w:pPr>
              <w:spacing w:after="0"/>
              <w:rPr>
                <w:sz w:val="16"/>
                <w:szCs w:val="16"/>
                <w:color w:val="auto"/>
              </w:rPr>
            </w:pPr>
          </w:p>
        </w:tc>
      </w:tr>
      <w:tr>
        <w:trPr>
          <w:trHeight w:val="147"/>
        </w:trPr>
        <w:tc>
          <w:tcPr>
            <w:tcW w:w="1200" w:type="dxa"/>
            <w:vAlign w:val="bottom"/>
          </w:tcPr>
          <w:p>
            <w:pPr>
              <w:ind w:left="100"/>
              <w:spacing w:after="0" w:line="148" w:lineRule="exact"/>
              <w:rPr>
                <w:sz w:val="20"/>
                <w:szCs w:val="20"/>
                <w:color w:val="auto"/>
              </w:rPr>
            </w:pPr>
            <w:r>
              <w:rPr>
                <w:rFonts w:ascii="Arial" w:cs="Arial" w:eastAsia="Arial" w:hAnsi="Arial"/>
                <w:sz w:val="13"/>
                <w:szCs w:val="13"/>
                <w:b w:val="1"/>
                <w:bCs w:val="1"/>
                <w:color w:val="296DC1"/>
              </w:rPr>
              <w:t>Stated principal</w:t>
            </w:r>
          </w:p>
        </w:tc>
        <w:tc>
          <w:tcPr>
            <w:tcW w:w="4280" w:type="dxa"/>
            <w:vAlign w:val="bottom"/>
          </w:tcPr>
          <w:p>
            <w:pPr>
              <w:ind w:left="80"/>
              <w:spacing w:after="0" w:line="148" w:lineRule="exact"/>
              <w:rPr>
                <w:sz w:val="20"/>
                <w:szCs w:val="20"/>
                <w:color w:val="auto"/>
              </w:rPr>
            </w:pPr>
            <w:r>
              <w:rPr>
                <w:rFonts w:ascii="Arial" w:cs="Arial" w:eastAsia="Arial" w:hAnsi="Arial"/>
                <w:sz w:val="13"/>
                <w:szCs w:val="13"/>
                <w:color w:val="auto"/>
              </w:rPr>
              <w:t>$1,000 per security</w:t>
            </w:r>
          </w:p>
        </w:tc>
      </w:tr>
      <w:tr>
        <w:trPr>
          <w:trHeight w:val="188"/>
        </w:trPr>
        <w:tc>
          <w:tcPr>
            <w:tcW w:w="1200" w:type="dxa"/>
            <w:vAlign w:val="bottom"/>
          </w:tcPr>
          <w:p>
            <w:pPr>
              <w:ind w:left="100"/>
              <w:spacing w:after="0"/>
              <w:rPr>
                <w:sz w:val="20"/>
                <w:szCs w:val="20"/>
                <w:color w:val="auto"/>
              </w:rPr>
            </w:pPr>
            <w:r>
              <w:rPr>
                <w:rFonts w:ascii="Arial" w:cs="Arial" w:eastAsia="Arial" w:hAnsi="Arial"/>
                <w:sz w:val="13"/>
                <w:szCs w:val="13"/>
                <w:b w:val="1"/>
                <w:bCs w:val="1"/>
                <w:color w:val="296DC1"/>
              </w:rPr>
              <w:t>amount:</w:t>
            </w:r>
          </w:p>
        </w:tc>
        <w:tc>
          <w:tcPr>
            <w:tcW w:w="4280" w:type="dxa"/>
            <w:vAlign w:val="bottom"/>
          </w:tcPr>
          <w:p>
            <w:pPr>
              <w:spacing w:after="0"/>
              <w:rPr>
                <w:sz w:val="16"/>
                <w:szCs w:val="16"/>
                <w:color w:val="auto"/>
              </w:rPr>
            </w:pPr>
          </w:p>
        </w:tc>
      </w:tr>
      <w:tr>
        <w:trPr>
          <w:trHeight w:val="191"/>
        </w:trPr>
        <w:tc>
          <w:tcPr>
            <w:tcW w:w="1200" w:type="dxa"/>
            <w:vAlign w:val="bottom"/>
            <w:shd w:val="clear" w:color="auto" w:fill="DCEBF4"/>
          </w:tcPr>
          <w:p>
            <w:pPr>
              <w:ind w:left="100"/>
              <w:spacing w:after="0"/>
              <w:rPr>
                <w:sz w:val="20"/>
                <w:szCs w:val="20"/>
                <w:color w:val="auto"/>
              </w:rPr>
            </w:pPr>
            <w:r>
              <w:rPr>
                <w:rFonts w:ascii="Arial" w:cs="Arial" w:eastAsia="Arial" w:hAnsi="Arial"/>
                <w:sz w:val="13"/>
                <w:szCs w:val="13"/>
                <w:b w:val="1"/>
                <w:bCs w:val="1"/>
                <w:color w:val="296DC1"/>
              </w:rPr>
              <w:t>Issue price:</w:t>
            </w:r>
          </w:p>
        </w:tc>
        <w:tc>
          <w:tcPr>
            <w:tcW w:w="4280" w:type="dxa"/>
            <w:vAlign w:val="bottom"/>
            <w:shd w:val="clear" w:color="auto" w:fill="DCEBF4"/>
          </w:tcPr>
          <w:p>
            <w:pPr>
              <w:ind w:left="80"/>
              <w:spacing w:after="0"/>
              <w:rPr>
                <w:sz w:val="20"/>
                <w:szCs w:val="20"/>
                <w:color w:val="auto"/>
              </w:rPr>
            </w:pPr>
            <w:r>
              <w:rPr>
                <w:rFonts w:ascii="Arial" w:cs="Arial" w:eastAsia="Arial" w:hAnsi="Arial"/>
                <w:sz w:val="13"/>
                <w:szCs w:val="13"/>
                <w:color w:val="auto"/>
              </w:rPr>
              <w:t>$1,000 per security</w:t>
            </w:r>
          </w:p>
        </w:tc>
      </w:tr>
      <w:tr>
        <w:trPr>
          <w:trHeight w:val="188"/>
        </w:trPr>
        <w:tc>
          <w:tcPr>
            <w:tcW w:w="1200" w:type="dxa"/>
            <w:vAlign w:val="bottom"/>
          </w:tcPr>
          <w:p>
            <w:pPr>
              <w:ind w:left="100"/>
              <w:spacing w:after="0"/>
              <w:rPr>
                <w:sz w:val="20"/>
                <w:szCs w:val="20"/>
                <w:color w:val="auto"/>
              </w:rPr>
            </w:pPr>
            <w:r>
              <w:rPr>
                <w:rFonts w:ascii="Arial" w:cs="Arial" w:eastAsia="Arial" w:hAnsi="Arial"/>
                <w:sz w:val="13"/>
                <w:szCs w:val="13"/>
                <w:b w:val="1"/>
                <w:bCs w:val="1"/>
                <w:color w:val="296DC1"/>
              </w:rPr>
              <w:t>Pricing date:</w:t>
            </w:r>
          </w:p>
        </w:tc>
        <w:tc>
          <w:tcPr>
            <w:tcW w:w="4280" w:type="dxa"/>
            <w:vAlign w:val="bottom"/>
          </w:tcPr>
          <w:p>
            <w:pPr>
              <w:ind w:left="80"/>
              <w:spacing w:after="0"/>
              <w:rPr>
                <w:sz w:val="20"/>
                <w:szCs w:val="20"/>
                <w:color w:val="auto"/>
              </w:rPr>
            </w:pPr>
            <w:r>
              <w:rPr>
                <w:rFonts w:ascii="Arial" w:cs="Arial" w:eastAsia="Arial" w:hAnsi="Arial"/>
                <w:sz w:val="13"/>
                <w:szCs w:val="13"/>
                <w:color w:val="auto"/>
              </w:rPr>
              <w:t>Expected to be June 18, 2026</w:t>
            </w:r>
          </w:p>
        </w:tc>
      </w:tr>
      <w:tr>
        <w:trPr>
          <w:trHeight w:val="149"/>
        </w:trPr>
        <w:tc>
          <w:tcPr>
            <w:tcW w:w="1200" w:type="dxa"/>
            <w:vAlign w:val="bottom"/>
            <w:shd w:val="clear" w:color="auto" w:fill="DCEBF4"/>
          </w:tcPr>
          <w:p>
            <w:pPr>
              <w:ind w:left="100"/>
              <w:spacing w:after="0"/>
              <w:rPr>
                <w:sz w:val="20"/>
                <w:szCs w:val="20"/>
                <w:color w:val="auto"/>
              </w:rPr>
            </w:pPr>
            <w:r>
              <w:rPr>
                <w:rFonts w:ascii="Arial" w:cs="Arial" w:eastAsia="Arial" w:hAnsi="Arial"/>
                <w:sz w:val="13"/>
                <w:szCs w:val="13"/>
                <w:b w:val="1"/>
                <w:bCs w:val="1"/>
                <w:color w:val="296DC1"/>
              </w:rPr>
              <w:t>Original issue</w:t>
            </w:r>
          </w:p>
        </w:tc>
        <w:tc>
          <w:tcPr>
            <w:tcW w:w="4280" w:type="dxa"/>
            <w:vAlign w:val="bottom"/>
            <w:shd w:val="clear" w:color="auto" w:fill="DCEBF4"/>
          </w:tcPr>
          <w:p>
            <w:pPr>
              <w:ind w:left="80"/>
              <w:spacing w:after="0"/>
              <w:rPr>
                <w:sz w:val="20"/>
                <w:szCs w:val="20"/>
                <w:color w:val="auto"/>
              </w:rPr>
            </w:pPr>
            <w:r>
              <w:rPr>
                <w:rFonts w:ascii="Arial" w:cs="Arial" w:eastAsia="Arial" w:hAnsi="Arial"/>
                <w:sz w:val="13"/>
                <w:szCs w:val="13"/>
                <w:color w:val="auto"/>
              </w:rPr>
              <w:t>3 business days after the pricing date</w:t>
            </w:r>
          </w:p>
        </w:tc>
      </w:tr>
      <w:tr>
        <w:trPr>
          <w:trHeight w:val="148"/>
        </w:trPr>
        <w:tc>
          <w:tcPr>
            <w:tcW w:w="1200" w:type="dxa"/>
            <w:vAlign w:val="bottom"/>
            <w:shd w:val="clear" w:color="auto" w:fill="DCEBF4"/>
          </w:tcPr>
          <w:p>
            <w:pPr>
              <w:ind w:left="100"/>
              <w:spacing w:after="0"/>
              <w:rPr>
                <w:sz w:val="20"/>
                <w:szCs w:val="20"/>
                <w:color w:val="auto"/>
              </w:rPr>
            </w:pPr>
            <w:r>
              <w:rPr>
                <w:rFonts w:ascii="Arial" w:cs="Arial" w:eastAsia="Arial" w:hAnsi="Arial"/>
                <w:sz w:val="13"/>
                <w:szCs w:val="13"/>
                <w:b w:val="1"/>
                <w:bCs w:val="1"/>
                <w:color w:val="296DC1"/>
              </w:rPr>
              <w:t>date (settlement</w:t>
            </w:r>
          </w:p>
        </w:tc>
        <w:tc>
          <w:tcPr>
            <w:tcW w:w="4280" w:type="dxa"/>
            <w:vAlign w:val="bottom"/>
            <w:shd w:val="clear" w:color="auto" w:fill="DCEBF4"/>
          </w:tcPr>
          <w:p>
            <w:pPr>
              <w:spacing w:after="0"/>
              <w:rPr>
                <w:sz w:val="12"/>
                <w:szCs w:val="12"/>
                <w:color w:val="auto"/>
              </w:rPr>
            </w:pPr>
          </w:p>
        </w:tc>
      </w:tr>
      <w:tr>
        <w:trPr>
          <w:trHeight w:val="190"/>
        </w:trPr>
        <w:tc>
          <w:tcPr>
            <w:tcW w:w="1200" w:type="dxa"/>
            <w:vAlign w:val="bottom"/>
            <w:shd w:val="clear" w:color="auto" w:fill="DCEBF4"/>
          </w:tcPr>
          <w:p>
            <w:pPr>
              <w:ind w:left="100"/>
              <w:spacing w:after="0"/>
              <w:rPr>
                <w:sz w:val="20"/>
                <w:szCs w:val="20"/>
                <w:color w:val="auto"/>
              </w:rPr>
            </w:pPr>
            <w:r>
              <w:rPr>
                <w:rFonts w:ascii="Arial" w:cs="Arial" w:eastAsia="Arial" w:hAnsi="Arial"/>
                <w:sz w:val="13"/>
                <w:szCs w:val="13"/>
                <w:b w:val="1"/>
                <w:bCs w:val="1"/>
                <w:color w:val="296DC1"/>
              </w:rPr>
              <w:t>date):</w:t>
            </w:r>
          </w:p>
        </w:tc>
        <w:tc>
          <w:tcPr>
            <w:tcW w:w="4280" w:type="dxa"/>
            <w:vAlign w:val="bottom"/>
            <w:shd w:val="clear" w:color="auto" w:fill="DCEBF4"/>
          </w:tcPr>
          <w:p>
            <w:pPr>
              <w:spacing w:after="0"/>
              <w:rPr>
                <w:sz w:val="16"/>
                <w:szCs w:val="16"/>
                <w:color w:val="auto"/>
              </w:rPr>
            </w:pPr>
          </w:p>
        </w:tc>
      </w:tr>
      <w:tr>
        <w:trPr>
          <w:trHeight w:val="149"/>
        </w:trPr>
        <w:tc>
          <w:tcPr>
            <w:tcW w:w="1200" w:type="dxa"/>
            <w:vAlign w:val="bottom"/>
          </w:tcPr>
          <w:p>
            <w:pPr>
              <w:ind w:left="100"/>
              <w:spacing w:after="0"/>
              <w:rPr>
                <w:sz w:val="20"/>
                <w:szCs w:val="20"/>
                <w:color w:val="auto"/>
              </w:rPr>
            </w:pPr>
            <w:r>
              <w:rPr>
                <w:rFonts w:ascii="Arial" w:cs="Arial" w:eastAsia="Arial" w:hAnsi="Arial"/>
                <w:sz w:val="13"/>
                <w:szCs w:val="13"/>
                <w:b w:val="1"/>
                <w:bCs w:val="1"/>
                <w:color w:val="296DC1"/>
              </w:rPr>
              <w:t>Determination</w:t>
            </w:r>
          </w:p>
        </w:tc>
        <w:tc>
          <w:tcPr>
            <w:tcW w:w="4280" w:type="dxa"/>
            <w:vAlign w:val="bottom"/>
          </w:tcPr>
          <w:p>
            <w:pPr>
              <w:ind w:left="80"/>
              <w:spacing w:after="0"/>
              <w:rPr>
                <w:sz w:val="20"/>
                <w:szCs w:val="20"/>
                <w:color w:val="auto"/>
              </w:rPr>
            </w:pPr>
            <w:r>
              <w:rPr>
                <w:rFonts w:ascii="Arial" w:cs="Arial" w:eastAsia="Arial" w:hAnsi="Arial"/>
                <w:sz w:val="13"/>
                <w:szCs w:val="13"/>
                <w:color w:val="auto"/>
              </w:rPr>
              <w:t>September 18, 2026, December 18, 2026, March 18, 2027, June 21,</w:t>
            </w:r>
          </w:p>
        </w:tc>
      </w:tr>
      <w:tr>
        <w:trPr>
          <w:trHeight w:val="160"/>
        </w:trPr>
        <w:tc>
          <w:tcPr>
            <w:tcW w:w="1200" w:type="dxa"/>
            <w:vAlign w:val="bottom"/>
          </w:tcPr>
          <w:p>
            <w:pPr>
              <w:ind w:left="100"/>
              <w:spacing w:after="0" w:line="161" w:lineRule="exact"/>
              <w:rPr>
                <w:sz w:val="20"/>
                <w:szCs w:val="20"/>
                <w:color w:val="auto"/>
              </w:rPr>
            </w:pPr>
            <w:r>
              <w:rPr>
                <w:rFonts w:ascii="Arial" w:cs="Arial" w:eastAsia="Arial" w:hAnsi="Arial"/>
                <w:sz w:val="11"/>
                <w:szCs w:val="11"/>
                <w:b w:val="1"/>
                <w:bCs w:val="1"/>
                <w:color w:val="296DC1"/>
              </w:rPr>
              <w:t>dates</w:t>
            </w:r>
            <w:r>
              <w:rPr>
                <w:rFonts w:ascii="Arial" w:cs="Arial" w:eastAsia="Arial" w:hAnsi="Arial"/>
                <w:sz w:val="18"/>
                <w:szCs w:val="18"/>
                <w:b w:val="1"/>
                <w:bCs w:val="1"/>
                <w:color w:val="296DC1"/>
                <w:vertAlign w:val="superscript"/>
              </w:rPr>
              <w:t>†</w:t>
            </w:r>
            <w:r>
              <w:rPr>
                <w:rFonts w:ascii="Arial" w:cs="Arial" w:eastAsia="Arial" w:hAnsi="Arial"/>
                <w:sz w:val="11"/>
                <w:szCs w:val="11"/>
                <w:b w:val="1"/>
                <w:bCs w:val="1"/>
                <w:color w:val="296DC1"/>
              </w:rPr>
              <w:t>:</w:t>
            </w:r>
          </w:p>
        </w:tc>
        <w:tc>
          <w:tcPr>
            <w:tcW w:w="4280" w:type="dxa"/>
            <w:vAlign w:val="bottom"/>
          </w:tcPr>
          <w:p>
            <w:pPr>
              <w:ind w:left="80"/>
              <w:spacing w:after="0"/>
              <w:rPr>
                <w:sz w:val="20"/>
                <w:szCs w:val="20"/>
                <w:color w:val="auto"/>
              </w:rPr>
            </w:pPr>
            <w:r>
              <w:rPr>
                <w:rFonts w:ascii="Arial" w:cs="Arial" w:eastAsia="Arial" w:hAnsi="Arial"/>
                <w:sz w:val="13"/>
                <w:szCs w:val="13"/>
                <w:color w:val="auto"/>
              </w:rPr>
              <w:t>2027, September 20, 2027, December 20, 2027, March 20, 2028,</w:t>
            </w:r>
          </w:p>
        </w:tc>
      </w:tr>
      <w:tr>
        <w:trPr>
          <w:trHeight w:val="137"/>
        </w:trPr>
        <w:tc>
          <w:tcPr>
            <w:tcW w:w="1200" w:type="dxa"/>
            <w:vAlign w:val="bottom"/>
          </w:tcPr>
          <w:p>
            <w:pPr>
              <w:spacing w:after="0"/>
              <w:rPr>
                <w:sz w:val="11"/>
                <w:szCs w:val="11"/>
                <w:color w:val="auto"/>
              </w:rPr>
            </w:pPr>
          </w:p>
        </w:tc>
        <w:tc>
          <w:tcPr>
            <w:tcW w:w="4280" w:type="dxa"/>
            <w:vAlign w:val="bottom"/>
          </w:tcPr>
          <w:p>
            <w:pPr>
              <w:ind w:left="80"/>
              <w:spacing w:after="0" w:line="137" w:lineRule="exact"/>
              <w:rPr>
                <w:sz w:val="20"/>
                <w:szCs w:val="20"/>
                <w:color w:val="auto"/>
              </w:rPr>
            </w:pPr>
            <w:r>
              <w:rPr>
                <w:rFonts w:ascii="Arial" w:cs="Arial" w:eastAsia="Arial" w:hAnsi="Arial"/>
                <w:sz w:val="13"/>
                <w:szCs w:val="13"/>
                <w:color w:val="auto"/>
              </w:rPr>
              <w:t>June 20, 2028, September 18, 2028, December 18, 2028, March 19,</w:t>
            </w:r>
          </w:p>
        </w:tc>
      </w:tr>
      <w:tr>
        <w:trPr>
          <w:trHeight w:val="176"/>
        </w:trPr>
        <w:tc>
          <w:tcPr>
            <w:tcW w:w="1200" w:type="dxa"/>
            <w:vAlign w:val="bottom"/>
          </w:tcPr>
          <w:p>
            <w:pPr>
              <w:spacing w:after="0"/>
              <w:rPr>
                <w:sz w:val="15"/>
                <w:szCs w:val="15"/>
                <w:color w:val="auto"/>
              </w:rPr>
            </w:pPr>
          </w:p>
        </w:tc>
        <w:tc>
          <w:tcPr>
            <w:tcW w:w="4280" w:type="dxa"/>
            <w:vAlign w:val="bottom"/>
          </w:tcPr>
          <w:p>
            <w:pPr>
              <w:ind w:left="80"/>
              <w:spacing w:after="0"/>
              <w:rPr>
                <w:sz w:val="20"/>
                <w:szCs w:val="20"/>
                <w:color w:val="auto"/>
              </w:rPr>
            </w:pPr>
            <w:r>
              <w:rPr>
                <w:rFonts w:ascii="Arial" w:cs="Arial" w:eastAsia="Arial" w:hAnsi="Arial"/>
                <w:sz w:val="13"/>
                <w:szCs w:val="13"/>
                <w:color w:val="auto"/>
              </w:rPr>
              <w:t>2029 and June 18, 2029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3488690" cy="402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88690" cy="402590"/>
                    </a:xfrm>
                    <a:prstGeom prst="rect">
                      <a:avLst/>
                    </a:prstGeom>
                    <a:noFill/>
                  </pic:spPr>
                </pic:pic>
              </a:graphicData>
            </a:graphic>
          </wp:anchor>
        </w:drawing>
      </w:r>
    </w:p>
    <w:p>
      <w:pPr>
        <w:spacing w:after="0" w:line="24" w:lineRule="exact"/>
        <w:rPr>
          <w:sz w:val="24"/>
          <w:szCs w:val="24"/>
          <w:color w:val="auto"/>
        </w:rPr>
      </w:pPr>
    </w:p>
    <w:p>
      <w:pPr>
        <w:sectPr>
          <w:pgSz w:w="11900" w:h="16838" w:orient="portrait"/>
          <w:cols w:equalWidth="0" w:num="3">
            <w:col w:w="1440" w:space="280"/>
            <w:col w:w="3680" w:space="340"/>
            <w:col w:w="5500"/>
          </w:cols>
          <w:pgMar w:left="320" w:top="219" w:right="339" w:bottom="1440" w:gutter="0" w:footer="0" w:header="0"/>
          <w:type w:val="continuous"/>
        </w:sectPr>
      </w:pPr>
    </w:p>
    <w:p>
      <w:pPr>
        <w:spacing w:after="0" w:line="32" w:lineRule="exact"/>
        <w:rPr>
          <w:sz w:val="24"/>
          <w:szCs w:val="24"/>
          <w:color w:val="auto"/>
        </w:rPr>
      </w:pPr>
    </w:p>
    <w:p>
      <w:pPr>
        <w:ind w:left="100" w:right="240"/>
        <w:spacing w:after="0" w:line="294" w:lineRule="auto"/>
        <w:rPr>
          <w:sz w:val="20"/>
          <w:szCs w:val="20"/>
          <w:color w:val="auto"/>
        </w:rPr>
      </w:pPr>
      <w:r>
        <w:rPr>
          <w:rFonts w:ascii="Arial" w:cs="Arial" w:eastAsia="Arial" w:hAnsi="Arial"/>
          <w:sz w:val="14"/>
          <w:szCs w:val="14"/>
          <w:b w:val="1"/>
          <w:bCs w:val="1"/>
          <w:color w:val="296DC1"/>
        </w:rPr>
        <w:t>Early redemption payment:</w:t>
      </w:r>
    </w:p>
    <w:p>
      <w:pPr>
        <w:spacing w:after="0" w:line="254" w:lineRule="exact"/>
        <w:rPr>
          <w:sz w:val="24"/>
          <w:szCs w:val="24"/>
          <w:color w:val="auto"/>
        </w:rPr>
      </w:pPr>
    </w:p>
    <w:p>
      <w:pPr>
        <w:ind w:left="100"/>
        <w:spacing w:after="0" w:line="294" w:lineRule="auto"/>
        <w:rPr>
          <w:sz w:val="20"/>
          <w:szCs w:val="20"/>
          <w:color w:val="auto"/>
        </w:rPr>
      </w:pPr>
      <w:r>
        <w:rPr>
          <w:rFonts w:ascii="Arial" w:cs="Arial" w:eastAsia="Arial" w:hAnsi="Arial"/>
          <w:sz w:val="14"/>
          <w:szCs w:val="14"/>
          <w:b w:val="1"/>
          <w:bCs w:val="1"/>
          <w:color w:val="296DC1"/>
        </w:rPr>
        <w:t>Contingent quarterly payment: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251" w:lineRule="auto"/>
        <w:rPr>
          <w:sz w:val="20"/>
          <w:szCs w:val="20"/>
          <w:color w:val="auto"/>
        </w:rPr>
      </w:pPr>
      <w:r>
        <w:rPr>
          <w:rFonts w:ascii="Arial" w:cs="Arial" w:eastAsia="Arial" w:hAnsi="Arial"/>
          <w:sz w:val="14"/>
          <w:szCs w:val="14"/>
          <w:color w:val="auto"/>
        </w:rPr>
        <w:t xml:space="preserve">The early redemption payment will be an amount equal to (i) the stated principal amount </w:t>
      </w:r>
      <w:r>
        <w:rPr>
          <w:rFonts w:ascii="Arial" w:cs="Arial" w:eastAsia="Arial" w:hAnsi="Arial"/>
          <w:sz w:val="14"/>
          <w:szCs w:val="14"/>
          <w:i w:val="1"/>
          <w:iCs w:val="1"/>
          <w:color w:val="auto"/>
        </w:rPr>
        <w:t>plus</w:t>
      </w:r>
      <w:r>
        <w:rPr>
          <w:rFonts w:ascii="Arial" w:cs="Arial" w:eastAsia="Arial" w:hAnsi="Arial"/>
          <w:sz w:val="14"/>
          <w:szCs w:val="14"/>
          <w:color w:val="auto"/>
        </w:rPr>
        <w:t xml:space="preserve"> (ii) any contingent quarterly payment otherwise due with respect to the related quarterly monitoring period.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-1086485</wp:posOffset>
            </wp:positionH>
            <wp:positionV relativeFrom="paragraph">
              <wp:posOffset>-9525</wp:posOffset>
            </wp:positionV>
            <wp:extent cx="3488690" cy="1929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88690" cy="1929130"/>
                    </a:xfrm>
                    <a:prstGeom prst="rect">
                      <a:avLst/>
                    </a:prstGeom>
                    <a:noFill/>
                  </pic:spPr>
                </pic:pic>
              </a:graphicData>
            </a:graphic>
          </wp:anchor>
        </w:drawing>
      </w:r>
    </w:p>
    <w:p>
      <w:pPr>
        <w:spacing w:after="0"/>
        <w:tabs>
          <w:tab w:leader="none" w:pos="28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color w:val="auto"/>
        </w:rPr>
        <w:t>If the closing level of each underlying index is</w:t>
      </w:r>
    </w:p>
    <w:p>
      <w:pPr>
        <w:spacing w:after="0" w:line="15" w:lineRule="exact"/>
        <w:rPr>
          <w:sz w:val="24"/>
          <w:szCs w:val="24"/>
          <w:color w:val="auto"/>
        </w:rPr>
      </w:pPr>
    </w:p>
    <w:p>
      <w:pPr>
        <w:ind w:left="320"/>
        <w:spacing w:after="0"/>
        <w:rPr>
          <w:sz w:val="20"/>
          <w:szCs w:val="20"/>
          <w:color w:val="auto"/>
        </w:rPr>
      </w:pPr>
      <w:r>
        <w:rPr>
          <w:rFonts w:ascii="Arial" w:cs="Arial" w:eastAsia="Arial" w:hAnsi="Arial"/>
          <w:sz w:val="14"/>
          <w:szCs w:val="14"/>
          <w:color w:val="auto"/>
        </w:rPr>
        <w:t>greater than or equal to its coupon barrier level on</w:t>
      </w:r>
    </w:p>
    <w:p>
      <w:pPr>
        <w:spacing w:after="0" w:line="1" w:lineRule="exact"/>
        <w:rPr>
          <w:sz w:val="24"/>
          <w:szCs w:val="24"/>
          <w:color w:val="auto"/>
        </w:rPr>
      </w:pPr>
    </w:p>
    <w:p>
      <w:pPr>
        <w:ind w:left="320"/>
        <w:spacing w:after="0"/>
        <w:rPr>
          <w:sz w:val="20"/>
          <w:szCs w:val="20"/>
          <w:color w:val="auto"/>
        </w:rPr>
      </w:pPr>
      <w:r>
        <w:rPr>
          <w:rFonts w:ascii="Arial" w:cs="Arial" w:eastAsia="Arial" w:hAnsi="Arial"/>
          <w:sz w:val="14"/>
          <w:szCs w:val="14"/>
          <w:color w:val="auto"/>
        </w:rPr>
        <w:t>each day during a quarterly monitoring period, we</w:t>
      </w:r>
    </w:p>
    <w:p>
      <w:pPr>
        <w:spacing w:after="0" w:line="1" w:lineRule="exact"/>
        <w:rPr>
          <w:sz w:val="24"/>
          <w:szCs w:val="24"/>
          <w:color w:val="auto"/>
        </w:rPr>
      </w:pPr>
    </w:p>
    <w:p>
      <w:pPr>
        <w:ind w:left="320"/>
        <w:spacing w:after="0"/>
        <w:rPr>
          <w:sz w:val="20"/>
          <w:szCs w:val="20"/>
          <w:color w:val="auto"/>
        </w:rPr>
      </w:pPr>
      <w:r>
        <w:rPr>
          <w:rFonts w:ascii="Arial" w:cs="Arial" w:eastAsia="Arial" w:hAnsi="Arial"/>
          <w:sz w:val="14"/>
          <w:szCs w:val="14"/>
          <w:color w:val="auto"/>
        </w:rPr>
        <w:t>will pay a contingent quarterly payment of at least</w:t>
      </w:r>
    </w:p>
    <w:p>
      <w:pPr>
        <w:ind w:left="320"/>
        <w:spacing w:after="0" w:line="235" w:lineRule="auto"/>
        <w:rPr>
          <w:sz w:val="20"/>
          <w:szCs w:val="20"/>
          <w:color w:val="auto"/>
        </w:rPr>
      </w:pPr>
      <w:r>
        <w:rPr>
          <w:rFonts w:ascii="Arial" w:cs="Arial" w:eastAsia="Arial" w:hAnsi="Arial"/>
          <w:sz w:val="14"/>
          <w:szCs w:val="14"/>
          <w:color w:val="auto"/>
        </w:rPr>
        <w:t>$27.875 (at least 2.7875% of the stated principal</w:t>
      </w:r>
    </w:p>
    <w:p>
      <w:pPr>
        <w:spacing w:after="0" w:line="20" w:lineRule="exact"/>
        <w:rPr>
          <w:sz w:val="24"/>
          <w:szCs w:val="24"/>
          <w:color w:val="auto"/>
        </w:rPr>
      </w:pPr>
      <w:r>
        <w:rPr>
          <w:sz w:val="24"/>
          <w:szCs w:val="24"/>
          <w:color w:val="auto"/>
        </w:rPr>
        <w:br w:type="column"/>
      </w:r>
    </w:p>
    <w:p>
      <w:pPr>
        <w:spacing w:after="0" w:line="286" w:lineRule="auto"/>
        <w:rPr>
          <w:sz w:val="20"/>
          <w:szCs w:val="20"/>
          <w:color w:val="auto"/>
        </w:rPr>
      </w:pPr>
      <w:r>
        <w:rPr>
          <w:rFonts w:ascii="Arial" w:cs="Arial" w:eastAsia="Arial" w:hAnsi="Arial"/>
          <w:sz w:val="13"/>
          <w:szCs w:val="13"/>
          <w:b w:val="1"/>
          <w:bCs w:val="1"/>
          <w:color w:val="296DC1"/>
        </w:rPr>
        <w:t>Contingent payment dates</w:t>
      </w:r>
      <w:r>
        <w:rPr>
          <w:rFonts w:ascii="Arial" w:cs="Arial" w:eastAsia="Arial" w:hAnsi="Arial"/>
          <w:sz w:val="22"/>
          <w:szCs w:val="22"/>
          <w:b w:val="1"/>
          <w:bCs w:val="1"/>
          <w:color w:val="296DC1"/>
          <w:vertAlign w:val="superscript"/>
        </w:rPr>
        <w:t>†</w:t>
      </w:r>
      <w:r>
        <w:rPr>
          <w:rFonts w:ascii="Arial" w:cs="Arial" w:eastAsia="Arial" w:hAnsi="Arial"/>
          <w:sz w:val="13"/>
          <w:szCs w:val="13"/>
          <w:b w:val="1"/>
          <w:bCs w:val="1"/>
          <w:color w:val="296DC1"/>
        </w:rPr>
        <w:t>:</w:t>
      </w:r>
    </w:p>
    <w:p>
      <w:pPr>
        <w:spacing w:after="0" w:line="131" w:lineRule="exact"/>
        <w:rPr>
          <w:sz w:val="24"/>
          <w:szCs w:val="24"/>
          <w:color w:val="auto"/>
        </w:rPr>
      </w:pPr>
    </w:p>
    <w:p>
      <w:pPr>
        <w:spacing w:after="0"/>
        <w:rPr>
          <w:sz w:val="20"/>
          <w:szCs w:val="20"/>
          <w:color w:val="auto"/>
        </w:rPr>
      </w:pPr>
      <w:r>
        <w:rPr>
          <w:rFonts w:ascii="Arial" w:cs="Arial" w:eastAsia="Arial" w:hAnsi="Arial"/>
          <w:sz w:val="13"/>
          <w:szCs w:val="13"/>
          <w:b w:val="1"/>
          <w:bCs w:val="1"/>
          <w:color w:val="296DC1"/>
        </w:rPr>
        <w:t>Maturity date</w:t>
      </w:r>
      <w:r>
        <w:rPr>
          <w:rFonts w:ascii="Arial" w:cs="Arial" w:eastAsia="Arial" w:hAnsi="Arial"/>
          <w:sz w:val="22"/>
          <w:szCs w:val="22"/>
          <w:b w:val="1"/>
          <w:bCs w:val="1"/>
          <w:color w:val="296DC1"/>
          <w:vertAlign w:val="superscript"/>
        </w:rPr>
        <w:t>†</w:t>
      </w:r>
      <w:r>
        <w:rPr>
          <w:rFonts w:ascii="Arial" w:cs="Arial" w:eastAsia="Arial" w:hAnsi="Arial"/>
          <w:sz w:val="13"/>
          <w:szCs w:val="13"/>
          <w:b w:val="1"/>
          <w:bCs w:val="1"/>
          <w:color w:val="296DC1"/>
        </w:rPr>
        <w:t>:</w:t>
      </w:r>
    </w:p>
    <w:p>
      <w:pPr>
        <w:spacing w:after="0"/>
        <w:rPr>
          <w:sz w:val="20"/>
          <w:szCs w:val="20"/>
          <w:color w:val="auto"/>
        </w:rPr>
      </w:pPr>
      <w:r>
        <w:rPr>
          <w:rFonts w:ascii="Arial" w:cs="Arial" w:eastAsia="Arial" w:hAnsi="Arial"/>
          <w:sz w:val="13"/>
          <w:szCs w:val="13"/>
          <w:b w:val="1"/>
          <w:bCs w:val="1"/>
          <w:color w:val="296DC1"/>
        </w:rPr>
        <w:t>CUSIP / ISIN:</w:t>
      </w:r>
    </w:p>
    <w:p>
      <w:pPr>
        <w:spacing w:after="0" w:line="26" w:lineRule="exact"/>
        <w:rPr>
          <w:sz w:val="24"/>
          <w:szCs w:val="24"/>
          <w:color w:val="auto"/>
        </w:rPr>
      </w:pPr>
    </w:p>
    <w:p>
      <w:pPr>
        <w:spacing w:after="0"/>
        <w:rPr>
          <w:sz w:val="20"/>
          <w:szCs w:val="20"/>
          <w:color w:val="auto"/>
        </w:rPr>
      </w:pPr>
      <w:r>
        <w:rPr>
          <w:rFonts w:ascii="Arial" w:cs="Arial" w:eastAsia="Arial" w:hAnsi="Arial"/>
          <w:sz w:val="13"/>
          <w:szCs w:val="13"/>
          <w:b w:val="1"/>
          <w:bCs w:val="1"/>
          <w:color w:val="296DC1"/>
        </w:rPr>
        <w:t>Preliminary</w:t>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b w:val="1"/>
          <w:bCs w:val="1"/>
          <w:color w:val="296DC1"/>
        </w:rPr>
        <w:t>pricing</w:t>
      </w:r>
    </w:p>
    <w:p>
      <w:pPr>
        <w:spacing w:after="0"/>
        <w:rPr>
          <w:sz w:val="20"/>
          <w:szCs w:val="20"/>
          <w:color w:val="auto"/>
        </w:rPr>
      </w:pPr>
      <w:r>
        <w:rPr>
          <w:rFonts w:ascii="Arial" w:cs="Arial" w:eastAsia="Arial" w:hAnsi="Arial"/>
          <w:sz w:val="13"/>
          <w:szCs w:val="13"/>
          <w:b w:val="1"/>
          <w:bCs w:val="1"/>
          <w:color w:val="296DC1"/>
        </w:rPr>
        <w:t>supplement:</w:t>
      </w:r>
    </w:p>
    <w:p>
      <w:pPr>
        <w:spacing w:after="0" w:line="20" w:lineRule="exact"/>
        <w:rPr>
          <w:sz w:val="24"/>
          <w:szCs w:val="24"/>
          <w:color w:val="auto"/>
        </w:rPr>
      </w:pPr>
      <w:r>
        <w:rPr>
          <w:sz w:val="24"/>
          <w:szCs w:val="24"/>
          <w:color w:val="auto"/>
        </w:rPr>
        <w:br w:type="column"/>
      </w:r>
    </w:p>
    <w:p>
      <w:pPr>
        <w:ind w:right="140"/>
        <w:spacing w:after="0" w:line="246" w:lineRule="auto"/>
        <w:rPr>
          <w:sz w:val="20"/>
          <w:szCs w:val="20"/>
          <w:color w:val="auto"/>
        </w:rPr>
      </w:pPr>
      <w:r>
        <w:rPr>
          <w:rFonts w:ascii="Arial" w:cs="Arial" w:eastAsia="Arial" w:hAnsi="Arial"/>
          <w:sz w:val="13"/>
          <w:szCs w:val="13"/>
          <w:color w:val="auto"/>
        </w:rPr>
        <w:t>September 23, 2026, December 23, 2026, March 23, 2027, June 24, 2027, September 23, 2027, December 23, 2027, March 23, 2028, June 23, 2028, September 21, 2028, December 21, 2028, March 22, 2029 and the maturity date</w:t>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June 22, 2029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-817245</wp:posOffset>
            </wp:positionH>
            <wp:positionV relativeFrom="paragraph">
              <wp:posOffset>50165</wp:posOffset>
            </wp:positionV>
            <wp:extent cx="3488690" cy="1200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88690" cy="120015"/>
                    </a:xfrm>
                    <a:prstGeom prst="rect">
                      <a:avLst/>
                    </a:prstGeom>
                    <a:noFill/>
                  </pic:spPr>
                </pic:pic>
              </a:graphicData>
            </a:graphic>
          </wp:anchor>
        </w:drawing>
      </w:r>
    </w:p>
    <w:p>
      <w:pPr>
        <w:spacing w:after="0" w:line="60" w:lineRule="exact"/>
        <w:rPr>
          <w:sz w:val="24"/>
          <w:szCs w:val="24"/>
          <w:color w:val="auto"/>
        </w:rPr>
      </w:pPr>
    </w:p>
    <w:p>
      <w:pPr>
        <w:spacing w:after="0"/>
        <w:rPr>
          <w:sz w:val="20"/>
          <w:szCs w:val="20"/>
          <w:color w:val="auto"/>
        </w:rPr>
      </w:pPr>
      <w:r>
        <w:rPr>
          <w:rFonts w:ascii="Arial" w:cs="Arial" w:eastAsia="Arial" w:hAnsi="Arial"/>
          <w:sz w:val="13"/>
          <w:szCs w:val="13"/>
          <w:color w:val="auto"/>
        </w:rPr>
        <w:t>46661CWG7 / US46661CWG76</w:t>
      </w:r>
    </w:p>
    <w:p>
      <w:pPr>
        <w:spacing w:after="0" w:line="40" w:lineRule="exact"/>
        <w:rPr>
          <w:sz w:val="24"/>
          <w:szCs w:val="24"/>
          <w:color w:val="auto"/>
        </w:rPr>
      </w:pPr>
    </w:p>
    <w:p>
      <w:pPr>
        <w:ind w:right="20"/>
        <w:spacing w:after="0" w:line="281" w:lineRule="auto"/>
        <w:rPr>
          <w:rFonts w:ascii="Arial" w:cs="Arial" w:eastAsia="Arial" w:hAnsi="Arial"/>
          <w:sz w:val="13"/>
          <w:szCs w:val="13"/>
          <w:u w:val="single" w:color="auto"/>
          <w:color w:val="0000EE"/>
        </w:rPr>
      </w:pPr>
      <w:hyperlink r:id="rId15">
        <w:r>
          <w:rPr>
            <w:rFonts w:ascii="Arial" w:cs="Arial" w:eastAsia="Arial" w:hAnsi="Arial"/>
            <w:sz w:val="13"/>
            <w:szCs w:val="13"/>
            <w:u w:val="single" w:color="auto"/>
            <w:color w:val="0000EE"/>
          </w:rPr>
          <w:t>http://www.sec.gov/Archives/edgar/data/19617/000121390026068466/</w:t>
        </w:r>
      </w:hyperlink>
      <w:r>
        <w:rPr>
          <w:rFonts w:ascii="Arial" w:cs="Arial" w:eastAsia="Arial" w:hAnsi="Arial"/>
          <w:sz w:val="13"/>
          <w:szCs w:val="13"/>
          <w:u w:val="single" w:color="auto"/>
          <w:color w:val="0000EE"/>
        </w:rPr>
        <w:t xml:space="preserve"> </w:t>
      </w:r>
      <w:hyperlink r:id="rId15">
        <w:r>
          <w:rPr>
            <w:rFonts w:ascii="Arial" w:cs="Arial" w:eastAsia="Arial" w:hAnsi="Arial"/>
            <w:sz w:val="13"/>
            <w:szCs w:val="13"/>
            <w:u w:val="single" w:color="auto"/>
            <w:color w:val="0000EE"/>
          </w:rPr>
          <w:t>ea0294674-01_424b2.htm</w:t>
        </w:r>
      </w:hyperlink>
    </w:p>
    <w:p>
      <w:pPr>
        <w:spacing w:after="0" w:line="135" w:lineRule="exact"/>
        <w:rPr>
          <w:sz w:val="20"/>
          <w:szCs w:val="20"/>
          <w:color w:val="auto"/>
        </w:rPr>
      </w:pPr>
    </w:p>
    <w:p>
      <w:pPr>
        <w:sectPr>
          <w:pgSz w:w="11900" w:h="16838" w:orient="portrait"/>
          <w:cols w:equalWidth="0" w:num="4">
            <w:col w:w="1520" w:space="200"/>
            <w:col w:w="3660" w:space="460"/>
            <w:col w:w="1040" w:space="140"/>
            <w:col w:w="4220"/>
          </w:cols>
          <w:pgMar w:left="320" w:top="219" w:right="339" w:bottom="1440" w:gutter="0" w:footer="0" w:header="0"/>
          <w:type w:val="continuous"/>
        </w:sectPr>
      </w:pPr>
    </w:p>
    <w:p>
      <w:pPr>
        <w:ind w:left="2040"/>
        <w:spacing w:after="0"/>
        <w:rPr>
          <w:sz w:val="20"/>
          <w:szCs w:val="20"/>
          <w:color w:val="auto"/>
        </w:rPr>
      </w:pPr>
      <w:r>
        <w:rPr>
          <w:rFonts w:ascii="Arial" w:cs="Arial" w:eastAsia="Arial" w:hAnsi="Arial"/>
          <w:sz w:val="14"/>
          <w:szCs w:val="14"/>
          <w:color w:val="auto"/>
        </w:rPr>
        <w:t>amount) per security on the related contingent</w:t>
      </w:r>
    </w:p>
    <w:p>
      <w:pPr>
        <w:spacing w:after="0" w:line="6" w:lineRule="exact"/>
        <w:rPr>
          <w:sz w:val="20"/>
          <w:szCs w:val="20"/>
          <w:color w:val="auto"/>
        </w:rPr>
      </w:pPr>
    </w:p>
    <w:p>
      <w:pPr>
        <w:ind w:left="2040"/>
        <w:spacing w:after="0"/>
        <w:rPr>
          <w:sz w:val="20"/>
          <w:szCs w:val="20"/>
          <w:color w:val="auto"/>
        </w:rPr>
      </w:pPr>
      <w:r>
        <w:rPr>
          <w:rFonts w:ascii="Arial" w:cs="Arial" w:eastAsia="Arial" w:hAnsi="Arial"/>
          <w:sz w:val="14"/>
          <w:szCs w:val="14"/>
          <w:color w:val="auto"/>
        </w:rPr>
        <w:t>payment date. The actual contingent quarterly</w:t>
      </w:r>
    </w:p>
    <w:p>
      <w:pPr>
        <w:spacing w:after="0" w:line="1" w:lineRule="exact"/>
        <w:rPr>
          <w:sz w:val="20"/>
          <w:szCs w:val="20"/>
          <w:color w:val="auto"/>
        </w:rPr>
      </w:pPr>
    </w:p>
    <w:p>
      <w:pPr>
        <w:ind w:left="2040"/>
        <w:spacing w:after="0"/>
        <w:rPr>
          <w:sz w:val="20"/>
          <w:szCs w:val="20"/>
          <w:color w:val="auto"/>
        </w:rPr>
      </w:pPr>
      <w:r>
        <w:rPr>
          <w:rFonts w:ascii="Arial" w:cs="Arial" w:eastAsia="Arial" w:hAnsi="Arial"/>
          <w:sz w:val="14"/>
          <w:szCs w:val="14"/>
          <w:color w:val="auto"/>
        </w:rPr>
        <w:t>payment will be provided in the pricing supplement.</w:t>
      </w:r>
    </w:p>
    <w:p>
      <w:pPr>
        <w:spacing w:after="0" w:line="41" w:lineRule="exact"/>
        <w:rPr>
          <w:sz w:val="20"/>
          <w:szCs w:val="20"/>
          <w:color w:val="auto"/>
        </w:rPr>
      </w:pPr>
    </w:p>
    <w:p>
      <w:pPr>
        <w:ind w:left="2040" w:hanging="318"/>
        <w:spacing w:after="0" w:line="241" w:lineRule="auto"/>
        <w:tabs>
          <w:tab w:leader="none" w:pos="2022" w:val="left"/>
        </w:tabs>
        <w:numPr>
          <w:ilvl w:val="0"/>
          <w:numId w:val="1"/>
        </w:numPr>
        <w:rPr>
          <w:rFonts w:ascii="Arial" w:cs="Arial" w:eastAsia="Arial" w:hAnsi="Arial"/>
          <w:sz w:val="14"/>
          <w:szCs w:val="14"/>
          <w:b w:val="1"/>
          <w:bCs w:val="1"/>
          <w:color w:val="auto"/>
        </w:rPr>
      </w:pPr>
      <w:r>
        <w:rPr>
          <w:rFonts w:ascii="Arial" w:cs="Arial" w:eastAsia="Arial" w:hAnsi="Arial"/>
          <w:sz w:val="14"/>
          <w:szCs w:val="14"/>
          <w:color w:val="auto"/>
        </w:rPr>
        <w:t xml:space="preserve">If the closing level of </w:t>
      </w:r>
      <w:r>
        <w:rPr>
          <w:rFonts w:ascii="Arial" w:cs="Arial" w:eastAsia="Arial" w:hAnsi="Arial"/>
          <w:sz w:val="14"/>
          <w:szCs w:val="14"/>
          <w:b w:val="1"/>
          <w:bCs w:val="1"/>
          <w:color w:val="auto"/>
        </w:rPr>
        <w:t>any underlying index</w:t>
      </w:r>
      <w:r>
        <w:rPr>
          <w:rFonts w:ascii="Arial" w:cs="Arial" w:eastAsia="Arial" w:hAnsi="Arial"/>
          <w:sz w:val="14"/>
          <w:szCs w:val="14"/>
          <w:color w:val="auto"/>
        </w:rPr>
        <w:t xml:space="preserve"> is less than its coupon barrier level on any day during a quarterly monitoring period, no contingent quarterly payment will be payable with respect to that quarterly monitoring period. It is possible that the closing level of one or more of the underlying indices will be below their respective coupon barrier levels on at least one day during most or all of the quarterly monitoring periods so that you will receive few or no contingent quarterly payments.</w:t>
      </w:r>
    </w:p>
    <w:p>
      <w:pPr>
        <w:spacing w:after="0" w:line="20" w:lineRule="exact"/>
        <w:rPr>
          <w:sz w:val="20"/>
          <w:szCs w:val="20"/>
          <w:color w:val="auto"/>
        </w:rPr>
      </w:pPr>
      <w:r>
        <w:rPr>
          <w:sz w:val="20"/>
          <w:szCs w:val="20"/>
          <w:color w:val="auto"/>
        </w:rPr>
        <w:br w:type="column"/>
      </w:r>
    </w:p>
    <w:p>
      <w:pPr>
        <w:spacing w:after="0" w:line="228" w:lineRule="auto"/>
        <w:rPr>
          <w:sz w:val="20"/>
          <w:szCs w:val="20"/>
          <w:color w:val="auto"/>
        </w:rPr>
      </w:pPr>
      <w:r>
        <w:rPr>
          <w:rFonts w:ascii="Arial" w:cs="Arial" w:eastAsia="Arial" w:hAnsi="Arial"/>
          <w:sz w:val="20"/>
          <w:szCs w:val="20"/>
          <w:color w:val="auto"/>
          <w:vertAlign w:val="superscript"/>
        </w:rPr>
        <w:t>†</w:t>
      </w:r>
      <w:r>
        <w:rPr>
          <w:rFonts w:ascii="Arial" w:cs="Arial" w:eastAsia="Arial" w:hAnsi="Arial"/>
          <w:sz w:val="13"/>
          <w:szCs w:val="13"/>
          <w:color w:val="auto"/>
        </w:rPr>
        <w:t>Subject to postponement or early acceleration</w:t>
      </w:r>
    </w:p>
    <w:p>
      <w:pPr>
        <w:ind w:right="20"/>
        <w:spacing w:after="0" w:line="234" w:lineRule="auto"/>
        <w:rPr>
          <w:sz w:val="20"/>
          <w:szCs w:val="20"/>
          <w:color w:val="auto"/>
        </w:rPr>
      </w:pPr>
      <w:r>
        <w:rPr>
          <w:rFonts w:ascii="Arial" w:cs="Arial" w:eastAsia="Arial" w:hAnsi="Arial"/>
          <w:sz w:val="12"/>
          <w:szCs w:val="12"/>
          <w:color w:val="auto"/>
        </w:rPr>
        <w:t>The estimated value of the securities on the pricing date will be provided in the pricing supplement and will not be less than $930.00 per $1,000 stated principal amount security. For information about the estimated value of the securities, which likely will be lower than the price you paid for the securities, please see the hyperlink above.</w:t>
      </w:r>
    </w:p>
    <w:p>
      <w:pPr>
        <w:spacing w:after="0" w:line="2" w:lineRule="exact"/>
        <w:rPr>
          <w:sz w:val="20"/>
          <w:szCs w:val="20"/>
          <w:color w:val="auto"/>
        </w:rPr>
      </w:pPr>
    </w:p>
    <w:p>
      <w:pPr>
        <w:ind w:right="500"/>
        <w:spacing w:after="0" w:line="241" w:lineRule="auto"/>
        <w:rPr>
          <w:sz w:val="20"/>
          <w:szCs w:val="20"/>
          <w:color w:val="auto"/>
        </w:rPr>
      </w:pPr>
      <w:r>
        <w:rPr>
          <w:rFonts w:ascii="Arial" w:cs="Arial" w:eastAsia="Arial" w:hAnsi="Arial"/>
          <w:sz w:val="12"/>
          <w:szCs w:val="12"/>
          <w:color w:val="auto"/>
        </w:rPr>
        <w:t>Any payment on the securities is subject to the credit risk of JPMorgan Financial, as issuer of the securities, and the credit risk of JPMorgan Chase &amp; Co., as guarantor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3488690" cy="377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88690" cy="377190"/>
                    </a:xfrm>
                    <a:prstGeom prst="rect">
                      <a:avLst/>
                    </a:prstGeom>
                    <a:noFill/>
                  </pic:spPr>
                </pic:pic>
              </a:graphicData>
            </a:graphic>
          </wp:anchor>
        </w:drawing>
      </w:r>
    </w:p>
    <w:p>
      <w:pPr>
        <w:spacing w:after="0" w:line="4" w:lineRule="exact"/>
        <w:rPr>
          <w:sz w:val="20"/>
          <w:szCs w:val="20"/>
          <w:color w:val="auto"/>
        </w:rPr>
      </w:pPr>
    </w:p>
    <w:p>
      <w:pPr>
        <w:ind w:left="1800"/>
        <w:spacing w:after="0"/>
        <w:rPr>
          <w:sz w:val="20"/>
          <w:szCs w:val="20"/>
          <w:color w:val="auto"/>
        </w:rPr>
      </w:pPr>
      <w:r>
        <w:rPr>
          <w:rFonts w:ascii="Arial" w:cs="Arial" w:eastAsia="Arial" w:hAnsi="Arial"/>
          <w:sz w:val="13"/>
          <w:szCs w:val="13"/>
          <w:b w:val="1"/>
          <w:bCs w:val="1"/>
          <w:color w:val="FFFFFF"/>
        </w:rPr>
        <w:t>Hypothetical Payout at Maturity</w:t>
      </w:r>
    </w:p>
    <w:tbl>
      <w:tblPr>
        <w:tblLayout w:type="fixed"/>
        <w:tblInd w:w="0" w:type="dxa"/>
        <w:tblCellMar>
          <w:top w:w="0" w:type="dxa"/>
          <w:left w:w="0" w:type="dxa"/>
          <w:bottom w:w="0" w:type="dxa"/>
          <w:right w:w="0" w:type="dxa"/>
        </w:tblCellMar>
      </w:tblPr>
      <w:tr>
        <w:trPr>
          <w:trHeight w:val="123"/>
        </w:trPr>
        <w:tc>
          <w:tcPr>
            <w:tcW w:w="294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6"/>
              </w:rPr>
              <w:t>Change in Worst Performing Underlying Index</w:t>
            </w:r>
          </w:p>
        </w:tc>
        <w:tc>
          <w:tcPr>
            <w:tcW w:w="2540" w:type="dxa"/>
            <w:vAlign w:val="bottom"/>
          </w:tcPr>
          <w:p>
            <w:pPr>
              <w:jc w:val="center"/>
              <w:spacing w:after="0" w:line="123" w:lineRule="exact"/>
              <w:rPr>
                <w:sz w:val="20"/>
                <w:szCs w:val="20"/>
                <w:color w:val="auto"/>
              </w:rPr>
            </w:pPr>
            <w:r>
              <w:rPr>
                <w:rFonts w:ascii="Arial" w:cs="Arial" w:eastAsia="Arial" w:hAnsi="Arial"/>
                <w:sz w:val="13"/>
                <w:szCs w:val="13"/>
                <w:b w:val="1"/>
                <w:bCs w:val="1"/>
                <w:color w:val="FFFFFF"/>
                <w:w w:val="96"/>
              </w:rPr>
              <w:t>Payment at Maturity (excluding any</w:t>
            </w:r>
          </w:p>
        </w:tc>
        <w:tc>
          <w:tcPr>
            <w:tcW w:w="0" w:type="dxa"/>
            <w:vAlign w:val="bottom"/>
          </w:tcPr>
          <w:p>
            <w:pPr>
              <w:spacing w:after="0"/>
              <w:rPr>
                <w:sz w:val="1"/>
                <w:szCs w:val="1"/>
                <w:color w:val="auto"/>
              </w:rPr>
            </w:pPr>
          </w:p>
        </w:tc>
      </w:tr>
      <w:tr>
        <w:trPr>
          <w:trHeight w:val="135"/>
        </w:trPr>
        <w:tc>
          <w:tcPr>
            <w:tcW w:w="2940" w:type="dxa"/>
            <w:vAlign w:val="bottom"/>
            <w:vMerge w:val="continue"/>
          </w:tcPr>
          <w:p>
            <w:pPr>
              <w:spacing w:after="0"/>
              <w:rPr>
                <w:sz w:val="11"/>
                <w:szCs w:val="11"/>
                <w:color w:val="auto"/>
              </w:rPr>
            </w:pPr>
          </w:p>
        </w:tc>
        <w:tc>
          <w:tcPr>
            <w:tcW w:w="2540" w:type="dxa"/>
            <w:vAlign w:val="bottom"/>
          </w:tcPr>
          <w:p>
            <w:pPr>
              <w:jc w:val="center"/>
              <w:spacing w:after="0" w:line="135" w:lineRule="exact"/>
              <w:rPr>
                <w:sz w:val="20"/>
                <w:szCs w:val="20"/>
                <w:color w:val="auto"/>
              </w:rPr>
            </w:pPr>
            <w:r>
              <w:rPr>
                <w:rFonts w:ascii="Arial" w:cs="Arial" w:eastAsia="Arial" w:hAnsi="Arial"/>
                <w:sz w:val="13"/>
                <w:szCs w:val="13"/>
                <w:b w:val="1"/>
                <w:bCs w:val="1"/>
                <w:color w:val="FFFFFF"/>
                <w:w w:val="96"/>
              </w:rPr>
              <w:t>contingent quarterly payment payable at</w:t>
            </w:r>
          </w:p>
        </w:tc>
        <w:tc>
          <w:tcPr>
            <w:tcW w:w="0" w:type="dxa"/>
            <w:vAlign w:val="bottom"/>
          </w:tcPr>
          <w:p>
            <w:pPr>
              <w:spacing w:after="0"/>
              <w:rPr>
                <w:sz w:val="1"/>
                <w:szCs w:val="1"/>
                <w:color w:val="auto"/>
              </w:rPr>
            </w:pPr>
          </w:p>
        </w:tc>
      </w:tr>
      <w:tr>
        <w:trPr>
          <w:trHeight w:val="153"/>
        </w:trPr>
        <w:tc>
          <w:tcPr>
            <w:tcW w:w="2940" w:type="dxa"/>
            <w:vAlign w:val="bottom"/>
          </w:tcPr>
          <w:p>
            <w:pPr>
              <w:spacing w:after="0"/>
              <w:rPr>
                <w:sz w:val="13"/>
                <w:szCs w:val="13"/>
                <w:color w:val="auto"/>
              </w:rPr>
            </w:pPr>
          </w:p>
        </w:tc>
        <w:tc>
          <w:tcPr>
            <w:tcW w:w="2540" w:type="dxa"/>
            <w:vAlign w:val="bottom"/>
          </w:tcPr>
          <w:p>
            <w:pPr>
              <w:jc w:val="center"/>
              <w:spacing w:after="0"/>
              <w:rPr>
                <w:sz w:val="20"/>
                <w:szCs w:val="20"/>
                <w:color w:val="auto"/>
              </w:rPr>
            </w:pPr>
            <w:r>
              <w:rPr>
                <w:rFonts w:ascii="Arial" w:cs="Arial" w:eastAsia="Arial" w:hAnsi="Arial"/>
                <w:sz w:val="13"/>
                <w:szCs w:val="13"/>
                <w:b w:val="1"/>
                <w:bCs w:val="1"/>
                <w:color w:val="FFFFFF"/>
                <w:w w:val="97"/>
              </w:rPr>
              <w:t>maturity)</w:t>
            </w:r>
          </w:p>
        </w:tc>
        <w:tc>
          <w:tcPr>
            <w:tcW w:w="0" w:type="dxa"/>
            <w:vAlign w:val="bottom"/>
          </w:tcPr>
          <w:p>
            <w:pPr>
              <w:spacing w:after="0"/>
              <w:rPr>
                <w:sz w:val="1"/>
                <w:szCs w:val="1"/>
                <w:color w:val="auto"/>
              </w:rPr>
            </w:pPr>
          </w:p>
        </w:tc>
      </w:tr>
      <w:tr>
        <w:trPr>
          <w:trHeight w:val="135"/>
        </w:trPr>
        <w:tc>
          <w:tcPr>
            <w:tcW w:w="2940" w:type="dxa"/>
            <w:vAlign w:val="bottom"/>
            <w:shd w:val="clear" w:color="auto" w:fill="D9D9D9"/>
          </w:tcPr>
          <w:p>
            <w:pPr>
              <w:jc w:val="center"/>
              <w:spacing w:after="0" w:line="135" w:lineRule="exact"/>
              <w:rPr>
                <w:sz w:val="20"/>
                <w:szCs w:val="20"/>
                <w:color w:val="auto"/>
              </w:rPr>
            </w:pPr>
            <w:r>
              <w:rPr>
                <w:rFonts w:ascii="Arial" w:cs="Arial" w:eastAsia="Arial" w:hAnsi="Arial"/>
                <w:sz w:val="13"/>
                <w:szCs w:val="13"/>
                <w:color w:val="auto"/>
                <w:w w:val="99"/>
              </w:rPr>
              <w:t>50.00%</w:t>
            </w:r>
          </w:p>
        </w:tc>
        <w:tc>
          <w:tcPr>
            <w:tcW w:w="2540" w:type="dxa"/>
            <w:vAlign w:val="bottom"/>
            <w:shd w:val="clear" w:color="auto" w:fill="D9D9D9"/>
          </w:tcPr>
          <w:p>
            <w:pPr>
              <w:jc w:val="center"/>
              <w:spacing w:after="0" w:line="135" w:lineRule="exact"/>
              <w:rPr>
                <w:sz w:val="20"/>
                <w:szCs w:val="20"/>
                <w:color w:val="auto"/>
              </w:rPr>
            </w:pPr>
            <w:r>
              <w:rPr>
                <w:rFonts w:ascii="Arial" w:cs="Arial" w:eastAsia="Arial" w:hAnsi="Arial"/>
                <w:sz w:val="13"/>
                <w:szCs w:val="13"/>
                <w:color w:val="auto"/>
                <w:w w:val="96"/>
              </w:rPr>
              <w:t>$1,000.00</w:t>
            </w:r>
          </w:p>
        </w:tc>
        <w:tc>
          <w:tcPr>
            <w:tcW w:w="0" w:type="dxa"/>
            <w:vAlign w:val="bottom"/>
          </w:tcPr>
          <w:p>
            <w:pPr>
              <w:spacing w:after="0"/>
              <w:rPr>
                <w:sz w:val="1"/>
                <w:szCs w:val="1"/>
                <w:color w:val="auto"/>
              </w:rPr>
            </w:pPr>
          </w:p>
        </w:tc>
      </w:tr>
      <w:tr>
        <w:trPr>
          <w:trHeight w:val="135"/>
        </w:trPr>
        <w:tc>
          <w:tcPr>
            <w:tcW w:w="2940" w:type="dxa"/>
            <w:vAlign w:val="bottom"/>
          </w:tcPr>
          <w:p>
            <w:pPr>
              <w:jc w:val="center"/>
              <w:spacing w:after="0" w:line="135" w:lineRule="exact"/>
              <w:rPr>
                <w:sz w:val="20"/>
                <w:szCs w:val="20"/>
                <w:color w:val="auto"/>
              </w:rPr>
            </w:pPr>
            <w:r>
              <w:rPr>
                <w:rFonts w:ascii="Arial" w:cs="Arial" w:eastAsia="Arial" w:hAnsi="Arial"/>
                <w:sz w:val="13"/>
                <w:szCs w:val="13"/>
                <w:color w:val="auto"/>
                <w:w w:val="99"/>
              </w:rPr>
              <w:t>40.00%</w:t>
            </w:r>
          </w:p>
        </w:tc>
        <w:tc>
          <w:tcPr>
            <w:tcW w:w="2540" w:type="dxa"/>
            <w:vAlign w:val="bottom"/>
          </w:tcPr>
          <w:p>
            <w:pPr>
              <w:jc w:val="center"/>
              <w:spacing w:after="0" w:line="135" w:lineRule="exact"/>
              <w:rPr>
                <w:sz w:val="20"/>
                <w:szCs w:val="20"/>
                <w:color w:val="auto"/>
              </w:rPr>
            </w:pPr>
            <w:r>
              <w:rPr>
                <w:rFonts w:ascii="Arial" w:cs="Arial" w:eastAsia="Arial" w:hAnsi="Arial"/>
                <w:sz w:val="13"/>
                <w:szCs w:val="13"/>
                <w:color w:val="auto"/>
                <w:w w:val="96"/>
              </w:rPr>
              <w:t>$1,000.00</w:t>
            </w:r>
          </w:p>
        </w:tc>
        <w:tc>
          <w:tcPr>
            <w:tcW w:w="0" w:type="dxa"/>
            <w:vAlign w:val="bottom"/>
          </w:tcPr>
          <w:p>
            <w:pPr>
              <w:spacing w:after="0"/>
              <w:rPr>
                <w:sz w:val="1"/>
                <w:szCs w:val="1"/>
                <w:color w:val="auto"/>
              </w:rPr>
            </w:pPr>
          </w:p>
        </w:tc>
      </w:tr>
      <w:tr>
        <w:trPr>
          <w:trHeight w:val="135"/>
        </w:trPr>
        <w:tc>
          <w:tcPr>
            <w:tcW w:w="2940" w:type="dxa"/>
            <w:vAlign w:val="bottom"/>
            <w:shd w:val="clear" w:color="auto" w:fill="D9D9D9"/>
          </w:tcPr>
          <w:p>
            <w:pPr>
              <w:jc w:val="center"/>
              <w:spacing w:after="0" w:line="135" w:lineRule="exact"/>
              <w:rPr>
                <w:sz w:val="20"/>
                <w:szCs w:val="20"/>
                <w:color w:val="auto"/>
              </w:rPr>
            </w:pPr>
            <w:r>
              <w:rPr>
                <w:rFonts w:ascii="Arial" w:cs="Arial" w:eastAsia="Arial" w:hAnsi="Arial"/>
                <w:sz w:val="13"/>
                <w:szCs w:val="13"/>
                <w:color w:val="auto"/>
                <w:w w:val="99"/>
              </w:rPr>
              <w:t>30.00%</w:t>
            </w:r>
          </w:p>
        </w:tc>
        <w:tc>
          <w:tcPr>
            <w:tcW w:w="2540" w:type="dxa"/>
            <w:vAlign w:val="bottom"/>
            <w:shd w:val="clear" w:color="auto" w:fill="D9D9D9"/>
          </w:tcPr>
          <w:p>
            <w:pPr>
              <w:jc w:val="center"/>
              <w:spacing w:after="0" w:line="135" w:lineRule="exact"/>
              <w:rPr>
                <w:sz w:val="20"/>
                <w:szCs w:val="20"/>
                <w:color w:val="auto"/>
              </w:rPr>
            </w:pPr>
            <w:r>
              <w:rPr>
                <w:rFonts w:ascii="Arial" w:cs="Arial" w:eastAsia="Arial" w:hAnsi="Arial"/>
                <w:sz w:val="13"/>
                <w:szCs w:val="13"/>
                <w:color w:val="auto"/>
                <w:w w:val="96"/>
              </w:rPr>
              <w:t>$1,000.00</w:t>
            </w:r>
          </w:p>
        </w:tc>
        <w:tc>
          <w:tcPr>
            <w:tcW w:w="0" w:type="dxa"/>
            <w:vAlign w:val="bottom"/>
          </w:tcPr>
          <w:p>
            <w:pPr>
              <w:spacing w:after="0"/>
              <w:rPr>
                <w:sz w:val="1"/>
                <w:szCs w:val="1"/>
                <w:color w:val="auto"/>
              </w:rPr>
            </w:pPr>
          </w:p>
        </w:tc>
      </w:tr>
      <w:tr>
        <w:trPr>
          <w:trHeight w:val="129"/>
        </w:trPr>
        <w:tc>
          <w:tcPr>
            <w:tcW w:w="2940" w:type="dxa"/>
            <w:vAlign w:val="bottom"/>
          </w:tcPr>
          <w:p>
            <w:pPr>
              <w:jc w:val="center"/>
              <w:spacing w:after="0" w:line="129" w:lineRule="exact"/>
              <w:rPr>
                <w:sz w:val="20"/>
                <w:szCs w:val="20"/>
                <w:color w:val="auto"/>
              </w:rPr>
            </w:pPr>
            <w:r>
              <w:rPr>
                <w:rFonts w:ascii="Arial" w:cs="Arial" w:eastAsia="Arial" w:hAnsi="Arial"/>
                <w:sz w:val="13"/>
                <w:szCs w:val="13"/>
                <w:color w:val="auto"/>
                <w:w w:val="99"/>
              </w:rPr>
              <w:t>20.00%</w:t>
            </w:r>
          </w:p>
        </w:tc>
        <w:tc>
          <w:tcPr>
            <w:tcW w:w="2540" w:type="dxa"/>
            <w:vAlign w:val="bottom"/>
          </w:tcPr>
          <w:p>
            <w:pPr>
              <w:jc w:val="center"/>
              <w:spacing w:after="0" w:line="129" w:lineRule="exact"/>
              <w:rPr>
                <w:sz w:val="20"/>
                <w:szCs w:val="20"/>
                <w:color w:val="auto"/>
              </w:rPr>
            </w:pPr>
            <w:r>
              <w:rPr>
                <w:rFonts w:ascii="Arial" w:cs="Arial" w:eastAsia="Arial" w:hAnsi="Arial"/>
                <w:sz w:val="13"/>
                <w:szCs w:val="13"/>
                <w:color w:val="auto"/>
                <w:w w:val="96"/>
              </w:rPr>
              <w:t>$1,000.00</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400" w:space="340"/>
            <w:col w:w="5500"/>
          </w:cols>
          <w:pgMar w:left="320" w:top="219" w:right="339" w:bottom="1440" w:gutter="0" w:footer="0" w:header="0"/>
          <w:type w:val="continuous"/>
        </w:sectPr>
      </w:pPr>
    </w:p>
    <w:p>
      <w:pPr>
        <w:spacing w:after="0" w:line="5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296DC1"/>
        </w:rPr>
        <w:t>Payment at maturity:</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left="138" w:hanging="138"/>
        <w:spacing w:after="0" w:line="226" w:lineRule="auto"/>
        <w:tabs>
          <w:tab w:leader="none" w:pos="133" w:val="left"/>
        </w:tabs>
        <w:numPr>
          <w:ilvl w:val="0"/>
          <w:numId w:val="2"/>
        </w:numPr>
        <w:rPr>
          <w:rFonts w:ascii="Arial" w:cs="Arial" w:eastAsia="Arial" w:hAnsi="Arial"/>
          <w:sz w:val="13"/>
          <w:szCs w:val="13"/>
          <w:b w:val="1"/>
          <w:bCs w:val="1"/>
          <w:color w:val="auto"/>
        </w:rPr>
      </w:pPr>
      <w:r>
        <w:rPr>
          <w:rFonts w:ascii="Arial" w:cs="Arial" w:eastAsia="Arial" w:hAnsi="Arial"/>
          <w:sz w:val="13"/>
          <w:szCs w:val="13"/>
          <w:color w:val="auto"/>
        </w:rPr>
        <w:t xml:space="preserve">If the final index value of </w:t>
      </w:r>
      <w:r>
        <w:rPr>
          <w:rFonts w:ascii="Arial" w:cs="Arial" w:eastAsia="Arial" w:hAnsi="Arial"/>
          <w:sz w:val="13"/>
          <w:szCs w:val="13"/>
          <w:b w:val="1"/>
          <w:bCs w:val="1"/>
          <w:color w:val="auto"/>
        </w:rPr>
        <w:t xml:space="preserve">each </w:t>
      </w:r>
      <w:r>
        <w:rPr>
          <w:rFonts w:ascii="Arial" w:cs="Arial" w:eastAsia="Arial" w:hAnsi="Arial"/>
          <w:sz w:val="13"/>
          <w:szCs w:val="13"/>
          <w:color w:val="auto"/>
        </w:rPr>
        <w:t>underlying index is</w:t>
      </w:r>
      <w:r>
        <w:rPr>
          <w:rFonts w:ascii="Arial" w:cs="Arial" w:eastAsia="Arial" w:hAnsi="Arial"/>
          <w:sz w:val="13"/>
          <w:szCs w:val="13"/>
          <w:b w:val="1"/>
          <w:bCs w:val="1"/>
          <w:color w:val="auto"/>
        </w:rPr>
        <w:t xml:space="preserve"> greater than or equal to </w:t>
      </w:r>
      <w:r>
        <w:rPr>
          <w:rFonts w:ascii="Arial" w:cs="Arial" w:eastAsia="Arial" w:hAnsi="Arial"/>
          <w:sz w:val="13"/>
          <w:szCs w:val="13"/>
          <w:color w:val="auto"/>
        </w:rPr>
        <w:t>its downside threshold level:</w:t>
      </w:r>
    </w:p>
    <w:p>
      <w:pPr>
        <w:spacing w:after="0" w:line="200" w:lineRule="exact"/>
        <w:rPr>
          <w:rFonts w:ascii="Arial" w:cs="Arial" w:eastAsia="Arial" w:hAnsi="Arial"/>
          <w:sz w:val="13"/>
          <w:szCs w:val="13"/>
          <w:b w:val="1"/>
          <w:bCs w:val="1"/>
          <w:color w:val="auto"/>
        </w:rPr>
      </w:pPr>
    </w:p>
    <w:p>
      <w:pPr>
        <w:spacing w:after="0" w:line="216" w:lineRule="exact"/>
        <w:rPr>
          <w:rFonts w:ascii="Arial" w:cs="Arial" w:eastAsia="Arial" w:hAnsi="Arial"/>
          <w:sz w:val="13"/>
          <w:szCs w:val="13"/>
          <w:b w:val="1"/>
          <w:bCs w:val="1"/>
          <w:color w:val="auto"/>
        </w:rPr>
      </w:pPr>
    </w:p>
    <w:p>
      <w:pPr>
        <w:ind w:left="138" w:right="60" w:hanging="138"/>
        <w:spacing w:after="0" w:line="251" w:lineRule="auto"/>
        <w:tabs>
          <w:tab w:leader="none" w:pos="133" w:val="left"/>
        </w:tabs>
        <w:numPr>
          <w:ilvl w:val="0"/>
          <w:numId w:val="2"/>
        </w:numPr>
        <w:rPr>
          <w:rFonts w:ascii="Arial" w:cs="Arial" w:eastAsia="Arial" w:hAnsi="Arial"/>
          <w:sz w:val="12"/>
          <w:szCs w:val="12"/>
          <w:b w:val="1"/>
          <w:bCs w:val="1"/>
          <w:color w:val="auto"/>
        </w:rPr>
      </w:pPr>
      <w:r>
        <w:rPr>
          <w:rFonts w:ascii="Arial" w:cs="Arial" w:eastAsia="Arial" w:hAnsi="Arial"/>
          <w:sz w:val="12"/>
          <w:szCs w:val="12"/>
          <w:color w:val="auto"/>
        </w:rPr>
        <w:t xml:space="preserve">If the final index value of </w:t>
      </w:r>
      <w:r>
        <w:rPr>
          <w:rFonts w:ascii="Arial" w:cs="Arial" w:eastAsia="Arial" w:hAnsi="Arial"/>
          <w:sz w:val="12"/>
          <w:szCs w:val="12"/>
          <w:b w:val="1"/>
          <w:bCs w:val="1"/>
          <w:color w:val="auto"/>
        </w:rPr>
        <w:t xml:space="preserve">any </w:t>
      </w:r>
      <w:r>
        <w:rPr>
          <w:rFonts w:ascii="Arial" w:cs="Arial" w:eastAsia="Arial" w:hAnsi="Arial"/>
          <w:sz w:val="12"/>
          <w:szCs w:val="12"/>
          <w:color w:val="auto"/>
        </w:rPr>
        <w:t>underlying index is</w:t>
      </w:r>
      <w:r>
        <w:rPr>
          <w:rFonts w:ascii="Arial" w:cs="Arial" w:eastAsia="Arial" w:hAnsi="Arial"/>
          <w:sz w:val="12"/>
          <w:szCs w:val="12"/>
          <w:b w:val="1"/>
          <w:bCs w:val="1"/>
          <w:color w:val="auto"/>
        </w:rPr>
        <w:t xml:space="preserve"> less than </w:t>
      </w:r>
      <w:r>
        <w:rPr>
          <w:rFonts w:ascii="Arial" w:cs="Arial" w:eastAsia="Arial" w:hAnsi="Arial"/>
          <w:sz w:val="12"/>
          <w:szCs w:val="12"/>
          <w:color w:val="auto"/>
        </w:rPr>
        <w:t>its downside</w:t>
      </w:r>
      <w:r>
        <w:rPr>
          <w:rFonts w:ascii="Arial" w:cs="Arial" w:eastAsia="Arial" w:hAnsi="Arial"/>
          <w:sz w:val="12"/>
          <w:szCs w:val="12"/>
          <w:b w:val="1"/>
          <w:bCs w:val="1"/>
          <w:color w:val="auto"/>
        </w:rPr>
        <w:t xml:space="preserve"> </w:t>
      </w:r>
      <w:r>
        <w:rPr>
          <w:rFonts w:ascii="Arial" w:cs="Arial" w:eastAsia="Arial" w:hAnsi="Arial"/>
          <w:sz w:val="12"/>
          <w:szCs w:val="12"/>
          <w:color w:val="auto"/>
        </w:rPr>
        <w:t>threshold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-1087755</wp:posOffset>
            </wp:positionH>
            <wp:positionV relativeFrom="paragraph">
              <wp:posOffset>253365</wp:posOffset>
            </wp:positionV>
            <wp:extent cx="3488690" cy="2311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88690" cy="2311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left="153" w:hanging="153"/>
        <w:spacing w:after="0"/>
        <w:tabs>
          <w:tab w:leader="none" w:pos="15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the stated principal amount </w:t>
      </w:r>
      <w:r>
        <w:rPr>
          <w:rFonts w:ascii="Arial" w:cs="Arial" w:eastAsia="Arial" w:hAnsi="Arial"/>
          <w:sz w:val="12"/>
          <w:szCs w:val="12"/>
          <w:i w:val="1"/>
          <w:iCs w:val="1"/>
          <w:color w:val="auto"/>
        </w:rPr>
        <w:t>plus,</w:t>
      </w:r>
    </w:p>
    <w:p>
      <w:pPr>
        <w:spacing w:after="0" w:line="9" w:lineRule="exact"/>
        <w:rPr>
          <w:rFonts w:ascii="Arial" w:cs="Arial" w:eastAsia="Arial" w:hAnsi="Arial"/>
          <w:sz w:val="12"/>
          <w:szCs w:val="12"/>
          <w:color w:val="auto"/>
        </w:rPr>
      </w:pPr>
    </w:p>
    <w:p>
      <w:pPr>
        <w:ind w:left="-7" w:firstLine="7"/>
        <w:spacing w:after="0" w:line="239" w:lineRule="auto"/>
        <w:tabs>
          <w:tab w:leader="none" w:pos="168" w:val="left"/>
        </w:tabs>
        <w:numPr>
          <w:ilvl w:val="0"/>
          <w:numId w:val="3"/>
        </w:numPr>
        <w:rPr>
          <w:rFonts w:ascii="Arial" w:cs="Arial" w:eastAsia="Arial" w:hAnsi="Arial"/>
          <w:sz w:val="12"/>
          <w:szCs w:val="12"/>
          <w:color w:val="auto"/>
        </w:rPr>
      </w:pPr>
      <w:r>
        <w:rPr>
          <w:rFonts w:ascii="Arial" w:cs="Arial" w:eastAsia="Arial" w:hAnsi="Arial"/>
          <w:sz w:val="12"/>
          <w:szCs w:val="12"/>
          <w:color w:val="auto"/>
        </w:rPr>
        <w:t>if the closing level of each underlying index on each day during the final quarterly monitoring period is greater than or equal to its coupon barrier level, the contingent quarterly payment with respect to the final quarterly monitoring period</w:t>
      </w:r>
    </w:p>
    <w:p>
      <w:pPr>
        <w:spacing w:after="0" w:line="12" w:lineRule="exact"/>
        <w:rPr>
          <w:sz w:val="20"/>
          <w:szCs w:val="20"/>
          <w:color w:val="auto"/>
        </w:rPr>
      </w:pPr>
    </w:p>
    <w:p>
      <w:pPr>
        <w:ind w:left="153" w:hanging="153"/>
        <w:spacing w:after="0"/>
        <w:tabs>
          <w:tab w:leader="none" w:pos="15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the stated principal amount </w:t>
      </w:r>
      <w:r>
        <w:rPr>
          <w:rFonts w:ascii="Arial" w:cs="Arial" w:eastAsia="Arial" w:hAnsi="Arial"/>
          <w:sz w:val="12"/>
          <w:szCs w:val="12"/>
          <w:i w:val="1"/>
          <w:iCs w:val="1"/>
          <w:color w:val="auto"/>
        </w:rPr>
        <w:t>times</w:t>
      </w:r>
    </w:p>
    <w:p>
      <w:pPr>
        <w:spacing w:after="0" w:line="9" w:lineRule="exact"/>
        <w:rPr>
          <w:rFonts w:ascii="Arial" w:cs="Arial" w:eastAsia="Arial" w:hAnsi="Arial"/>
          <w:sz w:val="12"/>
          <w:szCs w:val="12"/>
          <w:color w:val="auto"/>
        </w:rPr>
      </w:pPr>
    </w:p>
    <w:p>
      <w:pPr>
        <w:ind w:left="-7" w:firstLine="7"/>
        <w:spacing w:after="0" w:line="221" w:lineRule="auto"/>
        <w:tabs>
          <w:tab w:leader="none" w:pos="168"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index performance factor of the worst performing underlying index. This cash payment will be less than 65% of the stated principal amount of the securities and could be zero.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1"/>
        </w:trPr>
        <w:tc>
          <w:tcPr>
            <w:tcW w:w="2840" w:type="dxa"/>
            <w:vAlign w:val="bottom"/>
            <w:shd w:val="clear" w:color="auto" w:fill="D9D9D9"/>
          </w:tcPr>
          <w:p>
            <w:pPr>
              <w:jc w:val="center"/>
              <w:ind w:left="57"/>
              <w:spacing w:after="0" w:line="141" w:lineRule="exact"/>
              <w:rPr>
                <w:sz w:val="20"/>
                <w:szCs w:val="20"/>
                <w:color w:val="auto"/>
              </w:rPr>
            </w:pPr>
            <w:r>
              <w:rPr>
                <w:rFonts w:ascii="Arial" w:cs="Arial" w:eastAsia="Arial" w:hAnsi="Arial"/>
                <w:sz w:val="13"/>
                <w:szCs w:val="13"/>
                <w:color w:val="auto"/>
                <w:w w:val="99"/>
              </w:rPr>
              <w:t>10.00%</w:t>
            </w:r>
          </w:p>
        </w:tc>
        <w:tc>
          <w:tcPr>
            <w:tcW w:w="2640" w:type="dxa"/>
            <w:vAlign w:val="bottom"/>
            <w:shd w:val="clear" w:color="auto" w:fill="D9D9D9"/>
          </w:tcPr>
          <w:p>
            <w:pPr>
              <w:jc w:val="center"/>
              <w:ind w:left="57"/>
              <w:spacing w:after="0" w:line="141" w:lineRule="exact"/>
              <w:rPr>
                <w:sz w:val="20"/>
                <w:szCs w:val="20"/>
                <w:color w:val="auto"/>
              </w:rPr>
            </w:pPr>
            <w:r>
              <w:rPr>
                <w:rFonts w:ascii="Arial" w:cs="Arial" w:eastAsia="Arial" w:hAnsi="Arial"/>
                <w:sz w:val="13"/>
                <w:szCs w:val="13"/>
                <w:color w:val="auto"/>
                <w:w w:val="96"/>
              </w:rPr>
              <w:t>$1,000.00</w:t>
            </w:r>
          </w:p>
        </w:tc>
      </w:tr>
      <w:tr>
        <w:trPr>
          <w:trHeight w:val="135"/>
        </w:trPr>
        <w:tc>
          <w:tcPr>
            <w:tcW w:w="2840" w:type="dxa"/>
            <w:vAlign w:val="bottom"/>
          </w:tcPr>
          <w:p>
            <w:pPr>
              <w:jc w:val="center"/>
              <w:ind w:left="57"/>
              <w:spacing w:after="0" w:line="135" w:lineRule="exact"/>
              <w:rPr>
                <w:sz w:val="20"/>
                <w:szCs w:val="20"/>
                <w:color w:val="auto"/>
              </w:rPr>
            </w:pPr>
            <w:r>
              <w:rPr>
                <w:rFonts w:ascii="Arial" w:cs="Arial" w:eastAsia="Arial" w:hAnsi="Arial"/>
                <w:sz w:val="13"/>
                <w:szCs w:val="13"/>
                <w:color w:val="auto"/>
                <w:w w:val="97"/>
              </w:rPr>
              <w:t>5.00%</w:t>
            </w:r>
          </w:p>
        </w:tc>
        <w:tc>
          <w:tcPr>
            <w:tcW w:w="2640" w:type="dxa"/>
            <w:vAlign w:val="bottom"/>
          </w:tcPr>
          <w:p>
            <w:pPr>
              <w:jc w:val="center"/>
              <w:ind w:left="57"/>
              <w:spacing w:after="0" w:line="135" w:lineRule="exact"/>
              <w:rPr>
                <w:sz w:val="20"/>
                <w:szCs w:val="20"/>
                <w:color w:val="auto"/>
              </w:rPr>
            </w:pPr>
            <w:r>
              <w:rPr>
                <w:rFonts w:ascii="Arial" w:cs="Arial" w:eastAsia="Arial" w:hAnsi="Arial"/>
                <w:sz w:val="13"/>
                <w:szCs w:val="13"/>
                <w:color w:val="auto"/>
                <w:w w:val="96"/>
              </w:rPr>
              <w:t>$1,000.00</w:t>
            </w:r>
          </w:p>
        </w:tc>
      </w:tr>
      <w:tr>
        <w:trPr>
          <w:trHeight w:val="135"/>
        </w:trPr>
        <w:tc>
          <w:tcPr>
            <w:tcW w:w="2840" w:type="dxa"/>
            <w:vAlign w:val="bottom"/>
            <w:shd w:val="clear" w:color="auto" w:fill="D9D9D9"/>
          </w:tcPr>
          <w:p>
            <w:pPr>
              <w:jc w:val="center"/>
              <w:ind w:left="57"/>
              <w:spacing w:after="0" w:line="135" w:lineRule="exact"/>
              <w:rPr>
                <w:sz w:val="20"/>
                <w:szCs w:val="20"/>
                <w:color w:val="auto"/>
              </w:rPr>
            </w:pPr>
            <w:r>
              <w:rPr>
                <w:rFonts w:ascii="Arial" w:cs="Arial" w:eastAsia="Arial" w:hAnsi="Arial"/>
                <w:sz w:val="13"/>
                <w:szCs w:val="13"/>
                <w:color w:val="auto"/>
                <w:w w:val="97"/>
              </w:rPr>
              <w:t>0.00%</w:t>
            </w:r>
          </w:p>
        </w:tc>
        <w:tc>
          <w:tcPr>
            <w:tcW w:w="2640" w:type="dxa"/>
            <w:vAlign w:val="bottom"/>
            <w:shd w:val="clear" w:color="auto" w:fill="D9D9D9"/>
          </w:tcPr>
          <w:p>
            <w:pPr>
              <w:jc w:val="center"/>
              <w:ind w:left="57"/>
              <w:spacing w:after="0" w:line="135" w:lineRule="exact"/>
              <w:rPr>
                <w:sz w:val="20"/>
                <w:szCs w:val="20"/>
                <w:color w:val="auto"/>
              </w:rPr>
            </w:pPr>
            <w:r>
              <w:rPr>
                <w:rFonts w:ascii="Arial" w:cs="Arial" w:eastAsia="Arial" w:hAnsi="Arial"/>
                <w:sz w:val="13"/>
                <w:szCs w:val="13"/>
                <w:color w:val="auto"/>
                <w:w w:val="96"/>
              </w:rPr>
              <w:t>$1,000.00</w:t>
            </w:r>
          </w:p>
        </w:tc>
      </w:tr>
      <w:tr>
        <w:trPr>
          <w:trHeight w:val="135"/>
        </w:trPr>
        <w:tc>
          <w:tcPr>
            <w:tcW w:w="2840" w:type="dxa"/>
            <w:vAlign w:val="bottom"/>
          </w:tcPr>
          <w:p>
            <w:pPr>
              <w:jc w:val="center"/>
              <w:ind w:left="57"/>
              <w:spacing w:after="0" w:line="135" w:lineRule="exact"/>
              <w:rPr>
                <w:sz w:val="20"/>
                <w:szCs w:val="20"/>
                <w:color w:val="auto"/>
              </w:rPr>
            </w:pPr>
            <w:r>
              <w:rPr>
                <w:rFonts w:ascii="Arial" w:cs="Arial" w:eastAsia="Arial" w:hAnsi="Arial"/>
                <w:sz w:val="13"/>
                <w:szCs w:val="13"/>
                <w:color w:val="auto"/>
                <w:w w:val="99"/>
              </w:rPr>
              <w:t>-10.00%</w:t>
            </w:r>
          </w:p>
        </w:tc>
        <w:tc>
          <w:tcPr>
            <w:tcW w:w="2640" w:type="dxa"/>
            <w:vAlign w:val="bottom"/>
          </w:tcPr>
          <w:p>
            <w:pPr>
              <w:jc w:val="center"/>
              <w:ind w:left="57"/>
              <w:spacing w:after="0" w:line="135" w:lineRule="exact"/>
              <w:rPr>
                <w:sz w:val="20"/>
                <w:szCs w:val="20"/>
                <w:color w:val="auto"/>
              </w:rPr>
            </w:pPr>
            <w:r>
              <w:rPr>
                <w:rFonts w:ascii="Arial" w:cs="Arial" w:eastAsia="Arial" w:hAnsi="Arial"/>
                <w:sz w:val="13"/>
                <w:szCs w:val="13"/>
                <w:color w:val="auto"/>
                <w:w w:val="96"/>
              </w:rPr>
              <w:t>$1,000.00</w:t>
            </w:r>
          </w:p>
        </w:tc>
      </w:tr>
      <w:tr>
        <w:trPr>
          <w:trHeight w:val="135"/>
        </w:trPr>
        <w:tc>
          <w:tcPr>
            <w:tcW w:w="2840" w:type="dxa"/>
            <w:vAlign w:val="bottom"/>
            <w:shd w:val="clear" w:color="auto" w:fill="D9D9D9"/>
          </w:tcPr>
          <w:p>
            <w:pPr>
              <w:jc w:val="center"/>
              <w:ind w:left="57"/>
              <w:spacing w:after="0" w:line="135" w:lineRule="exact"/>
              <w:rPr>
                <w:sz w:val="20"/>
                <w:szCs w:val="20"/>
                <w:color w:val="auto"/>
              </w:rPr>
            </w:pPr>
            <w:r>
              <w:rPr>
                <w:rFonts w:ascii="Arial" w:cs="Arial" w:eastAsia="Arial" w:hAnsi="Arial"/>
                <w:sz w:val="13"/>
                <w:szCs w:val="13"/>
                <w:color w:val="auto"/>
                <w:w w:val="99"/>
              </w:rPr>
              <w:t>-20.00%</w:t>
            </w:r>
          </w:p>
        </w:tc>
        <w:tc>
          <w:tcPr>
            <w:tcW w:w="2640" w:type="dxa"/>
            <w:vAlign w:val="bottom"/>
            <w:shd w:val="clear" w:color="auto" w:fill="D9D9D9"/>
          </w:tcPr>
          <w:p>
            <w:pPr>
              <w:jc w:val="center"/>
              <w:ind w:left="57"/>
              <w:spacing w:after="0" w:line="135" w:lineRule="exact"/>
              <w:rPr>
                <w:sz w:val="20"/>
                <w:szCs w:val="20"/>
                <w:color w:val="auto"/>
              </w:rPr>
            </w:pPr>
            <w:r>
              <w:rPr>
                <w:rFonts w:ascii="Arial" w:cs="Arial" w:eastAsia="Arial" w:hAnsi="Arial"/>
                <w:sz w:val="13"/>
                <w:szCs w:val="13"/>
                <w:color w:val="auto"/>
                <w:w w:val="96"/>
              </w:rPr>
              <w:t>$1,000.00</w:t>
            </w:r>
          </w:p>
        </w:tc>
      </w:tr>
      <w:tr>
        <w:trPr>
          <w:trHeight w:val="135"/>
        </w:trPr>
        <w:tc>
          <w:tcPr>
            <w:tcW w:w="2840" w:type="dxa"/>
            <w:vAlign w:val="bottom"/>
          </w:tcPr>
          <w:p>
            <w:pPr>
              <w:jc w:val="center"/>
              <w:ind w:left="57"/>
              <w:spacing w:after="0" w:line="135" w:lineRule="exact"/>
              <w:rPr>
                <w:sz w:val="20"/>
                <w:szCs w:val="20"/>
                <w:color w:val="auto"/>
              </w:rPr>
            </w:pPr>
            <w:r>
              <w:rPr>
                <w:rFonts w:ascii="Arial" w:cs="Arial" w:eastAsia="Arial" w:hAnsi="Arial"/>
                <w:sz w:val="13"/>
                <w:szCs w:val="13"/>
                <w:color w:val="auto"/>
                <w:w w:val="99"/>
              </w:rPr>
              <w:t>-30.00%</w:t>
            </w:r>
          </w:p>
        </w:tc>
        <w:tc>
          <w:tcPr>
            <w:tcW w:w="2640" w:type="dxa"/>
            <w:vAlign w:val="bottom"/>
          </w:tcPr>
          <w:p>
            <w:pPr>
              <w:jc w:val="center"/>
              <w:ind w:left="57"/>
              <w:spacing w:after="0" w:line="135" w:lineRule="exact"/>
              <w:rPr>
                <w:sz w:val="20"/>
                <w:szCs w:val="20"/>
                <w:color w:val="auto"/>
              </w:rPr>
            </w:pPr>
            <w:r>
              <w:rPr>
                <w:rFonts w:ascii="Arial" w:cs="Arial" w:eastAsia="Arial" w:hAnsi="Arial"/>
                <w:sz w:val="13"/>
                <w:szCs w:val="13"/>
                <w:color w:val="auto"/>
                <w:w w:val="96"/>
              </w:rPr>
              <w:t>$1,000.00</w:t>
            </w:r>
          </w:p>
        </w:tc>
      </w:tr>
      <w:tr>
        <w:trPr>
          <w:trHeight w:val="135"/>
        </w:trPr>
        <w:tc>
          <w:tcPr>
            <w:tcW w:w="2840" w:type="dxa"/>
            <w:vAlign w:val="bottom"/>
            <w:shd w:val="clear" w:color="auto" w:fill="D9D9D9"/>
          </w:tcPr>
          <w:p>
            <w:pPr>
              <w:jc w:val="center"/>
              <w:ind w:left="57"/>
              <w:spacing w:after="0" w:line="135" w:lineRule="exact"/>
              <w:rPr>
                <w:sz w:val="20"/>
                <w:szCs w:val="20"/>
                <w:color w:val="auto"/>
              </w:rPr>
            </w:pPr>
            <w:r>
              <w:rPr>
                <w:rFonts w:ascii="Arial" w:cs="Arial" w:eastAsia="Arial" w:hAnsi="Arial"/>
                <w:sz w:val="13"/>
                <w:szCs w:val="13"/>
                <w:color w:val="auto"/>
                <w:w w:val="99"/>
              </w:rPr>
              <w:t>-35.00%</w:t>
            </w:r>
          </w:p>
        </w:tc>
        <w:tc>
          <w:tcPr>
            <w:tcW w:w="2640" w:type="dxa"/>
            <w:vAlign w:val="bottom"/>
            <w:shd w:val="clear" w:color="auto" w:fill="D9D9D9"/>
          </w:tcPr>
          <w:p>
            <w:pPr>
              <w:jc w:val="center"/>
              <w:ind w:left="57"/>
              <w:spacing w:after="0" w:line="135" w:lineRule="exact"/>
              <w:rPr>
                <w:sz w:val="20"/>
                <w:szCs w:val="20"/>
                <w:color w:val="auto"/>
              </w:rPr>
            </w:pPr>
            <w:r>
              <w:rPr>
                <w:rFonts w:ascii="Arial" w:cs="Arial" w:eastAsia="Arial" w:hAnsi="Arial"/>
                <w:sz w:val="13"/>
                <w:szCs w:val="13"/>
                <w:color w:val="auto"/>
                <w:w w:val="96"/>
              </w:rPr>
              <w:t>$1,000.00</w:t>
            </w:r>
          </w:p>
        </w:tc>
      </w:tr>
      <w:tr>
        <w:trPr>
          <w:trHeight w:val="135"/>
        </w:trPr>
        <w:tc>
          <w:tcPr>
            <w:tcW w:w="2840" w:type="dxa"/>
            <w:vAlign w:val="bottom"/>
          </w:tcPr>
          <w:p>
            <w:pPr>
              <w:jc w:val="center"/>
              <w:ind w:left="57"/>
              <w:spacing w:after="0" w:line="135" w:lineRule="exact"/>
              <w:rPr>
                <w:sz w:val="20"/>
                <w:szCs w:val="20"/>
                <w:color w:val="auto"/>
              </w:rPr>
            </w:pPr>
            <w:r>
              <w:rPr>
                <w:rFonts w:ascii="Arial" w:cs="Arial" w:eastAsia="Arial" w:hAnsi="Arial"/>
                <w:sz w:val="13"/>
                <w:szCs w:val="13"/>
                <w:color w:val="auto"/>
                <w:w w:val="99"/>
              </w:rPr>
              <w:t>-35.01%</w:t>
            </w:r>
          </w:p>
        </w:tc>
        <w:tc>
          <w:tcPr>
            <w:tcW w:w="2640" w:type="dxa"/>
            <w:vAlign w:val="bottom"/>
          </w:tcPr>
          <w:p>
            <w:pPr>
              <w:jc w:val="center"/>
              <w:ind w:left="77"/>
              <w:spacing w:after="0" w:line="135" w:lineRule="exact"/>
              <w:rPr>
                <w:sz w:val="20"/>
                <w:szCs w:val="20"/>
                <w:color w:val="auto"/>
              </w:rPr>
            </w:pPr>
            <w:r>
              <w:rPr>
                <w:rFonts w:ascii="Arial" w:cs="Arial" w:eastAsia="Arial" w:hAnsi="Arial"/>
                <w:sz w:val="13"/>
                <w:szCs w:val="13"/>
                <w:color w:val="auto"/>
                <w:w w:val="97"/>
              </w:rPr>
              <w:t>$649.90</w:t>
            </w:r>
          </w:p>
        </w:tc>
      </w:tr>
      <w:tr>
        <w:trPr>
          <w:trHeight w:val="135"/>
        </w:trPr>
        <w:tc>
          <w:tcPr>
            <w:tcW w:w="2840" w:type="dxa"/>
            <w:vAlign w:val="bottom"/>
            <w:shd w:val="clear" w:color="auto" w:fill="D9D9D9"/>
          </w:tcPr>
          <w:p>
            <w:pPr>
              <w:jc w:val="center"/>
              <w:ind w:left="57"/>
              <w:spacing w:after="0" w:line="135" w:lineRule="exact"/>
              <w:rPr>
                <w:sz w:val="20"/>
                <w:szCs w:val="20"/>
                <w:color w:val="auto"/>
              </w:rPr>
            </w:pPr>
            <w:r>
              <w:rPr>
                <w:rFonts w:ascii="Arial" w:cs="Arial" w:eastAsia="Arial" w:hAnsi="Arial"/>
                <w:sz w:val="13"/>
                <w:szCs w:val="13"/>
                <w:color w:val="auto"/>
                <w:w w:val="99"/>
              </w:rPr>
              <w:t>-40.00%</w:t>
            </w:r>
          </w:p>
        </w:tc>
        <w:tc>
          <w:tcPr>
            <w:tcW w:w="2640" w:type="dxa"/>
            <w:vAlign w:val="bottom"/>
            <w:shd w:val="clear" w:color="auto" w:fill="D9D9D9"/>
          </w:tcPr>
          <w:p>
            <w:pPr>
              <w:jc w:val="center"/>
              <w:ind w:left="77"/>
              <w:spacing w:after="0" w:line="135" w:lineRule="exact"/>
              <w:rPr>
                <w:sz w:val="20"/>
                <w:szCs w:val="20"/>
                <w:color w:val="auto"/>
              </w:rPr>
            </w:pPr>
            <w:r>
              <w:rPr>
                <w:rFonts w:ascii="Arial" w:cs="Arial" w:eastAsia="Arial" w:hAnsi="Arial"/>
                <w:sz w:val="13"/>
                <w:szCs w:val="13"/>
                <w:color w:val="auto"/>
                <w:w w:val="97"/>
              </w:rPr>
              <w:t>$600.00</w:t>
            </w:r>
          </w:p>
        </w:tc>
      </w:tr>
      <w:tr>
        <w:trPr>
          <w:trHeight w:val="135"/>
        </w:trPr>
        <w:tc>
          <w:tcPr>
            <w:tcW w:w="2840" w:type="dxa"/>
            <w:vAlign w:val="bottom"/>
          </w:tcPr>
          <w:p>
            <w:pPr>
              <w:jc w:val="center"/>
              <w:ind w:left="57"/>
              <w:spacing w:after="0" w:line="135" w:lineRule="exact"/>
              <w:rPr>
                <w:sz w:val="20"/>
                <w:szCs w:val="20"/>
                <w:color w:val="auto"/>
              </w:rPr>
            </w:pPr>
            <w:r>
              <w:rPr>
                <w:rFonts w:ascii="Arial" w:cs="Arial" w:eastAsia="Arial" w:hAnsi="Arial"/>
                <w:sz w:val="13"/>
                <w:szCs w:val="13"/>
                <w:color w:val="auto"/>
                <w:w w:val="99"/>
              </w:rPr>
              <w:t>-50.00%</w:t>
            </w:r>
          </w:p>
        </w:tc>
        <w:tc>
          <w:tcPr>
            <w:tcW w:w="2640" w:type="dxa"/>
            <w:vAlign w:val="bottom"/>
          </w:tcPr>
          <w:p>
            <w:pPr>
              <w:jc w:val="center"/>
              <w:ind w:left="77"/>
              <w:spacing w:after="0" w:line="135" w:lineRule="exact"/>
              <w:rPr>
                <w:sz w:val="20"/>
                <w:szCs w:val="20"/>
                <w:color w:val="auto"/>
              </w:rPr>
            </w:pPr>
            <w:r>
              <w:rPr>
                <w:rFonts w:ascii="Arial" w:cs="Arial" w:eastAsia="Arial" w:hAnsi="Arial"/>
                <w:sz w:val="13"/>
                <w:szCs w:val="13"/>
                <w:color w:val="auto"/>
                <w:w w:val="97"/>
              </w:rPr>
              <w:t>$500.00</w:t>
            </w:r>
          </w:p>
        </w:tc>
      </w:tr>
      <w:tr>
        <w:trPr>
          <w:trHeight w:val="135"/>
        </w:trPr>
        <w:tc>
          <w:tcPr>
            <w:tcW w:w="2840" w:type="dxa"/>
            <w:vAlign w:val="bottom"/>
            <w:shd w:val="clear" w:color="auto" w:fill="D9D9D9"/>
          </w:tcPr>
          <w:p>
            <w:pPr>
              <w:jc w:val="center"/>
              <w:ind w:left="57"/>
              <w:spacing w:after="0" w:line="135" w:lineRule="exact"/>
              <w:rPr>
                <w:sz w:val="20"/>
                <w:szCs w:val="20"/>
                <w:color w:val="auto"/>
              </w:rPr>
            </w:pPr>
            <w:r>
              <w:rPr>
                <w:rFonts w:ascii="Arial" w:cs="Arial" w:eastAsia="Arial" w:hAnsi="Arial"/>
                <w:sz w:val="13"/>
                <w:szCs w:val="13"/>
                <w:color w:val="auto"/>
                <w:w w:val="99"/>
              </w:rPr>
              <w:t>-60.00%</w:t>
            </w:r>
          </w:p>
        </w:tc>
        <w:tc>
          <w:tcPr>
            <w:tcW w:w="2640" w:type="dxa"/>
            <w:vAlign w:val="bottom"/>
            <w:shd w:val="clear" w:color="auto" w:fill="D9D9D9"/>
          </w:tcPr>
          <w:p>
            <w:pPr>
              <w:jc w:val="center"/>
              <w:ind w:left="77"/>
              <w:spacing w:after="0" w:line="135" w:lineRule="exact"/>
              <w:rPr>
                <w:sz w:val="20"/>
                <w:szCs w:val="20"/>
                <w:color w:val="auto"/>
              </w:rPr>
            </w:pPr>
            <w:r>
              <w:rPr>
                <w:rFonts w:ascii="Arial" w:cs="Arial" w:eastAsia="Arial" w:hAnsi="Arial"/>
                <w:sz w:val="13"/>
                <w:szCs w:val="13"/>
                <w:color w:val="auto"/>
                <w:w w:val="97"/>
              </w:rPr>
              <w:t>$400.00</w:t>
            </w:r>
          </w:p>
        </w:tc>
      </w:tr>
      <w:tr>
        <w:trPr>
          <w:trHeight w:val="135"/>
        </w:trPr>
        <w:tc>
          <w:tcPr>
            <w:tcW w:w="2840" w:type="dxa"/>
            <w:vAlign w:val="bottom"/>
          </w:tcPr>
          <w:p>
            <w:pPr>
              <w:jc w:val="center"/>
              <w:ind w:left="57"/>
              <w:spacing w:after="0" w:line="135" w:lineRule="exact"/>
              <w:rPr>
                <w:sz w:val="20"/>
                <w:szCs w:val="20"/>
                <w:color w:val="auto"/>
              </w:rPr>
            </w:pPr>
            <w:r>
              <w:rPr>
                <w:rFonts w:ascii="Arial" w:cs="Arial" w:eastAsia="Arial" w:hAnsi="Arial"/>
                <w:sz w:val="13"/>
                <w:szCs w:val="13"/>
                <w:color w:val="auto"/>
                <w:w w:val="99"/>
              </w:rPr>
              <w:t>-80.00%</w:t>
            </w:r>
          </w:p>
        </w:tc>
        <w:tc>
          <w:tcPr>
            <w:tcW w:w="2640" w:type="dxa"/>
            <w:vAlign w:val="bottom"/>
          </w:tcPr>
          <w:p>
            <w:pPr>
              <w:jc w:val="center"/>
              <w:ind w:left="77"/>
              <w:spacing w:after="0" w:line="135" w:lineRule="exact"/>
              <w:rPr>
                <w:sz w:val="20"/>
                <w:szCs w:val="20"/>
                <w:color w:val="auto"/>
              </w:rPr>
            </w:pPr>
            <w:r>
              <w:rPr>
                <w:rFonts w:ascii="Arial" w:cs="Arial" w:eastAsia="Arial" w:hAnsi="Arial"/>
                <w:sz w:val="13"/>
                <w:szCs w:val="13"/>
                <w:color w:val="auto"/>
                <w:w w:val="97"/>
              </w:rPr>
              <w:t>$200.00</w:t>
            </w:r>
          </w:p>
        </w:tc>
      </w:tr>
      <w:tr>
        <w:trPr>
          <w:trHeight w:val="135"/>
        </w:trPr>
        <w:tc>
          <w:tcPr>
            <w:tcW w:w="2840" w:type="dxa"/>
            <w:vAlign w:val="bottom"/>
            <w:shd w:val="clear" w:color="auto" w:fill="D9D9D9"/>
          </w:tcPr>
          <w:p>
            <w:pPr>
              <w:jc w:val="center"/>
              <w:ind w:left="77"/>
              <w:spacing w:after="0" w:line="135" w:lineRule="exact"/>
              <w:rPr>
                <w:sz w:val="20"/>
                <w:szCs w:val="20"/>
                <w:color w:val="auto"/>
              </w:rPr>
            </w:pPr>
            <w:r>
              <w:rPr>
                <w:rFonts w:ascii="Arial" w:cs="Arial" w:eastAsia="Arial" w:hAnsi="Arial"/>
                <w:sz w:val="13"/>
                <w:szCs w:val="13"/>
                <w:color w:val="auto"/>
                <w:w w:val="96"/>
              </w:rPr>
              <w:t>-100.00%</w:t>
            </w:r>
          </w:p>
        </w:tc>
        <w:tc>
          <w:tcPr>
            <w:tcW w:w="2640" w:type="dxa"/>
            <w:vAlign w:val="bottom"/>
            <w:shd w:val="clear" w:color="auto" w:fill="D9D9D9"/>
          </w:tcPr>
          <w:p>
            <w:pPr>
              <w:jc w:val="center"/>
              <w:ind w:left="77"/>
              <w:spacing w:after="0" w:line="135" w:lineRule="exact"/>
              <w:rPr>
                <w:sz w:val="20"/>
                <w:szCs w:val="20"/>
                <w:color w:val="auto"/>
              </w:rPr>
            </w:pPr>
            <w:r>
              <w:rPr>
                <w:rFonts w:ascii="Arial" w:cs="Arial" w:eastAsia="Arial" w:hAnsi="Arial"/>
                <w:sz w:val="13"/>
                <w:szCs w:val="13"/>
                <w:color w:val="auto"/>
                <w:w w:val="92"/>
              </w:rPr>
              <w:t>$0.00</w:t>
            </w:r>
          </w:p>
        </w:tc>
      </w:tr>
    </w:tbl>
    <w:p>
      <w:pPr>
        <w:spacing w:after="0" w:line="395" w:lineRule="exact"/>
        <w:rPr>
          <w:sz w:val="20"/>
          <w:szCs w:val="20"/>
          <w:color w:val="auto"/>
        </w:rPr>
      </w:pPr>
    </w:p>
    <w:p>
      <w:pPr>
        <w:sectPr>
          <w:pgSz w:w="11900" w:h="16838" w:orient="portrait"/>
          <w:cols w:equalWidth="0" w:num="4">
            <w:col w:w="1520" w:space="202"/>
            <w:col w:w="1538" w:space="207"/>
            <w:col w:w="2013" w:space="260"/>
            <w:col w:w="5500"/>
          </w:cols>
          <w:pgMar w:left="320" w:top="219" w:right="339" w:bottom="1440" w:gutter="0" w:footer="0" w:header="0"/>
          <w:type w:val="continuous"/>
        </w:sectPr>
      </w:pPr>
    </w:p>
    <w:p>
      <w:pPr>
        <w:ind w:left="100"/>
        <w:spacing w:after="0"/>
        <w:tabs>
          <w:tab w:leader="none" w:pos="1700" w:val="left"/>
        </w:tabs>
        <w:rPr>
          <w:sz w:val="20"/>
          <w:szCs w:val="20"/>
          <w:color w:val="auto"/>
        </w:rPr>
      </w:pPr>
      <w:r>
        <w:rPr>
          <w:rFonts w:ascii="Arial" w:cs="Arial" w:eastAsia="Arial" w:hAnsi="Arial"/>
          <w:sz w:val="14"/>
          <w:szCs w:val="14"/>
          <w:b w:val="1"/>
          <w:bCs w:val="1"/>
          <w:color w:val="296DC1"/>
        </w:rPr>
        <w:t>Coupon barrier level:</w:t>
      </w:r>
      <w:r>
        <w:rPr>
          <w:sz w:val="20"/>
          <w:szCs w:val="20"/>
          <w:color w:val="auto"/>
        </w:rPr>
        <w:tab/>
      </w:r>
      <w:r>
        <w:rPr>
          <w:rFonts w:ascii="Arial" w:cs="Arial" w:eastAsia="Arial" w:hAnsi="Arial"/>
          <w:sz w:val="14"/>
          <w:szCs w:val="14"/>
          <w:color w:val="auto"/>
        </w:rPr>
        <w:t>With respect to each underlying index, 75% of its initial</w:t>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index value</w:t>
      </w:r>
    </w:p>
    <w:p>
      <w:pPr>
        <w:spacing w:after="0" w:line="28"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14"/>
          <w:szCs w:val="14"/>
          <w:b w:val="1"/>
          <w:bCs w:val="1"/>
          <w:color w:val="296DC1"/>
        </w:rPr>
        <w:t>Downside threshold</w:t>
      </w:r>
      <w:r>
        <w:rPr>
          <w:sz w:val="20"/>
          <w:szCs w:val="20"/>
          <w:color w:val="auto"/>
        </w:rPr>
        <w:tab/>
      </w:r>
      <w:r>
        <w:rPr>
          <w:rFonts w:ascii="Arial" w:cs="Arial" w:eastAsia="Arial" w:hAnsi="Arial"/>
          <w:sz w:val="14"/>
          <w:szCs w:val="14"/>
          <w:color w:val="auto"/>
        </w:rPr>
        <w:t>With respect to each underlying index, 65% of its initial</w:t>
      </w:r>
    </w:p>
    <w:p>
      <w:pPr>
        <w:spacing w:after="0" w:line="15"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14"/>
          <w:szCs w:val="14"/>
          <w:b w:val="1"/>
          <w:bCs w:val="1"/>
          <w:color w:val="296DC1"/>
        </w:rPr>
        <w:t>level:</w:t>
      </w:r>
      <w:r>
        <w:rPr>
          <w:sz w:val="20"/>
          <w:szCs w:val="20"/>
          <w:color w:val="auto"/>
        </w:rPr>
        <w:tab/>
      </w:r>
      <w:r>
        <w:rPr>
          <w:rFonts w:ascii="Arial" w:cs="Arial" w:eastAsia="Arial" w:hAnsi="Arial"/>
          <w:sz w:val="14"/>
          <w:szCs w:val="14"/>
          <w:color w:val="auto"/>
        </w:rPr>
        <w:t>index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8690" cy="539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88690" cy="539750"/>
                    </a:xfrm>
                    <a:prstGeom prst="rect">
                      <a:avLst/>
                    </a:prstGeom>
                    <a:noFill/>
                  </pic:spPr>
                </pic:pic>
              </a:graphicData>
            </a:graphic>
          </wp:anchor>
        </w:drawing>
      </w:r>
    </w:p>
    <w:p>
      <w:pPr>
        <w:spacing w:after="0" w:line="8"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14"/>
          <w:szCs w:val="14"/>
          <w:b w:val="1"/>
          <w:bCs w:val="1"/>
          <w:color w:val="296DC1"/>
        </w:rPr>
        <w:t>Quarterly monitoring</w:t>
      </w:r>
      <w:r>
        <w:rPr>
          <w:sz w:val="20"/>
          <w:szCs w:val="20"/>
          <w:color w:val="auto"/>
        </w:rPr>
        <w:tab/>
      </w:r>
      <w:r>
        <w:rPr>
          <w:rFonts w:ascii="Arial" w:cs="Arial" w:eastAsia="Arial" w:hAnsi="Arial"/>
          <w:sz w:val="14"/>
          <w:szCs w:val="14"/>
          <w:color w:val="auto"/>
        </w:rPr>
        <w:t>With respect to each contingent payment date, the period</w:t>
      </w:r>
    </w:p>
    <w:p>
      <w:pPr>
        <w:spacing w:after="0" w:line="15"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14"/>
          <w:szCs w:val="14"/>
          <w:b w:val="1"/>
          <w:bCs w:val="1"/>
          <w:color w:val="296DC1"/>
        </w:rPr>
        <w:t>period:</w:t>
      </w:r>
      <w:r>
        <w:rPr>
          <w:sz w:val="20"/>
          <w:szCs w:val="20"/>
          <w:color w:val="auto"/>
        </w:rPr>
        <w:tab/>
      </w:r>
      <w:r>
        <w:rPr>
          <w:rFonts w:ascii="Arial" w:cs="Arial" w:eastAsia="Arial" w:hAnsi="Arial"/>
          <w:sz w:val="14"/>
          <w:szCs w:val="14"/>
          <w:color w:val="auto"/>
        </w:rPr>
        <w:t>from but excluding the second immediately preceding</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determination date (or, in the case of the first determination</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date, from but excluding the pricing date) to and including</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the immediately preceding determination date</w:t>
      </w:r>
    </w:p>
    <w:p>
      <w:pPr>
        <w:sectPr>
          <w:pgSz w:w="11900" w:h="16838" w:orient="portrait"/>
          <w:cols w:equalWidth="0" w:num="1">
            <w:col w:w="11240"/>
          </w:cols>
          <w:pgMar w:left="320" w:top="21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808080"/>
        </w:rPr>
        <w:t>JPMorgan Chase Financial Company LLC</w:t>
      </w:r>
    </w:p>
    <w:p>
      <w:pPr>
        <w:spacing w:after="0" w:line="14" w:lineRule="exact"/>
        <w:rPr>
          <w:sz w:val="20"/>
          <w:szCs w:val="20"/>
          <w:color w:val="auto"/>
        </w:rPr>
      </w:pPr>
    </w:p>
    <w:p>
      <w:pPr>
        <w:spacing w:after="0"/>
        <w:rPr>
          <w:sz w:val="20"/>
          <w:szCs w:val="20"/>
          <w:color w:val="auto"/>
        </w:rPr>
      </w:pPr>
      <w:r>
        <w:rPr>
          <w:rFonts w:ascii="Arial" w:cs="Arial" w:eastAsia="Arial" w:hAnsi="Arial"/>
          <w:sz w:val="29"/>
          <w:szCs w:val="29"/>
          <w:color w:val="296DC1"/>
        </w:rPr>
        <w:t>3-Year RTY/SPX/SX5E Contingent Income Auto-Callable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296DC1"/>
        </w:rPr>
        <w:t>Underlying Indices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For more information about the underlying indices, including historical performance information, see the accompanying preliminary pricing supplement.</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296DC1"/>
        </w:rPr>
        <w:t>Risk Considerations</w:t>
      </w:r>
    </w:p>
    <w:p>
      <w:pPr>
        <w:spacing w:after="0" w:line="61"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auto"/>
        </w:rPr>
        <w:t>The risks identified below are not exhaustive. Please see “Risk Factors” in the accompanying prospectus supplement, product supplement and preliminary pricing supplement for additional information.</w:t>
      </w:r>
    </w:p>
    <w:p>
      <w:pPr>
        <w:spacing w:after="0" w:line="230" w:lineRule="auto"/>
        <w:rPr>
          <w:sz w:val="20"/>
          <w:szCs w:val="20"/>
          <w:color w:val="auto"/>
        </w:rPr>
      </w:pPr>
      <w:r>
        <w:rPr>
          <w:rFonts w:ascii="Arial" w:cs="Arial" w:eastAsia="Arial" w:hAnsi="Arial"/>
          <w:sz w:val="18"/>
          <w:szCs w:val="18"/>
          <w:color w:val="296DC1"/>
        </w:rPr>
        <w:t>Risks Relating to the Securities Generally</w:t>
      </w:r>
    </w:p>
    <w:p>
      <w:pPr>
        <w:ind w:left="340" w:hanging="332"/>
        <w:spacing w:after="0" w:line="183" w:lineRule="auto"/>
        <w:tabs>
          <w:tab w:leader="none" w:pos="340" w:val="left"/>
        </w:tabs>
        <w:numPr>
          <w:ilvl w:val="0"/>
          <w:numId w:val="5"/>
        </w:numPr>
        <w:rPr>
          <w:rFonts w:ascii="Wingdings" w:cs="Wingdings" w:eastAsia="Wingdings" w:hAnsi="Wingdings"/>
          <w:sz w:val="22"/>
          <w:szCs w:val="22"/>
          <w:b w:val="1"/>
          <w:bCs w:val="1"/>
          <w:color w:val="A3C4EB"/>
        </w:rPr>
      </w:pPr>
      <w:r>
        <w:rPr>
          <w:rFonts w:ascii="Arial" w:cs="Arial" w:eastAsia="Arial" w:hAnsi="Arial"/>
          <w:sz w:val="14"/>
          <w:szCs w:val="14"/>
          <w:color w:val="auto"/>
        </w:rPr>
        <w:t>The securities do not guarantee the return of any principal and your investment in the securities may result in a loss.</w:t>
      </w:r>
    </w:p>
    <w:p>
      <w:pPr>
        <w:spacing w:after="0" w:line="52" w:lineRule="exact"/>
        <w:rPr>
          <w:rFonts w:ascii="Wingdings" w:cs="Wingdings" w:eastAsia="Wingdings" w:hAnsi="Wingdings"/>
          <w:sz w:val="22"/>
          <w:szCs w:val="22"/>
          <w:b w:val="1"/>
          <w:bCs w:val="1"/>
          <w:color w:val="A3C4EB"/>
        </w:rPr>
      </w:pPr>
    </w:p>
    <w:p>
      <w:pPr>
        <w:ind w:left="340" w:right="120" w:hanging="332"/>
        <w:spacing w:after="0" w:line="192" w:lineRule="auto"/>
        <w:tabs>
          <w:tab w:leader="none" w:pos="340" w:val="left"/>
        </w:tabs>
        <w:numPr>
          <w:ilvl w:val="0"/>
          <w:numId w:val="5"/>
        </w:numPr>
        <w:rPr>
          <w:rFonts w:ascii="Wingdings" w:cs="Wingdings" w:eastAsia="Wingdings" w:hAnsi="Wingdings"/>
          <w:sz w:val="22"/>
          <w:szCs w:val="22"/>
          <w:b w:val="1"/>
          <w:bCs w:val="1"/>
          <w:color w:val="A3C4EB"/>
        </w:rPr>
      </w:pPr>
      <w:r>
        <w:rPr>
          <w:rFonts w:ascii="Arial" w:cs="Arial" w:eastAsia="Arial" w:hAnsi="Arial"/>
          <w:sz w:val="14"/>
          <w:szCs w:val="14"/>
          <w:color w:val="auto"/>
        </w:rPr>
        <w:t>You will not receive any contingent quarterly payment for any quarterly monitoring period if the closing level of any underlying index is less than its coupon barrier level on any day during that quarterly monitoring period.</w:t>
      </w:r>
    </w:p>
    <w:p>
      <w:pPr>
        <w:spacing w:after="0" w:line="1" w:lineRule="exact"/>
        <w:rPr>
          <w:rFonts w:ascii="Wingdings" w:cs="Wingdings" w:eastAsia="Wingdings" w:hAnsi="Wingdings"/>
          <w:sz w:val="22"/>
          <w:szCs w:val="22"/>
          <w:b w:val="1"/>
          <w:bCs w:val="1"/>
          <w:color w:val="A3C4EB"/>
        </w:rPr>
      </w:pPr>
    </w:p>
    <w:p>
      <w:pPr>
        <w:ind w:left="340" w:hanging="332"/>
        <w:spacing w:after="0" w:line="190" w:lineRule="auto"/>
        <w:tabs>
          <w:tab w:leader="none" w:pos="340" w:val="left"/>
        </w:tabs>
        <w:numPr>
          <w:ilvl w:val="0"/>
          <w:numId w:val="5"/>
        </w:numPr>
        <w:rPr>
          <w:rFonts w:ascii="Wingdings" w:cs="Wingdings" w:eastAsia="Wingdings" w:hAnsi="Wingdings"/>
          <w:sz w:val="20"/>
          <w:szCs w:val="20"/>
          <w:b w:val="1"/>
          <w:bCs w:val="1"/>
          <w:color w:val="A3C4EB"/>
        </w:rPr>
      </w:pPr>
      <w:r>
        <w:rPr>
          <w:rFonts w:ascii="Arial" w:cs="Arial" w:eastAsia="Arial" w:hAnsi="Arial"/>
          <w:sz w:val="14"/>
          <w:szCs w:val="14"/>
          <w:color w:val="auto"/>
        </w:rPr>
        <w:t>The contingent quarterly payment is based on the closing levels of the underlying indices during the quarterly monitoring periods.</w:t>
      </w:r>
    </w:p>
    <w:p>
      <w:pPr>
        <w:spacing w:after="0" w:line="52" w:lineRule="exact"/>
        <w:rPr>
          <w:rFonts w:ascii="Wingdings" w:cs="Wingdings" w:eastAsia="Wingdings" w:hAnsi="Wingdings"/>
          <w:sz w:val="20"/>
          <w:szCs w:val="20"/>
          <w:b w:val="1"/>
          <w:bCs w:val="1"/>
          <w:color w:val="A3C4EB"/>
        </w:rPr>
      </w:pPr>
    </w:p>
    <w:p>
      <w:pPr>
        <w:ind w:left="340" w:hanging="332"/>
        <w:spacing w:after="0" w:line="191" w:lineRule="auto"/>
        <w:tabs>
          <w:tab w:leader="none" w:pos="340" w:val="left"/>
        </w:tabs>
        <w:numPr>
          <w:ilvl w:val="0"/>
          <w:numId w:val="5"/>
        </w:numPr>
        <w:rPr>
          <w:rFonts w:ascii="Wingdings" w:cs="Wingdings" w:eastAsia="Wingdings" w:hAnsi="Wingdings"/>
          <w:sz w:val="20"/>
          <w:szCs w:val="20"/>
          <w:b w:val="1"/>
          <w:bCs w:val="1"/>
          <w:color w:val="A3C4EB"/>
        </w:rPr>
      </w:pPr>
      <w:r>
        <w:rPr>
          <w:rFonts w:ascii="Arial" w:cs="Arial" w:eastAsia="Arial" w:hAnsi="Arial"/>
          <w:sz w:val="14"/>
          <w:szCs w:val="14"/>
          <w:color w:val="auto"/>
        </w:rPr>
        <w:t>You are exposed to the price risk of all three underlying indices, with respect to all the contingent quarterly payments, if any, and the payment at maturity, if any.</w:t>
      </w:r>
    </w:p>
    <w:p>
      <w:pPr>
        <w:spacing w:after="0" w:line="52" w:lineRule="exact"/>
        <w:rPr>
          <w:rFonts w:ascii="Wingdings" w:cs="Wingdings" w:eastAsia="Wingdings" w:hAnsi="Wingdings"/>
          <w:sz w:val="20"/>
          <w:szCs w:val="20"/>
          <w:b w:val="1"/>
          <w:bCs w:val="1"/>
          <w:color w:val="A3C4EB"/>
        </w:rPr>
      </w:pPr>
    </w:p>
    <w:p>
      <w:pPr>
        <w:ind w:left="340" w:right="180" w:hanging="332"/>
        <w:spacing w:after="0" w:line="192" w:lineRule="auto"/>
        <w:tabs>
          <w:tab w:leader="none" w:pos="340" w:val="left"/>
        </w:tabs>
        <w:numPr>
          <w:ilvl w:val="0"/>
          <w:numId w:val="5"/>
        </w:numPr>
        <w:rPr>
          <w:rFonts w:ascii="Wingdings" w:cs="Wingdings" w:eastAsia="Wingdings" w:hAnsi="Wingdings"/>
          <w:sz w:val="22"/>
          <w:szCs w:val="22"/>
          <w:b w:val="1"/>
          <w:bCs w:val="1"/>
          <w:color w:val="A3C4EB"/>
        </w:rPr>
      </w:pPr>
      <w:r>
        <w:rPr>
          <w:rFonts w:ascii="Arial" w:cs="Arial" w:eastAsia="Arial" w:hAnsi="Arial"/>
          <w:sz w:val="14"/>
          <w:szCs w:val="14"/>
          <w:color w:val="auto"/>
        </w:rPr>
        <w:t>Because the securities are linked to the performance of the worst performing underlying index, you are exposed to greater risks of no contingent quarterly payments and sustaining a significant loss on your investment than if the securities were linked to just one underlying index.</w:t>
      </w:r>
    </w:p>
    <w:p>
      <w:pPr>
        <w:spacing w:after="0" w:line="1" w:lineRule="exact"/>
        <w:rPr>
          <w:rFonts w:ascii="Wingdings" w:cs="Wingdings" w:eastAsia="Wingdings" w:hAnsi="Wingdings"/>
          <w:sz w:val="22"/>
          <w:szCs w:val="22"/>
          <w:b w:val="1"/>
          <w:bCs w:val="1"/>
          <w:color w:val="A3C4EB"/>
        </w:rPr>
      </w:pPr>
    </w:p>
    <w:p>
      <w:pPr>
        <w:ind w:left="340" w:right="80" w:hanging="332"/>
        <w:spacing w:after="0" w:line="191" w:lineRule="auto"/>
        <w:tabs>
          <w:tab w:leader="none" w:pos="340" w:val="left"/>
        </w:tabs>
        <w:numPr>
          <w:ilvl w:val="0"/>
          <w:numId w:val="5"/>
        </w:numPr>
        <w:rPr>
          <w:rFonts w:ascii="Wingdings" w:cs="Wingdings" w:eastAsia="Wingdings" w:hAnsi="Wingdings"/>
          <w:sz w:val="22"/>
          <w:szCs w:val="22"/>
          <w:b w:val="1"/>
          <w:bCs w:val="1"/>
          <w:color w:val="A3C4EB"/>
        </w:rPr>
      </w:pPr>
      <w:r>
        <w:rPr>
          <w:rFonts w:ascii="Arial" w:cs="Arial" w:eastAsia="Arial" w:hAnsi="Arial"/>
          <w:sz w:val="14"/>
          <w:szCs w:val="14"/>
          <w:color w:val="auto"/>
        </w:rPr>
        <w:t>The securities are subject to the credit risks of JPMorgan Financial and JPMorgan Chase &amp; Co., and any actual or anticipated changes to our or JPMorgan Chase &amp; Co.’s credit ratings or credit spreads may adversely affect the market value of the securities.</w:t>
      </w:r>
    </w:p>
    <w:p>
      <w:pPr>
        <w:spacing w:after="0" w:line="1" w:lineRule="exact"/>
        <w:rPr>
          <w:rFonts w:ascii="Wingdings" w:cs="Wingdings" w:eastAsia="Wingdings" w:hAnsi="Wingdings"/>
          <w:sz w:val="22"/>
          <w:szCs w:val="22"/>
          <w:b w:val="1"/>
          <w:bCs w:val="1"/>
          <w:color w:val="A3C4EB"/>
        </w:rPr>
      </w:pPr>
    </w:p>
    <w:p>
      <w:pPr>
        <w:ind w:left="340" w:hanging="332"/>
        <w:spacing w:after="0" w:line="190" w:lineRule="auto"/>
        <w:tabs>
          <w:tab w:leader="none" w:pos="340" w:val="left"/>
        </w:tabs>
        <w:numPr>
          <w:ilvl w:val="0"/>
          <w:numId w:val="5"/>
        </w:numPr>
        <w:rPr>
          <w:rFonts w:ascii="Wingdings" w:cs="Wingdings" w:eastAsia="Wingdings" w:hAnsi="Wingdings"/>
          <w:sz w:val="20"/>
          <w:szCs w:val="20"/>
          <w:b w:val="1"/>
          <w:bCs w:val="1"/>
          <w:color w:val="A3C4EB"/>
        </w:rPr>
      </w:pPr>
      <w:r>
        <w:rPr>
          <w:rFonts w:ascii="Arial" w:cs="Arial" w:eastAsia="Arial" w:hAnsi="Arial"/>
          <w:sz w:val="14"/>
          <w:szCs w:val="14"/>
          <w:color w:val="auto"/>
        </w:rPr>
        <w:t>As a finance subsidiary, JPMorgan Financial has no independent activities and has limited assets.</w:t>
      </w:r>
    </w:p>
    <w:p>
      <w:pPr>
        <w:spacing w:after="0" w:line="52" w:lineRule="exact"/>
        <w:rPr>
          <w:rFonts w:ascii="Wingdings" w:cs="Wingdings" w:eastAsia="Wingdings" w:hAnsi="Wingdings"/>
          <w:sz w:val="20"/>
          <w:szCs w:val="20"/>
          <w:b w:val="1"/>
          <w:bCs w:val="1"/>
          <w:color w:val="A3C4EB"/>
        </w:rPr>
      </w:pPr>
    </w:p>
    <w:p>
      <w:pPr>
        <w:ind w:left="340" w:hanging="332"/>
        <w:spacing w:after="0" w:line="191" w:lineRule="auto"/>
        <w:tabs>
          <w:tab w:leader="none" w:pos="340" w:val="left"/>
        </w:tabs>
        <w:numPr>
          <w:ilvl w:val="0"/>
          <w:numId w:val="5"/>
        </w:numPr>
        <w:rPr>
          <w:rFonts w:ascii="Wingdings" w:cs="Wingdings" w:eastAsia="Wingdings" w:hAnsi="Wingdings"/>
          <w:sz w:val="20"/>
          <w:szCs w:val="20"/>
          <w:b w:val="1"/>
          <w:bCs w:val="1"/>
          <w:color w:val="A3C4EB"/>
        </w:rPr>
      </w:pPr>
      <w:r>
        <w:rPr>
          <w:rFonts w:ascii="Arial" w:cs="Arial" w:eastAsia="Arial" w:hAnsi="Arial"/>
          <w:sz w:val="14"/>
          <w:szCs w:val="14"/>
          <w:color w:val="auto"/>
        </w:rPr>
        <w:t>Investors will not participate in any appreciation of any underlying index.</w:t>
      </w:r>
    </w:p>
    <w:p>
      <w:pPr>
        <w:spacing w:after="0" w:line="52" w:lineRule="exact"/>
        <w:rPr>
          <w:rFonts w:ascii="Wingdings" w:cs="Wingdings" w:eastAsia="Wingdings" w:hAnsi="Wingdings"/>
          <w:sz w:val="20"/>
          <w:szCs w:val="20"/>
          <w:b w:val="1"/>
          <w:bCs w:val="1"/>
          <w:color w:val="A3C4EB"/>
        </w:rPr>
      </w:pPr>
    </w:p>
    <w:p>
      <w:pPr>
        <w:ind w:left="340" w:hanging="332"/>
        <w:spacing w:after="0" w:line="191" w:lineRule="auto"/>
        <w:tabs>
          <w:tab w:leader="none" w:pos="340" w:val="left"/>
        </w:tabs>
        <w:numPr>
          <w:ilvl w:val="0"/>
          <w:numId w:val="5"/>
        </w:numPr>
        <w:rPr>
          <w:rFonts w:ascii="Wingdings" w:cs="Wingdings" w:eastAsia="Wingdings" w:hAnsi="Wingdings"/>
          <w:sz w:val="20"/>
          <w:szCs w:val="20"/>
          <w:b w:val="1"/>
          <w:bCs w:val="1"/>
          <w:color w:val="A3C4EB"/>
        </w:rPr>
      </w:pPr>
      <w:r>
        <w:rPr>
          <w:rFonts w:ascii="Arial" w:cs="Arial" w:eastAsia="Arial" w:hAnsi="Arial"/>
          <w:sz w:val="14"/>
          <w:szCs w:val="14"/>
          <w:color w:val="auto"/>
        </w:rPr>
        <w:t>Early redemption risk.</w:t>
      </w:r>
    </w:p>
    <w:p>
      <w:pPr>
        <w:spacing w:after="0" w:line="52" w:lineRule="exact"/>
        <w:rPr>
          <w:rFonts w:ascii="Wingdings" w:cs="Wingdings" w:eastAsia="Wingdings" w:hAnsi="Wingdings"/>
          <w:sz w:val="20"/>
          <w:szCs w:val="20"/>
          <w:b w:val="1"/>
          <w:bCs w:val="1"/>
          <w:color w:val="A3C4EB"/>
        </w:rPr>
      </w:pPr>
    </w:p>
    <w:p>
      <w:pPr>
        <w:ind w:left="340" w:hanging="332"/>
        <w:spacing w:after="0" w:line="191" w:lineRule="auto"/>
        <w:tabs>
          <w:tab w:leader="none" w:pos="340" w:val="left"/>
        </w:tabs>
        <w:numPr>
          <w:ilvl w:val="0"/>
          <w:numId w:val="5"/>
        </w:numPr>
        <w:rPr>
          <w:rFonts w:ascii="Wingdings" w:cs="Wingdings" w:eastAsia="Wingdings" w:hAnsi="Wingdings"/>
          <w:sz w:val="20"/>
          <w:szCs w:val="20"/>
          <w:b w:val="1"/>
          <w:bCs w:val="1"/>
          <w:color w:val="A3C4EB"/>
        </w:rPr>
      </w:pPr>
      <w:r>
        <w:rPr>
          <w:rFonts w:ascii="Arial" w:cs="Arial" w:eastAsia="Arial" w:hAnsi="Arial"/>
          <w:sz w:val="14"/>
          <w:szCs w:val="14"/>
          <w:color w:val="auto"/>
        </w:rPr>
        <w:t>Secondary trading may be limited.</w:t>
      </w:r>
    </w:p>
    <w:p>
      <w:pPr>
        <w:spacing w:after="0" w:line="52" w:lineRule="exact"/>
        <w:rPr>
          <w:rFonts w:ascii="Wingdings" w:cs="Wingdings" w:eastAsia="Wingdings" w:hAnsi="Wingdings"/>
          <w:sz w:val="20"/>
          <w:szCs w:val="20"/>
          <w:b w:val="1"/>
          <w:bCs w:val="1"/>
          <w:color w:val="A3C4EB"/>
        </w:rPr>
      </w:pPr>
    </w:p>
    <w:p>
      <w:pPr>
        <w:ind w:left="340" w:right="100" w:hanging="332"/>
        <w:spacing w:after="0" w:line="192" w:lineRule="auto"/>
        <w:tabs>
          <w:tab w:leader="none" w:pos="340" w:val="left"/>
        </w:tabs>
        <w:numPr>
          <w:ilvl w:val="0"/>
          <w:numId w:val="5"/>
        </w:numPr>
        <w:rPr>
          <w:rFonts w:ascii="Wingdings" w:cs="Wingdings" w:eastAsia="Wingdings" w:hAnsi="Wingdings"/>
          <w:sz w:val="22"/>
          <w:szCs w:val="22"/>
          <w:b w:val="1"/>
          <w:bCs w:val="1"/>
          <w:color w:val="A3C4EB"/>
        </w:rPr>
      </w:pPr>
      <w:r>
        <w:rPr>
          <w:rFonts w:ascii="Arial" w:cs="Arial" w:eastAsia="Arial" w:hAnsi="Arial"/>
          <w:sz w:val="14"/>
          <w:szCs w:val="14"/>
          <w:color w:val="auto"/>
        </w:rPr>
        <w:t>We may accelerate your securities in our sole discretion and the calculation agent may adjust their final payment in good faith and in a commercially reasonable manner if an acceleration event occurs.</w:t>
      </w:r>
    </w:p>
    <w:p>
      <w:pPr>
        <w:spacing w:after="0" w:line="1" w:lineRule="exact"/>
        <w:rPr>
          <w:rFonts w:ascii="Wingdings" w:cs="Wingdings" w:eastAsia="Wingdings" w:hAnsi="Wingdings"/>
          <w:sz w:val="22"/>
          <w:szCs w:val="22"/>
          <w:b w:val="1"/>
          <w:bCs w:val="1"/>
          <w:color w:val="A3C4EB"/>
        </w:rPr>
      </w:pPr>
    </w:p>
    <w:p>
      <w:pPr>
        <w:ind w:left="340" w:hanging="332"/>
        <w:spacing w:after="0" w:line="190" w:lineRule="auto"/>
        <w:tabs>
          <w:tab w:leader="none" w:pos="340" w:val="left"/>
        </w:tabs>
        <w:numPr>
          <w:ilvl w:val="0"/>
          <w:numId w:val="5"/>
        </w:numPr>
        <w:rPr>
          <w:rFonts w:ascii="Wingdings" w:cs="Wingdings" w:eastAsia="Wingdings" w:hAnsi="Wingdings"/>
          <w:sz w:val="20"/>
          <w:szCs w:val="20"/>
          <w:b w:val="1"/>
          <w:bCs w:val="1"/>
          <w:color w:val="A3C4EB"/>
        </w:rPr>
      </w:pPr>
      <w:r>
        <w:rPr>
          <w:rFonts w:ascii="Arial" w:cs="Arial" w:eastAsia="Arial" w:hAnsi="Arial"/>
          <w:sz w:val="14"/>
          <w:szCs w:val="14"/>
          <w:color w:val="auto"/>
        </w:rPr>
        <w:t>The final terms and estimated valuation of the securities will be provided in the pricing supplement.</w:t>
      </w:r>
    </w:p>
    <w:p>
      <w:pPr>
        <w:spacing w:after="0" w:line="52" w:lineRule="exact"/>
        <w:rPr>
          <w:rFonts w:ascii="Wingdings" w:cs="Wingdings" w:eastAsia="Wingdings" w:hAnsi="Wingdings"/>
          <w:sz w:val="20"/>
          <w:szCs w:val="20"/>
          <w:b w:val="1"/>
          <w:bCs w:val="1"/>
          <w:color w:val="A3C4EB"/>
        </w:rPr>
      </w:pPr>
    </w:p>
    <w:p>
      <w:pPr>
        <w:ind w:left="340" w:hanging="332"/>
        <w:spacing w:after="0" w:line="191" w:lineRule="auto"/>
        <w:tabs>
          <w:tab w:leader="none" w:pos="340" w:val="left"/>
        </w:tabs>
        <w:numPr>
          <w:ilvl w:val="0"/>
          <w:numId w:val="5"/>
        </w:numPr>
        <w:rPr>
          <w:rFonts w:ascii="Wingdings" w:cs="Wingdings" w:eastAsia="Wingdings" w:hAnsi="Wingdings"/>
          <w:sz w:val="20"/>
          <w:szCs w:val="20"/>
          <w:b w:val="1"/>
          <w:bCs w:val="1"/>
          <w:color w:val="A3C4EB"/>
        </w:rPr>
      </w:pPr>
      <w:r>
        <w:rPr>
          <w:rFonts w:ascii="Arial" w:cs="Arial" w:eastAsia="Arial" w:hAnsi="Arial"/>
          <w:sz w:val="14"/>
          <w:szCs w:val="14"/>
          <w:color w:val="auto"/>
        </w:rPr>
        <w:t>The U.S. federal income tax consequences of an investment in the securities are uncertain.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Conflicts of Interest</w:t>
      </w:r>
    </w:p>
    <w:p>
      <w:pPr>
        <w:ind w:left="340" w:right="60" w:hanging="332"/>
        <w:spacing w:after="0" w:line="197" w:lineRule="auto"/>
        <w:tabs>
          <w:tab w:leader="none" w:pos="340" w:val="left"/>
        </w:tabs>
        <w:numPr>
          <w:ilvl w:val="0"/>
          <w:numId w:val="6"/>
        </w:numPr>
        <w:rPr>
          <w:rFonts w:ascii="Wingdings" w:cs="Wingdings" w:eastAsia="Wingdings" w:hAnsi="Wingdings"/>
          <w:sz w:val="22"/>
          <w:szCs w:val="22"/>
          <w:b w:val="1"/>
          <w:bCs w:val="1"/>
          <w:color w:val="A3C4EB"/>
        </w:rPr>
      </w:pPr>
      <w:r>
        <w:rPr>
          <w:rFonts w:ascii="Arial" w:cs="Arial" w:eastAsia="Arial" w:hAnsi="Arial"/>
          <w:sz w:val="14"/>
          <w:szCs w:val="14"/>
          <w:color w:val="auto"/>
        </w:rPr>
        <w:t>Economic interests of the issuer, the guarantor, the calculation agent, the agent of the offering of the securities and other affiliates of the issuer may be different from those of investors.</w:t>
      </w:r>
    </w:p>
    <w:p>
      <w:pPr>
        <w:spacing w:after="0" w:line="1" w:lineRule="exact"/>
        <w:rPr>
          <w:rFonts w:ascii="Wingdings" w:cs="Wingdings" w:eastAsia="Wingdings" w:hAnsi="Wingdings"/>
          <w:sz w:val="22"/>
          <w:szCs w:val="22"/>
          <w:b w:val="1"/>
          <w:bCs w:val="1"/>
          <w:color w:val="A3C4EB"/>
        </w:rPr>
      </w:pPr>
    </w:p>
    <w:p>
      <w:pPr>
        <w:ind w:left="340" w:hanging="332"/>
        <w:spacing w:after="0" w:line="190" w:lineRule="auto"/>
        <w:tabs>
          <w:tab w:leader="none" w:pos="340" w:val="left"/>
        </w:tabs>
        <w:numPr>
          <w:ilvl w:val="0"/>
          <w:numId w:val="6"/>
        </w:numPr>
        <w:rPr>
          <w:rFonts w:ascii="Wingdings" w:cs="Wingdings" w:eastAsia="Wingdings" w:hAnsi="Wingdings"/>
          <w:sz w:val="20"/>
          <w:szCs w:val="20"/>
          <w:b w:val="1"/>
          <w:bCs w:val="1"/>
          <w:color w:val="A3C4EB"/>
        </w:rPr>
      </w:pPr>
      <w:r>
        <w:rPr>
          <w:rFonts w:ascii="Arial" w:cs="Arial" w:eastAsia="Arial" w:hAnsi="Arial"/>
          <w:sz w:val="14"/>
          <w:szCs w:val="14"/>
          <w:color w:val="auto"/>
        </w:rPr>
        <w:t>Hedging and trading activities by the issuer and its affiliates could potentially affect the value of the securities.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the Estimated Value and Secondary Market Prices of the Securities</w:t>
      </w:r>
    </w:p>
    <w:p>
      <w:pPr>
        <w:sectPr>
          <w:pgSz w:w="11900" w:h="16838" w:orient="portrait"/>
          <w:cols w:equalWidth="0" w:num="1">
            <w:col w:w="11220"/>
          </w:cols>
          <w:pgMar w:left="320" w:top="462" w:right="359" w:bottom="1440" w:gutter="0" w:footer="0" w:header="0"/>
        </w:sectPr>
      </w:pPr>
    </w:p>
    <w:p>
      <w:pPr>
        <w:spacing w:after="0"/>
        <w:rPr>
          <w:sz w:val="20"/>
          <w:szCs w:val="20"/>
          <w:color w:val="auto"/>
        </w:rPr>
      </w:pPr>
      <w:r>
        <w:rPr>
          <w:rFonts w:ascii="Wingdings" w:cs="Wingdings" w:eastAsia="Wingdings" w:hAnsi="Wingdings"/>
          <w:sz w:val="11"/>
          <w:szCs w:val="11"/>
          <w:b w:val="1"/>
          <w:bCs w:val="1"/>
          <w:color w:val="A3C4EB"/>
        </w:rPr>
        <w:t>§</w:t>
      </w:r>
    </w:p>
    <w:p>
      <w:pPr>
        <w:spacing w:after="0" w:line="107" w:lineRule="exact"/>
        <w:rPr>
          <w:sz w:val="20"/>
          <w:szCs w:val="20"/>
          <w:color w:val="auto"/>
        </w:rPr>
      </w:pPr>
    </w:p>
    <w:p>
      <w:pPr>
        <w:spacing w:after="0"/>
        <w:rPr>
          <w:sz w:val="20"/>
          <w:szCs w:val="20"/>
          <w:color w:val="auto"/>
        </w:rPr>
      </w:pPr>
      <w:r>
        <w:rPr>
          <w:rFonts w:ascii="Wingdings" w:cs="Wingdings" w:eastAsia="Wingdings" w:hAnsi="Wingdings"/>
          <w:sz w:val="11"/>
          <w:szCs w:val="11"/>
          <w:b w:val="1"/>
          <w:bCs w:val="1"/>
          <w:color w:val="A3C4EB"/>
        </w:rPr>
        <w:t>§</w:t>
      </w:r>
    </w:p>
    <w:p>
      <w:pPr>
        <w:spacing w:after="0" w:line="107" w:lineRule="exact"/>
        <w:rPr>
          <w:sz w:val="20"/>
          <w:szCs w:val="20"/>
          <w:color w:val="auto"/>
        </w:rPr>
      </w:pPr>
    </w:p>
    <w:p>
      <w:pPr>
        <w:spacing w:after="0"/>
        <w:rPr>
          <w:sz w:val="20"/>
          <w:szCs w:val="20"/>
          <w:color w:val="auto"/>
        </w:rPr>
      </w:pPr>
      <w:r>
        <w:rPr>
          <w:rFonts w:ascii="Wingdings" w:cs="Wingdings" w:eastAsia="Wingdings" w:hAnsi="Wingdings"/>
          <w:sz w:val="11"/>
          <w:szCs w:val="11"/>
          <w:b w:val="1"/>
          <w:bCs w:val="1"/>
          <w:color w:val="A3C4EB"/>
        </w:rPr>
        <w:t>§</w:t>
      </w:r>
    </w:p>
    <w:p>
      <w:pPr>
        <w:spacing w:after="0" w:line="107" w:lineRule="exact"/>
        <w:rPr>
          <w:sz w:val="20"/>
          <w:szCs w:val="20"/>
          <w:color w:val="auto"/>
        </w:rPr>
      </w:pPr>
    </w:p>
    <w:p>
      <w:pPr>
        <w:spacing w:after="0"/>
        <w:rPr>
          <w:sz w:val="20"/>
          <w:szCs w:val="20"/>
          <w:color w:val="auto"/>
        </w:rPr>
      </w:pPr>
      <w:r>
        <w:rPr>
          <w:rFonts w:ascii="Wingdings" w:cs="Wingdings" w:eastAsia="Wingdings" w:hAnsi="Wingdings"/>
          <w:sz w:val="11"/>
          <w:szCs w:val="11"/>
          <w:b w:val="1"/>
          <w:bCs w:val="1"/>
          <w:color w:val="A3C4EB"/>
        </w:rPr>
        <w:t>§</w:t>
      </w:r>
    </w:p>
    <w:p>
      <w:pPr>
        <w:spacing w:after="0" w:line="202" w:lineRule="exact"/>
        <w:rPr>
          <w:sz w:val="20"/>
          <w:szCs w:val="20"/>
          <w:color w:val="auto"/>
        </w:rPr>
      </w:pPr>
    </w:p>
    <w:p>
      <w:pPr>
        <w:spacing w:after="0"/>
        <w:rPr>
          <w:sz w:val="20"/>
          <w:szCs w:val="20"/>
          <w:color w:val="auto"/>
        </w:rPr>
      </w:pPr>
      <w:r>
        <w:rPr>
          <w:rFonts w:ascii="Wingdings" w:cs="Wingdings" w:eastAsia="Wingdings" w:hAnsi="Wingdings"/>
          <w:sz w:val="11"/>
          <w:szCs w:val="11"/>
          <w:b w:val="1"/>
          <w:bCs w:val="1"/>
          <w:color w:val="A3C4EB"/>
        </w:rPr>
        <w:t>§</w:t>
      </w:r>
    </w:p>
    <w:p>
      <w:pPr>
        <w:spacing w:after="0" w:line="107" w:lineRule="exact"/>
        <w:rPr>
          <w:sz w:val="20"/>
          <w:szCs w:val="20"/>
          <w:color w:val="auto"/>
        </w:rPr>
      </w:pPr>
    </w:p>
    <w:p>
      <w:pPr>
        <w:spacing w:after="0"/>
        <w:rPr>
          <w:sz w:val="20"/>
          <w:szCs w:val="20"/>
          <w:color w:val="auto"/>
        </w:rPr>
      </w:pPr>
      <w:r>
        <w:rPr>
          <w:rFonts w:ascii="Wingdings" w:cs="Wingdings" w:eastAsia="Wingdings" w:hAnsi="Wingdings"/>
          <w:sz w:val="11"/>
          <w:szCs w:val="11"/>
          <w:b w:val="1"/>
          <w:bCs w:val="1"/>
          <w:color w:val="A3C4EB"/>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The estimated value of the securities will be lower than the original issue price (price to public) of the securities.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The estimated value of the securities does not represent future values of the securities and may differ from others’ estimates.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The estimated value of the securities is derived by reference to an internal funding rate.</w:t>
      </w:r>
    </w:p>
    <w:p>
      <w:pPr>
        <w:spacing w:after="0" w:line="69" w:lineRule="exact"/>
        <w:rPr>
          <w:sz w:val="20"/>
          <w:szCs w:val="20"/>
          <w:color w:val="auto"/>
        </w:rPr>
      </w:pPr>
    </w:p>
    <w:p>
      <w:pPr>
        <w:ind w:right="60"/>
        <w:spacing w:after="0" w:line="251" w:lineRule="auto"/>
        <w:rPr>
          <w:sz w:val="20"/>
          <w:szCs w:val="20"/>
          <w:color w:val="auto"/>
        </w:rPr>
      </w:pPr>
      <w:r>
        <w:rPr>
          <w:rFonts w:ascii="Arial" w:cs="Arial" w:eastAsia="Arial" w:hAnsi="Arial"/>
          <w:sz w:val="14"/>
          <w:szCs w:val="14"/>
          <w:color w:val="auto"/>
        </w:rPr>
        <w:t>The value of the securities as published by J.P. Morgan Securities LLC (and which may be reflected on customer account statements) may be higher than the then-current estimated value of the securities for a limited time period.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Secondary market prices of the securities will likely be lower than the original issue price of the securities.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Secondary market prices of the securities will be impacted by many economic and market factors.</w:t>
      </w:r>
    </w:p>
    <w:p>
      <w:pPr>
        <w:spacing w:after="0" w:line="77" w:lineRule="exact"/>
        <w:rPr>
          <w:sz w:val="20"/>
          <w:szCs w:val="20"/>
          <w:color w:val="auto"/>
        </w:rPr>
      </w:pPr>
    </w:p>
    <w:p>
      <w:pPr>
        <w:sectPr>
          <w:pgSz w:w="11900" w:h="16838" w:orient="portrait"/>
          <w:cols w:equalWidth="0" w:num="2">
            <w:col w:w="100" w:space="240"/>
            <w:col w:w="10880"/>
          </w:cols>
          <w:pgMar w:left="320" w:top="462" w:right="359" w:bottom="1440" w:gutter="0" w:footer="0" w:header="0"/>
          <w:type w:val="continuous"/>
        </w:sectPr>
      </w:pPr>
    </w:p>
    <w:p>
      <w:pPr>
        <w:spacing w:after="0"/>
        <w:rPr>
          <w:sz w:val="20"/>
          <w:szCs w:val="20"/>
          <w:color w:val="auto"/>
        </w:rPr>
      </w:pPr>
      <w:r>
        <w:rPr>
          <w:rFonts w:ascii="Arial" w:cs="Arial" w:eastAsia="Arial" w:hAnsi="Arial"/>
          <w:sz w:val="17"/>
          <w:szCs w:val="17"/>
          <w:color w:val="296DC1"/>
        </w:rPr>
        <w:t>Risks Relating to the Underlying Indices</w:t>
      </w:r>
    </w:p>
    <w:p>
      <w:pPr>
        <w:sectPr>
          <w:pgSz w:w="11900" w:h="16838" w:orient="portrait"/>
          <w:cols w:equalWidth="0" w:num="1">
            <w:col w:w="11220"/>
          </w:cols>
          <w:pgMar w:left="320" w:top="462" w:right="35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Wingdings" w:cs="Wingdings" w:eastAsia="Wingdings" w:hAnsi="Wingdings"/>
          <w:sz w:val="11"/>
          <w:szCs w:val="11"/>
          <w:b w:val="1"/>
          <w:bCs w:val="1"/>
          <w:color w:val="A3C4EB"/>
        </w:rPr>
        <w:t>§</w:t>
      </w:r>
    </w:p>
    <w:p>
      <w:pPr>
        <w:spacing w:after="0" w:line="107" w:lineRule="exact"/>
        <w:rPr>
          <w:sz w:val="20"/>
          <w:szCs w:val="20"/>
          <w:color w:val="auto"/>
        </w:rPr>
      </w:pPr>
    </w:p>
    <w:p>
      <w:pPr>
        <w:spacing w:after="0"/>
        <w:rPr>
          <w:sz w:val="20"/>
          <w:szCs w:val="20"/>
          <w:color w:val="auto"/>
        </w:rPr>
      </w:pPr>
      <w:r>
        <w:rPr>
          <w:rFonts w:ascii="Wingdings" w:cs="Wingdings" w:eastAsia="Wingdings" w:hAnsi="Wingdings"/>
          <w:sz w:val="11"/>
          <w:szCs w:val="11"/>
          <w:b w:val="1"/>
          <w:bCs w:val="1"/>
          <w:color w:val="A3C4EB"/>
        </w:rPr>
        <w:t>§</w:t>
      </w:r>
    </w:p>
    <w:p>
      <w:pPr>
        <w:spacing w:after="0" w:line="107" w:lineRule="exact"/>
        <w:rPr>
          <w:sz w:val="20"/>
          <w:szCs w:val="20"/>
          <w:color w:val="auto"/>
        </w:rPr>
      </w:pPr>
    </w:p>
    <w:p>
      <w:pPr>
        <w:spacing w:after="0"/>
        <w:rPr>
          <w:sz w:val="20"/>
          <w:szCs w:val="20"/>
          <w:color w:val="auto"/>
        </w:rPr>
      </w:pPr>
      <w:r>
        <w:rPr>
          <w:rFonts w:ascii="Wingdings" w:cs="Wingdings" w:eastAsia="Wingdings" w:hAnsi="Wingdings"/>
          <w:sz w:val="11"/>
          <w:szCs w:val="11"/>
          <w:b w:val="1"/>
          <w:bCs w:val="1"/>
          <w:color w:val="A3C4EB"/>
        </w:rPr>
        <w:t>§</w:t>
      </w:r>
    </w:p>
    <w:p>
      <w:pPr>
        <w:spacing w:after="0" w:line="107" w:lineRule="exact"/>
        <w:rPr>
          <w:sz w:val="20"/>
          <w:szCs w:val="20"/>
          <w:color w:val="auto"/>
        </w:rPr>
      </w:pPr>
    </w:p>
    <w:p>
      <w:pPr>
        <w:spacing w:after="0"/>
        <w:rPr>
          <w:sz w:val="20"/>
          <w:szCs w:val="20"/>
          <w:color w:val="auto"/>
        </w:rPr>
      </w:pPr>
      <w:r>
        <w:rPr>
          <w:rFonts w:ascii="Wingdings" w:cs="Wingdings" w:eastAsia="Wingdings" w:hAnsi="Wingdings"/>
          <w:sz w:val="11"/>
          <w:szCs w:val="11"/>
          <w:b w:val="1"/>
          <w:bCs w:val="1"/>
          <w:color w:val="A3C4EB"/>
        </w:rPr>
        <w:t>§</w:t>
      </w:r>
    </w:p>
    <w:p>
      <w:pPr>
        <w:spacing w:after="0" w:line="107" w:lineRule="exact"/>
        <w:rPr>
          <w:sz w:val="20"/>
          <w:szCs w:val="20"/>
          <w:color w:val="auto"/>
        </w:rPr>
      </w:pPr>
    </w:p>
    <w:p>
      <w:pPr>
        <w:spacing w:after="0"/>
        <w:rPr>
          <w:sz w:val="20"/>
          <w:szCs w:val="20"/>
          <w:color w:val="auto"/>
        </w:rPr>
      </w:pPr>
      <w:r>
        <w:rPr>
          <w:rFonts w:ascii="Wingdings" w:cs="Wingdings" w:eastAsia="Wingdings" w:hAnsi="Wingdings"/>
          <w:sz w:val="11"/>
          <w:szCs w:val="11"/>
          <w:b w:val="1"/>
          <w:bCs w:val="1"/>
          <w:color w:val="A3C4EB"/>
        </w:rPr>
        <w:t>§</w:t>
      </w:r>
    </w:p>
    <w:p>
      <w:pPr>
        <w:spacing w:after="0" w:line="107" w:lineRule="exact"/>
        <w:rPr>
          <w:sz w:val="20"/>
          <w:szCs w:val="20"/>
          <w:color w:val="auto"/>
        </w:rPr>
      </w:pPr>
    </w:p>
    <w:p>
      <w:pPr>
        <w:spacing w:after="0"/>
        <w:rPr>
          <w:sz w:val="20"/>
          <w:szCs w:val="20"/>
          <w:color w:val="auto"/>
        </w:rPr>
      </w:pPr>
      <w:r>
        <w:rPr>
          <w:rFonts w:ascii="Wingdings" w:cs="Wingdings" w:eastAsia="Wingdings" w:hAnsi="Wingdings"/>
          <w:sz w:val="11"/>
          <w:szCs w:val="11"/>
          <w:b w:val="1"/>
          <w:bCs w:val="1"/>
          <w:color w:val="A3C4EB"/>
        </w:rPr>
        <w:t>§</w:t>
      </w:r>
    </w:p>
    <w:p>
      <w:pPr>
        <w:spacing w:after="0" w:line="107" w:lineRule="exact"/>
        <w:rPr>
          <w:sz w:val="20"/>
          <w:szCs w:val="20"/>
          <w:color w:val="auto"/>
        </w:rPr>
      </w:pPr>
    </w:p>
    <w:p>
      <w:pPr>
        <w:spacing w:after="0"/>
        <w:rPr>
          <w:sz w:val="20"/>
          <w:szCs w:val="20"/>
          <w:color w:val="auto"/>
        </w:rPr>
      </w:pPr>
      <w:r>
        <w:rPr>
          <w:rFonts w:ascii="Wingdings" w:cs="Wingdings" w:eastAsia="Wingdings" w:hAnsi="Wingdings"/>
          <w:sz w:val="11"/>
          <w:szCs w:val="11"/>
          <w:b w:val="1"/>
          <w:bCs w:val="1"/>
          <w:color w:val="A3C4EB"/>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JPMorgan Chase &amp; Co. is currently one of the companies that make up the SPX Index.</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Investing in the securities is not equivalent to investing in any underlying index.</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Adjustments to any underlying index could adversely affect the value of the securities.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An investment in the securities is subject to risks associated with small capitalization stocks with respect to the RTY Index.</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The securities are subject to risks associated with securities issued by non-U.S. companies with respect to the SX5E Index.</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The securities are not directly exposed to fluctuations in foreign exchange rates with respect to the SX5E Index.</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Governmental legislative and regulatory actions, including sanctions, could adversely affect your investment in the securities.</w:t>
      </w:r>
    </w:p>
    <w:p>
      <w:pPr>
        <w:spacing w:after="0" w:line="71" w:lineRule="exact"/>
        <w:rPr>
          <w:sz w:val="20"/>
          <w:szCs w:val="20"/>
          <w:color w:val="auto"/>
        </w:rPr>
      </w:pPr>
    </w:p>
    <w:p>
      <w:pPr>
        <w:sectPr>
          <w:pgSz w:w="11900" w:h="16838" w:orient="portrait"/>
          <w:cols w:equalWidth="0" w:num="2">
            <w:col w:w="100" w:space="240"/>
            <w:col w:w="10880"/>
          </w:cols>
          <w:pgMar w:left="320" w:top="462" w:right="359" w:bottom="1440" w:gutter="0" w:footer="0" w:header="0"/>
          <w:type w:val="continuous"/>
        </w:sectPr>
      </w:pPr>
    </w:p>
    <w:p>
      <w:pPr>
        <w:spacing w:after="0"/>
        <w:rPr>
          <w:sz w:val="20"/>
          <w:szCs w:val="20"/>
          <w:color w:val="auto"/>
        </w:rPr>
      </w:pPr>
      <w:r>
        <w:rPr>
          <w:rFonts w:ascii="Arial" w:cs="Arial" w:eastAsia="Arial" w:hAnsi="Arial"/>
          <w:sz w:val="22"/>
          <w:szCs w:val="22"/>
          <w:color w:val="296DC1"/>
        </w:rPr>
        <w:t>Tax Considerations</w:t>
      </w:r>
    </w:p>
    <w:p>
      <w:pPr>
        <w:spacing w:after="0" w:line="41" w:lineRule="exact"/>
        <w:rPr>
          <w:sz w:val="20"/>
          <w:szCs w:val="20"/>
          <w:color w:val="auto"/>
        </w:rPr>
      </w:pPr>
    </w:p>
    <w:p>
      <w:pPr>
        <w:ind w:right="500"/>
        <w:spacing w:after="0" w:line="285" w:lineRule="auto"/>
        <w:rPr>
          <w:sz w:val="20"/>
          <w:szCs w:val="20"/>
          <w:color w:val="auto"/>
        </w:rPr>
      </w:pPr>
      <w:r>
        <w:rPr>
          <w:rFonts w:ascii="Arial" w:cs="Arial" w:eastAsia="Arial" w:hAnsi="Arial"/>
          <w:sz w:val="14"/>
          <w:szCs w:val="14"/>
          <w:color w:val="auto"/>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spacing w:after="0" w:line="38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-861060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46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Roman"/>
      <w:start w:val="1"/>
    </w:lvl>
  </w:abstractNum>
  <w:abstractNum w:abstractNumId="3">
    <w:nsid w:val="46E87CCD"/>
    <w:multiLevelType w:val="hybridMultilevel"/>
    <w:lvl w:ilvl="0">
      <w:lvlJc w:val="left"/>
      <w:lvlText w:val="(%1)"/>
      <w:numFmt w:val="lowerRoman"/>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5" Type="http://schemas.openxmlformats.org/officeDocument/2006/relationships/hyperlink" Target="http://www.sec.gov/Archives/edgar/data/19617/000121390026068466/ea0294674-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2026-06-15T11:08:23Z</dcterms:created>
  <dcterms:modified xsi:type="dcterms:W3CDTF">2026-06-15T11:08:23Z</dcterms:modified>
</cp:coreProperties>
</file>