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921-01_fwp.htm"/>
      <w:bookmarkStart w:id="1" w:name="ksea030592101_fwp"/>
      <w:bookmarkStart w:id="2" w:name="ea0305921-01_fwp.htm"/>
      <w:bookmarkStart w:id="3" w:name="ksea030592101_fwp"/>
      <w:bookmarkEnd w:id="2"/>
      <w:bookmarkEnd w:id="3"/>
    </w:p>
    <w:tbl>
      <w:tblPr>
        <w:tblW w:w="10205" w:type="dxa"/>
        <w:jc w:val="left"/>
        <w:tblInd w:w="0" w:type="dxa"/>
        <w:tblLayout w:type="fixed"/>
        <w:tblCellMar>
          <w:top w:w="0" w:type="dxa"/>
          <w:left w:w="0" w:type="dxa"/>
          <w:bottom w:w="0" w:type="dxa"/>
          <w:right w:w="0" w:type="dxa"/>
        </w:tblCellMar>
      </w:tblPr>
      <w:tblGrid>
        <w:gridCol w:w="6998"/>
        <w:gridCol w:w="3207"/>
      </w:tblGrid>
      <w:tr>
        <w:trPr/>
        <w:tc>
          <w:tcPr>
            <w:tcW w:w="6998"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0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 xml:space="preserve">Registration Statement Nos. 333-293684 and </w:t>
              <w:br/>
              <w:t>333-293684-01</w:t>
            </w:r>
          </w:p>
        </w:tc>
      </w:tr>
      <w:tr>
        <w:trPr/>
        <w:tc>
          <w:tcPr>
            <w:tcW w:w="6998" w:type="dxa"/>
            <w:vMerge w:val="continue"/>
            <w:tcBorders/>
            <w:vAlign w:val="center"/>
          </w:tcPr>
          <w:p>
            <w:pPr>
              <w:pStyle w:val="Normal"/>
              <w:bidi w:val="0"/>
              <w:jc w:val="left"/>
              <w:rPr/>
            </w:pPr>
            <w:r>
              <w:rPr/>
            </w:r>
          </w:p>
        </w:tc>
        <w:tc>
          <w:tcPr>
            <w:tcW w:w="3207"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S&amp;P 500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the EURO STOXX 50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Russell 2000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due September 28,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17, 2026 to Preliminary Pricing Supplement dated September 17,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30338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30338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75"/>
                              <w:gridCol w:w="8730"/>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25, 2026</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28, 2029</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73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contingent coupon payment date, you will receive a contingent coupon payment at a per annum rate equal to the contingent coupon rate if, and only if, the closing level of the lowest performing Index on the related calculation day is greater than or equal to its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73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9.00% per annum (to be provided in the pricing supplement)</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of the calculation days from December 2026 to June 2029, inclusive, is greater than or equal to its starting level,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March, June, September and December, commencing December 2026 and ending September 2029.</w:t>
                                    <w:br/>
                                    <w:t> We refer to September 25,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3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calculation day, (closing level on that calculation day – starting level) / starting level</w:t>
                                  </w:r>
                                </w:p>
                              </w:tc>
                            </w:tr>
                          </w:tbl>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75"/>
                        <w:gridCol w:w="8730"/>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25, 2026</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28, 2029</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73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contingent coupon payment date, you will receive a contingent coupon payment at a per annum rate equal to the contingent coupon rate if, and only if, the closing level of the lowest performing Index on the related calculation day is greater than or equal to its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73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9.00% per annum (to be provided in the pricing supplement)</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of the calculation days from December 2026 to June 2029, inclusive, is greater than or equal to its starting level,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March, June, September and December, commencing December 2026 and ending September 2029.</w:t>
                              <w:br/>
                              <w:t> We refer to September 25,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7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3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calculation day, (closing level on that calculation day – starting level) / starting level</w:t>
                            </w:r>
                          </w:p>
                        </w:tc>
                      </w:tr>
                    </w:tbl>
                    <w:p>
                      <w:pPr>
                        <w:pStyle w:val="TextBody"/>
                        <w:bidi w:val="0"/>
                        <w:spacing w:before="0" w:after="283"/>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 of its starting level</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46661PVQ7</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914"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left"/>
                              <w:rPr>
                                <w:caps w:val="false"/>
                                <w:smallCaps w:val="false"/>
                                <w:color w:val="8F8F8F"/>
                              </w:rPr>
                            </w:pPr>
                            <w:r>
                              <w:rPr>
                                <w:caps w:val="false"/>
                                <w:smallCaps w:val="false"/>
                                <w:color w:val="8F8F8F"/>
                              </w:rPr>
                              <w:drawing>
                                <wp:inline distT="0" distB="0" distL="0" distR="0">
                                  <wp:extent cx="3609975" cy="21812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609975" cy="2181225"/>
                                          </a:xfrm>
                                          <a:prstGeom prst="rect">
                                            <a:avLst/>
                                          </a:prstGeom>
                                        </pic:spPr>
                                      </pic:pic>
                                    </a:graphicData>
                                  </a:graphic>
                                </wp:inline>
                              </w:drawing>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level of the lowest performing Index on the final calculation day is less than its threshold level, you will lose more than 30%, and possibly all,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threshold level.</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$961.20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0"/>
                              <w:ind w:left="108" w:right="0" w:hanging="0"/>
                              <w:jc w:val="left"/>
                              <w:rPr/>
                            </w:pPr>
                            <w:hyperlink r:id="rId4">
                              <w:r>
                                <w:rPr>
                                  <w:rStyle w:val="InternetLink"/>
                                  <w:rFonts w:ascii="Georgia;Times;Serif" w:hAnsi="Georgia;Times;Serif"/>
                                  <w:b w:val="false"/>
                                  <w:i w:val="false"/>
                                  <w:caps w:val="false"/>
                                  <w:smallCaps w:val="false"/>
                                  <w:sz w:val="16"/>
                                </w:rPr>
                                <w:t>http://www.sec.gov/Archives/edgar/data/19617/000121390026100999/</w:t>
                                <w:br/>
                                <w:t>ea0305875-01_424b2.htm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70% of its starting level</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46661PVQ7</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914"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left"/>
                        <w:rPr>
                          <w:caps w:val="false"/>
                          <w:smallCaps w:val="false"/>
                          <w:color w:val="8F8F8F"/>
                        </w:rPr>
                      </w:pPr>
                      <w:r>
                        <w:rPr>
                          <w:caps w:val="false"/>
                          <w:smallCaps w:val="false"/>
                          <w:color w:val="8F8F8F"/>
                        </w:rPr>
                        <w:drawing>
                          <wp:inline distT="0" distB="0" distL="0" distR="0">
                            <wp:extent cx="3609975" cy="21812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609975" cy="2181225"/>
                                    </a:xfrm>
                                    <a:prstGeom prst="rect">
                                      <a:avLst/>
                                    </a:prstGeom>
                                  </pic:spPr>
                                </pic:pic>
                              </a:graphicData>
                            </a:graphic>
                          </wp:inline>
                        </w:drawing>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level of the lowest performing Index on the final calculation day is less than its threshold level, you will lose more than 30%, and possibly all,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threshold level.</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$961.20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0"/>
                        <w:ind w:left="108" w:right="0" w:hanging="0"/>
                        <w:jc w:val="left"/>
                        <w:rPr/>
                      </w:pPr>
                      <w:hyperlink r:id="rId6">
                        <w:r>
                          <w:rPr>
                            <w:rStyle w:val="InternetLink"/>
                            <w:rFonts w:ascii="Georgia;Times;Serif" w:hAnsi="Georgia;Times;Serif"/>
                            <w:b w:val="false"/>
                            <w:i w:val="false"/>
                            <w:caps w:val="false"/>
                            <w:smallCaps w:val="false"/>
                            <w:sz w:val="16"/>
                          </w:rPr>
                          <w:t>http://www.sec.gov/Archives/edgar/data/19617/000121390026100999/</w:t>
                          <w:br/>
                          <w:t>ea0305875-01_424b2.htm</w:t>
                        </w:r>
                      </w:hyperlink>
                    </w:p>
                  </w:txbxContent>
                </v:textbox>
                <w10:wrap type="square" side="left"/>
              </v:rect>
            </w:pict>
          </mc:Fallback>
        </mc:AlternateContent>
      </w:r>
    </w:p>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116"/>
        <w:gridCol w:w="5089"/>
      </w:tblGrid>
      <w:tr>
        <w:trPr/>
        <w:tc>
          <w:tcPr>
            <w:tcW w:w="5116"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30%,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Indices.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Level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089"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Each </w:t>
            </w:r>
            <w:r>
              <w:rPr>
                <w:rFonts w:ascii="Georgia;Times;Serif" w:hAnsi="Georgia;Times;Serif"/>
                <w:b/>
                <w:i w:val="false"/>
                <w:caps w:val="false"/>
                <w:smallCaps w:val="false"/>
                <w:sz w:val="18"/>
                <w:shd w:fill="FFFFFF" w:val="clear"/>
              </w:rPr>
              <w:t>of JPMorgan Chase &amp; Co. and Wells Fargo &amp; Company (the Parent Company of WFS) Is Currently One of the Companies that Make Up the S&amp;P 500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 xml:space="preserve">The </w:t>
            </w:r>
            <w:r>
              <w:rPr>
                <w:rFonts w:ascii="Georgia;Times;Serif" w:hAnsi="Georgia;Times;Serif"/>
                <w:b/>
                <w:i w:val="false"/>
                <w:caps w:val="false"/>
                <w:smallCaps w:val="false"/>
                <w:sz w:val="18"/>
                <w:shd w:fill="FFFFFF" w:val="clear"/>
              </w:rPr>
              <w:t>Securities Are Subject to Non-U.S. Securities Risk with Respect to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Direct Exposure to Fluctuations in Foreign Exchange Rates with Respect to the EURO STOXX 50</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Index.</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 Investment </w:t>
            </w:r>
            <w:r>
              <w:rPr>
                <w:rFonts w:ascii="Georgia;Times;Serif" w:hAnsi="Georgia;Times;Serif"/>
                <w:b/>
                <w:i w:val="false"/>
                <w:caps w:val="false"/>
                <w:smallCaps w:val="false"/>
                <w:sz w:val="18"/>
                <w:shd w:fill="FFFFFF" w:val="clear"/>
              </w:rPr>
              <w:t>in the Securities Is Subject to Risks Associated 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Index and Therefore the Securities Are Subject to the Risks Associated with Each Index,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0999/ea0305875-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0999/ea0305875-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1768</Words>
  <Characters>9390</Characters>
  <CharactersWithSpaces>11210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