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13m RTY/SPX 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Russell 2000 ®   Index and S&amp;P 500 ®   Index  Upside Leverage Factor:   1.25  Maximum Return:   At least 15.50%*  Barrier Amount:   With respect to each Underlying, 70.00% of its Initial Value  Underlying Return:   (Final Value – Initial Value) / Initial Value  Pricing Date:   September 30, 2026  Observation Date:   November 1, 2027  Maturity Date:   November 4, 2027  CUSIP:   46661MA87  Preliminary Pricing Supplement:   http://sp.jpmorgan.com/document/cusip/46661MA87/doctype/Product_Termsheet/document.pdf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subject to the Maximum Return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Maximum Return will be provided in the pricing supplement and will not be less than 15.50%. ** Reflects a Maximum Return equal to the minimum Maximum Return set forth herein,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15.50%   $1,155.00  80.00%   15.50%   $1,155.00  60.00%   15.50%   $1,155.00  40.00%   15.50%   $1,155.00  30.00%   15.50%   $1,155.00  20.00%   15.50%   $1,155.00  12.40%   15.50%   $1,155.00  10.00%   12.50%   $1,125.00  5.00%   6.25%   $1,062.50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13m RTY/SPX Capped Accelerated Barrier Notes  J.P. Morgan Structured Investments | 1 800 576 3529 | jpm_structured_investments@jpmorgan.com  Selected Risks  ●   Your investment in the notes may result in a loss. The notes do not guarantee any return of principal.  ●   Your maximum gain on the notes is limited by the Maximum Return.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1368</Words>
  <Characters>7296</Characters>
  <CharactersWithSpaces>8878</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