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rFonts w:ascii="Arial;Helvetica;Sans-Serif" w:hAnsi="Arial;Helvetica;Sans-Serif"/>
          <w:b/>
          <w:i w:val="false"/>
          <w:caps w:val="false"/>
          <w:smallCaps w:val="false"/>
          <w:color w:val="808080"/>
          <w:sz w:val="24"/>
        </w:rPr>
      </w:pPr>
      <w:bookmarkStart w:id="0" w:name="ea0304503-01_fwp.htm"/>
      <w:bookmarkStart w:id="1" w:name="ksea030450301_fwp"/>
      <w:bookmarkEnd w:id="0"/>
      <w:bookmarkEnd w:id="1"/>
      <w:r>
        <w:rPr>
          <w:rFonts w:ascii="Arial;Helvetica;Sans-Serif" w:hAnsi="Arial;Helvetica;Sans-Serif"/>
          <w:b/>
          <w:i w:val="false"/>
          <w:caps w:val="false"/>
          <w:smallCaps w:val="false"/>
          <w:color w:val="808080"/>
          <w:sz w:val="24"/>
        </w:rPr>
        <w:t>JPMorgan Chase Financial Company LLC</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Free Writing Prospectus Filed Pursuant to Rule 433</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Registration Statement Nos. 333-293684 and 333-293684-01</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Dated September 2, 2026</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2"/>
        </w:rPr>
      </w:pPr>
      <w:r>
        <w:rPr>
          <w:rFonts w:ascii="Arial;Helvetica;Sans-Serif" w:hAnsi="Arial;Helvetica;Sans-Serif"/>
          <w:b w:val="false"/>
          <w:i w:val="false"/>
          <w:caps w:val="false"/>
          <w:smallCaps w:val="false"/>
          <w:color w:val="296DC1"/>
          <w:sz w:val="32"/>
        </w:rPr>
        <w:t>15-Month SPX Enhanced Buffered Jump Securities</w:t>
      </w:r>
    </w:p>
    <w:p>
      <w:pPr>
        <w:pStyle w:val="TextBody"/>
        <w:bidi w:val="0"/>
        <w:ind w:left="86" w:right="0" w:hanging="0"/>
        <w:jc w:val="left"/>
        <w:rPr>
          <w:rFonts w:ascii="Arial;Helvetica;Sans-Serif" w:hAnsi="Arial;Helvetica;Sans-Serif"/>
          <w:b/>
          <w:i/>
          <w:caps w:val="false"/>
          <w:smallCaps w:val="false"/>
          <w:sz w:val="18"/>
        </w:rPr>
      </w:pPr>
      <w:r>
        <w:rPr>
          <w:rFonts w:ascii="Arial;Helvetica;Sans-Serif" w:hAnsi="Arial;Helvetica;Sans-Serif"/>
          <w:b/>
          <w:i/>
          <w:caps w:val="false"/>
          <w:smallCaps w:val="false"/>
          <w:sz w:val="18"/>
        </w:rPr>
        <w:t>This document provides a summary of the terms of the securities. Investors must carefully review the accompanying preliminary pricing supplement referenced below, product supplement, underlying supplement, prospectus supplement and prospectus and the “Risk Considerations” on the following page, prior to making an investment decision.</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75000" cy="8362315"/>
                <wp:effectExtent l="0" t="0" r="0" b="0"/>
                <wp:wrapSquare wrapText="right"/>
                <wp:docPr id="1" name="Frame1"/>
                <a:graphic xmlns:a="http://schemas.openxmlformats.org/drawingml/2006/main">
                  <a:graphicData uri="http://schemas.microsoft.com/office/word/2010/wordprocessingShape">
                    <wps:wsp>
                      <wps:cNvSpPr txBox="1"/>
                      <wps:spPr>
                        <a:xfrm>
                          <a:off x="0" y="0"/>
                          <a:ext cx="3175000" cy="836231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2166"/>
                              <w:gridCol w:w="8039"/>
                            </w:tblGrid>
                            <w:tr>
                              <w:trPr/>
                              <w:tc>
                                <w:tcPr>
                                  <w:tcW w:w="10205" w:type="dxa"/>
                                  <w:gridSpan w:val="2"/>
                                  <w:tcBorders/>
                                  <w:shd w:fill="296DC1"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r>
                              <w:trPr/>
                              <w:tc>
                                <w:tcPr>
                                  <w:tcW w:w="2166"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Issuer: </w:t>
                                  </w:r>
                                </w:p>
                              </w:tc>
                              <w:tc>
                                <w:tcPr>
                                  <w:tcW w:w="8039" w:type="dxa"/>
                                  <w:tcBorders/>
                                  <w:shd w:fill="FFFFFF" w:val="clear"/>
                                  <w:vAlign w:val="center"/>
                                </w:tcPr>
                                <w:p>
                                  <w:pPr>
                                    <w:pStyle w:val="TableContents"/>
                                    <w:bidi w:val="0"/>
                                    <w:spacing w:before="0" w:after="283"/>
                                    <w:jc w:val="left"/>
                                    <w:rPr>
                                      <w:sz w:val="16"/>
                                    </w:rPr>
                                  </w:pPr>
                                  <w:r>
                                    <w:rPr>
                                      <w:sz w:val="16"/>
                                    </w:rPr>
                                    <w:t>JPMorgan Chase Financial Company LLC (“JPMorgan Financial”)</w:t>
                                  </w:r>
                                </w:p>
                              </w:tc>
                            </w:tr>
                            <w:tr>
                              <w:trPr/>
                              <w:tc>
                                <w:tcPr>
                                  <w:tcW w:w="216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Guarantor:</w:t>
                                  </w:r>
                                </w:p>
                              </w:tc>
                              <w:tc>
                                <w:tcPr>
                                  <w:tcW w:w="8039" w:type="dxa"/>
                                  <w:tcBorders/>
                                  <w:shd w:fill="DCEBF4" w:val="clear"/>
                                  <w:vAlign w:val="center"/>
                                </w:tcPr>
                                <w:p>
                                  <w:pPr>
                                    <w:pStyle w:val="TableContents"/>
                                    <w:bidi w:val="0"/>
                                    <w:spacing w:before="0" w:after="283"/>
                                    <w:jc w:val="left"/>
                                    <w:rPr>
                                      <w:sz w:val="16"/>
                                    </w:rPr>
                                  </w:pPr>
                                  <w:r>
                                    <w:rPr>
                                      <w:sz w:val="16"/>
                                    </w:rPr>
                                    <w:t>JPMorgan Chase &amp; Co.</w:t>
                                  </w:r>
                                </w:p>
                              </w:tc>
                            </w:tr>
                            <w:tr>
                              <w:trPr/>
                              <w:tc>
                                <w:tcPr>
                                  <w:tcW w:w="216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Underlying index: </w:t>
                                  </w:r>
                                </w:p>
                              </w:tc>
                              <w:tc>
                                <w:tcPr>
                                  <w:tcW w:w="8039"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S&amp;P 500</w:t>
                                  </w:r>
                                  <w:r>
                                    <w:rPr>
                                      <w:rFonts w:ascii="Arial;Helvetica;Sans-Serif" w:hAnsi="Arial;Helvetica;Sans-Serif"/>
                                      <w:position w:val="5"/>
                                      <w:sz w:val="13"/>
                                      <w:sz w:val="16"/>
                                    </w:rPr>
                                    <w:t>®</w:t>
                                  </w:r>
                                  <w:r>
                                    <w:rPr>
                                      <w:rFonts w:ascii="Arial;Helvetica;Sans-Serif" w:hAnsi="Arial;Helvetica;Sans-Serif"/>
                                      <w:sz w:val="16"/>
                                    </w:rPr>
                                    <w:t xml:space="preserve"> Index (Bloomberg ticker: SPX Index)</w:t>
                                  </w:r>
                                </w:p>
                              </w:tc>
                            </w:tr>
                            <w:tr>
                              <w:trPr/>
                              <w:tc>
                                <w:tcPr>
                                  <w:tcW w:w="216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Payment at maturity: </w:t>
                                  </w:r>
                                </w:p>
                              </w:tc>
                              <w:tc>
                                <w:tcPr>
                                  <w:tcW w:w="8039" w:type="dxa"/>
                                  <w:tcBorders/>
                                  <w:shd w:fill="DCEBF4" w:val="clear"/>
                                  <w:vAlign w:val="center"/>
                                </w:tcPr>
                                <w:p>
                                  <w:pPr>
                                    <w:pStyle w:val="TableContents"/>
                                    <w:bidi w:val="0"/>
                                    <w:spacing w:before="40" w:after="40"/>
                                    <w:ind w:left="40" w:right="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If the final index value is </w:t>
                                  </w:r>
                                  <w:r>
                                    <w:rPr>
                                      <w:rFonts w:ascii="Arial;Helvetica;Sans-Serif" w:hAnsi="Arial;Helvetica;Sans-Serif"/>
                                      <w:b w:val="false"/>
                                      <w:i/>
                                      <w:caps w:val="false"/>
                                      <w:smallCaps w:val="false"/>
                                      <w:sz w:val="16"/>
                                    </w:rPr>
                                    <w:t>greater than or equal to</w:t>
                                  </w:r>
                                  <w:r>
                                    <w:rPr>
                                      <w:rFonts w:ascii="Arial;Helvetica;Sans-Serif" w:hAnsi="Arial;Helvetica;Sans-Serif"/>
                                      <w:b w:val="false"/>
                                      <w:i w:val="false"/>
                                      <w:caps w:val="false"/>
                                      <w:smallCaps w:val="false"/>
                                      <w:sz w:val="16"/>
                                    </w:rPr>
                                    <w:t xml:space="preserve"> the buffer threshold level, you will receive at maturity a cash payment per $1,000 stated principal amount security equal to:</w:t>
                                  </w:r>
                                </w:p>
                                <w:p>
                                  <w:pPr>
                                    <w:pStyle w:val="TableContents"/>
                                    <w:bidi w:val="0"/>
                                    <w:spacing w:before="40" w:after="40"/>
                                    <w:ind w:left="40" w:right="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 + upside payment</w:t>
                                  </w:r>
                                </w:p>
                                <w:p>
                                  <w:pPr>
                                    <w:pStyle w:val="TableContents"/>
                                    <w:bidi w:val="0"/>
                                    <w:spacing w:before="40" w:after="40"/>
                                    <w:ind w:left="40" w:right="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If the final index value is </w:t>
                                  </w:r>
                                  <w:r>
                                    <w:rPr>
                                      <w:rFonts w:ascii="Arial;Helvetica;Sans-Serif" w:hAnsi="Arial;Helvetica;Sans-Serif"/>
                                      <w:b w:val="false"/>
                                      <w:i/>
                                      <w:caps w:val="false"/>
                                      <w:smallCaps w:val="false"/>
                                      <w:sz w:val="16"/>
                                    </w:rPr>
                                    <w:t>less than</w:t>
                                  </w:r>
                                  <w:r>
                                    <w:rPr>
                                      <w:rFonts w:ascii="Arial;Helvetica;Sans-Serif" w:hAnsi="Arial;Helvetica;Sans-Serif"/>
                                      <w:b w:val="false"/>
                                      <w:i w:val="false"/>
                                      <w:caps w:val="false"/>
                                      <w:smallCaps w:val="false"/>
                                      <w:sz w:val="16"/>
                                    </w:rPr>
                                    <w:t xml:space="preserve"> the buffer threshold level, you will receive at maturity a cash payment per $1,000 stated principal amount security equal to:</w:t>
                                  </w:r>
                                </w:p>
                                <w:p>
                                  <w:pPr>
                                    <w:pStyle w:val="TableContents"/>
                                    <w:bidi w:val="0"/>
                                    <w:spacing w:before="40" w:after="40"/>
                                    <w:ind w:left="40" w:right="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 + [$1,000 × (index return + buffer amount) × downside factor]</w:t>
                                  </w:r>
                                </w:p>
                                <w:p>
                                  <w:pPr>
                                    <w:pStyle w:val="TableContents"/>
                                    <w:bidi w:val="0"/>
                                    <w:spacing w:before="40" w:after="40"/>
                                    <w:ind w:left="40" w:right="40" w:hanging="0"/>
                                    <w:jc w:val="left"/>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This amount will be less than the stated principal amount of $1,000 per $1,000 stated principal amount security and could be zero.</w:t>
                                  </w:r>
                                </w:p>
                              </w:tc>
                            </w:tr>
                            <w:tr>
                              <w:trPr/>
                              <w:tc>
                                <w:tcPr>
                                  <w:tcW w:w="216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Upside payment:</w:t>
                                  </w:r>
                                </w:p>
                              </w:tc>
                              <w:tc>
                                <w:tcPr>
                                  <w:tcW w:w="8039" w:type="dxa"/>
                                  <w:tcBorders/>
                                  <w:vAlign w:val="center"/>
                                </w:tcPr>
                                <w:p>
                                  <w:pPr>
                                    <w:pStyle w:val="TableContents"/>
                                    <w:bidi w:val="0"/>
                                    <w:spacing w:before="0" w:after="283"/>
                                    <w:jc w:val="left"/>
                                    <w:rPr>
                                      <w:sz w:val="16"/>
                                    </w:rPr>
                                  </w:pPr>
                                  <w:r>
                                    <w:rPr>
                                      <w:sz w:val="16"/>
                                    </w:rPr>
                                    <w:t>At least $91.00 per $1,000 stated principal amount security (at least 9.10% of the stated principal amount)</w:t>
                                  </w:r>
                                </w:p>
                              </w:tc>
                            </w:tr>
                            <w:tr>
                              <w:trPr/>
                              <w:tc>
                                <w:tcPr>
                                  <w:tcW w:w="216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Buffer threshold level:</w:t>
                                  </w:r>
                                </w:p>
                              </w:tc>
                              <w:tc>
                                <w:tcPr>
                                  <w:tcW w:w="8039" w:type="dxa"/>
                                  <w:tcBorders/>
                                  <w:shd w:fill="DCEBF4"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90% of the initial index value</w:t>
                                  </w:r>
                                </w:p>
                              </w:tc>
                            </w:tr>
                            <w:tr>
                              <w:trPr/>
                              <w:tc>
                                <w:tcPr>
                                  <w:tcW w:w="216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Buffer amount:</w:t>
                                  </w:r>
                                </w:p>
                              </w:tc>
                              <w:tc>
                                <w:tcPr>
                                  <w:tcW w:w="8039"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10%</w:t>
                                  </w:r>
                                </w:p>
                              </w:tc>
                            </w:tr>
                            <w:tr>
                              <w:trPr/>
                              <w:tc>
                                <w:tcPr>
                                  <w:tcW w:w="216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Downside factor:</w:t>
                                  </w:r>
                                </w:p>
                              </w:tc>
                              <w:tc>
                                <w:tcPr>
                                  <w:tcW w:w="8039" w:type="dxa"/>
                                  <w:tcBorders/>
                                  <w:shd w:fill="DCEBF4" w:val="clear"/>
                                  <w:vAlign w:val="center"/>
                                </w:tcPr>
                                <w:p>
                                  <w:pPr>
                                    <w:pStyle w:val="TableContents"/>
                                    <w:bidi w:val="0"/>
                                    <w:spacing w:before="0" w:after="283"/>
                                    <w:jc w:val="left"/>
                                    <w:rPr>
                                      <w:sz w:val="16"/>
                                    </w:rPr>
                                  </w:pPr>
                                  <w:r>
                                    <w:rPr>
                                      <w:sz w:val="16"/>
                                    </w:rPr>
                                    <w:t>1.11111</w:t>
                                  </w:r>
                                </w:p>
                              </w:tc>
                            </w:tr>
                            <w:tr>
                              <w:trPr/>
                              <w:tc>
                                <w:tcPr>
                                  <w:tcW w:w="216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Index return:</w:t>
                                  </w:r>
                                </w:p>
                              </w:tc>
                              <w:tc>
                                <w:tcPr>
                                  <w:tcW w:w="8039" w:type="dxa"/>
                                  <w:tcBorders/>
                                  <w:vAlign w:val="center"/>
                                </w:tcPr>
                                <w:p>
                                  <w:pPr>
                                    <w:pStyle w:val="TableContents"/>
                                    <w:bidi w:val="0"/>
                                    <w:spacing w:before="0" w:after="283"/>
                                    <w:jc w:val="left"/>
                                    <w:rPr>
                                      <w:sz w:val="16"/>
                                    </w:rPr>
                                  </w:pPr>
                                  <w:r>
                                    <w:rPr>
                                      <w:sz w:val="16"/>
                                    </w:rPr>
                                    <w:t>(final index value – initial index value) / initial index value</w:t>
                                  </w:r>
                                </w:p>
                              </w:tc>
                            </w:tr>
                            <w:tr>
                              <w:trPr/>
                              <w:tc>
                                <w:tcPr>
                                  <w:tcW w:w="2166" w:type="dxa"/>
                                  <w:tcBorders/>
                                  <w:shd w:fill="DCEBF4" w:val="clear"/>
                                  <w:vAlign w:val="center"/>
                                </w:tcPr>
                                <w:p>
                                  <w:pPr>
                                    <w:pStyle w:val="TableContents"/>
                                    <w:bidi w:val="0"/>
                                    <w:spacing w:before="0" w:after="283"/>
                                    <w:jc w:val="left"/>
                                    <w:rPr/>
                                  </w:pPr>
                                  <w:r>
                                    <w:rPr>
                                      <w:rFonts w:ascii="Arial;Helvetica;Sans-Serif" w:hAnsi="Arial;Helvetica;Sans-Serif"/>
                                      <w:b/>
                                      <w:color w:val="296DC1"/>
                                      <w:sz w:val="16"/>
                                    </w:rPr>
                                    <w:t>Initial index value</w:t>
                                  </w:r>
                                  <w:r>
                                    <w:rPr>
                                      <w:rFonts w:ascii="Arial;Helvetica;Sans-Serif" w:hAnsi="Arial;Helvetica;Sans-Serif"/>
                                      <w:b/>
                                      <w:color w:val="296DC1"/>
                                      <w:sz w:val="14"/>
                                    </w:rPr>
                                    <w:t>:</w:t>
                                  </w:r>
                                </w:p>
                              </w:tc>
                              <w:tc>
                                <w:tcPr>
                                  <w:tcW w:w="8039" w:type="dxa"/>
                                  <w:tcBorders/>
                                  <w:shd w:fill="DCEBF4" w:val="clear"/>
                                  <w:vAlign w:val="center"/>
                                </w:tcPr>
                                <w:p>
                                  <w:pPr>
                                    <w:pStyle w:val="TableContents"/>
                                    <w:bidi w:val="0"/>
                                    <w:spacing w:before="0" w:after="283"/>
                                    <w:jc w:val="left"/>
                                    <w:rPr>
                                      <w:sz w:val="16"/>
                                    </w:rPr>
                                  </w:pPr>
                                  <w:r>
                                    <w:rPr>
                                      <w:sz w:val="16"/>
                                    </w:rPr>
                                    <w:t>The closing level of the underlying index on the pricing date</w:t>
                                  </w:r>
                                </w:p>
                              </w:tc>
                            </w:tr>
                            <w:tr>
                              <w:trPr/>
                              <w:tc>
                                <w:tcPr>
                                  <w:tcW w:w="2166" w:type="dxa"/>
                                  <w:tcBorders/>
                                  <w:vAlign w:val="center"/>
                                </w:tcPr>
                                <w:p>
                                  <w:pPr>
                                    <w:pStyle w:val="TableContents"/>
                                    <w:bidi w:val="0"/>
                                    <w:spacing w:before="0" w:after="283"/>
                                    <w:jc w:val="left"/>
                                    <w:rPr/>
                                  </w:pPr>
                                  <w:r>
                                    <w:rPr>
                                      <w:rFonts w:ascii="Arial;Helvetica;Sans-Serif" w:hAnsi="Arial;Helvetica;Sans-Serif"/>
                                      <w:b/>
                                      <w:color w:val="296DC1"/>
                                      <w:sz w:val="16"/>
                                    </w:rPr>
                                    <w:t>Final</w:t>
                                  </w:r>
                                  <w:r>
                                    <w:rPr/>
                                    <w:t xml:space="preserve"> </w:t>
                                  </w:r>
                                  <w:r>
                                    <w:rPr>
                                      <w:rFonts w:ascii="Arial;Helvetica;Sans-Serif" w:hAnsi="Arial;Helvetica;Sans-Serif"/>
                                      <w:b/>
                                      <w:color w:val="296DC1"/>
                                      <w:sz w:val="14"/>
                                    </w:rPr>
                                    <w:t>i</w:t>
                                  </w:r>
                                  <w:r>
                                    <w:rPr>
                                      <w:rFonts w:ascii="Arial;Helvetica;Sans-Serif" w:hAnsi="Arial;Helvetica;Sans-Serif"/>
                                      <w:b/>
                                      <w:color w:val="296DC1"/>
                                      <w:sz w:val="16"/>
                                    </w:rPr>
                                    <w:t xml:space="preserve">ndex value: </w:t>
                                  </w:r>
                                </w:p>
                              </w:tc>
                              <w:tc>
                                <w:tcPr>
                                  <w:tcW w:w="8039" w:type="dxa"/>
                                  <w:tcBorders/>
                                  <w:vAlign w:val="center"/>
                                </w:tcPr>
                                <w:p>
                                  <w:pPr>
                                    <w:pStyle w:val="TableContents"/>
                                    <w:bidi w:val="0"/>
                                    <w:spacing w:before="0" w:after="283"/>
                                    <w:jc w:val="left"/>
                                    <w:rPr>
                                      <w:sz w:val="16"/>
                                    </w:rPr>
                                  </w:pPr>
                                  <w:r>
                                    <w:rPr>
                                      <w:sz w:val="16"/>
                                    </w:rPr>
                                    <w:t>The closing level of the underlying index on the valuation date</w:t>
                                  </w:r>
                                </w:p>
                              </w:tc>
                            </w:tr>
                            <w:tr>
                              <w:trPr/>
                              <w:tc>
                                <w:tcPr>
                                  <w:tcW w:w="216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Stated principal amount:</w:t>
                                  </w:r>
                                </w:p>
                              </w:tc>
                              <w:tc>
                                <w:tcPr>
                                  <w:tcW w:w="8039" w:type="dxa"/>
                                  <w:tcBorders/>
                                  <w:shd w:fill="DCEBF4" w:val="clear"/>
                                  <w:vAlign w:val="center"/>
                                </w:tcPr>
                                <w:p>
                                  <w:pPr>
                                    <w:pStyle w:val="TableContents"/>
                                    <w:bidi w:val="0"/>
                                    <w:spacing w:before="0" w:after="283"/>
                                    <w:jc w:val="left"/>
                                    <w:rPr>
                                      <w:sz w:val="16"/>
                                    </w:rPr>
                                  </w:pPr>
                                  <w:r>
                                    <w:rPr>
                                      <w:sz w:val="16"/>
                                    </w:rPr>
                                    <w:t>$1,000 per security</w:t>
                                  </w:r>
                                </w:p>
                              </w:tc>
                            </w:tr>
                            <w:tr>
                              <w:trPr/>
                              <w:tc>
                                <w:tcPr>
                                  <w:tcW w:w="2166" w:type="dxa"/>
                                  <w:tcBorders/>
                                  <w:vAlign w:val="center"/>
                                </w:tcPr>
                                <w:p>
                                  <w:pPr>
                                    <w:pStyle w:val="TableContents"/>
                                    <w:bidi w:val="0"/>
                                    <w:spacing w:before="0" w:after="283"/>
                                    <w:jc w:val="left"/>
                                    <w:rPr/>
                                  </w:pPr>
                                  <w:r>
                                    <w:rPr>
                                      <w:rFonts w:ascii="Arial;Helvetica;Sans-Serif" w:hAnsi="Arial;Helvetica;Sans-Serif"/>
                                      <w:b/>
                                      <w:color w:val="296DC1"/>
                                      <w:sz w:val="16"/>
                                    </w:rPr>
                                    <w:t>Issue price</w:t>
                                  </w:r>
                                  <w:r>
                                    <w:rPr>
                                      <w:rFonts w:ascii="Arial;Helvetica;Sans-Serif" w:hAnsi="Arial;Helvetica;Sans-Serif"/>
                                      <w:b/>
                                      <w:color w:val="296DC1"/>
                                      <w:sz w:val="15"/>
                                    </w:rPr>
                                    <w:t>:</w:t>
                                  </w:r>
                                </w:p>
                              </w:tc>
                              <w:tc>
                                <w:tcPr>
                                  <w:tcW w:w="8039" w:type="dxa"/>
                                  <w:tcBorders/>
                                  <w:vAlign w:val="center"/>
                                </w:tcPr>
                                <w:p>
                                  <w:pPr>
                                    <w:pStyle w:val="TableContents"/>
                                    <w:bidi w:val="0"/>
                                    <w:spacing w:before="0" w:after="283"/>
                                    <w:jc w:val="left"/>
                                    <w:rPr>
                                      <w:sz w:val="16"/>
                                    </w:rPr>
                                  </w:pPr>
                                  <w:r>
                                    <w:rPr>
                                      <w:sz w:val="16"/>
                                    </w:rPr>
                                    <w:t>$1,000 per security</w:t>
                                  </w:r>
                                </w:p>
                              </w:tc>
                            </w:tr>
                            <w:tr>
                              <w:trPr/>
                              <w:tc>
                                <w:tcPr>
                                  <w:tcW w:w="216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8039" w:type="dxa"/>
                                  <w:tcBorders/>
                                  <w:shd w:fill="DCEBF4" w:val="clear"/>
                                  <w:vAlign w:val="center"/>
                                </w:tcPr>
                                <w:p>
                                  <w:pPr>
                                    <w:pStyle w:val="TableContents"/>
                                    <w:bidi w:val="0"/>
                                    <w:spacing w:before="0" w:after="283"/>
                                    <w:jc w:val="left"/>
                                    <w:rPr>
                                      <w:sz w:val="16"/>
                                    </w:rPr>
                                  </w:pPr>
                                  <w:r>
                                    <w:rPr>
                                      <w:sz w:val="16"/>
                                    </w:rPr>
                                    <w:t>Expected to be September 16, 2026</w:t>
                                  </w:r>
                                </w:p>
                              </w:tc>
                            </w:tr>
                            <w:tr>
                              <w:trPr/>
                              <w:tc>
                                <w:tcPr>
                                  <w:tcW w:w="216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8039" w:type="dxa"/>
                                  <w:tcBorders/>
                                  <w:vAlign w:val="center"/>
                                </w:tcPr>
                                <w:p>
                                  <w:pPr>
                                    <w:pStyle w:val="TableContents"/>
                                    <w:bidi w:val="0"/>
                                    <w:spacing w:before="0" w:after="283"/>
                                    <w:jc w:val="left"/>
                                    <w:rPr>
                                      <w:sz w:val="16"/>
                                    </w:rPr>
                                  </w:pPr>
                                  <w:r>
                                    <w:rPr>
                                      <w:sz w:val="16"/>
                                    </w:rPr>
                                    <w:t>3 business days after the pricing date</w:t>
                                  </w:r>
                                </w:p>
                              </w:tc>
                            </w:tr>
                            <w:tr>
                              <w:trPr/>
                              <w:tc>
                                <w:tcPr>
                                  <w:tcW w:w="216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Valuation date</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8039" w:type="dxa"/>
                                  <w:tcBorders/>
                                  <w:shd w:fill="DCEBF4" w:val="clear"/>
                                  <w:vAlign w:val="center"/>
                                </w:tcPr>
                                <w:p>
                                  <w:pPr>
                                    <w:pStyle w:val="TableContents"/>
                                    <w:bidi w:val="0"/>
                                    <w:spacing w:before="0" w:after="283"/>
                                    <w:jc w:val="left"/>
                                    <w:rPr>
                                      <w:sz w:val="16"/>
                                    </w:rPr>
                                  </w:pPr>
                                  <w:r>
                                    <w:rPr>
                                      <w:sz w:val="16"/>
                                    </w:rPr>
                                    <w:t>December 16, 2027</w:t>
                                  </w:r>
                                </w:p>
                              </w:tc>
                            </w:tr>
                            <w:tr>
                              <w:trPr/>
                              <w:tc>
                                <w:tcPr>
                                  <w:tcW w:w="216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8039" w:type="dxa"/>
                                  <w:tcBorders/>
                                  <w:vAlign w:val="center"/>
                                </w:tcPr>
                                <w:p>
                                  <w:pPr>
                                    <w:pStyle w:val="TableContents"/>
                                    <w:bidi w:val="0"/>
                                    <w:spacing w:before="0" w:after="283"/>
                                    <w:jc w:val="left"/>
                                    <w:rPr>
                                      <w:sz w:val="16"/>
                                    </w:rPr>
                                  </w:pPr>
                                  <w:r>
                                    <w:rPr>
                                      <w:sz w:val="16"/>
                                    </w:rPr>
                                    <w:t>December 21, 2027</w:t>
                                  </w:r>
                                </w:p>
                              </w:tc>
                            </w:tr>
                            <w:tr>
                              <w:trPr/>
                              <w:tc>
                                <w:tcPr>
                                  <w:tcW w:w="2166" w:type="dxa"/>
                                  <w:tcBorders/>
                                  <w:shd w:fill="DCEBF4" w:val="clear"/>
                                  <w:vAlign w:val="center"/>
                                </w:tcPr>
                                <w:p>
                                  <w:pPr>
                                    <w:pStyle w:val="TableContents"/>
                                    <w:bidi w:val="0"/>
                                    <w:spacing w:before="0" w:after="283"/>
                                    <w:jc w:val="left"/>
                                    <w:rPr>
                                      <w:b/>
                                      <w:color w:val="296DC1"/>
                                      <w:sz w:val="16"/>
                                    </w:rPr>
                                  </w:pPr>
                                  <w:r>
                                    <w:rPr>
                                      <w:b/>
                                      <w:color w:val="296DC1"/>
                                      <w:sz w:val="16"/>
                                    </w:rPr>
                                    <w:t>CUSIP / ISIN:</w:t>
                                  </w:r>
                                </w:p>
                              </w:tc>
                              <w:tc>
                                <w:tcPr>
                                  <w:tcW w:w="8039" w:type="dxa"/>
                                  <w:tcBorders/>
                                  <w:shd w:fill="DCEBF4" w:val="clear"/>
                                  <w:vAlign w:val="center"/>
                                </w:tcPr>
                                <w:p>
                                  <w:pPr>
                                    <w:pStyle w:val="TableContents"/>
                                    <w:bidi w:val="0"/>
                                    <w:spacing w:before="0" w:after="283"/>
                                    <w:jc w:val="left"/>
                                    <w:rPr>
                                      <w:sz w:val="15"/>
                                    </w:rPr>
                                  </w:pPr>
                                  <w:r>
                                    <w:rPr>
                                      <w:sz w:val="15"/>
                                    </w:rPr>
                                    <w:t>46661MQL1 / US46661MQL18</w:t>
                                  </w:r>
                                </w:p>
                              </w:tc>
                            </w:tr>
                            <w:tr>
                              <w:trPr/>
                              <w:tc>
                                <w:tcPr>
                                  <w:tcW w:w="2166" w:type="dxa"/>
                                  <w:tcBorders/>
                                  <w:vAlign w:val="center"/>
                                </w:tcPr>
                                <w:p>
                                  <w:pPr>
                                    <w:pStyle w:val="TableContents"/>
                                    <w:bidi w:val="0"/>
                                    <w:spacing w:before="0" w:after="283"/>
                                    <w:jc w:val="left"/>
                                    <w:rPr>
                                      <w:b/>
                                      <w:color w:val="296DC1"/>
                                      <w:sz w:val="16"/>
                                    </w:rPr>
                                  </w:pPr>
                                  <w:r>
                                    <w:rPr>
                                      <w:b/>
                                      <w:color w:val="296DC1"/>
                                      <w:sz w:val="16"/>
                                    </w:rPr>
                                    <w:t xml:space="preserve">Preliminary pricing supplement: </w:t>
                                  </w:r>
                                </w:p>
                              </w:tc>
                              <w:tc>
                                <w:tcPr>
                                  <w:tcW w:w="8039" w:type="dxa"/>
                                  <w:tcBorders/>
                                  <w:vAlign w:val="center"/>
                                </w:tcPr>
                                <w:p>
                                  <w:pPr>
                                    <w:pStyle w:val="TableContents"/>
                                    <w:bidi w:val="0"/>
                                    <w:spacing w:before="0" w:after="283"/>
                                    <w:jc w:val="left"/>
                                    <w:rPr/>
                                  </w:pPr>
                                  <w:hyperlink r:id="rId2">
                                    <w:r>
                                      <w:rPr>
                                        <w:rStyle w:val="InternetLink"/>
                                        <w:sz w:val="16"/>
                                      </w:rPr>
                                      <w:t>http://www.sec.gov/Archives/edgar/data/19617/000121390026096798/</w:t>
                                      <w:br/>
                                      <w:t>ea0304459-01_424b2.htm</w:t>
                                    </w:r>
                                  </w:hyperlink>
                                </w:p>
                              </w:tc>
                            </w:tr>
                          </w:tbl>
                          <w:p>
                            <w:pPr>
                              <w:pStyle w:val="TextBody"/>
                              <w:bidi w:val="0"/>
                              <w:spacing w:before="0" w:after="40"/>
                              <w:ind w:left="108" w:right="0" w:hanging="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6"/>
                              </w:rPr>
                              <w:t>Subject to postponement</w:t>
                            </w:r>
                          </w:p>
                          <w:p>
                            <w:pPr>
                              <w:pStyle w:val="TextBody"/>
                              <w:bidi w:val="0"/>
                              <w:spacing w:before="0" w:after="40"/>
                              <w:ind w:left="108"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estimated value of the securities on the pricing date will be provided in the pricing supplement and will not be less than $950.00 per $1,000 stated principal amount security. For information about the estimated value of the securities, which likely will be lower than the price you paid for the securities, please see the hyperlink above.</w:t>
                            </w:r>
                          </w:p>
                          <w:p>
                            <w:pPr>
                              <w:pStyle w:val="TextBody"/>
                              <w:bidi w:val="0"/>
                              <w:spacing w:before="0" w:after="40"/>
                              <w:ind w:left="108"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Any payment on the securities is subject to the credit risk of JPMorgan Financial, as issuer of the securities, and the credit risk of JPMorgan Chase &amp; Co., as guarantor of the securities.</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58.45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2166"/>
                        <w:gridCol w:w="8039"/>
                      </w:tblGrid>
                      <w:tr>
                        <w:trPr/>
                        <w:tc>
                          <w:tcPr>
                            <w:tcW w:w="10205" w:type="dxa"/>
                            <w:gridSpan w:val="2"/>
                            <w:tcBorders/>
                            <w:shd w:fill="296DC1"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r>
                        <w:trPr/>
                        <w:tc>
                          <w:tcPr>
                            <w:tcW w:w="2166"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Issuer: </w:t>
                            </w:r>
                          </w:p>
                        </w:tc>
                        <w:tc>
                          <w:tcPr>
                            <w:tcW w:w="8039" w:type="dxa"/>
                            <w:tcBorders/>
                            <w:shd w:fill="FFFFFF" w:val="clear"/>
                            <w:vAlign w:val="center"/>
                          </w:tcPr>
                          <w:p>
                            <w:pPr>
                              <w:pStyle w:val="TableContents"/>
                              <w:bidi w:val="0"/>
                              <w:spacing w:before="0" w:after="283"/>
                              <w:jc w:val="left"/>
                              <w:rPr>
                                <w:sz w:val="16"/>
                              </w:rPr>
                            </w:pPr>
                            <w:r>
                              <w:rPr>
                                <w:sz w:val="16"/>
                              </w:rPr>
                              <w:t>JPMorgan Chase Financial Company LLC (“JPMorgan Financial”)</w:t>
                            </w:r>
                          </w:p>
                        </w:tc>
                      </w:tr>
                      <w:tr>
                        <w:trPr/>
                        <w:tc>
                          <w:tcPr>
                            <w:tcW w:w="216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Guarantor:</w:t>
                            </w:r>
                          </w:p>
                        </w:tc>
                        <w:tc>
                          <w:tcPr>
                            <w:tcW w:w="8039" w:type="dxa"/>
                            <w:tcBorders/>
                            <w:shd w:fill="DCEBF4" w:val="clear"/>
                            <w:vAlign w:val="center"/>
                          </w:tcPr>
                          <w:p>
                            <w:pPr>
                              <w:pStyle w:val="TableContents"/>
                              <w:bidi w:val="0"/>
                              <w:spacing w:before="0" w:after="283"/>
                              <w:jc w:val="left"/>
                              <w:rPr>
                                <w:sz w:val="16"/>
                              </w:rPr>
                            </w:pPr>
                            <w:r>
                              <w:rPr>
                                <w:sz w:val="16"/>
                              </w:rPr>
                              <w:t>JPMorgan Chase &amp; Co.</w:t>
                            </w:r>
                          </w:p>
                        </w:tc>
                      </w:tr>
                      <w:tr>
                        <w:trPr/>
                        <w:tc>
                          <w:tcPr>
                            <w:tcW w:w="216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Underlying index: </w:t>
                            </w:r>
                          </w:p>
                        </w:tc>
                        <w:tc>
                          <w:tcPr>
                            <w:tcW w:w="8039"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S&amp;P 500</w:t>
                            </w:r>
                            <w:r>
                              <w:rPr>
                                <w:rFonts w:ascii="Arial;Helvetica;Sans-Serif" w:hAnsi="Arial;Helvetica;Sans-Serif"/>
                                <w:position w:val="5"/>
                                <w:sz w:val="13"/>
                                <w:sz w:val="16"/>
                              </w:rPr>
                              <w:t>®</w:t>
                            </w:r>
                            <w:r>
                              <w:rPr>
                                <w:rFonts w:ascii="Arial;Helvetica;Sans-Serif" w:hAnsi="Arial;Helvetica;Sans-Serif"/>
                                <w:sz w:val="16"/>
                              </w:rPr>
                              <w:t xml:space="preserve"> Index (Bloomberg ticker: SPX Index)</w:t>
                            </w:r>
                          </w:p>
                        </w:tc>
                      </w:tr>
                      <w:tr>
                        <w:trPr/>
                        <w:tc>
                          <w:tcPr>
                            <w:tcW w:w="216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Payment at maturity: </w:t>
                            </w:r>
                          </w:p>
                        </w:tc>
                        <w:tc>
                          <w:tcPr>
                            <w:tcW w:w="8039" w:type="dxa"/>
                            <w:tcBorders/>
                            <w:shd w:fill="DCEBF4" w:val="clear"/>
                            <w:vAlign w:val="center"/>
                          </w:tcPr>
                          <w:p>
                            <w:pPr>
                              <w:pStyle w:val="TableContents"/>
                              <w:bidi w:val="0"/>
                              <w:spacing w:before="40" w:after="40"/>
                              <w:ind w:left="40" w:right="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If the final index value is </w:t>
                            </w:r>
                            <w:r>
                              <w:rPr>
                                <w:rFonts w:ascii="Arial;Helvetica;Sans-Serif" w:hAnsi="Arial;Helvetica;Sans-Serif"/>
                                <w:b w:val="false"/>
                                <w:i/>
                                <w:caps w:val="false"/>
                                <w:smallCaps w:val="false"/>
                                <w:sz w:val="16"/>
                              </w:rPr>
                              <w:t>greater than or equal to</w:t>
                            </w:r>
                            <w:r>
                              <w:rPr>
                                <w:rFonts w:ascii="Arial;Helvetica;Sans-Serif" w:hAnsi="Arial;Helvetica;Sans-Serif"/>
                                <w:b w:val="false"/>
                                <w:i w:val="false"/>
                                <w:caps w:val="false"/>
                                <w:smallCaps w:val="false"/>
                                <w:sz w:val="16"/>
                              </w:rPr>
                              <w:t xml:space="preserve"> the buffer threshold level, you will receive at maturity a cash payment per $1,000 stated principal amount security equal to:</w:t>
                            </w:r>
                          </w:p>
                          <w:p>
                            <w:pPr>
                              <w:pStyle w:val="TableContents"/>
                              <w:bidi w:val="0"/>
                              <w:spacing w:before="40" w:after="40"/>
                              <w:ind w:left="40" w:right="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 + upside payment</w:t>
                            </w:r>
                          </w:p>
                          <w:p>
                            <w:pPr>
                              <w:pStyle w:val="TableContents"/>
                              <w:bidi w:val="0"/>
                              <w:spacing w:before="40" w:after="40"/>
                              <w:ind w:left="40" w:right="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If the final index value is </w:t>
                            </w:r>
                            <w:r>
                              <w:rPr>
                                <w:rFonts w:ascii="Arial;Helvetica;Sans-Serif" w:hAnsi="Arial;Helvetica;Sans-Serif"/>
                                <w:b w:val="false"/>
                                <w:i/>
                                <w:caps w:val="false"/>
                                <w:smallCaps w:val="false"/>
                                <w:sz w:val="16"/>
                              </w:rPr>
                              <w:t>less than</w:t>
                            </w:r>
                            <w:r>
                              <w:rPr>
                                <w:rFonts w:ascii="Arial;Helvetica;Sans-Serif" w:hAnsi="Arial;Helvetica;Sans-Serif"/>
                                <w:b w:val="false"/>
                                <w:i w:val="false"/>
                                <w:caps w:val="false"/>
                                <w:smallCaps w:val="false"/>
                                <w:sz w:val="16"/>
                              </w:rPr>
                              <w:t xml:space="preserve"> the buffer threshold level, you will receive at maturity a cash payment per $1,000 stated principal amount security equal to:</w:t>
                            </w:r>
                          </w:p>
                          <w:p>
                            <w:pPr>
                              <w:pStyle w:val="TableContents"/>
                              <w:bidi w:val="0"/>
                              <w:spacing w:before="40" w:after="40"/>
                              <w:ind w:left="40" w:right="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 + [$1,000 × (index return + buffer amount) × downside factor]</w:t>
                            </w:r>
                          </w:p>
                          <w:p>
                            <w:pPr>
                              <w:pStyle w:val="TableContents"/>
                              <w:bidi w:val="0"/>
                              <w:spacing w:before="40" w:after="40"/>
                              <w:ind w:left="40" w:right="40" w:hanging="0"/>
                              <w:jc w:val="left"/>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This amount will be less than the stated principal amount of $1,000 per $1,000 stated principal amount security and could be zero.</w:t>
                            </w:r>
                          </w:p>
                        </w:tc>
                      </w:tr>
                      <w:tr>
                        <w:trPr/>
                        <w:tc>
                          <w:tcPr>
                            <w:tcW w:w="216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Upside payment:</w:t>
                            </w:r>
                          </w:p>
                        </w:tc>
                        <w:tc>
                          <w:tcPr>
                            <w:tcW w:w="8039" w:type="dxa"/>
                            <w:tcBorders/>
                            <w:vAlign w:val="center"/>
                          </w:tcPr>
                          <w:p>
                            <w:pPr>
                              <w:pStyle w:val="TableContents"/>
                              <w:bidi w:val="0"/>
                              <w:spacing w:before="0" w:after="283"/>
                              <w:jc w:val="left"/>
                              <w:rPr>
                                <w:sz w:val="16"/>
                              </w:rPr>
                            </w:pPr>
                            <w:r>
                              <w:rPr>
                                <w:sz w:val="16"/>
                              </w:rPr>
                              <w:t>At least $91.00 per $1,000 stated principal amount security (at least 9.10% of the stated principal amount)</w:t>
                            </w:r>
                          </w:p>
                        </w:tc>
                      </w:tr>
                      <w:tr>
                        <w:trPr/>
                        <w:tc>
                          <w:tcPr>
                            <w:tcW w:w="216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Buffer threshold level:</w:t>
                            </w:r>
                          </w:p>
                        </w:tc>
                        <w:tc>
                          <w:tcPr>
                            <w:tcW w:w="8039" w:type="dxa"/>
                            <w:tcBorders/>
                            <w:shd w:fill="DCEBF4"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90% of the initial index value</w:t>
                            </w:r>
                          </w:p>
                        </w:tc>
                      </w:tr>
                      <w:tr>
                        <w:trPr/>
                        <w:tc>
                          <w:tcPr>
                            <w:tcW w:w="216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Buffer amount:</w:t>
                            </w:r>
                          </w:p>
                        </w:tc>
                        <w:tc>
                          <w:tcPr>
                            <w:tcW w:w="8039"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10%</w:t>
                            </w:r>
                          </w:p>
                        </w:tc>
                      </w:tr>
                      <w:tr>
                        <w:trPr/>
                        <w:tc>
                          <w:tcPr>
                            <w:tcW w:w="216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Downside factor:</w:t>
                            </w:r>
                          </w:p>
                        </w:tc>
                        <w:tc>
                          <w:tcPr>
                            <w:tcW w:w="8039" w:type="dxa"/>
                            <w:tcBorders/>
                            <w:shd w:fill="DCEBF4" w:val="clear"/>
                            <w:vAlign w:val="center"/>
                          </w:tcPr>
                          <w:p>
                            <w:pPr>
                              <w:pStyle w:val="TableContents"/>
                              <w:bidi w:val="0"/>
                              <w:spacing w:before="0" w:after="283"/>
                              <w:jc w:val="left"/>
                              <w:rPr>
                                <w:sz w:val="16"/>
                              </w:rPr>
                            </w:pPr>
                            <w:r>
                              <w:rPr>
                                <w:sz w:val="16"/>
                              </w:rPr>
                              <w:t>1.11111</w:t>
                            </w:r>
                          </w:p>
                        </w:tc>
                      </w:tr>
                      <w:tr>
                        <w:trPr/>
                        <w:tc>
                          <w:tcPr>
                            <w:tcW w:w="216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Index return:</w:t>
                            </w:r>
                          </w:p>
                        </w:tc>
                        <w:tc>
                          <w:tcPr>
                            <w:tcW w:w="8039" w:type="dxa"/>
                            <w:tcBorders/>
                            <w:vAlign w:val="center"/>
                          </w:tcPr>
                          <w:p>
                            <w:pPr>
                              <w:pStyle w:val="TableContents"/>
                              <w:bidi w:val="0"/>
                              <w:spacing w:before="0" w:after="283"/>
                              <w:jc w:val="left"/>
                              <w:rPr>
                                <w:sz w:val="16"/>
                              </w:rPr>
                            </w:pPr>
                            <w:r>
                              <w:rPr>
                                <w:sz w:val="16"/>
                              </w:rPr>
                              <w:t>(final index value – initial index value) / initial index value</w:t>
                            </w:r>
                          </w:p>
                        </w:tc>
                      </w:tr>
                      <w:tr>
                        <w:trPr/>
                        <w:tc>
                          <w:tcPr>
                            <w:tcW w:w="2166" w:type="dxa"/>
                            <w:tcBorders/>
                            <w:shd w:fill="DCEBF4" w:val="clear"/>
                            <w:vAlign w:val="center"/>
                          </w:tcPr>
                          <w:p>
                            <w:pPr>
                              <w:pStyle w:val="TableContents"/>
                              <w:bidi w:val="0"/>
                              <w:spacing w:before="0" w:after="283"/>
                              <w:jc w:val="left"/>
                              <w:rPr/>
                            </w:pPr>
                            <w:r>
                              <w:rPr>
                                <w:rFonts w:ascii="Arial;Helvetica;Sans-Serif" w:hAnsi="Arial;Helvetica;Sans-Serif"/>
                                <w:b/>
                                <w:color w:val="296DC1"/>
                                <w:sz w:val="16"/>
                              </w:rPr>
                              <w:t>Initial index value</w:t>
                            </w:r>
                            <w:r>
                              <w:rPr>
                                <w:rFonts w:ascii="Arial;Helvetica;Sans-Serif" w:hAnsi="Arial;Helvetica;Sans-Serif"/>
                                <w:b/>
                                <w:color w:val="296DC1"/>
                                <w:sz w:val="14"/>
                              </w:rPr>
                              <w:t>:</w:t>
                            </w:r>
                          </w:p>
                        </w:tc>
                        <w:tc>
                          <w:tcPr>
                            <w:tcW w:w="8039" w:type="dxa"/>
                            <w:tcBorders/>
                            <w:shd w:fill="DCEBF4" w:val="clear"/>
                            <w:vAlign w:val="center"/>
                          </w:tcPr>
                          <w:p>
                            <w:pPr>
                              <w:pStyle w:val="TableContents"/>
                              <w:bidi w:val="0"/>
                              <w:spacing w:before="0" w:after="283"/>
                              <w:jc w:val="left"/>
                              <w:rPr>
                                <w:sz w:val="16"/>
                              </w:rPr>
                            </w:pPr>
                            <w:r>
                              <w:rPr>
                                <w:sz w:val="16"/>
                              </w:rPr>
                              <w:t>The closing level of the underlying index on the pricing date</w:t>
                            </w:r>
                          </w:p>
                        </w:tc>
                      </w:tr>
                      <w:tr>
                        <w:trPr/>
                        <w:tc>
                          <w:tcPr>
                            <w:tcW w:w="2166" w:type="dxa"/>
                            <w:tcBorders/>
                            <w:vAlign w:val="center"/>
                          </w:tcPr>
                          <w:p>
                            <w:pPr>
                              <w:pStyle w:val="TableContents"/>
                              <w:bidi w:val="0"/>
                              <w:spacing w:before="0" w:after="283"/>
                              <w:jc w:val="left"/>
                              <w:rPr/>
                            </w:pPr>
                            <w:r>
                              <w:rPr>
                                <w:rFonts w:ascii="Arial;Helvetica;Sans-Serif" w:hAnsi="Arial;Helvetica;Sans-Serif"/>
                                <w:b/>
                                <w:color w:val="296DC1"/>
                                <w:sz w:val="16"/>
                              </w:rPr>
                              <w:t>Final</w:t>
                            </w:r>
                            <w:r>
                              <w:rPr/>
                              <w:t xml:space="preserve"> </w:t>
                            </w:r>
                            <w:r>
                              <w:rPr>
                                <w:rFonts w:ascii="Arial;Helvetica;Sans-Serif" w:hAnsi="Arial;Helvetica;Sans-Serif"/>
                                <w:b/>
                                <w:color w:val="296DC1"/>
                                <w:sz w:val="14"/>
                              </w:rPr>
                              <w:t>i</w:t>
                            </w:r>
                            <w:r>
                              <w:rPr>
                                <w:rFonts w:ascii="Arial;Helvetica;Sans-Serif" w:hAnsi="Arial;Helvetica;Sans-Serif"/>
                                <w:b/>
                                <w:color w:val="296DC1"/>
                                <w:sz w:val="16"/>
                              </w:rPr>
                              <w:t xml:space="preserve">ndex value: </w:t>
                            </w:r>
                          </w:p>
                        </w:tc>
                        <w:tc>
                          <w:tcPr>
                            <w:tcW w:w="8039" w:type="dxa"/>
                            <w:tcBorders/>
                            <w:vAlign w:val="center"/>
                          </w:tcPr>
                          <w:p>
                            <w:pPr>
                              <w:pStyle w:val="TableContents"/>
                              <w:bidi w:val="0"/>
                              <w:spacing w:before="0" w:after="283"/>
                              <w:jc w:val="left"/>
                              <w:rPr>
                                <w:sz w:val="16"/>
                              </w:rPr>
                            </w:pPr>
                            <w:r>
                              <w:rPr>
                                <w:sz w:val="16"/>
                              </w:rPr>
                              <w:t>The closing level of the underlying index on the valuation date</w:t>
                            </w:r>
                          </w:p>
                        </w:tc>
                      </w:tr>
                      <w:tr>
                        <w:trPr/>
                        <w:tc>
                          <w:tcPr>
                            <w:tcW w:w="216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Stated principal amount:</w:t>
                            </w:r>
                          </w:p>
                        </w:tc>
                        <w:tc>
                          <w:tcPr>
                            <w:tcW w:w="8039" w:type="dxa"/>
                            <w:tcBorders/>
                            <w:shd w:fill="DCEBF4" w:val="clear"/>
                            <w:vAlign w:val="center"/>
                          </w:tcPr>
                          <w:p>
                            <w:pPr>
                              <w:pStyle w:val="TableContents"/>
                              <w:bidi w:val="0"/>
                              <w:spacing w:before="0" w:after="283"/>
                              <w:jc w:val="left"/>
                              <w:rPr>
                                <w:sz w:val="16"/>
                              </w:rPr>
                            </w:pPr>
                            <w:r>
                              <w:rPr>
                                <w:sz w:val="16"/>
                              </w:rPr>
                              <w:t>$1,000 per security</w:t>
                            </w:r>
                          </w:p>
                        </w:tc>
                      </w:tr>
                      <w:tr>
                        <w:trPr/>
                        <w:tc>
                          <w:tcPr>
                            <w:tcW w:w="2166" w:type="dxa"/>
                            <w:tcBorders/>
                            <w:vAlign w:val="center"/>
                          </w:tcPr>
                          <w:p>
                            <w:pPr>
                              <w:pStyle w:val="TableContents"/>
                              <w:bidi w:val="0"/>
                              <w:spacing w:before="0" w:after="283"/>
                              <w:jc w:val="left"/>
                              <w:rPr/>
                            </w:pPr>
                            <w:r>
                              <w:rPr>
                                <w:rFonts w:ascii="Arial;Helvetica;Sans-Serif" w:hAnsi="Arial;Helvetica;Sans-Serif"/>
                                <w:b/>
                                <w:color w:val="296DC1"/>
                                <w:sz w:val="16"/>
                              </w:rPr>
                              <w:t>Issue price</w:t>
                            </w:r>
                            <w:r>
                              <w:rPr>
                                <w:rFonts w:ascii="Arial;Helvetica;Sans-Serif" w:hAnsi="Arial;Helvetica;Sans-Serif"/>
                                <w:b/>
                                <w:color w:val="296DC1"/>
                                <w:sz w:val="15"/>
                              </w:rPr>
                              <w:t>:</w:t>
                            </w:r>
                          </w:p>
                        </w:tc>
                        <w:tc>
                          <w:tcPr>
                            <w:tcW w:w="8039" w:type="dxa"/>
                            <w:tcBorders/>
                            <w:vAlign w:val="center"/>
                          </w:tcPr>
                          <w:p>
                            <w:pPr>
                              <w:pStyle w:val="TableContents"/>
                              <w:bidi w:val="0"/>
                              <w:spacing w:before="0" w:after="283"/>
                              <w:jc w:val="left"/>
                              <w:rPr>
                                <w:sz w:val="16"/>
                              </w:rPr>
                            </w:pPr>
                            <w:r>
                              <w:rPr>
                                <w:sz w:val="16"/>
                              </w:rPr>
                              <w:t>$1,000 per security</w:t>
                            </w:r>
                          </w:p>
                        </w:tc>
                      </w:tr>
                      <w:tr>
                        <w:trPr/>
                        <w:tc>
                          <w:tcPr>
                            <w:tcW w:w="216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8039" w:type="dxa"/>
                            <w:tcBorders/>
                            <w:shd w:fill="DCEBF4" w:val="clear"/>
                            <w:vAlign w:val="center"/>
                          </w:tcPr>
                          <w:p>
                            <w:pPr>
                              <w:pStyle w:val="TableContents"/>
                              <w:bidi w:val="0"/>
                              <w:spacing w:before="0" w:after="283"/>
                              <w:jc w:val="left"/>
                              <w:rPr>
                                <w:sz w:val="16"/>
                              </w:rPr>
                            </w:pPr>
                            <w:r>
                              <w:rPr>
                                <w:sz w:val="16"/>
                              </w:rPr>
                              <w:t>Expected to be September 16, 2026</w:t>
                            </w:r>
                          </w:p>
                        </w:tc>
                      </w:tr>
                      <w:tr>
                        <w:trPr/>
                        <w:tc>
                          <w:tcPr>
                            <w:tcW w:w="216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8039" w:type="dxa"/>
                            <w:tcBorders/>
                            <w:vAlign w:val="center"/>
                          </w:tcPr>
                          <w:p>
                            <w:pPr>
                              <w:pStyle w:val="TableContents"/>
                              <w:bidi w:val="0"/>
                              <w:spacing w:before="0" w:after="283"/>
                              <w:jc w:val="left"/>
                              <w:rPr>
                                <w:sz w:val="16"/>
                              </w:rPr>
                            </w:pPr>
                            <w:r>
                              <w:rPr>
                                <w:sz w:val="16"/>
                              </w:rPr>
                              <w:t>3 business days after the pricing date</w:t>
                            </w:r>
                          </w:p>
                        </w:tc>
                      </w:tr>
                      <w:tr>
                        <w:trPr/>
                        <w:tc>
                          <w:tcPr>
                            <w:tcW w:w="216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Valuation date</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8039" w:type="dxa"/>
                            <w:tcBorders/>
                            <w:shd w:fill="DCEBF4" w:val="clear"/>
                            <w:vAlign w:val="center"/>
                          </w:tcPr>
                          <w:p>
                            <w:pPr>
                              <w:pStyle w:val="TableContents"/>
                              <w:bidi w:val="0"/>
                              <w:spacing w:before="0" w:after="283"/>
                              <w:jc w:val="left"/>
                              <w:rPr>
                                <w:sz w:val="16"/>
                              </w:rPr>
                            </w:pPr>
                            <w:r>
                              <w:rPr>
                                <w:sz w:val="16"/>
                              </w:rPr>
                              <w:t>December 16, 2027</w:t>
                            </w:r>
                          </w:p>
                        </w:tc>
                      </w:tr>
                      <w:tr>
                        <w:trPr/>
                        <w:tc>
                          <w:tcPr>
                            <w:tcW w:w="216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8039" w:type="dxa"/>
                            <w:tcBorders/>
                            <w:vAlign w:val="center"/>
                          </w:tcPr>
                          <w:p>
                            <w:pPr>
                              <w:pStyle w:val="TableContents"/>
                              <w:bidi w:val="0"/>
                              <w:spacing w:before="0" w:after="283"/>
                              <w:jc w:val="left"/>
                              <w:rPr>
                                <w:sz w:val="16"/>
                              </w:rPr>
                            </w:pPr>
                            <w:r>
                              <w:rPr>
                                <w:sz w:val="16"/>
                              </w:rPr>
                              <w:t>December 21, 2027</w:t>
                            </w:r>
                          </w:p>
                        </w:tc>
                      </w:tr>
                      <w:tr>
                        <w:trPr/>
                        <w:tc>
                          <w:tcPr>
                            <w:tcW w:w="2166" w:type="dxa"/>
                            <w:tcBorders/>
                            <w:shd w:fill="DCEBF4" w:val="clear"/>
                            <w:vAlign w:val="center"/>
                          </w:tcPr>
                          <w:p>
                            <w:pPr>
                              <w:pStyle w:val="TableContents"/>
                              <w:bidi w:val="0"/>
                              <w:spacing w:before="0" w:after="283"/>
                              <w:jc w:val="left"/>
                              <w:rPr>
                                <w:b/>
                                <w:color w:val="296DC1"/>
                                <w:sz w:val="16"/>
                              </w:rPr>
                            </w:pPr>
                            <w:r>
                              <w:rPr>
                                <w:b/>
                                <w:color w:val="296DC1"/>
                                <w:sz w:val="16"/>
                              </w:rPr>
                              <w:t>CUSIP / ISIN:</w:t>
                            </w:r>
                          </w:p>
                        </w:tc>
                        <w:tc>
                          <w:tcPr>
                            <w:tcW w:w="8039" w:type="dxa"/>
                            <w:tcBorders/>
                            <w:shd w:fill="DCEBF4" w:val="clear"/>
                            <w:vAlign w:val="center"/>
                          </w:tcPr>
                          <w:p>
                            <w:pPr>
                              <w:pStyle w:val="TableContents"/>
                              <w:bidi w:val="0"/>
                              <w:spacing w:before="0" w:after="283"/>
                              <w:jc w:val="left"/>
                              <w:rPr>
                                <w:sz w:val="15"/>
                              </w:rPr>
                            </w:pPr>
                            <w:r>
                              <w:rPr>
                                <w:sz w:val="15"/>
                              </w:rPr>
                              <w:t>46661MQL1 / US46661MQL18</w:t>
                            </w:r>
                          </w:p>
                        </w:tc>
                      </w:tr>
                      <w:tr>
                        <w:trPr/>
                        <w:tc>
                          <w:tcPr>
                            <w:tcW w:w="2166" w:type="dxa"/>
                            <w:tcBorders/>
                            <w:vAlign w:val="center"/>
                          </w:tcPr>
                          <w:p>
                            <w:pPr>
                              <w:pStyle w:val="TableContents"/>
                              <w:bidi w:val="0"/>
                              <w:spacing w:before="0" w:after="283"/>
                              <w:jc w:val="left"/>
                              <w:rPr>
                                <w:b/>
                                <w:color w:val="296DC1"/>
                                <w:sz w:val="16"/>
                              </w:rPr>
                            </w:pPr>
                            <w:r>
                              <w:rPr>
                                <w:b/>
                                <w:color w:val="296DC1"/>
                                <w:sz w:val="16"/>
                              </w:rPr>
                              <w:t xml:space="preserve">Preliminary pricing supplement: </w:t>
                            </w:r>
                          </w:p>
                        </w:tc>
                        <w:tc>
                          <w:tcPr>
                            <w:tcW w:w="8039" w:type="dxa"/>
                            <w:tcBorders/>
                            <w:vAlign w:val="center"/>
                          </w:tcPr>
                          <w:p>
                            <w:pPr>
                              <w:pStyle w:val="TableContents"/>
                              <w:bidi w:val="0"/>
                              <w:spacing w:before="0" w:after="283"/>
                              <w:jc w:val="left"/>
                              <w:rPr/>
                            </w:pPr>
                            <w:hyperlink r:id="rId3">
                              <w:r>
                                <w:rPr>
                                  <w:rStyle w:val="InternetLink"/>
                                  <w:sz w:val="16"/>
                                </w:rPr>
                                <w:t>http://www.sec.gov/Archives/edgar/data/19617/000121390026096798/</w:t>
                                <w:br/>
                                <w:t>ea0304459-01_424b2.htm</w:t>
                              </w:r>
                            </w:hyperlink>
                          </w:p>
                        </w:tc>
                      </w:tr>
                    </w:tbl>
                    <w:p>
                      <w:pPr>
                        <w:pStyle w:val="TextBody"/>
                        <w:bidi w:val="0"/>
                        <w:spacing w:before="0" w:after="40"/>
                        <w:ind w:left="108" w:right="0" w:hanging="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6"/>
                        </w:rPr>
                        <w:t>Subject to postponement</w:t>
                      </w:r>
                    </w:p>
                    <w:p>
                      <w:pPr>
                        <w:pStyle w:val="TextBody"/>
                        <w:bidi w:val="0"/>
                        <w:spacing w:before="0" w:after="40"/>
                        <w:ind w:left="108"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estimated value of the securities on the pricing date will be provided in the pricing supplement and will not be less than $950.00 per $1,000 stated principal amount security. For information about the estimated value of the securities, which likely will be lower than the price you paid for the securities, please see the hyperlink above.</w:t>
                      </w:r>
                    </w:p>
                    <w:p>
                      <w:pPr>
                        <w:pStyle w:val="TextBody"/>
                        <w:bidi w:val="0"/>
                        <w:spacing w:before="0" w:after="40"/>
                        <w:ind w:left="108"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Any payment on the securities is subject to the credit risk of JPMorgan Financial, as issuer of the securities, and the credit risk of JPMorgan Chase &amp; Co., as guarantor of the securities.</w:t>
                      </w:r>
                    </w:p>
                  </w:txbxContent>
                </v:textbox>
                <w10:wrap type="square" side="right"/>
              </v:rect>
            </w:pict>
          </mc:Fallback>
        </mc:AlternateContent>
      </w:r>
      <w:r>
        <mc:AlternateContent>
          <mc:Choice Requires="wps">
            <w:drawing>
              <wp:anchor behindDoc="0" distT="0" distB="0" distL="0" distR="0" simplePos="0" locked="0" layoutInCell="1" allowOverlap="1" relativeHeight="3">
                <wp:simplePos x="0" y="0"/>
                <wp:positionH relativeFrom="column">
                  <wp:align>right</wp:align>
                </wp:positionH>
                <wp:positionV relativeFrom="line">
                  <wp:posOffset>635</wp:posOffset>
                </wp:positionV>
                <wp:extent cx="3175000" cy="9972040"/>
                <wp:effectExtent l="0" t="0" r="0" b="0"/>
                <wp:wrapSquare wrapText="left"/>
                <wp:docPr id="2" name="Frame2"/>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tbl>
                            <w:tblPr>
                              <w:tblW w:w="7455" w:type="dxa"/>
                              <w:jc w:val="left"/>
                              <w:tblInd w:w="0" w:type="dxa"/>
                              <w:tblLayout w:type="fixed"/>
                              <w:tblCellMar>
                                <w:top w:w="0" w:type="dxa"/>
                                <w:left w:w="0" w:type="dxa"/>
                                <w:bottom w:w="0" w:type="dxa"/>
                                <w:right w:w="0" w:type="dxa"/>
                              </w:tblCellMar>
                            </w:tblPr>
                            <w:tblGrid>
                              <w:gridCol w:w="7455"/>
                            </w:tblGrid>
                            <w:tr>
                              <w:trPr/>
                              <w:tc>
                                <w:tcPr>
                                  <w:tcW w:w="7455" w:type="dxa"/>
                                  <w:tcBorders/>
                                  <w:shd w:fill="DCEBF4" w:val="clear"/>
                                  <w:vAlign w:val="center"/>
                                </w:tcPr>
                                <w:p>
                                  <w:pPr>
                                    <w:pStyle w:val="TableContents"/>
                                    <w:bidi w:val="0"/>
                                    <w:spacing w:before="0" w:after="283"/>
                                    <w:jc w:val="center"/>
                                    <w:rPr>
                                      <w:rFonts w:ascii="Arial;Helvetica;Sans-Serif" w:hAnsi="Arial;Helvetica;Sans-Serif"/>
                                      <w:b/>
                                      <w:color w:val="296DC1"/>
                                      <w:sz w:val="17"/>
                                    </w:rPr>
                                  </w:pPr>
                                  <w:r>
                                    <w:rPr>
                                      <w:rFonts w:ascii="Arial;Helvetica;Sans-Serif" w:hAnsi="Arial;Helvetica;Sans-Serif"/>
                                      <w:b/>
                                      <w:color w:val="296DC1"/>
                                      <w:sz w:val="17"/>
                                    </w:rPr>
                                    <w:t>Enhanced Buffered Jump Securities Payoff Diagram*</w:t>
                                  </w:r>
                                </w:p>
                              </w:tc>
                            </w:tr>
                            <w:tr>
                              <w:trPr/>
                              <w:tc>
                                <w:tcPr>
                                  <w:tcW w:w="7455" w:type="dxa"/>
                                  <w:tcBorders/>
                                  <w:vAlign w:val="center"/>
                                </w:tcPr>
                                <w:p>
                                  <w:pPr>
                                    <w:pStyle w:val="TableContents"/>
                                    <w:bidi w:val="0"/>
                                    <w:spacing w:before="0" w:after="283"/>
                                    <w:jc w:val="center"/>
                                    <w:rPr/>
                                  </w:pPr>
                                  <w:r>
                                    <w:rPr/>
                                    <w:drawing>
                                      <wp:inline distT="0" distB="0" distL="0" distR="0">
                                        <wp:extent cx="4714875" cy="288607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4"/>
                                                <a:stretch>
                                                  <a:fillRect/>
                                                </a:stretch>
                                              </pic:blipFill>
                                              <pic:spPr bwMode="auto">
                                                <a:xfrm>
                                                  <a:off x="0" y="0"/>
                                                  <a:ext cx="4714875" cy="2886075"/>
                                                </a:xfrm>
                                                <a:prstGeom prst="rect">
                                                  <a:avLst/>
                                                </a:prstGeom>
                                              </pic:spPr>
                                            </pic:pic>
                                          </a:graphicData>
                                        </a:graphic>
                                      </wp:inline>
                                    </w:drawing>
                                  </w:r>
                                </w:p>
                              </w:tc>
                            </w:tr>
                          </w:tbl>
                          <w:p>
                            <w:pPr>
                              <w:pStyle w:val="TextBody"/>
                              <w:bidi w:val="0"/>
                              <w:ind w:left="12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actual upside payment will be provided in the pricing supplement and will not be less than $91.00 per security.</w:t>
                            </w:r>
                          </w:p>
                          <w:tbl>
                            <w:tblPr>
                              <w:tblW w:w="5089" w:type="dxa"/>
                              <w:jc w:val="center"/>
                              <w:tblInd w:w="0" w:type="dxa"/>
                              <w:tblLayout w:type="fixed"/>
                              <w:tblCellMar>
                                <w:top w:w="0" w:type="dxa"/>
                                <w:left w:w="0" w:type="dxa"/>
                                <w:bottom w:w="0" w:type="dxa"/>
                                <w:right w:w="0" w:type="dxa"/>
                              </w:tblCellMar>
                            </w:tblPr>
                            <w:tblGrid>
                              <w:gridCol w:w="2672"/>
                              <w:gridCol w:w="2417"/>
                            </w:tblGrid>
                            <w:tr>
                              <w:trPr/>
                              <w:tc>
                                <w:tcPr>
                                  <w:tcW w:w="2672" w:type="dxa"/>
                                  <w:tcBorders/>
                                  <w:shd w:fill="296DC1" w:val="clear"/>
                                  <w:vAlign w:val="center"/>
                                </w:tcPr>
                                <w:p>
                                  <w:pPr>
                                    <w:pStyle w:val="TableContents"/>
                                    <w:bidi w:val="0"/>
                                    <w:spacing w:before="0" w:after="283"/>
                                    <w:jc w:val="center"/>
                                    <w:rPr>
                                      <w:rFonts w:ascii="Arial;Helvetica;Sans-Serif" w:hAnsi="Arial;Helvetica;Sans-Serif"/>
                                      <w:b w:val="false"/>
                                      <w:color w:val="FFFFFF"/>
                                      <w:sz w:val="16"/>
                                    </w:rPr>
                                  </w:pPr>
                                  <w:r>
                                    <w:rPr>
                                      <w:rFonts w:ascii="Arial;Helvetica;Sans-Serif" w:hAnsi="Arial;Helvetica;Sans-Serif"/>
                                      <w:b w:val="false"/>
                                      <w:color w:val="FFFFFF"/>
                                      <w:sz w:val="16"/>
                                    </w:rPr>
                                    <w:t>Change in Underlying Index</w:t>
                                  </w:r>
                                </w:p>
                              </w:tc>
                              <w:tc>
                                <w:tcPr>
                                  <w:tcW w:w="2417" w:type="dxa"/>
                                  <w:tcBorders/>
                                  <w:shd w:fill="296DC1" w:val="clear"/>
                                  <w:vAlign w:val="center"/>
                                </w:tcPr>
                                <w:p>
                                  <w:pPr>
                                    <w:pStyle w:val="TableContents"/>
                                    <w:bidi w:val="0"/>
                                    <w:spacing w:before="0" w:after="283"/>
                                    <w:jc w:val="center"/>
                                    <w:rPr>
                                      <w:rFonts w:ascii="Arial;Helvetica;Sans-Serif" w:hAnsi="Arial;Helvetica;Sans-Serif"/>
                                      <w:b w:val="false"/>
                                      <w:color w:val="FFFFFF"/>
                                      <w:sz w:val="16"/>
                                    </w:rPr>
                                  </w:pPr>
                                  <w:r>
                                    <w:rPr>
                                      <w:rFonts w:ascii="Arial;Helvetica;Sans-Serif" w:hAnsi="Arial;Helvetica;Sans-Serif"/>
                                      <w:b w:val="false"/>
                                      <w:color w:val="FFFFFF"/>
                                      <w:sz w:val="16"/>
                                    </w:rPr>
                                    <w:t>Return on the Securities*</w:t>
                                  </w:r>
                                </w:p>
                              </w:tc>
                            </w:tr>
                            <w:tr>
                              <w:trPr/>
                              <w:tc>
                                <w:tcPr>
                                  <w:tcW w:w="2672"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2417"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9.10000%</w:t>
                                  </w:r>
                                </w:p>
                              </w:tc>
                            </w:tr>
                            <w:tr>
                              <w:trPr/>
                              <w:tc>
                                <w:tcPr>
                                  <w:tcW w:w="2672"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70.00%</w:t>
                                  </w:r>
                                </w:p>
                              </w:tc>
                              <w:tc>
                                <w:tcPr>
                                  <w:tcW w:w="2417"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9.10000%</w:t>
                                  </w:r>
                                </w:p>
                              </w:tc>
                            </w:tr>
                            <w:tr>
                              <w:trPr/>
                              <w:tc>
                                <w:tcPr>
                                  <w:tcW w:w="2672"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c>
                                <w:tcPr>
                                  <w:tcW w:w="2417"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9.10000%</w:t>
                                  </w:r>
                                </w:p>
                              </w:tc>
                            </w:tr>
                            <w:tr>
                              <w:trPr/>
                              <w:tc>
                                <w:tcPr>
                                  <w:tcW w:w="2672"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2417"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9.10000%</w:t>
                                  </w:r>
                                </w:p>
                              </w:tc>
                            </w:tr>
                            <w:tr>
                              <w:trPr/>
                              <w:tc>
                                <w:tcPr>
                                  <w:tcW w:w="2672"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2417"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9.10000%</w:t>
                                  </w:r>
                                </w:p>
                              </w:tc>
                            </w:tr>
                            <w:tr>
                              <w:trPr/>
                              <w:tc>
                                <w:tcPr>
                                  <w:tcW w:w="2672"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2417"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9.10000%</w:t>
                                  </w:r>
                                </w:p>
                              </w:tc>
                            </w:tr>
                            <w:tr>
                              <w:trPr/>
                              <w:tc>
                                <w:tcPr>
                                  <w:tcW w:w="2672"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2417"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9.10000%</w:t>
                                  </w:r>
                                </w:p>
                              </w:tc>
                            </w:tr>
                            <w:tr>
                              <w:trPr/>
                              <w:tc>
                                <w:tcPr>
                                  <w:tcW w:w="2672"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2417"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9.10000%</w:t>
                                  </w:r>
                                </w:p>
                              </w:tc>
                            </w:tr>
                            <w:tr>
                              <w:trPr/>
                              <w:tc>
                                <w:tcPr>
                                  <w:tcW w:w="2672"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9.10%</w:t>
                                  </w:r>
                                </w:p>
                              </w:tc>
                              <w:tc>
                                <w:tcPr>
                                  <w:tcW w:w="2417"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9.10000%</w:t>
                                  </w:r>
                                </w:p>
                              </w:tc>
                            </w:tr>
                            <w:tr>
                              <w:trPr/>
                              <w:tc>
                                <w:tcPr>
                                  <w:tcW w:w="2672"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2417"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9.10000%</w:t>
                                  </w:r>
                                </w:p>
                              </w:tc>
                            </w:tr>
                            <w:tr>
                              <w:trPr/>
                              <w:tc>
                                <w:tcPr>
                                  <w:tcW w:w="2672"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w:t>
                                  </w:r>
                                </w:p>
                              </w:tc>
                              <w:tc>
                                <w:tcPr>
                                  <w:tcW w:w="2417"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9.10000%</w:t>
                                  </w:r>
                                </w:p>
                              </w:tc>
                            </w:tr>
                            <w:tr>
                              <w:trPr/>
                              <w:tc>
                                <w:tcPr>
                                  <w:tcW w:w="2672"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c>
                                <w:tcPr>
                                  <w:tcW w:w="2417"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9.10000%</w:t>
                                  </w:r>
                                </w:p>
                              </w:tc>
                            </w:tr>
                            <w:tr>
                              <w:trPr/>
                              <w:tc>
                                <w:tcPr>
                                  <w:tcW w:w="2672"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2417"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9.10000%</w:t>
                                  </w:r>
                                </w:p>
                              </w:tc>
                            </w:tr>
                            <w:tr>
                              <w:trPr/>
                              <w:tc>
                                <w:tcPr>
                                  <w:tcW w:w="2672"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2417"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-11.11111%</w:t>
                                  </w:r>
                                </w:p>
                              </w:tc>
                            </w:tr>
                            <w:tr>
                              <w:trPr/>
                              <w:tc>
                                <w:tcPr>
                                  <w:tcW w:w="2672"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2417"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-22.22222%</w:t>
                                  </w:r>
                                </w:p>
                              </w:tc>
                            </w:tr>
                            <w:tr>
                              <w:trPr/>
                              <w:tc>
                                <w:tcPr>
                                  <w:tcW w:w="2672"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2417"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-33.33333%</w:t>
                                  </w:r>
                                </w:p>
                              </w:tc>
                            </w:tr>
                            <w:tr>
                              <w:trPr/>
                              <w:tc>
                                <w:tcPr>
                                  <w:tcW w:w="2672"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2417"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-44.44444%</w:t>
                                  </w:r>
                                </w:p>
                              </w:tc>
                            </w:tr>
                            <w:tr>
                              <w:trPr/>
                              <w:tc>
                                <w:tcPr>
                                  <w:tcW w:w="2672"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c>
                                <w:tcPr>
                                  <w:tcW w:w="2417"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-55.55556%</w:t>
                                  </w:r>
                                </w:p>
                              </w:tc>
                            </w:tr>
                            <w:tr>
                              <w:trPr/>
                              <w:tc>
                                <w:tcPr>
                                  <w:tcW w:w="2672"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2417"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-77.77778%</w:t>
                                  </w:r>
                                </w:p>
                              </w:tc>
                            </w:tr>
                            <w:tr>
                              <w:trPr/>
                              <w:tc>
                                <w:tcPr>
                                  <w:tcW w:w="2672"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c>
                                <w:tcPr>
                                  <w:tcW w:w="2417"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-100.00000%</w:t>
                                  </w:r>
                                </w:p>
                              </w:tc>
                            </w:tr>
                            <w:tr>
                              <w:trPr/>
                              <w:tc>
                                <w:tcPr>
                                  <w:tcW w:w="5089" w:type="dxa"/>
                                  <w:gridSpan w:val="2"/>
                                  <w:tcBorders/>
                                  <w:vAlign w:val="center"/>
                                </w:tcPr>
                                <w:p>
                                  <w:pPr>
                                    <w:pStyle w:val="TableContents"/>
                                    <w:bidi w:val="0"/>
                                    <w:spacing w:before="0" w:after="283"/>
                                    <w:jc w:val="left"/>
                                    <w:rPr>
                                      <w:rFonts w:ascii="Arial;Helvetica;Sans-Serif" w:hAnsi="Arial;Helvetica;Sans-Serif"/>
                                      <w:i/>
                                      <w:sz w:val="16"/>
                                    </w:rPr>
                                  </w:pPr>
                                  <w:r>
                                    <w:rPr>
                                      <w:rFonts w:ascii="Arial;Helvetica;Sans-Serif" w:hAnsi="Arial;Helvetica;Sans-Serif"/>
                                      <w:i/>
                                      <w:sz w:val="16"/>
                                    </w:rPr>
                                    <w:t>*Assumes an upside payment of 9.10% of the stated principal amount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60.25pt;mso-position-horizontal:right;mso-position-horizontal-relative:text">
                <v:textbox>
                  <w:txbxContent>
                    <w:tbl>
                      <w:tblPr>
                        <w:tblW w:w="7455" w:type="dxa"/>
                        <w:jc w:val="left"/>
                        <w:tblInd w:w="0" w:type="dxa"/>
                        <w:tblLayout w:type="fixed"/>
                        <w:tblCellMar>
                          <w:top w:w="0" w:type="dxa"/>
                          <w:left w:w="0" w:type="dxa"/>
                          <w:bottom w:w="0" w:type="dxa"/>
                          <w:right w:w="0" w:type="dxa"/>
                        </w:tblCellMar>
                      </w:tblPr>
                      <w:tblGrid>
                        <w:gridCol w:w="7455"/>
                      </w:tblGrid>
                      <w:tr>
                        <w:trPr/>
                        <w:tc>
                          <w:tcPr>
                            <w:tcW w:w="7455" w:type="dxa"/>
                            <w:tcBorders/>
                            <w:shd w:fill="DCEBF4" w:val="clear"/>
                            <w:vAlign w:val="center"/>
                          </w:tcPr>
                          <w:p>
                            <w:pPr>
                              <w:pStyle w:val="TableContents"/>
                              <w:bidi w:val="0"/>
                              <w:spacing w:before="0" w:after="283"/>
                              <w:jc w:val="center"/>
                              <w:rPr>
                                <w:rFonts w:ascii="Arial;Helvetica;Sans-Serif" w:hAnsi="Arial;Helvetica;Sans-Serif"/>
                                <w:b/>
                                <w:color w:val="296DC1"/>
                                <w:sz w:val="17"/>
                              </w:rPr>
                            </w:pPr>
                            <w:r>
                              <w:rPr>
                                <w:rFonts w:ascii="Arial;Helvetica;Sans-Serif" w:hAnsi="Arial;Helvetica;Sans-Serif"/>
                                <w:b/>
                                <w:color w:val="296DC1"/>
                                <w:sz w:val="17"/>
                              </w:rPr>
                              <w:t>Enhanced Buffered Jump Securities Payoff Diagram*</w:t>
                            </w:r>
                          </w:p>
                        </w:tc>
                      </w:tr>
                      <w:tr>
                        <w:trPr/>
                        <w:tc>
                          <w:tcPr>
                            <w:tcW w:w="7455" w:type="dxa"/>
                            <w:tcBorders/>
                            <w:vAlign w:val="center"/>
                          </w:tcPr>
                          <w:p>
                            <w:pPr>
                              <w:pStyle w:val="TableContents"/>
                              <w:bidi w:val="0"/>
                              <w:spacing w:before="0" w:after="283"/>
                              <w:jc w:val="center"/>
                              <w:rPr/>
                            </w:pPr>
                            <w:r>
                              <w:rPr/>
                              <w:drawing>
                                <wp:inline distT="0" distB="0" distL="0" distR="0">
                                  <wp:extent cx="4714875" cy="28860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5"/>
                                          <a:stretch>
                                            <a:fillRect/>
                                          </a:stretch>
                                        </pic:blipFill>
                                        <pic:spPr bwMode="auto">
                                          <a:xfrm>
                                            <a:off x="0" y="0"/>
                                            <a:ext cx="4714875" cy="2886075"/>
                                          </a:xfrm>
                                          <a:prstGeom prst="rect">
                                            <a:avLst/>
                                          </a:prstGeom>
                                        </pic:spPr>
                                      </pic:pic>
                                    </a:graphicData>
                                  </a:graphic>
                                </wp:inline>
                              </w:drawing>
                            </w:r>
                          </w:p>
                        </w:tc>
                      </w:tr>
                    </w:tbl>
                    <w:p>
                      <w:pPr>
                        <w:pStyle w:val="TextBody"/>
                        <w:bidi w:val="0"/>
                        <w:ind w:left="12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actual upside payment will be provided in the pricing supplement and will not be less than $91.00 per security.</w:t>
                      </w:r>
                    </w:p>
                    <w:tbl>
                      <w:tblPr>
                        <w:tblW w:w="5089" w:type="dxa"/>
                        <w:jc w:val="center"/>
                        <w:tblInd w:w="0" w:type="dxa"/>
                        <w:tblLayout w:type="fixed"/>
                        <w:tblCellMar>
                          <w:top w:w="0" w:type="dxa"/>
                          <w:left w:w="0" w:type="dxa"/>
                          <w:bottom w:w="0" w:type="dxa"/>
                          <w:right w:w="0" w:type="dxa"/>
                        </w:tblCellMar>
                      </w:tblPr>
                      <w:tblGrid>
                        <w:gridCol w:w="2672"/>
                        <w:gridCol w:w="2417"/>
                      </w:tblGrid>
                      <w:tr>
                        <w:trPr/>
                        <w:tc>
                          <w:tcPr>
                            <w:tcW w:w="2672" w:type="dxa"/>
                            <w:tcBorders/>
                            <w:shd w:fill="296DC1" w:val="clear"/>
                            <w:vAlign w:val="center"/>
                          </w:tcPr>
                          <w:p>
                            <w:pPr>
                              <w:pStyle w:val="TableContents"/>
                              <w:bidi w:val="0"/>
                              <w:spacing w:before="0" w:after="283"/>
                              <w:jc w:val="center"/>
                              <w:rPr>
                                <w:rFonts w:ascii="Arial;Helvetica;Sans-Serif" w:hAnsi="Arial;Helvetica;Sans-Serif"/>
                                <w:b w:val="false"/>
                                <w:color w:val="FFFFFF"/>
                                <w:sz w:val="16"/>
                              </w:rPr>
                            </w:pPr>
                            <w:r>
                              <w:rPr>
                                <w:rFonts w:ascii="Arial;Helvetica;Sans-Serif" w:hAnsi="Arial;Helvetica;Sans-Serif"/>
                                <w:b w:val="false"/>
                                <w:color w:val="FFFFFF"/>
                                <w:sz w:val="16"/>
                              </w:rPr>
                              <w:t>Change in Underlying Index</w:t>
                            </w:r>
                          </w:p>
                        </w:tc>
                        <w:tc>
                          <w:tcPr>
                            <w:tcW w:w="2417" w:type="dxa"/>
                            <w:tcBorders/>
                            <w:shd w:fill="296DC1" w:val="clear"/>
                            <w:vAlign w:val="center"/>
                          </w:tcPr>
                          <w:p>
                            <w:pPr>
                              <w:pStyle w:val="TableContents"/>
                              <w:bidi w:val="0"/>
                              <w:spacing w:before="0" w:after="283"/>
                              <w:jc w:val="center"/>
                              <w:rPr>
                                <w:rFonts w:ascii="Arial;Helvetica;Sans-Serif" w:hAnsi="Arial;Helvetica;Sans-Serif"/>
                                <w:b w:val="false"/>
                                <w:color w:val="FFFFFF"/>
                                <w:sz w:val="16"/>
                              </w:rPr>
                            </w:pPr>
                            <w:r>
                              <w:rPr>
                                <w:rFonts w:ascii="Arial;Helvetica;Sans-Serif" w:hAnsi="Arial;Helvetica;Sans-Serif"/>
                                <w:b w:val="false"/>
                                <w:color w:val="FFFFFF"/>
                                <w:sz w:val="16"/>
                              </w:rPr>
                              <w:t>Return on the Securities*</w:t>
                            </w:r>
                          </w:p>
                        </w:tc>
                      </w:tr>
                      <w:tr>
                        <w:trPr/>
                        <w:tc>
                          <w:tcPr>
                            <w:tcW w:w="2672"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2417"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9.10000%</w:t>
                            </w:r>
                          </w:p>
                        </w:tc>
                      </w:tr>
                      <w:tr>
                        <w:trPr/>
                        <w:tc>
                          <w:tcPr>
                            <w:tcW w:w="2672"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70.00%</w:t>
                            </w:r>
                          </w:p>
                        </w:tc>
                        <w:tc>
                          <w:tcPr>
                            <w:tcW w:w="2417"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9.10000%</w:t>
                            </w:r>
                          </w:p>
                        </w:tc>
                      </w:tr>
                      <w:tr>
                        <w:trPr/>
                        <w:tc>
                          <w:tcPr>
                            <w:tcW w:w="2672"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c>
                          <w:tcPr>
                            <w:tcW w:w="2417"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9.10000%</w:t>
                            </w:r>
                          </w:p>
                        </w:tc>
                      </w:tr>
                      <w:tr>
                        <w:trPr/>
                        <w:tc>
                          <w:tcPr>
                            <w:tcW w:w="2672"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2417"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9.10000%</w:t>
                            </w:r>
                          </w:p>
                        </w:tc>
                      </w:tr>
                      <w:tr>
                        <w:trPr/>
                        <w:tc>
                          <w:tcPr>
                            <w:tcW w:w="2672"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2417"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9.10000%</w:t>
                            </w:r>
                          </w:p>
                        </w:tc>
                      </w:tr>
                      <w:tr>
                        <w:trPr/>
                        <w:tc>
                          <w:tcPr>
                            <w:tcW w:w="2672"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2417"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9.10000%</w:t>
                            </w:r>
                          </w:p>
                        </w:tc>
                      </w:tr>
                      <w:tr>
                        <w:trPr/>
                        <w:tc>
                          <w:tcPr>
                            <w:tcW w:w="2672"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2417"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9.10000%</w:t>
                            </w:r>
                          </w:p>
                        </w:tc>
                      </w:tr>
                      <w:tr>
                        <w:trPr/>
                        <w:tc>
                          <w:tcPr>
                            <w:tcW w:w="2672"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2417"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9.10000%</w:t>
                            </w:r>
                          </w:p>
                        </w:tc>
                      </w:tr>
                      <w:tr>
                        <w:trPr/>
                        <w:tc>
                          <w:tcPr>
                            <w:tcW w:w="2672"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9.10%</w:t>
                            </w:r>
                          </w:p>
                        </w:tc>
                        <w:tc>
                          <w:tcPr>
                            <w:tcW w:w="2417"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9.10000%</w:t>
                            </w:r>
                          </w:p>
                        </w:tc>
                      </w:tr>
                      <w:tr>
                        <w:trPr/>
                        <w:tc>
                          <w:tcPr>
                            <w:tcW w:w="2672"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2417"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9.10000%</w:t>
                            </w:r>
                          </w:p>
                        </w:tc>
                      </w:tr>
                      <w:tr>
                        <w:trPr/>
                        <w:tc>
                          <w:tcPr>
                            <w:tcW w:w="2672"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w:t>
                            </w:r>
                          </w:p>
                        </w:tc>
                        <w:tc>
                          <w:tcPr>
                            <w:tcW w:w="2417"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9.10000%</w:t>
                            </w:r>
                          </w:p>
                        </w:tc>
                      </w:tr>
                      <w:tr>
                        <w:trPr/>
                        <w:tc>
                          <w:tcPr>
                            <w:tcW w:w="2672"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c>
                          <w:tcPr>
                            <w:tcW w:w="2417"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9.10000%</w:t>
                            </w:r>
                          </w:p>
                        </w:tc>
                      </w:tr>
                      <w:tr>
                        <w:trPr/>
                        <w:tc>
                          <w:tcPr>
                            <w:tcW w:w="2672"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2417"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9.10000%</w:t>
                            </w:r>
                          </w:p>
                        </w:tc>
                      </w:tr>
                      <w:tr>
                        <w:trPr/>
                        <w:tc>
                          <w:tcPr>
                            <w:tcW w:w="2672"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2417"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-11.11111%</w:t>
                            </w:r>
                          </w:p>
                        </w:tc>
                      </w:tr>
                      <w:tr>
                        <w:trPr/>
                        <w:tc>
                          <w:tcPr>
                            <w:tcW w:w="2672"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2417"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-22.22222%</w:t>
                            </w:r>
                          </w:p>
                        </w:tc>
                      </w:tr>
                      <w:tr>
                        <w:trPr/>
                        <w:tc>
                          <w:tcPr>
                            <w:tcW w:w="2672"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2417"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-33.33333%</w:t>
                            </w:r>
                          </w:p>
                        </w:tc>
                      </w:tr>
                      <w:tr>
                        <w:trPr/>
                        <w:tc>
                          <w:tcPr>
                            <w:tcW w:w="2672"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2417"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-44.44444%</w:t>
                            </w:r>
                          </w:p>
                        </w:tc>
                      </w:tr>
                      <w:tr>
                        <w:trPr/>
                        <w:tc>
                          <w:tcPr>
                            <w:tcW w:w="2672"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c>
                          <w:tcPr>
                            <w:tcW w:w="2417"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-55.55556%</w:t>
                            </w:r>
                          </w:p>
                        </w:tc>
                      </w:tr>
                      <w:tr>
                        <w:trPr/>
                        <w:tc>
                          <w:tcPr>
                            <w:tcW w:w="2672"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2417"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-77.77778%</w:t>
                            </w:r>
                          </w:p>
                        </w:tc>
                      </w:tr>
                      <w:tr>
                        <w:trPr/>
                        <w:tc>
                          <w:tcPr>
                            <w:tcW w:w="2672"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c>
                          <w:tcPr>
                            <w:tcW w:w="2417"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-100.00000%</w:t>
                            </w:r>
                          </w:p>
                        </w:tc>
                      </w:tr>
                      <w:tr>
                        <w:trPr/>
                        <w:tc>
                          <w:tcPr>
                            <w:tcW w:w="5089" w:type="dxa"/>
                            <w:gridSpan w:val="2"/>
                            <w:tcBorders/>
                            <w:vAlign w:val="center"/>
                          </w:tcPr>
                          <w:p>
                            <w:pPr>
                              <w:pStyle w:val="TableContents"/>
                              <w:bidi w:val="0"/>
                              <w:spacing w:before="0" w:after="283"/>
                              <w:jc w:val="left"/>
                              <w:rPr>
                                <w:rFonts w:ascii="Arial;Helvetica;Sans-Serif" w:hAnsi="Arial;Helvetica;Sans-Serif"/>
                                <w:i/>
                                <w:sz w:val="16"/>
                              </w:rPr>
                            </w:pPr>
                            <w:r>
                              <w:rPr>
                                <w:rFonts w:ascii="Arial;Helvetica;Sans-Serif" w:hAnsi="Arial;Helvetica;Sans-Serif"/>
                                <w:i/>
                                <w:sz w:val="16"/>
                              </w:rPr>
                              <w:t>*Assumes an upside payment of 9.10% of the stated principal amount</w:t>
                            </w:r>
                          </w:p>
                        </w:tc>
                      </w:tr>
                    </w:tbl>
                    <w:p>
                      <w:pPr>
                        <w:pStyle w:val="TextBody"/>
                        <w:bidi w:val="0"/>
                        <w:spacing w:before="0" w:after="283"/>
                        <w:jc w:val="left"/>
                        <w:rPr/>
                      </w:pPr>
                      <w:r>
                        <w:rPr/>
                      </w:r>
                    </w:p>
                  </w:txbxContent>
                </v:textbox>
                <w10:wrap type="square" side="left"/>
              </v:rect>
            </w:pict>
          </mc:Fallback>
        </mc:AlternateConten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rFonts w:ascii="Arial;Helvetica;Sans-Serif" w:hAnsi="Arial;Helvetica;Sans-Serif"/>
          <w:b/>
          <w:i w:val="false"/>
          <w:caps w:val="false"/>
          <w:smallCaps w:val="false"/>
          <w:color w:val="808080"/>
          <w:sz w:val="24"/>
        </w:rPr>
      </w:pPr>
      <w:r>
        <w:rPr>
          <w:rFonts w:ascii="Arial;Helvetica;Sans-Serif" w:hAnsi="Arial;Helvetica;Sans-Serif"/>
          <w:b/>
          <w:i w:val="false"/>
          <w:caps w:val="false"/>
          <w:smallCaps w:val="false"/>
          <w:color w:val="808080"/>
          <w:sz w:val="24"/>
        </w:rPr>
        <w:t>JPMorgan Chase Financial Company LLC</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2"/>
        </w:rPr>
      </w:pPr>
      <w:r>
        <w:rPr>
          <w:rFonts w:ascii="Arial;Helvetica;Sans-Serif" w:hAnsi="Arial;Helvetica;Sans-Serif"/>
          <w:b w:val="false"/>
          <w:i w:val="false"/>
          <w:caps w:val="false"/>
          <w:smallCaps w:val="false"/>
          <w:color w:val="296DC1"/>
          <w:sz w:val="32"/>
        </w:rPr>
        <w:t>15-Month SPX Enhanced Buffered Jump Securities</w:t>
      </w:r>
    </w:p>
    <w:p>
      <w:pPr>
        <w:pStyle w:val="TextBody"/>
        <w:bidi w:val="0"/>
        <w:spacing w:before="120" w:after="60"/>
        <w:ind w:left="120" w:right="12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Underlying Index</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more information about the underlying index, including historical performance information, see the accompanying preliminary pricing supplement.</w:t>
      </w:r>
    </w:p>
    <w:p>
      <w:pPr>
        <w:pStyle w:val="TextBody"/>
        <w:bidi w:val="0"/>
        <w:spacing w:before="120" w:after="60"/>
        <w:ind w:left="120" w:right="12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Risk Considerations</w:t>
      </w:r>
    </w:p>
    <w:p>
      <w:pPr>
        <w:pStyle w:val="TextBody"/>
        <w:bidi w:val="0"/>
        <w:spacing w:before="0" w:after="6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risks identified below are not exhaustive. Please see “Risk Factors” in the accompanying prospectus supplement, product supplement and preliminary pricing supplement for additional information.</w:t>
      </w:r>
    </w:p>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Securities Generally</w:t>
      </w:r>
    </w:p>
    <w:tbl>
      <w:tblPr>
        <w:tblW w:w="5000" w:type="pct"/>
        <w:jc w:val="left"/>
        <w:tblInd w:w="0" w:type="dxa"/>
        <w:tblLayout w:type="fixed"/>
        <w:tblCellMar>
          <w:top w:w="0" w:type="dxa"/>
          <w:left w:w="0" w:type="dxa"/>
          <w:bottom w:w="0" w:type="dxa"/>
          <w:right w:w="0" w:type="dxa"/>
        </w:tblCellMar>
      </w:tblPr>
      <w:tblGrid>
        <w:gridCol w:w="41"/>
        <w:gridCol w:w="136"/>
        <w:gridCol w:w="10028"/>
      </w:tblGrid>
      <w:tr>
        <w:trPr/>
        <w:tc>
          <w:tcPr>
            <w:tcW w:w="4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28" w:type="dxa"/>
            <w:tcBorders/>
            <w:vAlign w:val="center"/>
          </w:tcPr>
          <w:p>
            <w:pPr>
              <w:pStyle w:val="TableContents"/>
              <w:bidi w:val="0"/>
              <w:spacing w:before="0" w:after="283"/>
              <w:jc w:val="left"/>
              <w:rPr>
                <w:sz w:val="18"/>
              </w:rPr>
            </w:pPr>
            <w:r>
              <w:rPr>
                <w:sz w:val="18"/>
              </w:rPr>
              <w:t>The securities do not pay interest or guarantee the return of any principal and your investment in the securities may result in a loss.</w:t>
            </w:r>
          </w:p>
        </w:tc>
      </w:tr>
    </w:tbl>
    <w:tbl>
      <w:tblPr>
        <w:tblW w:w="5000" w:type="pct"/>
        <w:jc w:val="left"/>
        <w:tblInd w:w="0" w:type="dxa"/>
        <w:tblLayout w:type="fixed"/>
        <w:tblCellMar>
          <w:top w:w="0" w:type="dxa"/>
          <w:left w:w="0" w:type="dxa"/>
          <w:bottom w:w="0" w:type="dxa"/>
          <w:right w:w="0" w:type="dxa"/>
        </w:tblCellMar>
      </w:tblPr>
      <w:tblGrid>
        <w:gridCol w:w="121"/>
        <w:gridCol w:w="398"/>
        <w:gridCol w:w="9686"/>
      </w:tblGrid>
      <w:tr>
        <w:trPr/>
        <w:tc>
          <w:tcPr>
            <w:tcW w:w="12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686" w:type="dxa"/>
            <w:tcBorders/>
            <w:vAlign w:val="center"/>
          </w:tcPr>
          <w:p>
            <w:pPr>
              <w:pStyle w:val="TableContents"/>
              <w:bidi w:val="0"/>
              <w:spacing w:before="0" w:after="283"/>
              <w:jc w:val="left"/>
              <w:rPr>
                <w:sz w:val="18"/>
              </w:rPr>
            </w:pPr>
            <w:r>
              <w:rPr>
                <w:sz w:val="18"/>
              </w:rPr>
              <w:t>Appreciation potential is fixed and limited.</w:t>
            </w:r>
          </w:p>
        </w:tc>
      </w:tr>
    </w:tbl>
    <w:tbl>
      <w:tblPr>
        <w:tblW w:w="5000" w:type="pct"/>
        <w:jc w:val="left"/>
        <w:tblInd w:w="0" w:type="dxa"/>
        <w:tblLayout w:type="fixed"/>
        <w:tblCellMar>
          <w:top w:w="0" w:type="dxa"/>
          <w:left w:w="0" w:type="dxa"/>
          <w:bottom w:w="0" w:type="dxa"/>
          <w:right w:w="0" w:type="dxa"/>
        </w:tblCellMar>
      </w:tblPr>
      <w:tblGrid>
        <w:gridCol w:w="67"/>
        <w:gridCol w:w="221"/>
        <w:gridCol w:w="9917"/>
      </w:tblGrid>
      <w:tr>
        <w:trPr/>
        <w:tc>
          <w:tcPr>
            <w:tcW w:w="6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17" w:type="dxa"/>
            <w:tcBorders/>
            <w:vAlign w:val="center"/>
          </w:tcPr>
          <w:p>
            <w:pPr>
              <w:pStyle w:val="TableContents"/>
              <w:bidi w:val="0"/>
              <w:spacing w:before="0" w:after="283"/>
              <w:jc w:val="left"/>
              <w:rPr>
                <w:sz w:val="18"/>
              </w:rPr>
            </w:pPr>
            <w:r>
              <w:rPr>
                <w:sz w:val="18"/>
              </w:rPr>
              <w:t>Your ability to receive the upside payment may terminate on the valuation date.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The securities are subject to the credit risks of JPMorgan Financial and JPMorgan Chase &amp; Co., and any actual or anticipated changes to our or JPMorgan Chase &amp; Co.’s credit ratings or credit spreads may adversely affect the market value of the securities.</w:t>
            </w:r>
          </w:p>
        </w:tc>
      </w:tr>
    </w:tbl>
    <w:tbl>
      <w:tblPr>
        <w:tblW w:w="5000" w:type="pct"/>
        <w:jc w:val="left"/>
        <w:tblInd w:w="0" w:type="dxa"/>
        <w:tblLayout w:type="fixed"/>
        <w:tblCellMar>
          <w:top w:w="0" w:type="dxa"/>
          <w:left w:w="0" w:type="dxa"/>
          <w:bottom w:w="0" w:type="dxa"/>
          <w:right w:w="0" w:type="dxa"/>
        </w:tblCellMar>
      </w:tblPr>
      <w:tblGrid>
        <w:gridCol w:w="54"/>
        <w:gridCol w:w="180"/>
        <w:gridCol w:w="9971"/>
      </w:tblGrid>
      <w:tr>
        <w:trPr/>
        <w:tc>
          <w:tcPr>
            <w:tcW w:w="5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1" w:type="dxa"/>
            <w:tcBorders/>
            <w:vAlign w:val="center"/>
          </w:tcPr>
          <w:p>
            <w:pPr>
              <w:pStyle w:val="TableContents"/>
              <w:bidi w:val="0"/>
              <w:spacing w:before="0" w:after="283"/>
              <w:jc w:val="left"/>
              <w:rPr>
                <w:sz w:val="18"/>
              </w:rPr>
            </w:pPr>
            <w:r>
              <w:rPr>
                <w:sz w:val="18"/>
              </w:rPr>
              <w:t>As a finance subsidiary, JPMorgan Financial has no independent activities and has limited assets.</w:t>
            </w:r>
          </w:p>
        </w:tc>
      </w:tr>
    </w:tbl>
    <w:tbl>
      <w:tblPr>
        <w:tblW w:w="5000" w:type="pct"/>
        <w:jc w:val="left"/>
        <w:tblInd w:w="0" w:type="dxa"/>
        <w:tblLayout w:type="fixed"/>
        <w:tblCellMar>
          <w:top w:w="0" w:type="dxa"/>
          <w:left w:w="0" w:type="dxa"/>
          <w:bottom w:w="0" w:type="dxa"/>
          <w:right w:w="0" w:type="dxa"/>
        </w:tblCellMar>
      </w:tblPr>
      <w:tblGrid>
        <w:gridCol w:w="148"/>
        <w:gridCol w:w="488"/>
        <w:gridCol w:w="9569"/>
      </w:tblGrid>
      <w:tr>
        <w:trPr/>
        <w:tc>
          <w:tcPr>
            <w:tcW w:w="14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569" w:type="dxa"/>
            <w:tcBorders/>
            <w:vAlign w:val="center"/>
          </w:tcPr>
          <w:p>
            <w:pPr>
              <w:pStyle w:val="TableContents"/>
              <w:bidi w:val="0"/>
              <w:spacing w:before="0" w:after="283"/>
              <w:jc w:val="left"/>
              <w:rPr>
                <w:sz w:val="18"/>
              </w:rPr>
            </w:pPr>
            <w:r>
              <w:rPr>
                <w:sz w:val="18"/>
              </w:rPr>
              <w:t>Secondary trading may be limited.</w:t>
            </w:r>
          </w:p>
        </w:tc>
      </w:tr>
    </w:tbl>
    <w:tbl>
      <w:tblPr>
        <w:tblW w:w="5000" w:type="pct"/>
        <w:jc w:val="left"/>
        <w:tblInd w:w="0" w:type="dxa"/>
        <w:tblLayout w:type="fixed"/>
        <w:tblCellMar>
          <w:top w:w="0" w:type="dxa"/>
          <w:left w:w="0" w:type="dxa"/>
          <w:bottom w:w="0" w:type="dxa"/>
          <w:right w:w="0" w:type="dxa"/>
        </w:tblCellMar>
      </w:tblPr>
      <w:tblGrid>
        <w:gridCol w:w="53"/>
        <w:gridCol w:w="178"/>
        <w:gridCol w:w="9974"/>
      </w:tblGrid>
      <w:tr>
        <w:trPr/>
        <w:tc>
          <w:tcPr>
            <w:tcW w:w="5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4" w:type="dxa"/>
            <w:tcBorders/>
            <w:vAlign w:val="center"/>
          </w:tcPr>
          <w:p>
            <w:pPr>
              <w:pStyle w:val="TableContents"/>
              <w:bidi w:val="0"/>
              <w:spacing w:before="0" w:after="283"/>
              <w:jc w:val="left"/>
              <w:rPr>
                <w:sz w:val="18"/>
              </w:rPr>
            </w:pPr>
            <w:r>
              <w:rPr>
                <w:sz w:val="18"/>
              </w:rPr>
              <w:t>The final terms and estimated valuation of the securities will be provided in the pricing supplement.</w:t>
            </w:r>
          </w:p>
        </w:tc>
      </w:tr>
    </w:tbl>
    <w:tbl>
      <w:tblPr>
        <w:tblW w:w="5000" w:type="pct"/>
        <w:jc w:val="left"/>
        <w:tblInd w:w="0" w:type="dxa"/>
        <w:tblLayout w:type="fixed"/>
        <w:tblCellMar>
          <w:top w:w="0" w:type="dxa"/>
          <w:left w:w="0" w:type="dxa"/>
          <w:bottom w:w="0" w:type="dxa"/>
          <w:right w:w="0" w:type="dxa"/>
        </w:tblCellMar>
      </w:tblPr>
      <w:tblGrid>
        <w:gridCol w:w="76"/>
        <w:gridCol w:w="250"/>
        <w:gridCol w:w="9879"/>
      </w:tblGrid>
      <w:tr>
        <w:trPr/>
        <w:tc>
          <w:tcPr>
            <w:tcW w:w="7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879" w:type="dxa"/>
            <w:tcBorders/>
            <w:vAlign w:val="center"/>
          </w:tcPr>
          <w:p>
            <w:pPr>
              <w:pStyle w:val="TableContents"/>
              <w:bidi w:val="0"/>
              <w:spacing w:before="0" w:after="283"/>
              <w:jc w:val="left"/>
              <w:rPr>
                <w:sz w:val="18"/>
              </w:rPr>
            </w:pPr>
            <w:r>
              <w:rPr>
                <w:sz w:val="18"/>
              </w:rPr>
              <w:t>The tax consequences of an investment in the securities are uncertain.</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Conflicts of Interest</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Economic interests of the issuer, the guarantor, the calculation agent, the agent of the offering of the securities and other affiliates of the issuer may be different from those of investors.</w:t>
            </w:r>
          </w:p>
        </w:tc>
      </w:tr>
    </w:tbl>
    <w:tbl>
      <w:tblPr>
        <w:tblW w:w="5000" w:type="pct"/>
        <w:jc w:val="left"/>
        <w:tblInd w:w="0" w:type="dxa"/>
        <w:tblLayout w:type="fixed"/>
        <w:tblCellMar>
          <w:top w:w="0" w:type="dxa"/>
          <w:left w:w="0" w:type="dxa"/>
          <w:bottom w:w="0" w:type="dxa"/>
          <w:right w:w="0" w:type="dxa"/>
        </w:tblCellMar>
      </w:tblPr>
      <w:tblGrid>
        <w:gridCol w:w="48"/>
        <w:gridCol w:w="161"/>
        <w:gridCol w:w="9996"/>
      </w:tblGrid>
      <w:tr>
        <w:trPr/>
        <w:tc>
          <w:tcPr>
            <w:tcW w:w="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96" w:type="dxa"/>
            <w:tcBorders/>
            <w:vAlign w:val="center"/>
          </w:tcPr>
          <w:p>
            <w:pPr>
              <w:pStyle w:val="TableContents"/>
              <w:bidi w:val="0"/>
              <w:spacing w:before="0" w:after="283"/>
              <w:jc w:val="left"/>
              <w:rPr>
                <w:sz w:val="18"/>
              </w:rPr>
            </w:pPr>
            <w:r>
              <w:rPr>
                <w:sz w:val="18"/>
              </w:rPr>
              <w:t>Hedging and trading activities by the issuer and its affiliates could potentially affect the value of the securities.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Estimated Value and Secondary Market Prices of the Securities</w:t>
      </w:r>
    </w:p>
    <w:tbl>
      <w:tblPr>
        <w:tblW w:w="5000" w:type="pct"/>
        <w:jc w:val="left"/>
        <w:tblInd w:w="0" w:type="dxa"/>
        <w:tblLayout w:type="fixed"/>
        <w:tblCellMar>
          <w:top w:w="0" w:type="dxa"/>
          <w:left w:w="0" w:type="dxa"/>
          <w:bottom w:w="0" w:type="dxa"/>
          <w:right w:w="0" w:type="dxa"/>
        </w:tblCellMar>
      </w:tblPr>
      <w:tblGrid>
        <w:gridCol w:w="47"/>
        <w:gridCol w:w="158"/>
        <w:gridCol w:w="10000"/>
      </w:tblGrid>
      <w:tr>
        <w:trPr/>
        <w:tc>
          <w:tcPr>
            <w:tcW w:w="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00" w:type="dxa"/>
            <w:tcBorders/>
            <w:vAlign w:val="center"/>
          </w:tcPr>
          <w:p>
            <w:pPr>
              <w:pStyle w:val="TableContents"/>
              <w:bidi w:val="0"/>
              <w:spacing w:before="0" w:after="283"/>
              <w:jc w:val="left"/>
              <w:rPr>
                <w:sz w:val="18"/>
              </w:rPr>
            </w:pPr>
            <w:r>
              <w:rPr>
                <w:sz w:val="18"/>
              </w:rPr>
              <w:t>The estimated value of the securities will be lower than the original issue price (price to public) of the securities</w:t>
            </w:r>
            <w:r>
              <w:rPr>
                <w:rFonts w:ascii="Arial;Helvetica;Sans-Serif" w:hAnsi="Arial;Helvetica;Sans-Serif"/>
                <w:b w:val="false"/>
                <w:sz w:val="18"/>
              </w:rPr>
              <w:t>.</w:t>
            </w:r>
          </w:p>
        </w:tc>
      </w:tr>
    </w:tbl>
    <w:tbl>
      <w:tblPr>
        <w:tblW w:w="5000" w:type="pct"/>
        <w:jc w:val="left"/>
        <w:tblInd w:w="0" w:type="dxa"/>
        <w:tblLayout w:type="fixed"/>
        <w:tblCellMar>
          <w:top w:w="0" w:type="dxa"/>
          <w:left w:w="0" w:type="dxa"/>
          <w:bottom w:w="0" w:type="dxa"/>
          <w:right w:w="0" w:type="dxa"/>
        </w:tblCellMar>
      </w:tblPr>
      <w:tblGrid>
        <w:gridCol w:w="43"/>
        <w:gridCol w:w="142"/>
        <w:gridCol w:w="10020"/>
      </w:tblGrid>
      <w:tr>
        <w:trPr/>
        <w:tc>
          <w:tcPr>
            <w:tcW w:w="4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20" w:type="dxa"/>
            <w:tcBorders/>
            <w:vAlign w:val="center"/>
          </w:tcPr>
          <w:p>
            <w:pPr>
              <w:pStyle w:val="TableContents"/>
              <w:bidi w:val="0"/>
              <w:spacing w:before="0" w:after="283"/>
              <w:jc w:val="left"/>
              <w:rPr>
                <w:sz w:val="18"/>
              </w:rPr>
            </w:pPr>
            <w:r>
              <w:rPr>
                <w:sz w:val="18"/>
              </w:rPr>
              <w:t>The estimated value of the securities does not represent future values of the securities and may differ from others’ estimates</w:t>
            </w:r>
            <w:r>
              <w:rPr>
                <w:rFonts w:ascii="Arial;Helvetica;Sans-Serif" w:hAnsi="Arial;Helvetica;Sans-Serif"/>
                <w:b w:val="false"/>
                <w:sz w:val="18"/>
              </w:rPr>
              <w:t>.</w:t>
            </w:r>
          </w:p>
        </w:tc>
      </w:tr>
    </w:tbl>
    <w:tbl>
      <w:tblPr>
        <w:tblW w:w="5000" w:type="pct"/>
        <w:jc w:val="left"/>
        <w:tblInd w:w="0" w:type="dxa"/>
        <w:tblLayout w:type="fixed"/>
        <w:tblCellMar>
          <w:top w:w="0" w:type="dxa"/>
          <w:left w:w="0" w:type="dxa"/>
          <w:bottom w:w="0" w:type="dxa"/>
          <w:right w:w="0" w:type="dxa"/>
        </w:tblCellMar>
      </w:tblPr>
      <w:tblGrid>
        <w:gridCol w:w="54"/>
        <w:gridCol w:w="179"/>
        <w:gridCol w:w="9972"/>
      </w:tblGrid>
      <w:tr>
        <w:trPr/>
        <w:tc>
          <w:tcPr>
            <w:tcW w:w="5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72" w:type="dxa"/>
            <w:tcBorders/>
            <w:vAlign w:val="center"/>
          </w:tcPr>
          <w:p>
            <w:pPr>
              <w:pStyle w:val="TableContents"/>
              <w:bidi w:val="0"/>
              <w:spacing w:before="0" w:after="283"/>
              <w:jc w:val="left"/>
              <w:rPr/>
            </w:pPr>
            <w:r>
              <w:rPr>
                <w:rFonts w:ascii="Arial;Helvetica;Sans-Serif" w:hAnsi="Arial;Helvetica;Sans-Serif"/>
                <w:b w:val="false"/>
                <w:sz w:val="18"/>
              </w:rPr>
              <w:t xml:space="preserve">The estimated value of the </w:t>
            </w:r>
            <w:r>
              <w:rPr>
                <w:sz w:val="18"/>
              </w:rPr>
              <w:t xml:space="preserve">securities </w:t>
            </w:r>
            <w:r>
              <w:rPr>
                <w:rFonts w:ascii="Arial;Helvetica;Sans-Serif" w:hAnsi="Arial;Helvetica;Sans-Serif"/>
                <w:b w:val="false"/>
                <w:sz w:val="18"/>
              </w:rPr>
              <w:t>is derived by reference to an internal funding rate.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43" w:type="dxa"/>
            <w:tcBorders/>
            <w:vAlign w:val="center"/>
          </w:tcPr>
          <w:p>
            <w:pPr>
              <w:pStyle w:val="TableContents"/>
              <w:bidi w:val="0"/>
              <w:spacing w:before="0" w:after="283"/>
              <w:jc w:val="left"/>
              <w:rPr/>
            </w:pPr>
            <w:r>
              <w:rPr>
                <w:rFonts w:ascii="Arial;Helvetica;Sans-Serif" w:hAnsi="Arial;Helvetica;Sans-Serif"/>
                <w:b w:val="false"/>
                <w:sz w:val="18"/>
              </w:rPr>
              <w:t xml:space="preserve">The value of the </w:t>
            </w:r>
            <w:r>
              <w:rPr>
                <w:sz w:val="18"/>
              </w:rPr>
              <w:t xml:space="preserve">securities </w:t>
            </w:r>
            <w:r>
              <w:rPr>
                <w:rFonts w:ascii="Arial;Helvetica;Sans-Serif" w:hAnsi="Arial;Helvetica;Sans-Serif"/>
                <w:b w:val="false"/>
                <w:sz w:val="18"/>
              </w:rPr>
              <w:t xml:space="preserve">as published by J.P. Morgan Securities LLC (and which may be reflected on customer account statements) may be higher than the then-current estimated value of the </w:t>
            </w:r>
            <w:r>
              <w:rPr>
                <w:sz w:val="18"/>
              </w:rPr>
              <w:t xml:space="preserve">securities </w:t>
            </w:r>
            <w:r>
              <w:rPr>
                <w:rFonts w:ascii="Arial;Helvetica;Sans-Serif" w:hAnsi="Arial;Helvetica;Sans-Serif"/>
                <w:b w:val="false"/>
                <w:sz w:val="18"/>
              </w:rPr>
              <w:t>for a limited time period.</w:t>
            </w:r>
          </w:p>
        </w:tc>
      </w:tr>
    </w:tbl>
    <w:tbl>
      <w:tblPr>
        <w:tblW w:w="5000" w:type="pct"/>
        <w:jc w:val="left"/>
        <w:tblInd w:w="0" w:type="dxa"/>
        <w:tblLayout w:type="fixed"/>
        <w:tblCellMar>
          <w:top w:w="0" w:type="dxa"/>
          <w:left w:w="0" w:type="dxa"/>
          <w:bottom w:w="0" w:type="dxa"/>
          <w:right w:w="0" w:type="dxa"/>
        </w:tblCellMar>
      </w:tblPr>
      <w:tblGrid>
        <w:gridCol w:w="50"/>
        <w:gridCol w:w="165"/>
        <w:gridCol w:w="9990"/>
      </w:tblGrid>
      <w:tr>
        <w:trPr/>
        <w:tc>
          <w:tcPr>
            <w:tcW w:w="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90" w:type="dxa"/>
            <w:tcBorders/>
            <w:vAlign w:val="center"/>
          </w:tcPr>
          <w:p>
            <w:pPr>
              <w:pStyle w:val="TableContents"/>
              <w:bidi w:val="0"/>
              <w:spacing w:before="0" w:after="283"/>
              <w:jc w:val="left"/>
              <w:rPr>
                <w:sz w:val="18"/>
              </w:rPr>
            </w:pPr>
            <w:r>
              <w:rPr>
                <w:sz w:val="18"/>
              </w:rPr>
              <w:t>Secondary market prices of the securities will likely be lower than the original issue price of the securities</w:t>
            </w:r>
            <w:r>
              <w:rPr>
                <w:rFonts w:ascii="Arial;Helvetica;Sans-Serif" w:hAnsi="Arial;Helvetica;Sans-Serif"/>
                <w:b w:val="false"/>
                <w:sz w:val="18"/>
              </w:rPr>
              <w:t xml:space="preserve">. </w:t>
            </w:r>
          </w:p>
        </w:tc>
      </w:tr>
    </w:tbl>
    <w:tbl>
      <w:tblPr>
        <w:tblW w:w="5000" w:type="pct"/>
        <w:jc w:val="left"/>
        <w:tblInd w:w="0" w:type="dxa"/>
        <w:tblLayout w:type="fixed"/>
        <w:tblCellMar>
          <w:top w:w="0" w:type="dxa"/>
          <w:left w:w="0" w:type="dxa"/>
          <w:bottom w:w="0" w:type="dxa"/>
          <w:right w:w="0" w:type="dxa"/>
        </w:tblCellMar>
      </w:tblPr>
      <w:tblGrid>
        <w:gridCol w:w="48"/>
        <w:gridCol w:w="161"/>
        <w:gridCol w:w="9996"/>
      </w:tblGrid>
      <w:tr>
        <w:trPr/>
        <w:tc>
          <w:tcPr>
            <w:tcW w:w="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96" w:type="dxa"/>
            <w:tcBorders/>
            <w:vAlign w:val="center"/>
          </w:tcPr>
          <w:p>
            <w:pPr>
              <w:pStyle w:val="TableContents"/>
              <w:bidi w:val="0"/>
              <w:spacing w:before="0" w:after="283"/>
              <w:jc w:val="left"/>
              <w:rPr/>
            </w:pPr>
            <w:r>
              <w:rPr>
                <w:rFonts w:ascii="Arial;Helvetica;Sans-Serif" w:hAnsi="Arial;Helvetica;Sans-Serif"/>
                <w:b w:val="false"/>
                <w:sz w:val="18"/>
              </w:rPr>
              <w:t xml:space="preserve">Secondary market prices of the </w:t>
            </w:r>
            <w:r>
              <w:rPr>
                <w:sz w:val="18"/>
              </w:rPr>
              <w:t xml:space="preserve">securities </w:t>
            </w:r>
            <w:r>
              <w:rPr>
                <w:rFonts w:ascii="Arial;Helvetica;Sans-Serif" w:hAnsi="Arial;Helvetica;Sans-Serif"/>
                <w:b w:val="false"/>
                <w:sz w:val="18"/>
              </w:rPr>
              <w:t>will be impacted by many economic and market factors.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Underlying Index</w:t>
      </w:r>
    </w:p>
    <w:tbl>
      <w:tblPr>
        <w:tblW w:w="5000" w:type="pct"/>
        <w:jc w:val="left"/>
        <w:tblInd w:w="0" w:type="dxa"/>
        <w:tblLayout w:type="fixed"/>
        <w:tblCellMar>
          <w:top w:w="0" w:type="dxa"/>
          <w:left w:w="0" w:type="dxa"/>
          <w:bottom w:w="0" w:type="dxa"/>
          <w:right w:w="0" w:type="dxa"/>
        </w:tblCellMar>
      </w:tblPr>
      <w:tblGrid>
        <w:gridCol w:w="50"/>
        <w:gridCol w:w="165"/>
        <w:gridCol w:w="9990"/>
      </w:tblGrid>
      <w:tr>
        <w:trPr/>
        <w:tc>
          <w:tcPr>
            <w:tcW w:w="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90"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JPMorgan Chase &amp; Co. is currently one of the companies that make up the underlying index.</w:t>
            </w:r>
          </w:p>
        </w:tc>
      </w:tr>
    </w:tbl>
    <w:tbl>
      <w:tblPr>
        <w:tblW w:w="5000" w:type="pct"/>
        <w:jc w:val="left"/>
        <w:tblInd w:w="0" w:type="dxa"/>
        <w:tblLayout w:type="fixed"/>
        <w:tblCellMar>
          <w:top w:w="0" w:type="dxa"/>
          <w:left w:w="0" w:type="dxa"/>
          <w:bottom w:w="0" w:type="dxa"/>
          <w:right w:w="0" w:type="dxa"/>
        </w:tblCellMar>
      </w:tblPr>
      <w:tblGrid>
        <w:gridCol w:w="58"/>
        <w:gridCol w:w="193"/>
        <w:gridCol w:w="9954"/>
      </w:tblGrid>
      <w:tr>
        <w:trPr/>
        <w:tc>
          <w:tcPr>
            <w:tcW w:w="5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54"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 xml:space="preserve">Investing in the securities is not equivalent to investing in the underlying index. </w:t>
            </w:r>
          </w:p>
        </w:tc>
      </w:tr>
    </w:tbl>
    <w:tbl>
      <w:tblPr>
        <w:tblW w:w="5000" w:type="pct"/>
        <w:jc w:val="left"/>
        <w:tblInd w:w="0" w:type="dxa"/>
        <w:tblLayout w:type="fixed"/>
        <w:tblCellMar>
          <w:top w:w="0" w:type="dxa"/>
          <w:left w:w="0" w:type="dxa"/>
          <w:bottom w:w="0" w:type="dxa"/>
          <w:right w:w="0" w:type="dxa"/>
        </w:tblCellMar>
      </w:tblPr>
      <w:tblGrid>
        <w:gridCol w:w="54"/>
        <w:gridCol w:w="179"/>
        <w:gridCol w:w="9972"/>
      </w:tblGrid>
      <w:tr>
        <w:trPr/>
        <w:tc>
          <w:tcPr>
            <w:tcW w:w="5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72"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 xml:space="preserve">Adjustments to the underlying index could adversely affect the value of the securities. </w:t>
            </w:r>
          </w:p>
        </w:tc>
      </w:tr>
    </w:tbl>
    <w:p>
      <w:pPr>
        <w:pStyle w:val="TextBody"/>
        <w:bidi w:val="0"/>
        <w:spacing w:before="120" w:after="60"/>
        <w:ind w:left="120" w:right="12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Tax Considerations</w:t>
      </w:r>
    </w:p>
    <w:p>
      <w:pPr>
        <w:pStyle w:val="TextBody"/>
        <w:bidi w:val="0"/>
        <w:spacing w:before="0" w:after="6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You should review carefully the discussion in the accompanying preliminary pricing supplement under “Additional Information about the Securities — Tax considerations” concerning the U.S. federal income tax consequences of an investment in the securities, and you should consult your tax adviser.</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caps w:val="false"/>
          <w:smallCaps w:val="false"/>
        </w:rPr>
      </w:pPr>
      <w:r>
        <w:rPr>
          <w:caps w:val="false"/>
          <w:smallCaps w:val="false"/>
        </w:rPr>
        <w:t> </w:t>
      </w:r>
    </w:p>
    <w:p>
      <w:pPr>
        <w:pStyle w:val="TextBody"/>
        <w:pBdr>
          <w:top w:val="single" w:sz="4" w:space="5" w:color="000000"/>
        </w:pBdr>
        <w:bidi w:val="0"/>
        <w:spacing w:before="12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9617/000121390026096798/ea0304459-01_424b2.htm" TargetMode="External"/><Relationship Id="rId3" Type="http://schemas.openxmlformats.org/officeDocument/2006/relationships/hyperlink" Target="http://www.sec.gov/Archives/edgar/data/19617/000121390026096798/ea0304459-01_424b2.htm" TargetMode="External"/><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1151</Words>
  <Characters>6426</Characters>
  <CharactersWithSpaces>7448</CharactersWithSpaces>
  <Paragraphs>156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