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30, 2026  Final Review Date:   April 30, 2029  Maturity Date:   May 3, 2029  Review Dates:   Monthly  Contingent Interest Rate:   [9.25%-11.25%]* per annum, paid monthly at a rate of between 0.77083% and 0.9375%*, if applicable  Interest Barrier/Trigger Value :   With respect to each Underlying, an amount that represents 70.00% of its Initial Value  CUSIP:   46661QMU6  Preliminary Pricing Supplement:   http://sp.jpmorgan.com/document/cusip/46661QMU6/doctype/Product_Termsheet/document.pdf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Review Date (other than the first, second, third, fourth, fifth and final Review Dates) the closing value of each Underlying is  greater than or equal to   its Initial Value, the notes will be automatically called and you will receive a cash payment for each $1,000 principal amount note, equal to (a) $1,000   plus   (b) the Contingent Interest Payment applicable to that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9.25% per annum Contingent Interest Rate)  60.00%   $1,007.7083  40.00%   $1,007.7083  20.00%   $1,007.7083  5.00%   $1,007.7083  0.00%   $1,007.7083  -5.00%   $1,007.7083  -20.00%   $1,007.7083  -30.00%   $1,007.7083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Review Date is greater than or equal to its Interest Barrier, you will receive on the applicable Interest Payment Date for each $1,000 principal amount note a Contingent Interest Payment equal to between $7.7083 and $9.375 (equivalent to a Contingent Interest Rate of between 9.25% and 11.25% per annum, payable at a rate of between 0.77083% and 0.9375%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2.5yrNC6m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8136</Characters>
  <CharactersWithSpaces>9879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