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rFonts w:ascii="Arial;Helvetica;Sans-Serif" w:hAnsi="Arial;Helvetica;Sans-Serif"/>
          <w:b/>
          <w:i w:val="false"/>
          <w:caps w:val="false"/>
          <w:smallCaps w:val="false"/>
          <w:color w:val="808080"/>
          <w:sz w:val="24"/>
        </w:rPr>
      </w:pPr>
      <w:bookmarkStart w:id="0" w:name="ea0302160-01_fwp.htm"/>
      <w:bookmarkStart w:id="1" w:name="ksea030216001_fwp"/>
      <w:bookmarkEnd w:id="0"/>
      <w:bookmarkEnd w:id="1"/>
      <w:r>
        <w:rPr>
          <w:rFonts w:ascii="Arial;Helvetica;Sans-Serif" w:hAnsi="Arial;Helvetica;Sans-Serif"/>
          <w:b/>
          <w:i w:val="false"/>
          <w:caps w:val="false"/>
          <w:smallCaps w:val="false"/>
          <w:color w:val="808080"/>
          <w:sz w:val="24"/>
        </w:rPr>
        <w:t>JPMorgan Chase Financial Company LLC</w:t>
      </w:r>
    </w:p>
    <w:p>
      <w:pPr>
        <w:pStyle w:val="TextBody"/>
        <w:bidi w:val="0"/>
        <w:spacing w:before="0" w:after="0"/>
        <w:ind w:left="0" w:right="0" w:hanging="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Free Writing Prospectus Filed Pursuant to Rule 433</w:t>
      </w:r>
    </w:p>
    <w:p>
      <w:pPr>
        <w:pStyle w:val="TextBody"/>
        <w:bidi w:val="0"/>
        <w:spacing w:before="0" w:after="0"/>
        <w:ind w:left="0" w:right="0" w:hanging="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Registration Statement Nos. 333-293684 and 333-293684-01</w:t>
      </w:r>
    </w:p>
    <w:p>
      <w:pPr>
        <w:pStyle w:val="TextBody"/>
        <w:bidi w:val="0"/>
        <w:spacing w:before="0" w:after="0"/>
        <w:ind w:left="0" w:right="0" w:hanging="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Dated August 14, 2026</w:t>
      </w:r>
    </w:p>
    <w:p>
      <w:pPr>
        <w:pStyle w:val="TextBody"/>
        <w:pBdr>
          <w:bottom w:val="single" w:sz="4" w:space="1" w:color="296DC1"/>
        </w:pBdr>
        <w:bidi w:val="0"/>
        <w:spacing w:before="0" w:after="0"/>
        <w:ind w:left="0" w:right="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2-Year IBIT Auto-Callable Dual Directional Trigger PLUS</w:t>
      </w:r>
    </w:p>
    <w:p>
      <w:pPr>
        <w:pStyle w:val="TextBody"/>
        <w:bidi w:val="0"/>
        <w:spacing w:before="0" w:after="0"/>
        <w:ind w:left="86" w:right="0" w:hanging="0"/>
        <w:jc w:val="left"/>
        <w:rPr>
          <w:rFonts w:ascii="Arial;Helvetica;Sans-Serif" w:hAnsi="Arial;Helvetica;Sans-Serif"/>
          <w:b/>
          <w:i/>
          <w:caps w:val="false"/>
          <w:smallCaps w:val="false"/>
          <w:sz w:val="16"/>
        </w:rPr>
      </w:pPr>
      <w:r>
        <w:rPr>
          <w:rFonts w:ascii="Arial;Helvetica;Sans-Serif" w:hAnsi="Arial;Helvetica;Sans-Serif"/>
          <w:b/>
          <w:i/>
          <w:caps w:val="false"/>
          <w:smallCaps w:val="false"/>
          <w:sz w:val="16"/>
        </w:rPr>
        <w:t>This document provides a summary of the terms of the Auto-Callable Dual Directional Trigger PLUS, which we refer to as the Trigger PLUS. Investors must carefully review the accompanying preliminary pricing supplement referenced below, underlying supplement, product supplement, prospectus supplement and prospectus and the “Risk Considerations” on the following page, prior to making an investment decision.</w:t>
      </w:r>
    </w:p>
    <w:p>
      <w:pPr>
        <w:pStyle w:val="TextBody"/>
        <w:bidi w:val="0"/>
        <w:spacing w:before="0" w:after="0"/>
        <w:ind w:left="0" w:right="0" w:hanging="0"/>
        <w:jc w:val="left"/>
        <w:rPr/>
      </w:pPr>
      <w:r>
        <w:rPr/>
        <w:t> </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2915920" cy="9972040"/>
                <wp:effectExtent l="0" t="0" r="0" b="0"/>
                <wp:wrapSquare wrapText="right"/>
                <wp:docPr id="1" name="Frame1"/>
                <a:graphic xmlns:a="http://schemas.openxmlformats.org/drawingml/2006/main">
                  <a:graphicData uri="http://schemas.microsoft.com/office/word/2010/wordprocessingShape">
                    <wps:wsp>
                      <wps:cNvSpPr txBox="1"/>
                      <wps:spPr>
                        <a:xfrm>
                          <a:off x="0" y="0"/>
                          <a:ext cx="2915920" cy="997204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59"/>
                              <w:gridCol w:w="8946"/>
                            </w:tblGrid>
                            <w:tr>
                              <w:trPr/>
                              <w:tc>
                                <w:tcPr>
                                  <w:tcW w:w="10205" w:type="dxa"/>
                                  <w:gridSpan w:val="2"/>
                                  <w:tcBorders/>
                                  <w:shd w:fill="296DC1" w:val="clear"/>
                                  <w:vAlign w:val="center"/>
                                </w:tcPr>
                                <w:p>
                                  <w:pPr>
                                    <w:pStyle w:val="TableContents"/>
                                    <w:bidi w:val="0"/>
                                    <w:spacing w:before="0" w:after="283"/>
                                    <w:jc w:val="left"/>
                                    <w:rPr>
                                      <w:rFonts w:ascii="Arial;Helvetica;Sans-Serif" w:hAnsi="Arial;Helvetica;Sans-Serif"/>
                                      <w:b/>
                                      <w:color w:val="FFFFFF"/>
                                      <w:sz w:val="16"/>
                                    </w:rPr>
                                  </w:pPr>
                                  <w:r>
                                    <w:rPr>
                                      <w:rFonts w:ascii="Arial;Helvetica;Sans-Serif" w:hAnsi="Arial;Helvetica;Sans-Serif"/>
                                      <w:b/>
                                      <w:color w:val="FFFFFF"/>
                                      <w:sz w:val="16"/>
                                    </w:rPr>
                                    <w:t>SUMMARY TERMS</w:t>
                                  </w:r>
                                </w:p>
                              </w:tc>
                            </w:tr>
                            <w:tr>
                              <w:trPr/>
                              <w:tc>
                                <w:tcPr>
                                  <w:tcW w:w="1259"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Issuer: </w:t>
                                  </w:r>
                                </w:p>
                              </w:tc>
                              <w:tc>
                                <w:tcPr>
                                  <w:tcW w:w="8946" w:type="dxa"/>
                                  <w:tcBorders/>
                                  <w:shd w:fill="FFFFFF" w:val="clear"/>
                                  <w:vAlign w:val="center"/>
                                </w:tcPr>
                                <w:p>
                                  <w:pPr>
                                    <w:pStyle w:val="TableContents"/>
                                    <w:bidi w:val="0"/>
                                    <w:spacing w:before="0" w:after="283"/>
                                    <w:jc w:val="left"/>
                                    <w:rPr>
                                      <w:sz w:val="16"/>
                                    </w:rPr>
                                  </w:pPr>
                                  <w:r>
                                    <w:rPr>
                                      <w:sz w:val="16"/>
                                    </w:rPr>
                                    <w:t>JPMorgan Chase Financial Company LLC (“JPMorgan Financial”)</w:t>
                                  </w:r>
                                </w:p>
                              </w:tc>
                            </w:tr>
                            <w:tr>
                              <w:trPr/>
                              <w:tc>
                                <w:tcPr>
                                  <w:tcW w:w="1259"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Guarantor:</w:t>
                                  </w:r>
                                </w:p>
                              </w:tc>
                              <w:tc>
                                <w:tcPr>
                                  <w:tcW w:w="8946" w:type="dxa"/>
                                  <w:tcBorders/>
                                  <w:shd w:fill="DCEBF4" w:val="clear"/>
                                  <w:vAlign w:val="center"/>
                                </w:tcPr>
                                <w:p>
                                  <w:pPr>
                                    <w:pStyle w:val="TableContents"/>
                                    <w:bidi w:val="0"/>
                                    <w:spacing w:before="0" w:after="283"/>
                                    <w:jc w:val="left"/>
                                    <w:rPr>
                                      <w:sz w:val="16"/>
                                    </w:rPr>
                                  </w:pPr>
                                  <w:r>
                                    <w:rPr>
                                      <w:sz w:val="16"/>
                                    </w:rPr>
                                    <w:t>JPMorgan Chase &amp; Co.</w:t>
                                  </w:r>
                                </w:p>
                              </w:tc>
                            </w:tr>
                            <w:tr>
                              <w:trPr/>
                              <w:tc>
                                <w:tcPr>
                                  <w:tcW w:w="1259"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ETF Shares: </w:t>
                                  </w:r>
                                </w:p>
                              </w:tc>
                              <w:tc>
                                <w:tcPr>
                                  <w:tcW w:w="8946" w:type="dxa"/>
                                  <w:tcBorders/>
                                  <w:vAlign w:val="center"/>
                                </w:tcPr>
                                <w:p>
                                  <w:pPr>
                                    <w:pStyle w:val="TableContents"/>
                                    <w:bidi w:val="0"/>
                                    <w:spacing w:before="0" w:after="283"/>
                                    <w:jc w:val="left"/>
                                    <w:rPr>
                                      <w:sz w:val="16"/>
                                    </w:rPr>
                                  </w:pPr>
                                  <w:r>
                                    <w:rPr>
                                      <w:sz w:val="16"/>
                                    </w:rPr>
                                    <w:t>Shares of the iShares</w:t>
                                  </w:r>
                                  <w:r>
                                    <w:rPr>
                                      <w:position w:val="5"/>
                                      <w:sz w:val="13"/>
                                      <w:sz w:val="16"/>
                                    </w:rPr>
                                    <w:t>®</w:t>
                                  </w:r>
                                  <w:r>
                                    <w:rPr>
                                      <w:sz w:val="16"/>
                                    </w:rPr>
                                    <w:t xml:space="preserve"> Bitcoin Trust ETF (Bloomberg ticker: IBIT UQ Equity).  We refer to the iShares</w:t>
                                  </w:r>
                                  <w:r>
                                    <w:rPr>
                                      <w:position w:val="5"/>
                                      <w:sz w:val="13"/>
                                      <w:sz w:val="16"/>
                                    </w:rPr>
                                    <w:t>®</w:t>
                                  </w:r>
                                  <w:r>
                                    <w:rPr>
                                      <w:sz w:val="16"/>
                                    </w:rPr>
                                    <w:t xml:space="preserve"> Bitcoin Trust ETF as the “Fund.”</w:t>
                                  </w:r>
                                </w:p>
                              </w:tc>
                            </w:tr>
                            <w:tr>
                              <w:trPr/>
                              <w:tc>
                                <w:tcPr>
                                  <w:tcW w:w="1259" w:type="dxa"/>
                                  <w:tcBorders/>
                                  <w:shd w:fill="DAE9F7"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 xml:space="preserve">Early redemption: </w:t>
                                  </w:r>
                                </w:p>
                              </w:tc>
                              <w:tc>
                                <w:tcPr>
                                  <w:tcW w:w="8946" w:type="dxa"/>
                                  <w:tcBorders/>
                                  <w:shd w:fill="DAE9F7" w:val="clear"/>
                                  <w:vAlign w:val="center"/>
                                </w:tcPr>
                                <w:p>
                                  <w:pPr>
                                    <w:pStyle w:val="TableContents"/>
                                    <w:bidi w:val="0"/>
                                    <w:spacing w:before="0" w:after="283"/>
                                    <w:jc w:val="left"/>
                                    <w:rPr>
                                      <w:sz w:val="15"/>
                                    </w:rPr>
                                  </w:pPr>
                                  <w:r>
                                    <w:rPr>
                                      <w:sz w:val="15"/>
                                    </w:rPr>
                                    <w:t xml:space="preserve">If, on the redemption observation date, the closing price of one ETF Share is </w:t>
                                  </w:r>
                                  <w:r>
                                    <w:rPr>
                                      <w:b/>
                                      <w:sz w:val="15"/>
                                    </w:rPr>
                                    <w:t>greater than or equal to</w:t>
                                  </w:r>
                                  <w:r>
                                    <w:rPr>
                                      <w:sz w:val="15"/>
                                    </w:rPr>
                                    <w:t xml:space="preserve"> the initial share price, the Trigger PLUS will be automatically redeemed for the early redemption payment on the redemption date.  No further payments will be made on the Trigger PLUS once they have been redeemed.  In addition, if the Trigger PLUS are automatically redeemed prior to maturity, you will not benefit from the leverage feature that applies to the payment at maturity if the final share price is greater than the initial share price or the absolute return feature that applies to the payment at maturity if the final share price is less than or equal to the initial share price but is greater than or equal to the trigger level.  Moreover, if the Trigger PLUS are automatically redeemed, your investment may underperform the ETF Shares, and the early redemption payment may be significantly less than the payment at maturity you would receive for the same level of appreciation of the ETF Shares had the Trigger PLUS not been automatically redeemed and instead remained outstanding until maturity</w:t>
                                  </w:r>
                                  <w:r>
                                    <w:rPr>
                                      <w:i/>
                                      <w:sz w:val="15"/>
                                    </w:rPr>
                                    <w:t>.</w:t>
                                  </w:r>
                                </w:p>
                              </w:tc>
                            </w:tr>
                            <w:tr>
                              <w:trPr/>
                              <w:tc>
                                <w:tcPr>
                                  <w:tcW w:w="1259"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Early redemption payment:</w:t>
                                  </w:r>
                                </w:p>
                              </w:tc>
                              <w:tc>
                                <w:tcPr>
                                  <w:tcW w:w="8946" w:type="dxa"/>
                                  <w:tcBorders/>
                                  <w:vAlign w:val="center"/>
                                </w:tcPr>
                                <w:p>
                                  <w:pPr>
                                    <w:pStyle w:val="TableContents"/>
                                    <w:bidi w:val="0"/>
                                    <w:spacing w:before="0" w:after="283"/>
                                    <w:jc w:val="left"/>
                                    <w:rPr>
                                      <w:sz w:val="15"/>
                                    </w:rPr>
                                  </w:pPr>
                                  <w:r>
                                    <w:rPr>
                                      <w:sz w:val="15"/>
                                    </w:rPr>
                                    <w:t>At least $1,247.00 per Trigger PLUS. The actual early redemption payment will be provided in the pricing supplement and will not be less than $1,247.00 per Trigger PLUS.</w:t>
                                  </w:r>
                                </w:p>
                              </w:tc>
                            </w:tr>
                            <w:tr>
                              <w:trPr/>
                              <w:tc>
                                <w:tcPr>
                                  <w:tcW w:w="1259" w:type="dxa"/>
                                  <w:tcBorders/>
                                  <w:shd w:fill="DAE9F7"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Payment at maturity: </w:t>
                                  </w:r>
                                </w:p>
                              </w:tc>
                              <w:tc>
                                <w:tcPr>
                                  <w:tcW w:w="8946" w:type="dxa"/>
                                  <w:tcBorders/>
                                  <w:shd w:fill="DAE9F7" w:val="cle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If the Trigger PLUS have not been automatically redeemed prior to maturity and:</w:t>
                                  </w:r>
                                </w:p>
                                <w:p>
                                  <w:pPr>
                                    <w:pStyle w:val="TableContents"/>
                                    <w:bidi w:val="0"/>
                                    <w:spacing w:before="0" w:after="0"/>
                                    <w:ind w:left="0" w:right="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 xml:space="preserve">If the final share price is </w:t>
                                  </w:r>
                                  <w:r>
                                    <w:rPr>
                                      <w:rFonts w:ascii="Arial;Helvetica;Sans-Serif" w:hAnsi="Arial;Helvetica;Sans-Serif"/>
                                      <w:b w:val="false"/>
                                      <w:i/>
                                      <w:caps w:val="false"/>
                                      <w:smallCaps w:val="false"/>
                                      <w:sz w:val="15"/>
                                    </w:rPr>
                                    <w:t>greater than</w:t>
                                  </w:r>
                                  <w:r>
                                    <w:rPr>
                                      <w:rFonts w:ascii="Arial;Helvetica;Sans-Serif" w:hAnsi="Arial;Helvetica;Sans-Serif"/>
                                      <w:b w:val="false"/>
                                      <w:i w:val="false"/>
                                      <w:caps w:val="false"/>
                                      <w:smallCaps w:val="false"/>
                                      <w:sz w:val="15"/>
                                    </w:rPr>
                                    <w:t xml:space="preserve"> the initial share price, for each $1,000 stated principal amount Trigger PLUS:</w:t>
                                  </w:r>
                                </w:p>
                                <w:p>
                                  <w:pPr>
                                    <w:pStyle w:val="TableContents"/>
                                    <w:bidi w:val="0"/>
                                    <w:spacing w:before="0" w:after="0"/>
                                    <w:ind w:left="0" w:right="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$1,000 + leveraged upside payment</w:t>
                                  </w:r>
                                </w:p>
                                <w:p>
                                  <w:pPr>
                                    <w:pStyle w:val="TableContents"/>
                                    <w:bidi w:val="0"/>
                                    <w:spacing w:before="0" w:after="0"/>
                                    <w:ind w:left="0" w:right="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 xml:space="preserve">If the final share price is </w:t>
                                  </w:r>
                                  <w:r>
                                    <w:rPr>
                                      <w:rFonts w:ascii="Arial;Helvetica;Sans-Serif" w:hAnsi="Arial;Helvetica;Sans-Serif"/>
                                      <w:b w:val="false"/>
                                      <w:i/>
                                      <w:caps w:val="false"/>
                                      <w:smallCaps w:val="false"/>
                                      <w:sz w:val="15"/>
                                    </w:rPr>
                                    <w:t>less than or equal to</w:t>
                                  </w:r>
                                  <w:r>
                                    <w:rPr>
                                      <w:rFonts w:ascii="Arial;Helvetica;Sans-Serif" w:hAnsi="Arial;Helvetica;Sans-Serif"/>
                                      <w:b w:val="false"/>
                                      <w:i w:val="false"/>
                                      <w:caps w:val="false"/>
                                      <w:smallCaps w:val="false"/>
                                      <w:sz w:val="15"/>
                                    </w:rPr>
                                    <w:t xml:space="preserve"> the initial share price but is </w:t>
                                  </w:r>
                                  <w:r>
                                    <w:rPr>
                                      <w:rFonts w:ascii="Arial;Helvetica;Sans-Serif" w:hAnsi="Arial;Helvetica;Sans-Serif"/>
                                      <w:b w:val="false"/>
                                      <w:i/>
                                      <w:caps w:val="false"/>
                                      <w:smallCaps w:val="false"/>
                                      <w:sz w:val="15"/>
                                    </w:rPr>
                                    <w:t>greater than or equal to</w:t>
                                  </w:r>
                                  <w:r>
                                    <w:rPr>
                                      <w:rFonts w:ascii="Arial;Helvetica;Sans-Serif" w:hAnsi="Arial;Helvetica;Sans-Serif"/>
                                      <w:b w:val="false"/>
                                      <w:i w:val="false"/>
                                      <w:caps w:val="false"/>
                                      <w:smallCaps w:val="false"/>
                                      <w:sz w:val="15"/>
                                    </w:rPr>
                                    <w:t xml:space="preserve"> the trigger level, for each $1,000 stated principal amount Trigger PLUS:</w:t>
                                  </w:r>
                                </w:p>
                                <w:p>
                                  <w:pPr>
                                    <w:pStyle w:val="TableContents"/>
                                    <w:bidi w:val="0"/>
                                    <w:spacing w:before="0" w:after="0"/>
                                    <w:ind w:left="0" w:right="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$1,000 + ($1,000 × absolute share return)</w:t>
                                  </w:r>
                                </w:p>
                                <w:p>
                                  <w:pPr>
                                    <w:pStyle w:val="TableContents"/>
                                    <w:bidi w:val="0"/>
                                    <w:spacing w:before="0" w:after="0"/>
                                    <w:ind w:left="0" w:right="0" w:hanging="0"/>
                                    <w:jc w:val="left"/>
                                    <w:rPr>
                                      <w:rFonts w:ascii="Arial;Helvetica;Sans-Serif" w:hAnsi="Arial;Helvetica;Sans-Serif"/>
                                      <w:b w:val="false"/>
                                      <w:i/>
                                      <w:caps w:val="false"/>
                                      <w:smallCaps w:val="false"/>
                                      <w:sz w:val="15"/>
                                    </w:rPr>
                                  </w:pPr>
                                  <w:r>
                                    <w:rPr>
                                      <w:rFonts w:ascii="Arial;Helvetica;Sans-Serif" w:hAnsi="Arial;Helvetica;Sans-Serif"/>
                                      <w:b w:val="false"/>
                                      <w:i/>
                                      <w:caps w:val="false"/>
                                      <w:smallCaps w:val="false"/>
                                      <w:sz w:val="15"/>
                                    </w:rPr>
                                    <w:t>In this scenario, you will receive a 1% positive return on the Trigger PLUS for each 1% negative return on the ETF Shares. In no event will this amount exceed the stated principal amount plus $250.00. Accordingly, the maximum downside payment at maturity is $1,250.00 per Trigger PLUS.</w:t>
                                  </w:r>
                                </w:p>
                                <w:p>
                                  <w:pPr>
                                    <w:pStyle w:val="TableContents"/>
                                    <w:bidi w:val="0"/>
                                    <w:spacing w:before="0" w:after="0"/>
                                    <w:ind w:left="0" w:right="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If the final share price is less than the trigger level, for each $1,000 stated principal amount Trigger PLUS:</w:t>
                                  </w:r>
                                </w:p>
                                <w:p>
                                  <w:pPr>
                                    <w:pStyle w:val="TableContents"/>
                                    <w:bidi w:val="0"/>
                                    <w:spacing w:before="0" w:after="0"/>
                                    <w:ind w:left="0" w:right="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$1,000 × share performance factor</w:t>
                                  </w:r>
                                </w:p>
                                <w:p>
                                  <w:pPr>
                                    <w:pStyle w:val="TableContents"/>
                                    <w:bidi w:val="0"/>
                                    <w:spacing w:before="0" w:after="0"/>
                                    <w:ind w:left="252" w:right="0" w:hanging="252"/>
                                    <w:jc w:val="left"/>
                                    <w:rPr>
                                      <w:rFonts w:ascii="Arial;Helvetica;Sans-Serif" w:hAnsi="Arial;Helvetica;Sans-Serif"/>
                                      <w:b w:val="false"/>
                                      <w:i/>
                                      <w:caps w:val="false"/>
                                      <w:smallCaps w:val="false"/>
                                      <w:sz w:val="15"/>
                                    </w:rPr>
                                  </w:pPr>
                                  <w:r>
                                    <w:rPr>
                                      <w:rFonts w:ascii="Arial;Helvetica;Sans-Serif" w:hAnsi="Arial;Helvetica;Sans-Serif"/>
                                      <w:b w:val="false"/>
                                      <w:i/>
                                      <w:caps w:val="false"/>
                                      <w:smallCaps w:val="false"/>
                                      <w:sz w:val="15"/>
                                    </w:rPr>
                                    <w:t>This amount will be less than the stated principal amount of $1,000 per Trigger PLUS and will represent a loss of more than 25%, and possibly all, of your investment.</w:t>
                                  </w:r>
                                </w:p>
                              </w:tc>
                            </w:tr>
                            <w:tr>
                              <w:trPr/>
                              <w:tc>
                                <w:tcPr>
                                  <w:tcW w:w="1259"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Leveraged upside payment:</w:t>
                                  </w:r>
                                </w:p>
                              </w:tc>
                              <w:tc>
                                <w:tcPr>
                                  <w:tcW w:w="8946" w:type="dxa"/>
                                  <w:tcBorders/>
                                  <w:vAlign w:val="center"/>
                                </w:tcPr>
                                <w:p>
                                  <w:pPr>
                                    <w:pStyle w:val="TableContents"/>
                                    <w:bidi w:val="0"/>
                                    <w:spacing w:before="0" w:after="283"/>
                                    <w:jc w:val="left"/>
                                    <w:rPr>
                                      <w:sz w:val="16"/>
                                    </w:rPr>
                                  </w:pPr>
                                  <w:r>
                                    <w:rPr>
                                      <w:sz w:val="16"/>
                                    </w:rPr>
                                    <w:t>$1,000 × leverage factor × share percent change</w:t>
                                  </w:r>
                                </w:p>
                              </w:tc>
                            </w:tr>
                            <w:tr>
                              <w:trPr/>
                              <w:tc>
                                <w:tcPr>
                                  <w:tcW w:w="1259" w:type="dxa"/>
                                  <w:tcBorders/>
                                  <w:shd w:fill="DAE9F7"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Share percent change:</w:t>
                                  </w:r>
                                </w:p>
                              </w:tc>
                              <w:tc>
                                <w:tcPr>
                                  <w:tcW w:w="8946" w:type="dxa"/>
                                  <w:tcBorders/>
                                  <w:shd w:fill="DAE9F7" w:val="clear"/>
                                  <w:vAlign w:val="center"/>
                                </w:tcPr>
                                <w:p>
                                  <w:pPr>
                                    <w:pStyle w:val="TableContents"/>
                                    <w:bidi w:val="0"/>
                                    <w:spacing w:before="0" w:after="283"/>
                                    <w:jc w:val="left"/>
                                    <w:rPr>
                                      <w:sz w:val="16"/>
                                    </w:rPr>
                                  </w:pPr>
                                  <w:r>
                                    <w:rPr>
                                      <w:sz w:val="16"/>
                                    </w:rPr>
                                    <w:t>(final share price – initial share price) / initial share price</w:t>
                                  </w:r>
                                </w:p>
                              </w:tc>
                            </w:tr>
                            <w:tr>
                              <w:trPr/>
                              <w:tc>
                                <w:tcPr>
                                  <w:tcW w:w="1259"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Absolute share return:</w:t>
                                  </w:r>
                                </w:p>
                              </w:tc>
                              <w:tc>
                                <w:tcPr>
                                  <w:tcW w:w="8946" w:type="dxa"/>
                                  <w:tcBorders/>
                                  <w:vAlign w:val="center"/>
                                </w:tcPr>
                                <w:p>
                                  <w:pPr>
                                    <w:pStyle w:val="TableContents"/>
                                    <w:bidi w:val="0"/>
                                    <w:spacing w:before="0" w:after="283"/>
                                    <w:jc w:val="left"/>
                                    <w:rPr>
                                      <w:sz w:val="16"/>
                                    </w:rPr>
                                  </w:pPr>
                                  <w:r>
                                    <w:rPr>
                                      <w:sz w:val="16"/>
                                    </w:rPr>
                                    <w:t>The absolute value of the share percent change.  For example, a -5% share percent change will result in a +5% absolute share return.  </w:t>
                                  </w:r>
                                </w:p>
                              </w:tc>
                            </w:tr>
                            <w:tr>
                              <w:trPr/>
                              <w:tc>
                                <w:tcPr>
                                  <w:tcW w:w="1259" w:type="dxa"/>
                                  <w:tcBorders/>
                                  <w:shd w:fill="DAE9F7"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Initial share price: </w:t>
                                  </w:r>
                                </w:p>
                              </w:tc>
                              <w:tc>
                                <w:tcPr>
                                  <w:tcW w:w="8946" w:type="dxa"/>
                                  <w:tcBorders/>
                                  <w:shd w:fill="DAE9F7" w:val="clear"/>
                                  <w:vAlign w:val="center"/>
                                </w:tcPr>
                                <w:p>
                                  <w:pPr>
                                    <w:pStyle w:val="TableContents"/>
                                    <w:bidi w:val="0"/>
                                    <w:spacing w:before="0" w:after="283"/>
                                    <w:jc w:val="left"/>
                                    <w:rPr>
                                      <w:sz w:val="16"/>
                                    </w:rPr>
                                  </w:pPr>
                                  <w:r>
                                    <w:rPr>
                                      <w:sz w:val="16"/>
                                    </w:rPr>
                                    <w:t>The closing price of one ETF Share on the pricing date</w:t>
                                  </w:r>
                                </w:p>
                              </w:tc>
                            </w:tr>
                            <w:tr>
                              <w:trPr/>
                              <w:tc>
                                <w:tcPr>
                                  <w:tcW w:w="1259"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Final share price: </w:t>
                                  </w:r>
                                </w:p>
                              </w:tc>
                              <w:tc>
                                <w:tcPr>
                                  <w:tcW w:w="8946" w:type="dxa"/>
                                  <w:tcBorders/>
                                  <w:shd w:fill="FFFFFF" w:val="clear"/>
                                  <w:vAlign w:val="center"/>
                                </w:tcPr>
                                <w:p>
                                  <w:pPr>
                                    <w:pStyle w:val="TableContents"/>
                                    <w:bidi w:val="0"/>
                                    <w:spacing w:before="0" w:after="283"/>
                                    <w:jc w:val="left"/>
                                    <w:rPr>
                                      <w:sz w:val="16"/>
                                    </w:rPr>
                                  </w:pPr>
                                  <w:r>
                                    <w:rPr>
                                      <w:sz w:val="16"/>
                                    </w:rPr>
                                    <w:t>The closing price of one ETF Share on the valuation date</w:t>
                                  </w:r>
                                </w:p>
                              </w:tc>
                            </w:tr>
                            <w:tr>
                              <w:trPr/>
                              <w:tc>
                                <w:tcPr>
                                  <w:tcW w:w="1259"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Share adjustment factor:</w:t>
                                  </w:r>
                                </w:p>
                              </w:tc>
                              <w:tc>
                                <w:tcPr>
                                  <w:tcW w:w="8946" w:type="dxa"/>
                                  <w:tcBorders/>
                                  <w:shd w:fill="DCEBF4" w:val="clear"/>
                                  <w:vAlign w:val="center"/>
                                </w:tcPr>
                                <w:p>
                                  <w:pPr>
                                    <w:pStyle w:val="TableContents"/>
                                    <w:bidi w:val="0"/>
                                    <w:spacing w:before="0" w:after="283"/>
                                    <w:jc w:val="left"/>
                                    <w:rPr>
                                      <w:sz w:val="16"/>
                                    </w:rPr>
                                  </w:pPr>
                                  <w:r>
                                    <w:rPr>
                                      <w:sz w:val="16"/>
                                    </w:rPr>
                                    <w:t>The share adjustment factor is referenced in determining the closing price of one ETF Share and is set initially at 1.0 on the pricing date.  The share adjustment factor is subject to adjustment in the event of certain events affecting the ETF Shares. See “The Underlyings — Funds — Anti-Dilution Adjustments” in the accompanying product supplement.</w:t>
                                  </w:r>
                                </w:p>
                              </w:tc>
                            </w:tr>
                            <w:tr>
                              <w:trPr/>
                              <w:tc>
                                <w:tcPr>
                                  <w:tcW w:w="1259"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Trigger level:</w:t>
                                  </w:r>
                                </w:p>
                              </w:tc>
                              <w:tc>
                                <w:tcPr>
                                  <w:tcW w:w="8946" w:type="dxa"/>
                                  <w:tcBorders/>
                                  <w:vAlign w:val="center"/>
                                </w:tcPr>
                                <w:p>
                                  <w:pPr>
                                    <w:pStyle w:val="TableContents"/>
                                    <w:bidi w:val="0"/>
                                    <w:spacing w:before="0" w:after="283"/>
                                    <w:jc w:val="left"/>
                                    <w:rPr>
                                      <w:sz w:val="16"/>
                                    </w:rPr>
                                  </w:pPr>
                                  <w:r>
                                    <w:rPr>
                                      <w:sz w:val="16"/>
                                    </w:rPr>
                                    <w:t>75% of the initial share price</w:t>
                                  </w:r>
                                </w:p>
                              </w:tc>
                            </w:tr>
                            <w:tr>
                              <w:trPr/>
                              <w:tc>
                                <w:tcPr>
                                  <w:tcW w:w="1259"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Leverage factor: </w:t>
                                  </w:r>
                                </w:p>
                              </w:tc>
                              <w:tc>
                                <w:tcPr>
                                  <w:tcW w:w="8946" w:type="dxa"/>
                                  <w:tcBorders/>
                                  <w:shd w:fill="DCEBF4" w:val="clear"/>
                                  <w:vAlign w:val="center"/>
                                </w:tcPr>
                                <w:p>
                                  <w:pPr>
                                    <w:pStyle w:val="TableContents"/>
                                    <w:bidi w:val="0"/>
                                    <w:spacing w:before="0" w:after="283"/>
                                    <w:jc w:val="left"/>
                                    <w:rPr>
                                      <w:sz w:val="16"/>
                                    </w:rPr>
                                  </w:pPr>
                                  <w:r>
                                    <w:rPr>
                                      <w:sz w:val="16"/>
                                    </w:rPr>
                                    <w:t>150%</w:t>
                                  </w:r>
                                </w:p>
                              </w:tc>
                            </w:tr>
                            <w:tr>
                              <w:trPr/>
                              <w:tc>
                                <w:tcPr>
                                  <w:tcW w:w="1259"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Share performance factor:</w:t>
                                  </w:r>
                                </w:p>
                              </w:tc>
                              <w:tc>
                                <w:tcPr>
                                  <w:tcW w:w="8946" w:type="dxa"/>
                                  <w:tcBorders/>
                                  <w:vAlign w:val="center"/>
                                </w:tcPr>
                                <w:p>
                                  <w:pPr>
                                    <w:pStyle w:val="TableContents"/>
                                    <w:bidi w:val="0"/>
                                    <w:spacing w:before="0" w:after="283"/>
                                    <w:jc w:val="left"/>
                                    <w:rPr>
                                      <w:sz w:val="16"/>
                                    </w:rPr>
                                  </w:pPr>
                                  <w:r>
                                    <w:rPr>
                                      <w:sz w:val="16"/>
                                    </w:rPr>
                                    <w:t>final share price / initial share price</w:t>
                                  </w:r>
                                </w:p>
                              </w:tc>
                            </w:tr>
                            <w:tr>
                              <w:trPr/>
                              <w:tc>
                                <w:tcPr>
                                  <w:tcW w:w="1259"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Stated principal amount:</w:t>
                                  </w:r>
                                </w:p>
                              </w:tc>
                              <w:tc>
                                <w:tcPr>
                                  <w:tcW w:w="8946" w:type="dxa"/>
                                  <w:tcBorders/>
                                  <w:shd w:fill="DCEBF4" w:val="clear"/>
                                  <w:vAlign w:val="center"/>
                                </w:tcPr>
                                <w:p>
                                  <w:pPr>
                                    <w:pStyle w:val="TableContents"/>
                                    <w:bidi w:val="0"/>
                                    <w:spacing w:before="0" w:after="283"/>
                                    <w:jc w:val="left"/>
                                    <w:rPr>
                                      <w:sz w:val="16"/>
                                    </w:rPr>
                                  </w:pPr>
                                  <w:r>
                                    <w:rPr>
                                      <w:sz w:val="16"/>
                                    </w:rPr>
                                    <w:t>$1,000 per Trigger PLUS</w:t>
                                  </w:r>
                                </w:p>
                              </w:tc>
                            </w:tr>
                            <w:tr>
                              <w:trPr/>
                              <w:tc>
                                <w:tcPr>
                                  <w:tcW w:w="1259"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Issue price:</w:t>
                                  </w:r>
                                </w:p>
                              </w:tc>
                              <w:tc>
                                <w:tcPr>
                                  <w:tcW w:w="8946" w:type="dxa"/>
                                  <w:tcBorders/>
                                  <w:vAlign w:val="center"/>
                                </w:tcPr>
                                <w:p>
                                  <w:pPr>
                                    <w:pStyle w:val="TableContents"/>
                                    <w:bidi w:val="0"/>
                                    <w:spacing w:before="0" w:after="283"/>
                                    <w:jc w:val="left"/>
                                    <w:rPr>
                                      <w:sz w:val="16"/>
                                    </w:rPr>
                                  </w:pPr>
                                  <w:r>
                                    <w:rPr>
                                      <w:sz w:val="16"/>
                                    </w:rPr>
                                    <w:t>$1,000 per Trigger PLUS</w:t>
                                  </w:r>
                                </w:p>
                              </w:tc>
                            </w:tr>
                            <w:tr>
                              <w:trPr/>
                              <w:tc>
                                <w:tcPr>
                                  <w:tcW w:w="1259"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Pricing date:</w:t>
                                  </w:r>
                                </w:p>
                              </w:tc>
                              <w:tc>
                                <w:tcPr>
                                  <w:tcW w:w="8946" w:type="dxa"/>
                                  <w:tcBorders/>
                                  <w:shd w:fill="DCEBF4" w:val="clear"/>
                                  <w:vAlign w:val="center"/>
                                </w:tcPr>
                                <w:p>
                                  <w:pPr>
                                    <w:pStyle w:val="TableContents"/>
                                    <w:bidi w:val="0"/>
                                    <w:spacing w:before="0" w:after="283"/>
                                    <w:jc w:val="left"/>
                                    <w:rPr>
                                      <w:sz w:val="16"/>
                                    </w:rPr>
                                  </w:pPr>
                                  <w:r>
                                    <w:rPr>
                                      <w:sz w:val="16"/>
                                    </w:rPr>
                                    <w:t>Expected to be August 31, 2026</w:t>
                                  </w:r>
                                </w:p>
                              </w:tc>
                            </w:tr>
                            <w:tr>
                              <w:trPr/>
                              <w:tc>
                                <w:tcPr>
                                  <w:tcW w:w="1259"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Original issue date (settlement date): </w:t>
                                  </w:r>
                                </w:p>
                              </w:tc>
                              <w:tc>
                                <w:tcPr>
                                  <w:tcW w:w="8946" w:type="dxa"/>
                                  <w:tcBorders/>
                                  <w:shd w:fill="FFFFFF" w:val="clear"/>
                                  <w:vAlign w:val="center"/>
                                </w:tcPr>
                                <w:p>
                                  <w:pPr>
                                    <w:pStyle w:val="TableContents"/>
                                    <w:bidi w:val="0"/>
                                    <w:spacing w:before="0" w:after="283"/>
                                    <w:jc w:val="left"/>
                                    <w:rPr>
                                      <w:sz w:val="16"/>
                                    </w:rPr>
                                  </w:pPr>
                                  <w:r>
                                    <w:rPr>
                                      <w:sz w:val="16"/>
                                    </w:rPr>
                                    <w:t>3 business days after the pricing date</w:t>
                                  </w:r>
                                </w:p>
                              </w:tc>
                            </w:tr>
                            <w:tr>
                              <w:trPr/>
                              <w:tc>
                                <w:tcPr>
                                  <w:tcW w:w="1259" w:type="dxa"/>
                                  <w:tcBorders/>
                                  <w:shd w:fill="DCEBF4"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Redemption observation date</w:t>
                                  </w:r>
                                  <w:r>
                                    <w:rPr>
                                      <w:rFonts w:ascii="Arial;Helvetica;Sans-Serif" w:hAnsi="Arial;Helvetica;Sans-Serif"/>
                                      <w:b/>
                                      <w:color w:val="296DC1"/>
                                      <w:position w:val="5"/>
                                      <w:sz w:val="12"/>
                                      <w:sz w:val="15"/>
                                    </w:rPr>
                                    <w:t>†</w:t>
                                  </w:r>
                                  <w:r>
                                    <w:rPr>
                                      <w:rFonts w:ascii="Arial;Helvetica;Sans-Serif" w:hAnsi="Arial;Helvetica;Sans-Serif"/>
                                      <w:b/>
                                      <w:color w:val="296DC1"/>
                                      <w:sz w:val="15"/>
                                    </w:rPr>
                                    <w:t>:</w:t>
                                  </w:r>
                                </w:p>
                              </w:tc>
                              <w:tc>
                                <w:tcPr>
                                  <w:tcW w:w="8946" w:type="dxa"/>
                                  <w:tcBorders/>
                                  <w:shd w:fill="DCEBF4" w:val="clear"/>
                                  <w:vAlign w:val="center"/>
                                </w:tcPr>
                                <w:p>
                                  <w:pPr>
                                    <w:pStyle w:val="TableContents"/>
                                    <w:bidi w:val="0"/>
                                    <w:spacing w:before="0" w:after="283"/>
                                    <w:jc w:val="left"/>
                                    <w:rPr>
                                      <w:sz w:val="15"/>
                                    </w:rPr>
                                  </w:pPr>
                                  <w:r>
                                    <w:rPr>
                                      <w:sz w:val="15"/>
                                    </w:rPr>
                                    <w:t>September 8, 2027</w:t>
                                  </w:r>
                                </w:p>
                              </w:tc>
                            </w:tr>
                            <w:tr>
                              <w:trPr/>
                              <w:tc>
                                <w:tcPr>
                                  <w:tcW w:w="1259" w:type="dxa"/>
                                  <w:tcBorders/>
                                  <w:shd w:fill="FFFFFF"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Redemption date</w:t>
                                  </w:r>
                                  <w:r>
                                    <w:rPr>
                                      <w:rFonts w:ascii="Arial;Helvetica;Sans-Serif" w:hAnsi="Arial;Helvetica;Sans-Serif"/>
                                      <w:b/>
                                      <w:color w:val="296DC1"/>
                                      <w:position w:val="5"/>
                                      <w:sz w:val="12"/>
                                      <w:sz w:val="15"/>
                                    </w:rPr>
                                    <w:t>†</w:t>
                                  </w:r>
                                  <w:r>
                                    <w:rPr>
                                      <w:rFonts w:ascii="Arial;Helvetica;Sans-Serif" w:hAnsi="Arial;Helvetica;Sans-Serif"/>
                                      <w:b/>
                                      <w:color w:val="296DC1"/>
                                      <w:sz w:val="15"/>
                                    </w:rPr>
                                    <w:t xml:space="preserve">: </w:t>
                                  </w:r>
                                </w:p>
                              </w:tc>
                              <w:tc>
                                <w:tcPr>
                                  <w:tcW w:w="8946" w:type="dxa"/>
                                  <w:tcBorders/>
                                  <w:shd w:fill="FFFFFF" w:val="clear"/>
                                  <w:vAlign w:val="center"/>
                                </w:tcPr>
                                <w:p>
                                  <w:pPr>
                                    <w:pStyle w:val="TableContents"/>
                                    <w:bidi w:val="0"/>
                                    <w:spacing w:before="0" w:after="283"/>
                                    <w:jc w:val="left"/>
                                    <w:rPr>
                                      <w:sz w:val="16"/>
                                    </w:rPr>
                                  </w:pPr>
                                  <w:r>
                                    <w:rPr>
                                      <w:sz w:val="16"/>
                                    </w:rPr>
                                    <w:t>September 13, 2027</w:t>
                                  </w:r>
                                </w:p>
                              </w:tc>
                            </w:tr>
                            <w:tr>
                              <w:trPr/>
                              <w:tc>
                                <w:tcPr>
                                  <w:tcW w:w="1259"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Valuation date</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8946" w:type="dxa"/>
                                  <w:tcBorders/>
                                  <w:shd w:fill="DCEBF4" w:val="clear"/>
                                  <w:vAlign w:val="center"/>
                                </w:tcPr>
                                <w:p>
                                  <w:pPr>
                                    <w:pStyle w:val="TableContents"/>
                                    <w:bidi w:val="0"/>
                                    <w:spacing w:before="0" w:after="283"/>
                                    <w:jc w:val="left"/>
                                    <w:rPr>
                                      <w:sz w:val="16"/>
                                    </w:rPr>
                                  </w:pPr>
                                  <w:r>
                                    <w:rPr>
                                      <w:sz w:val="16"/>
                                    </w:rPr>
                                    <w:t>August 31, 2028</w:t>
                                  </w:r>
                                </w:p>
                              </w:tc>
                            </w:tr>
                            <w:tr>
                              <w:trPr/>
                              <w:tc>
                                <w:tcPr>
                                  <w:tcW w:w="1259"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Maturity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8946" w:type="dxa"/>
                                  <w:tcBorders/>
                                  <w:shd w:fill="FFFFFF" w:val="clear"/>
                                  <w:vAlign w:val="center"/>
                                </w:tcPr>
                                <w:p>
                                  <w:pPr>
                                    <w:pStyle w:val="TableContents"/>
                                    <w:bidi w:val="0"/>
                                    <w:spacing w:before="0" w:after="283"/>
                                    <w:jc w:val="left"/>
                                    <w:rPr>
                                      <w:sz w:val="16"/>
                                    </w:rPr>
                                  </w:pPr>
                                  <w:r>
                                    <w:rPr>
                                      <w:sz w:val="16"/>
                                    </w:rPr>
                                    <w:t>September 6, 2028</w:t>
                                  </w:r>
                                </w:p>
                              </w:tc>
                            </w:tr>
                            <w:tr>
                              <w:trPr/>
                              <w:tc>
                                <w:tcPr>
                                  <w:tcW w:w="1259" w:type="dxa"/>
                                  <w:tcBorders/>
                                  <w:shd w:fill="DCEBF4" w:val="clear"/>
                                  <w:vAlign w:val="center"/>
                                </w:tcPr>
                                <w:p>
                                  <w:pPr>
                                    <w:pStyle w:val="TableContents"/>
                                    <w:bidi w:val="0"/>
                                    <w:spacing w:before="0" w:after="283"/>
                                    <w:jc w:val="left"/>
                                    <w:rPr>
                                      <w:b/>
                                      <w:color w:val="296DC1"/>
                                      <w:sz w:val="16"/>
                                    </w:rPr>
                                  </w:pPr>
                                  <w:r>
                                    <w:rPr>
                                      <w:b/>
                                      <w:color w:val="296DC1"/>
                                      <w:sz w:val="16"/>
                                    </w:rPr>
                                    <w:t>CUSIP / ISIN:</w:t>
                                  </w:r>
                                </w:p>
                              </w:tc>
                              <w:tc>
                                <w:tcPr>
                                  <w:tcW w:w="8946" w:type="dxa"/>
                                  <w:tcBorders/>
                                  <w:shd w:fill="DCEBF4" w:val="clear"/>
                                  <w:vAlign w:val="center"/>
                                </w:tcPr>
                                <w:p>
                                  <w:pPr>
                                    <w:pStyle w:val="TableContents"/>
                                    <w:bidi w:val="0"/>
                                    <w:spacing w:before="0" w:after="283"/>
                                    <w:jc w:val="left"/>
                                    <w:rPr>
                                      <w:sz w:val="16"/>
                                    </w:rPr>
                                  </w:pPr>
                                  <w:r>
                                    <w:rPr>
                                      <w:sz w:val="16"/>
                                    </w:rPr>
                                    <w:t>46661KLC0 / US46661KLC08</w:t>
                                  </w:r>
                                </w:p>
                              </w:tc>
                            </w:tr>
                            <w:tr>
                              <w:trPr/>
                              <w:tc>
                                <w:tcPr>
                                  <w:tcW w:w="1259" w:type="dxa"/>
                                  <w:tcBorders/>
                                  <w:shd w:fill="FFFFFF" w:val="clear"/>
                                  <w:vAlign w:val="center"/>
                                </w:tcPr>
                                <w:p>
                                  <w:pPr>
                                    <w:pStyle w:val="TableContents"/>
                                    <w:bidi w:val="0"/>
                                    <w:spacing w:before="0" w:after="283"/>
                                    <w:jc w:val="left"/>
                                    <w:rPr>
                                      <w:b/>
                                      <w:color w:val="296DC1"/>
                                      <w:sz w:val="16"/>
                                    </w:rPr>
                                  </w:pPr>
                                  <w:r>
                                    <w:rPr>
                                      <w:b/>
                                      <w:color w:val="296DC1"/>
                                      <w:sz w:val="16"/>
                                    </w:rPr>
                                    <w:t xml:space="preserve">Preliminary pricing supplement: </w:t>
                                  </w:r>
                                </w:p>
                              </w:tc>
                              <w:tc>
                                <w:tcPr>
                                  <w:tcW w:w="8946" w:type="dxa"/>
                                  <w:tcBorders/>
                                  <w:shd w:fill="FFFFFF" w:val="clear"/>
                                  <w:vAlign w:val="center"/>
                                </w:tcPr>
                                <w:p>
                                  <w:pPr>
                                    <w:pStyle w:val="TableContents"/>
                                    <w:bidi w:val="0"/>
                                    <w:spacing w:before="0" w:after="283"/>
                                    <w:jc w:val="left"/>
                                    <w:rPr/>
                                  </w:pPr>
                                  <w:hyperlink r:id="rId2">
                                    <w:r>
                                      <w:rPr>
                                        <w:rStyle w:val="InternetLink"/>
                                        <w:sz w:val="16"/>
                                      </w:rPr>
                                      <w:t>http://www.sec.gov/Archives/edgar/data/19617/000121390026089395/</w:t>
                                      <w:br/>
                                      <w:t>ea0302119-01_424b2.htm</w:t>
                                    </w:r>
                                  </w:hyperlink>
                                </w:p>
                              </w:tc>
                            </w:tr>
                          </w:tbl>
                          <w:p>
                            <w:pPr>
                              <w:pStyle w:val="TextBody"/>
                              <w:bidi w:val="0"/>
                              <w:spacing w:before="0" w:after="0"/>
                              <w:ind w:left="108" w:right="0" w:hanging="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4"/>
                              </w:rPr>
                              <w:t>Subject to postponement or early acceleration</w:t>
                            </w:r>
                          </w:p>
                        </w:txbxContent>
                      </wps:txbx>
                      <wps:bodyPr anchor="t" lIns="0" tIns="0" rIns="0" bIns="0">
                        <a:noAutofit/>
                      </wps:bodyPr>
                    </wps:wsp>
                  </a:graphicData>
                </a:graphic>
                <wp14:sizeRelH relativeFrom="margin">
                  <wp14:pctWidth>45000</wp14:pctWidth>
                </wp14:sizeRelH>
              </wp:anchor>
            </w:drawing>
          </mc:Choice>
          <mc:Fallback>
            <w:pict>
              <v:rect style="position:absolute;rotation:-0;width:229.6pt;height:785.2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259"/>
                        <w:gridCol w:w="8946"/>
                      </w:tblGrid>
                      <w:tr>
                        <w:trPr/>
                        <w:tc>
                          <w:tcPr>
                            <w:tcW w:w="10205" w:type="dxa"/>
                            <w:gridSpan w:val="2"/>
                            <w:tcBorders/>
                            <w:shd w:fill="296DC1" w:val="clear"/>
                            <w:vAlign w:val="center"/>
                          </w:tcPr>
                          <w:p>
                            <w:pPr>
                              <w:pStyle w:val="TableContents"/>
                              <w:bidi w:val="0"/>
                              <w:spacing w:before="0" w:after="283"/>
                              <w:jc w:val="left"/>
                              <w:rPr>
                                <w:rFonts w:ascii="Arial;Helvetica;Sans-Serif" w:hAnsi="Arial;Helvetica;Sans-Serif"/>
                                <w:b/>
                                <w:color w:val="FFFFFF"/>
                                <w:sz w:val="16"/>
                              </w:rPr>
                            </w:pPr>
                            <w:r>
                              <w:rPr>
                                <w:rFonts w:ascii="Arial;Helvetica;Sans-Serif" w:hAnsi="Arial;Helvetica;Sans-Serif"/>
                                <w:b/>
                                <w:color w:val="FFFFFF"/>
                                <w:sz w:val="16"/>
                              </w:rPr>
                              <w:t>SUMMARY TERMS</w:t>
                            </w:r>
                          </w:p>
                        </w:tc>
                      </w:tr>
                      <w:tr>
                        <w:trPr/>
                        <w:tc>
                          <w:tcPr>
                            <w:tcW w:w="1259"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Issuer: </w:t>
                            </w:r>
                          </w:p>
                        </w:tc>
                        <w:tc>
                          <w:tcPr>
                            <w:tcW w:w="8946" w:type="dxa"/>
                            <w:tcBorders/>
                            <w:shd w:fill="FFFFFF" w:val="clear"/>
                            <w:vAlign w:val="center"/>
                          </w:tcPr>
                          <w:p>
                            <w:pPr>
                              <w:pStyle w:val="TableContents"/>
                              <w:bidi w:val="0"/>
                              <w:spacing w:before="0" w:after="283"/>
                              <w:jc w:val="left"/>
                              <w:rPr>
                                <w:sz w:val="16"/>
                              </w:rPr>
                            </w:pPr>
                            <w:r>
                              <w:rPr>
                                <w:sz w:val="16"/>
                              </w:rPr>
                              <w:t>JPMorgan Chase Financial Company LLC (“JPMorgan Financial”)</w:t>
                            </w:r>
                          </w:p>
                        </w:tc>
                      </w:tr>
                      <w:tr>
                        <w:trPr/>
                        <w:tc>
                          <w:tcPr>
                            <w:tcW w:w="1259"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Guarantor:</w:t>
                            </w:r>
                          </w:p>
                        </w:tc>
                        <w:tc>
                          <w:tcPr>
                            <w:tcW w:w="8946" w:type="dxa"/>
                            <w:tcBorders/>
                            <w:shd w:fill="DCEBF4" w:val="clear"/>
                            <w:vAlign w:val="center"/>
                          </w:tcPr>
                          <w:p>
                            <w:pPr>
                              <w:pStyle w:val="TableContents"/>
                              <w:bidi w:val="0"/>
                              <w:spacing w:before="0" w:after="283"/>
                              <w:jc w:val="left"/>
                              <w:rPr>
                                <w:sz w:val="16"/>
                              </w:rPr>
                            </w:pPr>
                            <w:r>
                              <w:rPr>
                                <w:sz w:val="16"/>
                              </w:rPr>
                              <w:t>JPMorgan Chase &amp; Co.</w:t>
                            </w:r>
                          </w:p>
                        </w:tc>
                      </w:tr>
                      <w:tr>
                        <w:trPr/>
                        <w:tc>
                          <w:tcPr>
                            <w:tcW w:w="1259"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ETF Shares: </w:t>
                            </w:r>
                          </w:p>
                        </w:tc>
                        <w:tc>
                          <w:tcPr>
                            <w:tcW w:w="8946" w:type="dxa"/>
                            <w:tcBorders/>
                            <w:vAlign w:val="center"/>
                          </w:tcPr>
                          <w:p>
                            <w:pPr>
                              <w:pStyle w:val="TableContents"/>
                              <w:bidi w:val="0"/>
                              <w:spacing w:before="0" w:after="283"/>
                              <w:jc w:val="left"/>
                              <w:rPr>
                                <w:sz w:val="16"/>
                              </w:rPr>
                            </w:pPr>
                            <w:r>
                              <w:rPr>
                                <w:sz w:val="16"/>
                              </w:rPr>
                              <w:t>Shares of the iShares</w:t>
                            </w:r>
                            <w:r>
                              <w:rPr>
                                <w:position w:val="5"/>
                                <w:sz w:val="13"/>
                                <w:sz w:val="16"/>
                              </w:rPr>
                              <w:t>®</w:t>
                            </w:r>
                            <w:r>
                              <w:rPr>
                                <w:sz w:val="16"/>
                              </w:rPr>
                              <w:t xml:space="preserve"> Bitcoin Trust ETF (Bloomberg ticker: IBIT UQ Equity).  We refer to the iShares</w:t>
                            </w:r>
                            <w:r>
                              <w:rPr>
                                <w:position w:val="5"/>
                                <w:sz w:val="13"/>
                                <w:sz w:val="16"/>
                              </w:rPr>
                              <w:t>®</w:t>
                            </w:r>
                            <w:r>
                              <w:rPr>
                                <w:sz w:val="16"/>
                              </w:rPr>
                              <w:t xml:space="preserve"> Bitcoin Trust ETF as the “Fund.”</w:t>
                            </w:r>
                          </w:p>
                        </w:tc>
                      </w:tr>
                      <w:tr>
                        <w:trPr/>
                        <w:tc>
                          <w:tcPr>
                            <w:tcW w:w="1259" w:type="dxa"/>
                            <w:tcBorders/>
                            <w:shd w:fill="DAE9F7"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 xml:space="preserve">Early redemption: </w:t>
                            </w:r>
                          </w:p>
                        </w:tc>
                        <w:tc>
                          <w:tcPr>
                            <w:tcW w:w="8946" w:type="dxa"/>
                            <w:tcBorders/>
                            <w:shd w:fill="DAE9F7" w:val="clear"/>
                            <w:vAlign w:val="center"/>
                          </w:tcPr>
                          <w:p>
                            <w:pPr>
                              <w:pStyle w:val="TableContents"/>
                              <w:bidi w:val="0"/>
                              <w:spacing w:before="0" w:after="283"/>
                              <w:jc w:val="left"/>
                              <w:rPr>
                                <w:sz w:val="15"/>
                              </w:rPr>
                            </w:pPr>
                            <w:r>
                              <w:rPr>
                                <w:sz w:val="15"/>
                              </w:rPr>
                              <w:t xml:space="preserve">If, on the redemption observation date, the closing price of one ETF Share is </w:t>
                            </w:r>
                            <w:r>
                              <w:rPr>
                                <w:b/>
                                <w:sz w:val="15"/>
                              </w:rPr>
                              <w:t>greater than or equal to</w:t>
                            </w:r>
                            <w:r>
                              <w:rPr>
                                <w:sz w:val="15"/>
                              </w:rPr>
                              <w:t xml:space="preserve"> the initial share price, the Trigger PLUS will be automatically redeemed for the early redemption payment on the redemption date.  No further payments will be made on the Trigger PLUS once they have been redeemed.  In addition, if the Trigger PLUS are automatically redeemed prior to maturity, you will not benefit from the leverage feature that applies to the payment at maturity if the final share price is greater than the initial share price or the absolute return feature that applies to the payment at maturity if the final share price is less than or equal to the initial share price but is greater than or equal to the trigger level.  Moreover, if the Trigger PLUS are automatically redeemed, your investment may underperform the ETF Shares, and the early redemption payment may be significantly less than the payment at maturity you would receive for the same level of appreciation of the ETF Shares had the Trigger PLUS not been automatically redeemed and instead remained outstanding until maturity</w:t>
                            </w:r>
                            <w:r>
                              <w:rPr>
                                <w:i/>
                                <w:sz w:val="15"/>
                              </w:rPr>
                              <w:t>.</w:t>
                            </w:r>
                          </w:p>
                        </w:tc>
                      </w:tr>
                      <w:tr>
                        <w:trPr/>
                        <w:tc>
                          <w:tcPr>
                            <w:tcW w:w="1259"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Early redemption payment:</w:t>
                            </w:r>
                          </w:p>
                        </w:tc>
                        <w:tc>
                          <w:tcPr>
                            <w:tcW w:w="8946" w:type="dxa"/>
                            <w:tcBorders/>
                            <w:vAlign w:val="center"/>
                          </w:tcPr>
                          <w:p>
                            <w:pPr>
                              <w:pStyle w:val="TableContents"/>
                              <w:bidi w:val="0"/>
                              <w:spacing w:before="0" w:after="283"/>
                              <w:jc w:val="left"/>
                              <w:rPr>
                                <w:sz w:val="15"/>
                              </w:rPr>
                            </w:pPr>
                            <w:r>
                              <w:rPr>
                                <w:sz w:val="15"/>
                              </w:rPr>
                              <w:t>At least $1,247.00 per Trigger PLUS. The actual early redemption payment will be provided in the pricing supplement and will not be less than $1,247.00 per Trigger PLUS.</w:t>
                            </w:r>
                          </w:p>
                        </w:tc>
                      </w:tr>
                      <w:tr>
                        <w:trPr/>
                        <w:tc>
                          <w:tcPr>
                            <w:tcW w:w="1259" w:type="dxa"/>
                            <w:tcBorders/>
                            <w:shd w:fill="DAE9F7"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Payment at maturity: </w:t>
                            </w:r>
                          </w:p>
                        </w:tc>
                        <w:tc>
                          <w:tcPr>
                            <w:tcW w:w="8946" w:type="dxa"/>
                            <w:tcBorders/>
                            <w:shd w:fill="DAE9F7" w:val="cle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If the Trigger PLUS have not been automatically redeemed prior to maturity and:</w:t>
                            </w:r>
                          </w:p>
                          <w:p>
                            <w:pPr>
                              <w:pStyle w:val="TableContents"/>
                              <w:bidi w:val="0"/>
                              <w:spacing w:before="0" w:after="0"/>
                              <w:ind w:left="0" w:right="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 xml:space="preserve">If the final share price is </w:t>
                            </w:r>
                            <w:r>
                              <w:rPr>
                                <w:rFonts w:ascii="Arial;Helvetica;Sans-Serif" w:hAnsi="Arial;Helvetica;Sans-Serif"/>
                                <w:b w:val="false"/>
                                <w:i/>
                                <w:caps w:val="false"/>
                                <w:smallCaps w:val="false"/>
                                <w:sz w:val="15"/>
                              </w:rPr>
                              <w:t>greater than</w:t>
                            </w:r>
                            <w:r>
                              <w:rPr>
                                <w:rFonts w:ascii="Arial;Helvetica;Sans-Serif" w:hAnsi="Arial;Helvetica;Sans-Serif"/>
                                <w:b w:val="false"/>
                                <w:i w:val="false"/>
                                <w:caps w:val="false"/>
                                <w:smallCaps w:val="false"/>
                                <w:sz w:val="15"/>
                              </w:rPr>
                              <w:t xml:space="preserve"> the initial share price, for each $1,000 stated principal amount Trigger PLUS:</w:t>
                            </w:r>
                          </w:p>
                          <w:p>
                            <w:pPr>
                              <w:pStyle w:val="TableContents"/>
                              <w:bidi w:val="0"/>
                              <w:spacing w:before="0" w:after="0"/>
                              <w:ind w:left="0" w:right="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$1,000 + leveraged upside payment</w:t>
                            </w:r>
                          </w:p>
                          <w:p>
                            <w:pPr>
                              <w:pStyle w:val="TableContents"/>
                              <w:bidi w:val="0"/>
                              <w:spacing w:before="0" w:after="0"/>
                              <w:ind w:left="0" w:right="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 xml:space="preserve">If the final share price is </w:t>
                            </w:r>
                            <w:r>
                              <w:rPr>
                                <w:rFonts w:ascii="Arial;Helvetica;Sans-Serif" w:hAnsi="Arial;Helvetica;Sans-Serif"/>
                                <w:b w:val="false"/>
                                <w:i/>
                                <w:caps w:val="false"/>
                                <w:smallCaps w:val="false"/>
                                <w:sz w:val="15"/>
                              </w:rPr>
                              <w:t>less than or equal to</w:t>
                            </w:r>
                            <w:r>
                              <w:rPr>
                                <w:rFonts w:ascii="Arial;Helvetica;Sans-Serif" w:hAnsi="Arial;Helvetica;Sans-Serif"/>
                                <w:b w:val="false"/>
                                <w:i w:val="false"/>
                                <w:caps w:val="false"/>
                                <w:smallCaps w:val="false"/>
                                <w:sz w:val="15"/>
                              </w:rPr>
                              <w:t xml:space="preserve"> the initial share price but is </w:t>
                            </w:r>
                            <w:r>
                              <w:rPr>
                                <w:rFonts w:ascii="Arial;Helvetica;Sans-Serif" w:hAnsi="Arial;Helvetica;Sans-Serif"/>
                                <w:b w:val="false"/>
                                <w:i/>
                                <w:caps w:val="false"/>
                                <w:smallCaps w:val="false"/>
                                <w:sz w:val="15"/>
                              </w:rPr>
                              <w:t>greater than or equal to</w:t>
                            </w:r>
                            <w:r>
                              <w:rPr>
                                <w:rFonts w:ascii="Arial;Helvetica;Sans-Serif" w:hAnsi="Arial;Helvetica;Sans-Serif"/>
                                <w:b w:val="false"/>
                                <w:i w:val="false"/>
                                <w:caps w:val="false"/>
                                <w:smallCaps w:val="false"/>
                                <w:sz w:val="15"/>
                              </w:rPr>
                              <w:t xml:space="preserve"> the trigger level, for each $1,000 stated principal amount Trigger PLUS:</w:t>
                            </w:r>
                          </w:p>
                          <w:p>
                            <w:pPr>
                              <w:pStyle w:val="TableContents"/>
                              <w:bidi w:val="0"/>
                              <w:spacing w:before="0" w:after="0"/>
                              <w:ind w:left="0" w:right="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$1,000 + ($1,000 × absolute share return)</w:t>
                            </w:r>
                          </w:p>
                          <w:p>
                            <w:pPr>
                              <w:pStyle w:val="TableContents"/>
                              <w:bidi w:val="0"/>
                              <w:spacing w:before="0" w:after="0"/>
                              <w:ind w:left="0" w:right="0" w:hanging="0"/>
                              <w:jc w:val="left"/>
                              <w:rPr>
                                <w:rFonts w:ascii="Arial;Helvetica;Sans-Serif" w:hAnsi="Arial;Helvetica;Sans-Serif"/>
                                <w:b w:val="false"/>
                                <w:i/>
                                <w:caps w:val="false"/>
                                <w:smallCaps w:val="false"/>
                                <w:sz w:val="15"/>
                              </w:rPr>
                            </w:pPr>
                            <w:r>
                              <w:rPr>
                                <w:rFonts w:ascii="Arial;Helvetica;Sans-Serif" w:hAnsi="Arial;Helvetica;Sans-Serif"/>
                                <w:b w:val="false"/>
                                <w:i/>
                                <w:caps w:val="false"/>
                                <w:smallCaps w:val="false"/>
                                <w:sz w:val="15"/>
                              </w:rPr>
                              <w:t>In this scenario, you will receive a 1% positive return on the Trigger PLUS for each 1% negative return on the ETF Shares. In no event will this amount exceed the stated principal amount plus $250.00. Accordingly, the maximum downside payment at maturity is $1,250.00 per Trigger PLUS.</w:t>
                            </w:r>
                          </w:p>
                          <w:p>
                            <w:pPr>
                              <w:pStyle w:val="TableContents"/>
                              <w:bidi w:val="0"/>
                              <w:spacing w:before="0" w:after="0"/>
                              <w:ind w:left="0" w:right="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If the final share price is less than the trigger level, for each $1,000 stated principal amount Trigger PLUS:</w:t>
                            </w:r>
                          </w:p>
                          <w:p>
                            <w:pPr>
                              <w:pStyle w:val="TableContents"/>
                              <w:bidi w:val="0"/>
                              <w:spacing w:before="0" w:after="0"/>
                              <w:ind w:left="0" w:right="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$1,000 × share performance factor</w:t>
                            </w:r>
                          </w:p>
                          <w:p>
                            <w:pPr>
                              <w:pStyle w:val="TableContents"/>
                              <w:bidi w:val="0"/>
                              <w:spacing w:before="0" w:after="0"/>
                              <w:ind w:left="252" w:right="0" w:hanging="252"/>
                              <w:jc w:val="left"/>
                              <w:rPr>
                                <w:rFonts w:ascii="Arial;Helvetica;Sans-Serif" w:hAnsi="Arial;Helvetica;Sans-Serif"/>
                                <w:b w:val="false"/>
                                <w:i/>
                                <w:caps w:val="false"/>
                                <w:smallCaps w:val="false"/>
                                <w:sz w:val="15"/>
                              </w:rPr>
                            </w:pPr>
                            <w:r>
                              <w:rPr>
                                <w:rFonts w:ascii="Arial;Helvetica;Sans-Serif" w:hAnsi="Arial;Helvetica;Sans-Serif"/>
                                <w:b w:val="false"/>
                                <w:i/>
                                <w:caps w:val="false"/>
                                <w:smallCaps w:val="false"/>
                                <w:sz w:val="15"/>
                              </w:rPr>
                              <w:t>This amount will be less than the stated principal amount of $1,000 per Trigger PLUS and will represent a loss of more than 25%, and possibly all, of your investment.</w:t>
                            </w:r>
                          </w:p>
                        </w:tc>
                      </w:tr>
                      <w:tr>
                        <w:trPr/>
                        <w:tc>
                          <w:tcPr>
                            <w:tcW w:w="1259"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Leveraged upside payment:</w:t>
                            </w:r>
                          </w:p>
                        </w:tc>
                        <w:tc>
                          <w:tcPr>
                            <w:tcW w:w="8946" w:type="dxa"/>
                            <w:tcBorders/>
                            <w:vAlign w:val="center"/>
                          </w:tcPr>
                          <w:p>
                            <w:pPr>
                              <w:pStyle w:val="TableContents"/>
                              <w:bidi w:val="0"/>
                              <w:spacing w:before="0" w:after="283"/>
                              <w:jc w:val="left"/>
                              <w:rPr>
                                <w:sz w:val="16"/>
                              </w:rPr>
                            </w:pPr>
                            <w:r>
                              <w:rPr>
                                <w:sz w:val="16"/>
                              </w:rPr>
                              <w:t>$1,000 × leverage factor × share percent change</w:t>
                            </w:r>
                          </w:p>
                        </w:tc>
                      </w:tr>
                      <w:tr>
                        <w:trPr/>
                        <w:tc>
                          <w:tcPr>
                            <w:tcW w:w="1259" w:type="dxa"/>
                            <w:tcBorders/>
                            <w:shd w:fill="DAE9F7"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Share percent change:</w:t>
                            </w:r>
                          </w:p>
                        </w:tc>
                        <w:tc>
                          <w:tcPr>
                            <w:tcW w:w="8946" w:type="dxa"/>
                            <w:tcBorders/>
                            <w:shd w:fill="DAE9F7" w:val="clear"/>
                            <w:vAlign w:val="center"/>
                          </w:tcPr>
                          <w:p>
                            <w:pPr>
                              <w:pStyle w:val="TableContents"/>
                              <w:bidi w:val="0"/>
                              <w:spacing w:before="0" w:after="283"/>
                              <w:jc w:val="left"/>
                              <w:rPr>
                                <w:sz w:val="16"/>
                              </w:rPr>
                            </w:pPr>
                            <w:r>
                              <w:rPr>
                                <w:sz w:val="16"/>
                              </w:rPr>
                              <w:t>(final share price – initial share price) / initial share price</w:t>
                            </w:r>
                          </w:p>
                        </w:tc>
                      </w:tr>
                      <w:tr>
                        <w:trPr/>
                        <w:tc>
                          <w:tcPr>
                            <w:tcW w:w="1259"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Absolute share return:</w:t>
                            </w:r>
                          </w:p>
                        </w:tc>
                        <w:tc>
                          <w:tcPr>
                            <w:tcW w:w="8946" w:type="dxa"/>
                            <w:tcBorders/>
                            <w:vAlign w:val="center"/>
                          </w:tcPr>
                          <w:p>
                            <w:pPr>
                              <w:pStyle w:val="TableContents"/>
                              <w:bidi w:val="0"/>
                              <w:spacing w:before="0" w:after="283"/>
                              <w:jc w:val="left"/>
                              <w:rPr>
                                <w:sz w:val="16"/>
                              </w:rPr>
                            </w:pPr>
                            <w:r>
                              <w:rPr>
                                <w:sz w:val="16"/>
                              </w:rPr>
                              <w:t>The absolute value of the share percent change.  For example, a -5% share percent change will result in a +5% absolute share return.  </w:t>
                            </w:r>
                          </w:p>
                        </w:tc>
                      </w:tr>
                      <w:tr>
                        <w:trPr/>
                        <w:tc>
                          <w:tcPr>
                            <w:tcW w:w="1259" w:type="dxa"/>
                            <w:tcBorders/>
                            <w:shd w:fill="DAE9F7"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Initial share price: </w:t>
                            </w:r>
                          </w:p>
                        </w:tc>
                        <w:tc>
                          <w:tcPr>
                            <w:tcW w:w="8946" w:type="dxa"/>
                            <w:tcBorders/>
                            <w:shd w:fill="DAE9F7" w:val="clear"/>
                            <w:vAlign w:val="center"/>
                          </w:tcPr>
                          <w:p>
                            <w:pPr>
                              <w:pStyle w:val="TableContents"/>
                              <w:bidi w:val="0"/>
                              <w:spacing w:before="0" w:after="283"/>
                              <w:jc w:val="left"/>
                              <w:rPr>
                                <w:sz w:val="16"/>
                              </w:rPr>
                            </w:pPr>
                            <w:r>
                              <w:rPr>
                                <w:sz w:val="16"/>
                              </w:rPr>
                              <w:t>The closing price of one ETF Share on the pricing date</w:t>
                            </w:r>
                          </w:p>
                        </w:tc>
                      </w:tr>
                      <w:tr>
                        <w:trPr/>
                        <w:tc>
                          <w:tcPr>
                            <w:tcW w:w="1259"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Final share price: </w:t>
                            </w:r>
                          </w:p>
                        </w:tc>
                        <w:tc>
                          <w:tcPr>
                            <w:tcW w:w="8946" w:type="dxa"/>
                            <w:tcBorders/>
                            <w:shd w:fill="FFFFFF" w:val="clear"/>
                            <w:vAlign w:val="center"/>
                          </w:tcPr>
                          <w:p>
                            <w:pPr>
                              <w:pStyle w:val="TableContents"/>
                              <w:bidi w:val="0"/>
                              <w:spacing w:before="0" w:after="283"/>
                              <w:jc w:val="left"/>
                              <w:rPr>
                                <w:sz w:val="16"/>
                              </w:rPr>
                            </w:pPr>
                            <w:r>
                              <w:rPr>
                                <w:sz w:val="16"/>
                              </w:rPr>
                              <w:t>The closing price of one ETF Share on the valuation date</w:t>
                            </w:r>
                          </w:p>
                        </w:tc>
                      </w:tr>
                      <w:tr>
                        <w:trPr/>
                        <w:tc>
                          <w:tcPr>
                            <w:tcW w:w="1259"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Share adjustment factor:</w:t>
                            </w:r>
                          </w:p>
                        </w:tc>
                        <w:tc>
                          <w:tcPr>
                            <w:tcW w:w="8946" w:type="dxa"/>
                            <w:tcBorders/>
                            <w:shd w:fill="DCEBF4" w:val="clear"/>
                            <w:vAlign w:val="center"/>
                          </w:tcPr>
                          <w:p>
                            <w:pPr>
                              <w:pStyle w:val="TableContents"/>
                              <w:bidi w:val="0"/>
                              <w:spacing w:before="0" w:after="283"/>
                              <w:jc w:val="left"/>
                              <w:rPr>
                                <w:sz w:val="16"/>
                              </w:rPr>
                            </w:pPr>
                            <w:r>
                              <w:rPr>
                                <w:sz w:val="16"/>
                              </w:rPr>
                              <w:t>The share adjustment factor is referenced in determining the closing price of one ETF Share and is set initially at 1.0 on the pricing date.  The share adjustment factor is subject to adjustment in the event of certain events affecting the ETF Shares. See “The Underlyings — Funds — Anti-Dilution Adjustments” in the accompanying product supplement.</w:t>
                            </w:r>
                          </w:p>
                        </w:tc>
                      </w:tr>
                      <w:tr>
                        <w:trPr/>
                        <w:tc>
                          <w:tcPr>
                            <w:tcW w:w="1259"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Trigger level:</w:t>
                            </w:r>
                          </w:p>
                        </w:tc>
                        <w:tc>
                          <w:tcPr>
                            <w:tcW w:w="8946" w:type="dxa"/>
                            <w:tcBorders/>
                            <w:vAlign w:val="center"/>
                          </w:tcPr>
                          <w:p>
                            <w:pPr>
                              <w:pStyle w:val="TableContents"/>
                              <w:bidi w:val="0"/>
                              <w:spacing w:before="0" w:after="283"/>
                              <w:jc w:val="left"/>
                              <w:rPr>
                                <w:sz w:val="16"/>
                              </w:rPr>
                            </w:pPr>
                            <w:r>
                              <w:rPr>
                                <w:sz w:val="16"/>
                              </w:rPr>
                              <w:t>75% of the initial share price</w:t>
                            </w:r>
                          </w:p>
                        </w:tc>
                      </w:tr>
                      <w:tr>
                        <w:trPr/>
                        <w:tc>
                          <w:tcPr>
                            <w:tcW w:w="1259"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Leverage factor: </w:t>
                            </w:r>
                          </w:p>
                        </w:tc>
                        <w:tc>
                          <w:tcPr>
                            <w:tcW w:w="8946" w:type="dxa"/>
                            <w:tcBorders/>
                            <w:shd w:fill="DCEBF4" w:val="clear"/>
                            <w:vAlign w:val="center"/>
                          </w:tcPr>
                          <w:p>
                            <w:pPr>
                              <w:pStyle w:val="TableContents"/>
                              <w:bidi w:val="0"/>
                              <w:spacing w:before="0" w:after="283"/>
                              <w:jc w:val="left"/>
                              <w:rPr>
                                <w:sz w:val="16"/>
                              </w:rPr>
                            </w:pPr>
                            <w:r>
                              <w:rPr>
                                <w:sz w:val="16"/>
                              </w:rPr>
                              <w:t>150%</w:t>
                            </w:r>
                          </w:p>
                        </w:tc>
                      </w:tr>
                      <w:tr>
                        <w:trPr/>
                        <w:tc>
                          <w:tcPr>
                            <w:tcW w:w="1259"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Share performance factor:</w:t>
                            </w:r>
                          </w:p>
                        </w:tc>
                        <w:tc>
                          <w:tcPr>
                            <w:tcW w:w="8946" w:type="dxa"/>
                            <w:tcBorders/>
                            <w:vAlign w:val="center"/>
                          </w:tcPr>
                          <w:p>
                            <w:pPr>
                              <w:pStyle w:val="TableContents"/>
                              <w:bidi w:val="0"/>
                              <w:spacing w:before="0" w:after="283"/>
                              <w:jc w:val="left"/>
                              <w:rPr>
                                <w:sz w:val="16"/>
                              </w:rPr>
                            </w:pPr>
                            <w:r>
                              <w:rPr>
                                <w:sz w:val="16"/>
                              </w:rPr>
                              <w:t>final share price / initial share price</w:t>
                            </w:r>
                          </w:p>
                        </w:tc>
                      </w:tr>
                      <w:tr>
                        <w:trPr/>
                        <w:tc>
                          <w:tcPr>
                            <w:tcW w:w="1259"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Stated principal amount:</w:t>
                            </w:r>
                          </w:p>
                        </w:tc>
                        <w:tc>
                          <w:tcPr>
                            <w:tcW w:w="8946" w:type="dxa"/>
                            <w:tcBorders/>
                            <w:shd w:fill="DCEBF4" w:val="clear"/>
                            <w:vAlign w:val="center"/>
                          </w:tcPr>
                          <w:p>
                            <w:pPr>
                              <w:pStyle w:val="TableContents"/>
                              <w:bidi w:val="0"/>
                              <w:spacing w:before="0" w:after="283"/>
                              <w:jc w:val="left"/>
                              <w:rPr>
                                <w:sz w:val="16"/>
                              </w:rPr>
                            </w:pPr>
                            <w:r>
                              <w:rPr>
                                <w:sz w:val="16"/>
                              </w:rPr>
                              <w:t>$1,000 per Trigger PLUS</w:t>
                            </w:r>
                          </w:p>
                        </w:tc>
                      </w:tr>
                      <w:tr>
                        <w:trPr/>
                        <w:tc>
                          <w:tcPr>
                            <w:tcW w:w="1259"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Issue price:</w:t>
                            </w:r>
                          </w:p>
                        </w:tc>
                        <w:tc>
                          <w:tcPr>
                            <w:tcW w:w="8946" w:type="dxa"/>
                            <w:tcBorders/>
                            <w:vAlign w:val="center"/>
                          </w:tcPr>
                          <w:p>
                            <w:pPr>
                              <w:pStyle w:val="TableContents"/>
                              <w:bidi w:val="0"/>
                              <w:spacing w:before="0" w:after="283"/>
                              <w:jc w:val="left"/>
                              <w:rPr>
                                <w:sz w:val="16"/>
                              </w:rPr>
                            </w:pPr>
                            <w:r>
                              <w:rPr>
                                <w:sz w:val="16"/>
                              </w:rPr>
                              <w:t>$1,000 per Trigger PLUS</w:t>
                            </w:r>
                          </w:p>
                        </w:tc>
                      </w:tr>
                      <w:tr>
                        <w:trPr/>
                        <w:tc>
                          <w:tcPr>
                            <w:tcW w:w="1259"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Pricing date:</w:t>
                            </w:r>
                          </w:p>
                        </w:tc>
                        <w:tc>
                          <w:tcPr>
                            <w:tcW w:w="8946" w:type="dxa"/>
                            <w:tcBorders/>
                            <w:shd w:fill="DCEBF4" w:val="clear"/>
                            <w:vAlign w:val="center"/>
                          </w:tcPr>
                          <w:p>
                            <w:pPr>
                              <w:pStyle w:val="TableContents"/>
                              <w:bidi w:val="0"/>
                              <w:spacing w:before="0" w:after="283"/>
                              <w:jc w:val="left"/>
                              <w:rPr>
                                <w:sz w:val="16"/>
                              </w:rPr>
                            </w:pPr>
                            <w:r>
                              <w:rPr>
                                <w:sz w:val="16"/>
                              </w:rPr>
                              <w:t>Expected to be August 31, 2026</w:t>
                            </w:r>
                          </w:p>
                        </w:tc>
                      </w:tr>
                      <w:tr>
                        <w:trPr/>
                        <w:tc>
                          <w:tcPr>
                            <w:tcW w:w="1259"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Original issue date (settlement date): </w:t>
                            </w:r>
                          </w:p>
                        </w:tc>
                        <w:tc>
                          <w:tcPr>
                            <w:tcW w:w="8946" w:type="dxa"/>
                            <w:tcBorders/>
                            <w:shd w:fill="FFFFFF" w:val="clear"/>
                            <w:vAlign w:val="center"/>
                          </w:tcPr>
                          <w:p>
                            <w:pPr>
                              <w:pStyle w:val="TableContents"/>
                              <w:bidi w:val="0"/>
                              <w:spacing w:before="0" w:after="283"/>
                              <w:jc w:val="left"/>
                              <w:rPr>
                                <w:sz w:val="16"/>
                              </w:rPr>
                            </w:pPr>
                            <w:r>
                              <w:rPr>
                                <w:sz w:val="16"/>
                              </w:rPr>
                              <w:t>3 business days after the pricing date</w:t>
                            </w:r>
                          </w:p>
                        </w:tc>
                      </w:tr>
                      <w:tr>
                        <w:trPr/>
                        <w:tc>
                          <w:tcPr>
                            <w:tcW w:w="1259" w:type="dxa"/>
                            <w:tcBorders/>
                            <w:shd w:fill="DCEBF4"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Redemption observation date</w:t>
                            </w:r>
                            <w:r>
                              <w:rPr>
                                <w:rFonts w:ascii="Arial;Helvetica;Sans-Serif" w:hAnsi="Arial;Helvetica;Sans-Serif"/>
                                <w:b/>
                                <w:color w:val="296DC1"/>
                                <w:position w:val="5"/>
                                <w:sz w:val="12"/>
                                <w:sz w:val="15"/>
                              </w:rPr>
                              <w:t>†</w:t>
                            </w:r>
                            <w:r>
                              <w:rPr>
                                <w:rFonts w:ascii="Arial;Helvetica;Sans-Serif" w:hAnsi="Arial;Helvetica;Sans-Serif"/>
                                <w:b/>
                                <w:color w:val="296DC1"/>
                                <w:sz w:val="15"/>
                              </w:rPr>
                              <w:t>:</w:t>
                            </w:r>
                          </w:p>
                        </w:tc>
                        <w:tc>
                          <w:tcPr>
                            <w:tcW w:w="8946" w:type="dxa"/>
                            <w:tcBorders/>
                            <w:shd w:fill="DCEBF4" w:val="clear"/>
                            <w:vAlign w:val="center"/>
                          </w:tcPr>
                          <w:p>
                            <w:pPr>
                              <w:pStyle w:val="TableContents"/>
                              <w:bidi w:val="0"/>
                              <w:spacing w:before="0" w:after="283"/>
                              <w:jc w:val="left"/>
                              <w:rPr>
                                <w:sz w:val="15"/>
                              </w:rPr>
                            </w:pPr>
                            <w:r>
                              <w:rPr>
                                <w:sz w:val="15"/>
                              </w:rPr>
                              <w:t>September 8, 2027</w:t>
                            </w:r>
                          </w:p>
                        </w:tc>
                      </w:tr>
                      <w:tr>
                        <w:trPr/>
                        <w:tc>
                          <w:tcPr>
                            <w:tcW w:w="1259" w:type="dxa"/>
                            <w:tcBorders/>
                            <w:shd w:fill="FFFFFF"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Redemption date</w:t>
                            </w:r>
                            <w:r>
                              <w:rPr>
                                <w:rFonts w:ascii="Arial;Helvetica;Sans-Serif" w:hAnsi="Arial;Helvetica;Sans-Serif"/>
                                <w:b/>
                                <w:color w:val="296DC1"/>
                                <w:position w:val="5"/>
                                <w:sz w:val="12"/>
                                <w:sz w:val="15"/>
                              </w:rPr>
                              <w:t>†</w:t>
                            </w:r>
                            <w:r>
                              <w:rPr>
                                <w:rFonts w:ascii="Arial;Helvetica;Sans-Serif" w:hAnsi="Arial;Helvetica;Sans-Serif"/>
                                <w:b/>
                                <w:color w:val="296DC1"/>
                                <w:sz w:val="15"/>
                              </w:rPr>
                              <w:t xml:space="preserve">: </w:t>
                            </w:r>
                          </w:p>
                        </w:tc>
                        <w:tc>
                          <w:tcPr>
                            <w:tcW w:w="8946" w:type="dxa"/>
                            <w:tcBorders/>
                            <w:shd w:fill="FFFFFF" w:val="clear"/>
                            <w:vAlign w:val="center"/>
                          </w:tcPr>
                          <w:p>
                            <w:pPr>
                              <w:pStyle w:val="TableContents"/>
                              <w:bidi w:val="0"/>
                              <w:spacing w:before="0" w:after="283"/>
                              <w:jc w:val="left"/>
                              <w:rPr>
                                <w:sz w:val="16"/>
                              </w:rPr>
                            </w:pPr>
                            <w:r>
                              <w:rPr>
                                <w:sz w:val="16"/>
                              </w:rPr>
                              <w:t>September 13, 2027</w:t>
                            </w:r>
                          </w:p>
                        </w:tc>
                      </w:tr>
                      <w:tr>
                        <w:trPr/>
                        <w:tc>
                          <w:tcPr>
                            <w:tcW w:w="1259"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Valuation date</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8946" w:type="dxa"/>
                            <w:tcBorders/>
                            <w:shd w:fill="DCEBF4" w:val="clear"/>
                            <w:vAlign w:val="center"/>
                          </w:tcPr>
                          <w:p>
                            <w:pPr>
                              <w:pStyle w:val="TableContents"/>
                              <w:bidi w:val="0"/>
                              <w:spacing w:before="0" w:after="283"/>
                              <w:jc w:val="left"/>
                              <w:rPr>
                                <w:sz w:val="16"/>
                              </w:rPr>
                            </w:pPr>
                            <w:r>
                              <w:rPr>
                                <w:sz w:val="16"/>
                              </w:rPr>
                              <w:t>August 31, 2028</w:t>
                            </w:r>
                          </w:p>
                        </w:tc>
                      </w:tr>
                      <w:tr>
                        <w:trPr/>
                        <w:tc>
                          <w:tcPr>
                            <w:tcW w:w="1259"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Maturity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8946" w:type="dxa"/>
                            <w:tcBorders/>
                            <w:shd w:fill="FFFFFF" w:val="clear"/>
                            <w:vAlign w:val="center"/>
                          </w:tcPr>
                          <w:p>
                            <w:pPr>
                              <w:pStyle w:val="TableContents"/>
                              <w:bidi w:val="0"/>
                              <w:spacing w:before="0" w:after="283"/>
                              <w:jc w:val="left"/>
                              <w:rPr>
                                <w:sz w:val="16"/>
                              </w:rPr>
                            </w:pPr>
                            <w:r>
                              <w:rPr>
                                <w:sz w:val="16"/>
                              </w:rPr>
                              <w:t>September 6, 2028</w:t>
                            </w:r>
                          </w:p>
                        </w:tc>
                      </w:tr>
                      <w:tr>
                        <w:trPr/>
                        <w:tc>
                          <w:tcPr>
                            <w:tcW w:w="1259" w:type="dxa"/>
                            <w:tcBorders/>
                            <w:shd w:fill="DCEBF4" w:val="clear"/>
                            <w:vAlign w:val="center"/>
                          </w:tcPr>
                          <w:p>
                            <w:pPr>
                              <w:pStyle w:val="TableContents"/>
                              <w:bidi w:val="0"/>
                              <w:spacing w:before="0" w:after="283"/>
                              <w:jc w:val="left"/>
                              <w:rPr>
                                <w:b/>
                                <w:color w:val="296DC1"/>
                                <w:sz w:val="16"/>
                              </w:rPr>
                            </w:pPr>
                            <w:r>
                              <w:rPr>
                                <w:b/>
                                <w:color w:val="296DC1"/>
                                <w:sz w:val="16"/>
                              </w:rPr>
                              <w:t>CUSIP / ISIN:</w:t>
                            </w:r>
                          </w:p>
                        </w:tc>
                        <w:tc>
                          <w:tcPr>
                            <w:tcW w:w="8946" w:type="dxa"/>
                            <w:tcBorders/>
                            <w:shd w:fill="DCEBF4" w:val="clear"/>
                            <w:vAlign w:val="center"/>
                          </w:tcPr>
                          <w:p>
                            <w:pPr>
                              <w:pStyle w:val="TableContents"/>
                              <w:bidi w:val="0"/>
                              <w:spacing w:before="0" w:after="283"/>
                              <w:jc w:val="left"/>
                              <w:rPr>
                                <w:sz w:val="16"/>
                              </w:rPr>
                            </w:pPr>
                            <w:r>
                              <w:rPr>
                                <w:sz w:val="16"/>
                              </w:rPr>
                              <w:t>46661KLC0 / US46661KLC08</w:t>
                            </w:r>
                          </w:p>
                        </w:tc>
                      </w:tr>
                      <w:tr>
                        <w:trPr/>
                        <w:tc>
                          <w:tcPr>
                            <w:tcW w:w="1259" w:type="dxa"/>
                            <w:tcBorders/>
                            <w:shd w:fill="FFFFFF" w:val="clear"/>
                            <w:vAlign w:val="center"/>
                          </w:tcPr>
                          <w:p>
                            <w:pPr>
                              <w:pStyle w:val="TableContents"/>
                              <w:bidi w:val="0"/>
                              <w:spacing w:before="0" w:after="283"/>
                              <w:jc w:val="left"/>
                              <w:rPr>
                                <w:b/>
                                <w:color w:val="296DC1"/>
                                <w:sz w:val="16"/>
                              </w:rPr>
                            </w:pPr>
                            <w:r>
                              <w:rPr>
                                <w:b/>
                                <w:color w:val="296DC1"/>
                                <w:sz w:val="16"/>
                              </w:rPr>
                              <w:t xml:space="preserve">Preliminary pricing supplement: </w:t>
                            </w:r>
                          </w:p>
                        </w:tc>
                        <w:tc>
                          <w:tcPr>
                            <w:tcW w:w="8946" w:type="dxa"/>
                            <w:tcBorders/>
                            <w:shd w:fill="FFFFFF" w:val="clear"/>
                            <w:vAlign w:val="center"/>
                          </w:tcPr>
                          <w:p>
                            <w:pPr>
                              <w:pStyle w:val="TableContents"/>
                              <w:bidi w:val="0"/>
                              <w:spacing w:before="0" w:after="283"/>
                              <w:jc w:val="left"/>
                              <w:rPr/>
                            </w:pPr>
                            <w:hyperlink r:id="rId3">
                              <w:r>
                                <w:rPr>
                                  <w:rStyle w:val="InternetLink"/>
                                  <w:sz w:val="16"/>
                                </w:rPr>
                                <w:t>http://www.sec.gov/Archives/edgar/data/19617/000121390026089395/</w:t>
                                <w:br/>
                                <w:t>ea0302119-01_424b2.htm</w:t>
                              </w:r>
                            </w:hyperlink>
                          </w:p>
                        </w:tc>
                      </w:tr>
                    </w:tbl>
                    <w:p>
                      <w:pPr>
                        <w:pStyle w:val="TextBody"/>
                        <w:bidi w:val="0"/>
                        <w:spacing w:before="0" w:after="0"/>
                        <w:ind w:left="108" w:right="0" w:hanging="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4"/>
                        </w:rPr>
                        <w:t>Subject to postponement or early acceleration</w:t>
                      </w:r>
                    </w:p>
                  </w:txbxContent>
                </v:textbox>
                <w10:wrap type="square" side="right"/>
              </v:rect>
            </w:pict>
          </mc:Fallback>
        </mc:AlternateContent>
      </w:r>
      <w:r>
        <mc:AlternateContent>
          <mc:Choice Requires="wps">
            <w:drawing>
              <wp:anchor behindDoc="0" distT="0" distB="0" distL="0" distR="0" simplePos="0" locked="0" layoutInCell="1" allowOverlap="1" relativeHeight="3">
                <wp:simplePos x="0" y="0"/>
                <wp:positionH relativeFrom="column">
                  <wp:align>right</wp:align>
                </wp:positionH>
                <wp:positionV relativeFrom="line">
                  <wp:posOffset>635</wp:posOffset>
                </wp:positionV>
                <wp:extent cx="2915920" cy="9972040"/>
                <wp:effectExtent l="0" t="0" r="0" b="0"/>
                <wp:wrapSquare wrapText="left"/>
                <wp:docPr id="2" name="Frame2"/>
                <a:graphic xmlns:a="http://schemas.openxmlformats.org/drawingml/2006/main">
                  <a:graphicData uri="http://schemas.microsoft.com/office/word/2010/wordprocessingShape">
                    <wps:wsp>
                      <wps:cNvSpPr txBox="1"/>
                      <wps:spPr>
                        <a:xfrm>
                          <a:off x="0" y="0"/>
                          <a:ext cx="2915920" cy="9972040"/>
                        </a:xfrm>
                        <a:prstGeom prst="rect"/>
                        <a:solidFill>
                          <a:srgbClr val="FFFFFF"/>
                        </a:solidFill>
                      </wps:spPr>
                      <wps:txbx>
                        <w:txbxContent>
                          <w:p>
                            <w:pPr>
                              <w:pStyle w:val="TextBody"/>
                              <w:bidi w:val="0"/>
                              <w:spacing w:before="0" w:after="0"/>
                              <w:ind w:left="0"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The estimated value of the Trigger PLUS on the pricing date will be provided in the pricing supplement and will not be less than $940.00 per $1,000 stated principal amount Trigger PLUS. For information about the estimated value of the Trigger PLUS, which likely will be lower than the price you paid for the Trigger PLUS, please see the hyperlink above.</w:t>
                            </w:r>
                          </w:p>
                          <w:p>
                            <w:pPr>
                              <w:pStyle w:val="TextBody"/>
                              <w:bidi w:val="0"/>
                              <w:spacing w:before="0" w:after="0"/>
                              <w:ind w:left="0"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Any payment on the Trigger PLUS is subject to the credit risk of JPMorgan Financial, as issuer of the Trigger PLUS, and the credit risk of JPMorgan Chase &amp; Co., as guarantor of the Trigger PLUS.</w:t>
                            </w:r>
                          </w:p>
                          <w:tbl>
                            <w:tblPr>
                              <w:tblW w:w="5685" w:type="dxa"/>
                              <w:jc w:val="center"/>
                              <w:tblInd w:w="0" w:type="dxa"/>
                              <w:tblLayout w:type="fixed"/>
                              <w:tblCellMar>
                                <w:top w:w="0" w:type="dxa"/>
                                <w:left w:w="0" w:type="dxa"/>
                                <w:bottom w:w="0" w:type="dxa"/>
                                <w:right w:w="0" w:type="dxa"/>
                              </w:tblCellMar>
                            </w:tblPr>
                            <w:tblGrid>
                              <w:gridCol w:w="5685"/>
                            </w:tblGrid>
                            <w:tr>
                              <w:trPr/>
                              <w:tc>
                                <w:tcPr>
                                  <w:tcW w:w="5685" w:type="dxa"/>
                                  <w:tcBorders/>
                                  <w:shd w:fill="DCEBF4" w:val="clear"/>
                                  <w:vAlign w:val="center"/>
                                </w:tcPr>
                                <w:p>
                                  <w:pPr>
                                    <w:pStyle w:val="TableContents"/>
                                    <w:bidi w:val="0"/>
                                    <w:spacing w:before="0" w:after="283"/>
                                    <w:jc w:val="center"/>
                                    <w:rPr>
                                      <w:rFonts w:ascii="Arial;Helvetica;Sans-Serif" w:hAnsi="Arial;Helvetica;Sans-Serif"/>
                                      <w:b/>
                                      <w:color w:val="296DC1"/>
                                      <w:sz w:val="17"/>
                                    </w:rPr>
                                  </w:pPr>
                                  <w:r>
                                    <w:rPr>
                                      <w:rFonts w:ascii="Arial;Helvetica;Sans-Serif" w:hAnsi="Arial;Helvetica;Sans-Serif"/>
                                      <w:b/>
                                      <w:color w:val="296DC1"/>
                                      <w:sz w:val="17"/>
                                    </w:rPr>
                                    <w:t xml:space="preserve">Auto-Callable Dual Directional Trigger PLUS Payoff Diagram* </w:t>
                                  </w:r>
                                </w:p>
                              </w:tc>
                            </w:tr>
                            <w:tr>
                              <w:trPr/>
                              <w:tc>
                                <w:tcPr>
                                  <w:tcW w:w="5685" w:type="dxa"/>
                                  <w:tcBorders/>
                                  <w:vAlign w:val="center"/>
                                </w:tcPr>
                                <w:p>
                                  <w:pPr>
                                    <w:pStyle w:val="TableContents"/>
                                    <w:bidi w:val="0"/>
                                    <w:spacing w:before="0" w:after="283"/>
                                    <w:jc w:val="center"/>
                                    <w:rPr>
                                      <w:color w:val="296DC1"/>
                                    </w:rPr>
                                  </w:pPr>
                                  <w:r>
                                    <w:rPr>
                                      <w:color w:val="296DC1"/>
                                    </w:rPr>
                                    <w:drawing>
                                      <wp:inline distT="0" distB="0" distL="0" distR="0">
                                        <wp:extent cx="3590925" cy="25527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4"/>
                                                <a:stretch>
                                                  <a:fillRect/>
                                                </a:stretch>
                                              </pic:blipFill>
                                              <pic:spPr bwMode="auto">
                                                <a:xfrm>
                                                  <a:off x="0" y="0"/>
                                                  <a:ext cx="3590925" cy="2552700"/>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tbl>
                            <w:tblPr>
                              <w:tblW w:w="3820" w:type="dxa"/>
                              <w:jc w:val="left"/>
                              <w:tblInd w:w="0" w:type="dxa"/>
                              <w:tblLayout w:type="fixed"/>
                              <w:tblCellMar>
                                <w:top w:w="0" w:type="dxa"/>
                                <w:left w:w="0" w:type="dxa"/>
                                <w:bottom w:w="0" w:type="dxa"/>
                                <w:right w:w="0" w:type="dxa"/>
                              </w:tblCellMar>
                            </w:tblPr>
                            <w:tblGrid>
                              <w:gridCol w:w="1700"/>
                              <w:gridCol w:w="2120"/>
                            </w:tblGrid>
                            <w:tr>
                              <w:trPr/>
                              <w:tc>
                                <w:tcPr>
                                  <w:tcW w:w="1700" w:type="dxa"/>
                                  <w:tcBorders/>
                                  <w:shd w:fill="296DC1" w:val="clear"/>
                                  <w:vAlign w:val="center"/>
                                </w:tcPr>
                                <w:p>
                                  <w:pPr>
                                    <w:pStyle w:val="TableContents"/>
                                    <w:bidi w:val="0"/>
                                    <w:spacing w:before="0" w:after="283"/>
                                    <w:jc w:val="center"/>
                                    <w:rPr>
                                      <w:rFonts w:ascii="Arial;Helvetica;Sans-Serif" w:hAnsi="Arial;Helvetica;Sans-Serif"/>
                                      <w:b w:val="false"/>
                                      <w:color w:val="FFFFFF"/>
                                      <w:sz w:val="16"/>
                                    </w:rPr>
                                  </w:pPr>
                                  <w:r>
                                    <w:rPr>
                                      <w:rFonts w:ascii="Arial;Helvetica;Sans-Serif" w:hAnsi="Arial;Helvetica;Sans-Serif"/>
                                      <w:b w:val="false"/>
                                      <w:color w:val="FFFFFF"/>
                                      <w:sz w:val="16"/>
                                    </w:rPr>
                                    <w:t>Change in ETF Shares</w:t>
                                  </w:r>
                                </w:p>
                              </w:tc>
                              <w:tc>
                                <w:tcPr>
                                  <w:tcW w:w="2120" w:type="dxa"/>
                                  <w:tcBorders/>
                                  <w:shd w:fill="296DC1" w:val="clear"/>
                                  <w:vAlign w:val="center"/>
                                </w:tcPr>
                                <w:p>
                                  <w:pPr>
                                    <w:pStyle w:val="TableContents"/>
                                    <w:bidi w:val="0"/>
                                    <w:spacing w:before="0" w:after="283"/>
                                    <w:jc w:val="center"/>
                                    <w:rPr>
                                      <w:rFonts w:ascii="Arial;Helvetica;Sans-Serif" w:hAnsi="Arial;Helvetica;Sans-Serif"/>
                                      <w:b w:val="false"/>
                                      <w:color w:val="FFFFFF"/>
                                      <w:sz w:val="16"/>
                                    </w:rPr>
                                  </w:pPr>
                                  <w:r>
                                    <w:rPr>
                                      <w:rFonts w:ascii="Arial;Helvetica;Sans-Serif" w:hAnsi="Arial;Helvetica;Sans-Serif"/>
                                      <w:b w:val="false"/>
                                      <w:color w:val="FFFFFF"/>
                                      <w:sz w:val="16"/>
                                    </w:rPr>
                                    <w:t>Return on the Trigger PLUS*</w:t>
                                  </w:r>
                                </w:p>
                              </w:tc>
                            </w:tr>
                            <w:tr>
                              <w:trPr/>
                              <w:tc>
                                <w:tcPr>
                                  <w:tcW w:w="17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212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75.00%</w:t>
                                  </w:r>
                                </w:p>
                              </w:tc>
                            </w:tr>
                            <w:tr>
                              <w:trPr/>
                              <w:tc>
                                <w:tcPr>
                                  <w:tcW w:w="17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212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r>
                            <w:tr>
                              <w:trPr/>
                              <w:tc>
                                <w:tcPr>
                                  <w:tcW w:w="17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212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45.00%</w:t>
                                  </w:r>
                                </w:p>
                              </w:tc>
                            </w:tr>
                            <w:tr>
                              <w:trPr/>
                              <w:tc>
                                <w:tcPr>
                                  <w:tcW w:w="17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212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r>
                            <w:tr>
                              <w:trPr/>
                              <w:tc>
                                <w:tcPr>
                                  <w:tcW w:w="17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212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15.00%</w:t>
                                  </w:r>
                                </w:p>
                              </w:tc>
                            </w:tr>
                            <w:tr>
                              <w:trPr/>
                              <w:tc>
                                <w:tcPr>
                                  <w:tcW w:w="17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c>
                                <w:tcPr>
                                  <w:tcW w:w="212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7.50%</w:t>
                                  </w:r>
                                </w:p>
                              </w:tc>
                            </w:tr>
                            <w:tr>
                              <w:trPr/>
                              <w:tc>
                                <w:tcPr>
                                  <w:tcW w:w="17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w:t>
                                  </w:r>
                                </w:p>
                              </w:tc>
                              <w:tc>
                                <w:tcPr>
                                  <w:tcW w:w="212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1.50%</w:t>
                                  </w:r>
                                </w:p>
                              </w:tc>
                            </w:tr>
                            <w:tr>
                              <w:trPr/>
                              <w:tc>
                                <w:tcPr>
                                  <w:tcW w:w="17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c>
                                <w:tcPr>
                                  <w:tcW w:w="212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r>
                            <w:tr>
                              <w:trPr/>
                              <w:tc>
                                <w:tcPr>
                                  <w:tcW w:w="17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c>
                                <w:tcPr>
                                  <w:tcW w:w="212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r>
                            <w:tr>
                              <w:trPr/>
                              <w:tc>
                                <w:tcPr>
                                  <w:tcW w:w="17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212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r>
                            <w:tr>
                              <w:trPr/>
                              <w:tc>
                                <w:tcPr>
                                  <w:tcW w:w="17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212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r>
                            <w:tr>
                              <w:trPr/>
                              <w:tc>
                                <w:tcPr>
                                  <w:tcW w:w="17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-25.00%</w:t>
                                  </w:r>
                                </w:p>
                              </w:tc>
                              <w:tc>
                                <w:tcPr>
                                  <w:tcW w:w="212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25.00%</w:t>
                                  </w:r>
                                </w:p>
                              </w:tc>
                            </w:tr>
                            <w:tr>
                              <w:trPr/>
                              <w:tc>
                                <w:tcPr>
                                  <w:tcW w:w="17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-25.01%</w:t>
                                  </w:r>
                                </w:p>
                              </w:tc>
                              <w:tc>
                                <w:tcPr>
                                  <w:tcW w:w="212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-25.01%</w:t>
                                  </w:r>
                                </w:p>
                              </w:tc>
                            </w:tr>
                            <w:tr>
                              <w:trPr/>
                              <w:tc>
                                <w:tcPr>
                                  <w:tcW w:w="17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212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r>
                            <w:tr>
                              <w:trPr/>
                              <w:tc>
                                <w:tcPr>
                                  <w:tcW w:w="17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212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r>
                            <w:tr>
                              <w:trPr/>
                              <w:tc>
                                <w:tcPr>
                                  <w:tcW w:w="17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212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r>
                            <w:tr>
                              <w:trPr/>
                              <w:tc>
                                <w:tcPr>
                                  <w:tcW w:w="17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c>
                                <w:tcPr>
                                  <w:tcW w:w="212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r>
                            <w:tr>
                              <w:trPr/>
                              <w:tc>
                                <w:tcPr>
                                  <w:tcW w:w="17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c>
                                <w:tcPr>
                                  <w:tcW w:w="212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r>
                            <w:tr>
                              <w:trPr/>
                              <w:tc>
                                <w:tcPr>
                                  <w:tcW w:w="17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c>
                                <w:tcPr>
                                  <w:tcW w:w="212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45000</wp14:pctWidth>
                </wp14:sizeRelH>
              </wp:anchor>
            </w:drawing>
          </mc:Choice>
          <mc:Fallback>
            <w:pict>
              <v:rect style="position:absolute;rotation:-0;width:229.6pt;height:785.2pt;mso-wrap-distance-left:0pt;mso-wrap-distance-right:0pt;mso-wrap-distance-top:0pt;mso-wrap-distance-bottom:0pt;margin-top:0pt;mso-position-vertical:top;mso-position-vertical-relative:text;margin-left:280.65pt;mso-position-horizontal:right;mso-position-horizontal-relative:text">
                <v:textbox>
                  <w:txbxContent>
                    <w:p>
                      <w:pPr>
                        <w:pStyle w:val="TextBody"/>
                        <w:bidi w:val="0"/>
                        <w:spacing w:before="0" w:after="0"/>
                        <w:ind w:left="0"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The estimated value of the Trigger PLUS on the pricing date will be provided in the pricing supplement and will not be less than $940.00 per $1,000 stated principal amount Trigger PLUS. For information about the estimated value of the Trigger PLUS, which likely will be lower than the price you paid for the Trigger PLUS, please see the hyperlink above.</w:t>
                      </w:r>
                    </w:p>
                    <w:p>
                      <w:pPr>
                        <w:pStyle w:val="TextBody"/>
                        <w:bidi w:val="0"/>
                        <w:spacing w:before="0" w:after="0"/>
                        <w:ind w:left="0"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Any payment on the Trigger PLUS is subject to the credit risk of JPMorgan Financial, as issuer of the Trigger PLUS, and the credit risk of JPMorgan Chase &amp; Co., as guarantor of the Trigger PLUS.</w:t>
                      </w:r>
                    </w:p>
                    <w:tbl>
                      <w:tblPr>
                        <w:tblW w:w="5685" w:type="dxa"/>
                        <w:jc w:val="center"/>
                        <w:tblInd w:w="0" w:type="dxa"/>
                        <w:tblLayout w:type="fixed"/>
                        <w:tblCellMar>
                          <w:top w:w="0" w:type="dxa"/>
                          <w:left w:w="0" w:type="dxa"/>
                          <w:bottom w:w="0" w:type="dxa"/>
                          <w:right w:w="0" w:type="dxa"/>
                        </w:tblCellMar>
                      </w:tblPr>
                      <w:tblGrid>
                        <w:gridCol w:w="5685"/>
                      </w:tblGrid>
                      <w:tr>
                        <w:trPr/>
                        <w:tc>
                          <w:tcPr>
                            <w:tcW w:w="5685" w:type="dxa"/>
                            <w:tcBorders/>
                            <w:shd w:fill="DCEBF4" w:val="clear"/>
                            <w:vAlign w:val="center"/>
                          </w:tcPr>
                          <w:p>
                            <w:pPr>
                              <w:pStyle w:val="TableContents"/>
                              <w:bidi w:val="0"/>
                              <w:spacing w:before="0" w:after="283"/>
                              <w:jc w:val="center"/>
                              <w:rPr>
                                <w:rFonts w:ascii="Arial;Helvetica;Sans-Serif" w:hAnsi="Arial;Helvetica;Sans-Serif"/>
                                <w:b/>
                                <w:color w:val="296DC1"/>
                                <w:sz w:val="17"/>
                              </w:rPr>
                            </w:pPr>
                            <w:r>
                              <w:rPr>
                                <w:rFonts w:ascii="Arial;Helvetica;Sans-Serif" w:hAnsi="Arial;Helvetica;Sans-Serif"/>
                                <w:b/>
                                <w:color w:val="296DC1"/>
                                <w:sz w:val="17"/>
                              </w:rPr>
                              <w:t xml:space="preserve">Auto-Callable Dual Directional Trigger PLUS Payoff Diagram* </w:t>
                            </w:r>
                          </w:p>
                        </w:tc>
                      </w:tr>
                      <w:tr>
                        <w:trPr/>
                        <w:tc>
                          <w:tcPr>
                            <w:tcW w:w="5685" w:type="dxa"/>
                            <w:tcBorders/>
                            <w:vAlign w:val="center"/>
                          </w:tcPr>
                          <w:p>
                            <w:pPr>
                              <w:pStyle w:val="TableContents"/>
                              <w:bidi w:val="0"/>
                              <w:spacing w:before="0" w:after="283"/>
                              <w:jc w:val="center"/>
                              <w:rPr>
                                <w:color w:val="296DC1"/>
                              </w:rPr>
                            </w:pPr>
                            <w:r>
                              <w:rPr>
                                <w:color w:val="296DC1"/>
                              </w:rPr>
                              <w:drawing>
                                <wp:inline distT="0" distB="0" distL="0" distR="0">
                                  <wp:extent cx="3590925" cy="25527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5"/>
                                          <a:stretch>
                                            <a:fillRect/>
                                          </a:stretch>
                                        </pic:blipFill>
                                        <pic:spPr bwMode="auto">
                                          <a:xfrm>
                                            <a:off x="0" y="0"/>
                                            <a:ext cx="3590925" cy="2552700"/>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tbl>
                      <w:tblPr>
                        <w:tblW w:w="3820" w:type="dxa"/>
                        <w:jc w:val="left"/>
                        <w:tblInd w:w="0" w:type="dxa"/>
                        <w:tblLayout w:type="fixed"/>
                        <w:tblCellMar>
                          <w:top w:w="0" w:type="dxa"/>
                          <w:left w:w="0" w:type="dxa"/>
                          <w:bottom w:w="0" w:type="dxa"/>
                          <w:right w:w="0" w:type="dxa"/>
                        </w:tblCellMar>
                      </w:tblPr>
                      <w:tblGrid>
                        <w:gridCol w:w="1700"/>
                        <w:gridCol w:w="2120"/>
                      </w:tblGrid>
                      <w:tr>
                        <w:trPr/>
                        <w:tc>
                          <w:tcPr>
                            <w:tcW w:w="1700" w:type="dxa"/>
                            <w:tcBorders/>
                            <w:shd w:fill="296DC1" w:val="clear"/>
                            <w:vAlign w:val="center"/>
                          </w:tcPr>
                          <w:p>
                            <w:pPr>
                              <w:pStyle w:val="TableContents"/>
                              <w:bidi w:val="0"/>
                              <w:spacing w:before="0" w:after="283"/>
                              <w:jc w:val="center"/>
                              <w:rPr>
                                <w:rFonts w:ascii="Arial;Helvetica;Sans-Serif" w:hAnsi="Arial;Helvetica;Sans-Serif"/>
                                <w:b w:val="false"/>
                                <w:color w:val="FFFFFF"/>
                                <w:sz w:val="16"/>
                              </w:rPr>
                            </w:pPr>
                            <w:r>
                              <w:rPr>
                                <w:rFonts w:ascii="Arial;Helvetica;Sans-Serif" w:hAnsi="Arial;Helvetica;Sans-Serif"/>
                                <w:b w:val="false"/>
                                <w:color w:val="FFFFFF"/>
                                <w:sz w:val="16"/>
                              </w:rPr>
                              <w:t>Change in ETF Shares</w:t>
                            </w:r>
                          </w:p>
                        </w:tc>
                        <w:tc>
                          <w:tcPr>
                            <w:tcW w:w="2120" w:type="dxa"/>
                            <w:tcBorders/>
                            <w:shd w:fill="296DC1" w:val="clear"/>
                            <w:vAlign w:val="center"/>
                          </w:tcPr>
                          <w:p>
                            <w:pPr>
                              <w:pStyle w:val="TableContents"/>
                              <w:bidi w:val="0"/>
                              <w:spacing w:before="0" w:after="283"/>
                              <w:jc w:val="center"/>
                              <w:rPr>
                                <w:rFonts w:ascii="Arial;Helvetica;Sans-Serif" w:hAnsi="Arial;Helvetica;Sans-Serif"/>
                                <w:b w:val="false"/>
                                <w:color w:val="FFFFFF"/>
                                <w:sz w:val="16"/>
                              </w:rPr>
                            </w:pPr>
                            <w:r>
                              <w:rPr>
                                <w:rFonts w:ascii="Arial;Helvetica;Sans-Serif" w:hAnsi="Arial;Helvetica;Sans-Serif"/>
                                <w:b w:val="false"/>
                                <w:color w:val="FFFFFF"/>
                                <w:sz w:val="16"/>
                              </w:rPr>
                              <w:t>Return on the Trigger PLUS*</w:t>
                            </w:r>
                          </w:p>
                        </w:tc>
                      </w:tr>
                      <w:tr>
                        <w:trPr/>
                        <w:tc>
                          <w:tcPr>
                            <w:tcW w:w="17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212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75.00%</w:t>
                            </w:r>
                          </w:p>
                        </w:tc>
                      </w:tr>
                      <w:tr>
                        <w:trPr/>
                        <w:tc>
                          <w:tcPr>
                            <w:tcW w:w="17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212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r>
                      <w:tr>
                        <w:trPr/>
                        <w:tc>
                          <w:tcPr>
                            <w:tcW w:w="17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212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45.00%</w:t>
                            </w:r>
                          </w:p>
                        </w:tc>
                      </w:tr>
                      <w:tr>
                        <w:trPr/>
                        <w:tc>
                          <w:tcPr>
                            <w:tcW w:w="17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212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r>
                      <w:tr>
                        <w:trPr/>
                        <w:tc>
                          <w:tcPr>
                            <w:tcW w:w="17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212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15.00%</w:t>
                            </w:r>
                          </w:p>
                        </w:tc>
                      </w:tr>
                      <w:tr>
                        <w:trPr/>
                        <w:tc>
                          <w:tcPr>
                            <w:tcW w:w="17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c>
                          <w:tcPr>
                            <w:tcW w:w="212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7.50%</w:t>
                            </w:r>
                          </w:p>
                        </w:tc>
                      </w:tr>
                      <w:tr>
                        <w:trPr/>
                        <w:tc>
                          <w:tcPr>
                            <w:tcW w:w="17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w:t>
                            </w:r>
                          </w:p>
                        </w:tc>
                        <w:tc>
                          <w:tcPr>
                            <w:tcW w:w="212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1.50%</w:t>
                            </w:r>
                          </w:p>
                        </w:tc>
                      </w:tr>
                      <w:tr>
                        <w:trPr/>
                        <w:tc>
                          <w:tcPr>
                            <w:tcW w:w="17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c>
                          <w:tcPr>
                            <w:tcW w:w="212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r>
                      <w:tr>
                        <w:trPr/>
                        <w:tc>
                          <w:tcPr>
                            <w:tcW w:w="17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c>
                          <w:tcPr>
                            <w:tcW w:w="212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r>
                      <w:tr>
                        <w:trPr/>
                        <w:tc>
                          <w:tcPr>
                            <w:tcW w:w="17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212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r>
                      <w:tr>
                        <w:trPr/>
                        <w:tc>
                          <w:tcPr>
                            <w:tcW w:w="17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212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r>
                      <w:tr>
                        <w:trPr/>
                        <w:tc>
                          <w:tcPr>
                            <w:tcW w:w="17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-25.00%</w:t>
                            </w:r>
                          </w:p>
                        </w:tc>
                        <w:tc>
                          <w:tcPr>
                            <w:tcW w:w="212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25.00%</w:t>
                            </w:r>
                          </w:p>
                        </w:tc>
                      </w:tr>
                      <w:tr>
                        <w:trPr/>
                        <w:tc>
                          <w:tcPr>
                            <w:tcW w:w="17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-25.01%</w:t>
                            </w:r>
                          </w:p>
                        </w:tc>
                        <w:tc>
                          <w:tcPr>
                            <w:tcW w:w="212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-25.01%</w:t>
                            </w:r>
                          </w:p>
                        </w:tc>
                      </w:tr>
                      <w:tr>
                        <w:trPr/>
                        <w:tc>
                          <w:tcPr>
                            <w:tcW w:w="17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212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r>
                      <w:tr>
                        <w:trPr/>
                        <w:tc>
                          <w:tcPr>
                            <w:tcW w:w="17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212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r>
                      <w:tr>
                        <w:trPr/>
                        <w:tc>
                          <w:tcPr>
                            <w:tcW w:w="17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212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r>
                      <w:tr>
                        <w:trPr/>
                        <w:tc>
                          <w:tcPr>
                            <w:tcW w:w="17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c>
                          <w:tcPr>
                            <w:tcW w:w="212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r>
                      <w:tr>
                        <w:trPr/>
                        <w:tc>
                          <w:tcPr>
                            <w:tcW w:w="17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c>
                          <w:tcPr>
                            <w:tcW w:w="212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r>
                      <w:tr>
                        <w:trPr/>
                        <w:tc>
                          <w:tcPr>
                            <w:tcW w:w="17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c>
                          <w:tcPr>
                            <w:tcW w:w="212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r>
                    </w:tbl>
                    <w:p>
                      <w:pPr>
                        <w:pStyle w:val="TextBody"/>
                        <w:bidi w:val="0"/>
                        <w:spacing w:before="0" w:after="283"/>
                        <w:jc w:val="left"/>
                        <w:rPr/>
                      </w:pPr>
                      <w:r>
                        <w:rPr/>
                      </w:r>
                    </w:p>
                  </w:txbxContent>
                </v:textbox>
                <w10:wrap type="square" side="left"/>
              </v:rect>
            </w:pict>
          </mc:Fallback>
        </mc:AlternateConten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b/>
          <w:i w:val="false"/>
          <w:caps w:val="false"/>
          <w:smallCaps w:val="false"/>
          <w:color w:val="808080"/>
          <w:sz w:val="24"/>
        </w:rPr>
      </w:pPr>
      <w:r>
        <w:rPr>
          <w:rFonts w:ascii="Arial;Helvetica;Sans-Serif" w:hAnsi="Arial;Helvetica;Sans-Serif"/>
          <w:b/>
          <w:i w:val="false"/>
          <w:caps w:val="false"/>
          <w:smallCaps w:val="false"/>
          <w:color w:val="808080"/>
          <w:sz w:val="24"/>
        </w:rPr>
        <w:t>JPMorgan Chase Financial Company LLC</w:t>
      </w:r>
    </w:p>
    <w:p>
      <w:pPr>
        <w:pStyle w:val="TextBody"/>
        <w:pBdr>
          <w:bottom w:val="single" w:sz="4" w:space="1" w:color="296DC1"/>
        </w:pBdr>
        <w:bidi w:val="0"/>
        <w:spacing w:before="0" w:after="0"/>
        <w:ind w:left="0" w:right="0" w:hanging="0"/>
        <w:jc w:val="left"/>
        <w:rPr>
          <w:rFonts w:ascii="Arial;Helvetica;Sans-Serif" w:hAnsi="Arial;Helvetica;Sans-Serif"/>
          <w:b w:val="false"/>
          <w:i w:val="false"/>
          <w:caps w:val="false"/>
          <w:smallCaps w:val="false"/>
          <w:color w:val="296DC1"/>
          <w:sz w:val="32"/>
        </w:rPr>
      </w:pPr>
      <w:r>
        <w:rPr>
          <w:rFonts w:ascii="Arial;Helvetica;Sans-Serif" w:hAnsi="Arial;Helvetica;Sans-Serif"/>
          <w:b w:val="false"/>
          <w:i w:val="false"/>
          <w:caps w:val="false"/>
          <w:smallCaps w:val="false"/>
          <w:color w:val="296DC1"/>
          <w:sz w:val="32"/>
        </w:rPr>
        <w:t>2-Year IBIT Dual Directional Trigger PLUS</w:t>
      </w:r>
    </w:p>
    <w:p>
      <w:pPr>
        <w:pStyle w:val="TextBody"/>
        <w:bidi w:val="0"/>
        <w:spacing w:before="0" w:after="0"/>
        <w:ind w:left="0" w:right="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ETF Shares</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For more information about the ETF Shares, including historical performance information, see the accompanying preliminary pricing supplement.</w:t>
      </w:r>
    </w:p>
    <w:p>
      <w:pPr>
        <w:pStyle w:val="TextBody"/>
        <w:bidi w:val="0"/>
        <w:spacing w:before="0" w:after="0"/>
        <w:ind w:left="0" w:right="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Risk Considerations</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risks identified below are not exhaustive. Please see “Risk Factors” in the accompanying prospectus supplement, product supplement and preliminary pricing supplement for additional information.</w:t>
      </w:r>
    </w:p>
    <w:p>
      <w:pPr>
        <w:pStyle w:val="TextBody"/>
        <w:bidi w:val="0"/>
        <w:spacing w:before="0" w:after="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Trigger PLUS Generally</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 xml:space="preserve">The Trigger PLUS do not pay interest or, if the Trigger PLUS have not been automatically redeemed prior to maturity, guarantee the return of any principal and your investment in the Trigger PLUS may result in a loss.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If the Trigger PLUS are automatically redeemed prior to maturity, the appreciation potential of the Trigger PLUS is limited to the early redemption payment.</w:t>
            </w:r>
          </w:p>
        </w:tc>
      </w:tr>
    </w:tbl>
    <w:tbl>
      <w:tblPr>
        <w:tblW w:w="5000" w:type="pct"/>
        <w:jc w:val="left"/>
        <w:tblInd w:w="0" w:type="dxa"/>
        <w:tblLayout w:type="fixed"/>
        <w:tblCellMar>
          <w:top w:w="0" w:type="dxa"/>
          <w:left w:w="0" w:type="dxa"/>
          <w:bottom w:w="0" w:type="dxa"/>
          <w:right w:w="0" w:type="dxa"/>
        </w:tblCellMar>
      </w:tblPr>
      <w:tblGrid>
        <w:gridCol w:w="213"/>
        <w:gridCol w:w="701"/>
        <w:gridCol w:w="9291"/>
      </w:tblGrid>
      <w:tr>
        <w:trPr/>
        <w:tc>
          <w:tcPr>
            <w:tcW w:w="213"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291" w:type="dxa"/>
            <w:tcBorders/>
            <w:vAlign w:val="center"/>
          </w:tcPr>
          <w:p>
            <w:pPr>
              <w:pStyle w:val="TableContents"/>
              <w:bidi w:val="0"/>
              <w:spacing w:before="0" w:after="283"/>
              <w:jc w:val="left"/>
              <w:rPr>
                <w:sz w:val="18"/>
              </w:rPr>
            </w:pPr>
            <w:r>
              <w:rPr>
                <w:sz w:val="18"/>
              </w:rPr>
              <w:t xml:space="preserve">Early redemption risk.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 xml:space="preserve">If the Trigger PLUS have not been automatically redeemed prior to maturity, your maximum downside gain on the Trigger PLUS is limited by the trigger level.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 xml:space="preserve">The Trigger PLUS are subject to the credit risks of JPMorgan Financial and JPMorgan Chase &amp; Co., and any actual or anticipated changes to our or JPMorgan Chase &amp; Co.’s credit ratings or credit spreads may adversely affect the market value of the Trigger PLUS. </w:t>
            </w:r>
          </w:p>
        </w:tc>
      </w:tr>
    </w:tbl>
    <w:tbl>
      <w:tblPr>
        <w:tblW w:w="5000" w:type="pct"/>
        <w:jc w:val="left"/>
        <w:tblInd w:w="0" w:type="dxa"/>
        <w:tblLayout w:type="fixed"/>
        <w:tblCellMar>
          <w:top w:w="0" w:type="dxa"/>
          <w:left w:w="0" w:type="dxa"/>
          <w:bottom w:w="0" w:type="dxa"/>
          <w:right w:w="0" w:type="dxa"/>
        </w:tblCellMar>
      </w:tblPr>
      <w:tblGrid>
        <w:gridCol w:w="54"/>
        <w:gridCol w:w="179"/>
        <w:gridCol w:w="9972"/>
      </w:tblGrid>
      <w:tr>
        <w:trPr/>
        <w:tc>
          <w:tcPr>
            <w:tcW w:w="5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72" w:type="dxa"/>
            <w:tcBorders/>
            <w:vAlign w:val="center"/>
          </w:tcPr>
          <w:p>
            <w:pPr>
              <w:pStyle w:val="TableContents"/>
              <w:bidi w:val="0"/>
              <w:spacing w:before="0" w:after="283"/>
              <w:jc w:val="left"/>
              <w:rPr>
                <w:sz w:val="18"/>
              </w:rPr>
            </w:pPr>
            <w:r>
              <w:rPr>
                <w:sz w:val="18"/>
              </w:rPr>
              <w:t xml:space="preserve">As a finance subsidiary, JPMorgan Financial has no independent activities and has limited assets. </w:t>
            </w:r>
          </w:p>
        </w:tc>
      </w:tr>
    </w:tbl>
    <w:tbl>
      <w:tblPr>
        <w:tblW w:w="5000" w:type="pct"/>
        <w:jc w:val="left"/>
        <w:tblInd w:w="0" w:type="dxa"/>
        <w:tblLayout w:type="fixed"/>
        <w:tblCellMar>
          <w:top w:w="0" w:type="dxa"/>
          <w:left w:w="0" w:type="dxa"/>
          <w:bottom w:w="0" w:type="dxa"/>
          <w:right w:w="0" w:type="dxa"/>
        </w:tblCellMar>
      </w:tblPr>
      <w:tblGrid>
        <w:gridCol w:w="68"/>
        <w:gridCol w:w="228"/>
        <w:gridCol w:w="9909"/>
      </w:tblGrid>
      <w:tr>
        <w:trPr/>
        <w:tc>
          <w:tcPr>
            <w:tcW w:w="6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09" w:type="dxa"/>
            <w:tcBorders/>
            <w:vAlign w:val="center"/>
          </w:tcPr>
          <w:p>
            <w:pPr>
              <w:pStyle w:val="TableContents"/>
              <w:bidi w:val="0"/>
              <w:spacing w:before="0" w:after="283"/>
              <w:jc w:val="left"/>
              <w:rPr>
                <w:sz w:val="18"/>
              </w:rPr>
            </w:pPr>
            <w:r>
              <w:rPr>
                <w:sz w:val="18"/>
              </w:rPr>
              <w:t>The benefit provided by the trigger level may terminate on the valuation date.</w:t>
            </w:r>
          </w:p>
        </w:tc>
      </w:tr>
    </w:tbl>
    <w:tbl>
      <w:tblPr>
        <w:tblW w:w="5000" w:type="pct"/>
        <w:jc w:val="left"/>
        <w:tblInd w:w="0" w:type="dxa"/>
        <w:tblLayout w:type="fixed"/>
        <w:tblCellMar>
          <w:top w:w="0" w:type="dxa"/>
          <w:left w:w="0" w:type="dxa"/>
          <w:bottom w:w="0" w:type="dxa"/>
          <w:right w:w="0" w:type="dxa"/>
        </w:tblCellMar>
      </w:tblPr>
      <w:tblGrid>
        <w:gridCol w:w="145"/>
        <w:gridCol w:w="480"/>
        <w:gridCol w:w="9580"/>
      </w:tblGrid>
      <w:tr>
        <w:trPr/>
        <w:tc>
          <w:tcPr>
            <w:tcW w:w="14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580" w:type="dxa"/>
            <w:tcBorders/>
            <w:vAlign w:val="center"/>
          </w:tcPr>
          <w:p>
            <w:pPr>
              <w:pStyle w:val="TableContents"/>
              <w:bidi w:val="0"/>
              <w:spacing w:before="0" w:after="283"/>
              <w:jc w:val="left"/>
              <w:rPr>
                <w:sz w:val="18"/>
              </w:rPr>
            </w:pPr>
            <w:r>
              <w:rPr>
                <w:sz w:val="18"/>
              </w:rPr>
              <w:t xml:space="preserve">Secondary trading may be limited.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We may accelerate your Trigger PLUS in our sole discretion and the calculation agent may adjust their final payment in good faith and in a commercially reasonable manner if an acceleration event occurs.</w:t>
            </w:r>
          </w:p>
        </w:tc>
      </w:tr>
    </w:tbl>
    <w:tbl>
      <w:tblPr>
        <w:tblW w:w="5000" w:type="pct"/>
        <w:jc w:val="left"/>
        <w:tblInd w:w="0" w:type="dxa"/>
        <w:tblLayout w:type="fixed"/>
        <w:tblCellMar>
          <w:top w:w="0" w:type="dxa"/>
          <w:left w:w="0" w:type="dxa"/>
          <w:bottom w:w="0" w:type="dxa"/>
          <w:right w:w="0" w:type="dxa"/>
        </w:tblCellMar>
      </w:tblPr>
      <w:tblGrid>
        <w:gridCol w:w="50"/>
        <w:gridCol w:w="165"/>
        <w:gridCol w:w="9990"/>
      </w:tblGrid>
      <w:tr>
        <w:trPr/>
        <w:tc>
          <w:tcPr>
            <w:tcW w:w="5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90" w:type="dxa"/>
            <w:tcBorders/>
            <w:vAlign w:val="center"/>
          </w:tcPr>
          <w:p>
            <w:pPr>
              <w:pStyle w:val="TableContents"/>
              <w:bidi w:val="0"/>
              <w:spacing w:before="0" w:after="283"/>
              <w:jc w:val="left"/>
              <w:rPr>
                <w:sz w:val="18"/>
              </w:rPr>
            </w:pPr>
            <w:r>
              <w:rPr>
                <w:sz w:val="18"/>
              </w:rPr>
              <w:t xml:space="preserve">The final terms and </w:t>
            </w:r>
            <w:r>
              <w:rPr>
                <w:rFonts w:ascii="Arial;Helvetica;Sans-Serif" w:hAnsi="Arial;Helvetica;Sans-Serif"/>
                <w:b w:val="false"/>
                <w:sz w:val="18"/>
              </w:rPr>
              <w:t xml:space="preserve">estimated </w:t>
            </w:r>
            <w:r>
              <w:rPr>
                <w:sz w:val="18"/>
              </w:rPr>
              <w:t xml:space="preserve">valuation of the Trigger PLUS will be provided in the pricing supplement. </w:t>
            </w:r>
          </w:p>
        </w:tc>
      </w:tr>
    </w:tbl>
    <w:tbl>
      <w:tblPr>
        <w:tblW w:w="5000" w:type="pct"/>
        <w:jc w:val="left"/>
        <w:tblInd w:w="0" w:type="dxa"/>
        <w:tblLayout w:type="fixed"/>
        <w:tblCellMar>
          <w:top w:w="0" w:type="dxa"/>
          <w:left w:w="0" w:type="dxa"/>
          <w:bottom w:w="0" w:type="dxa"/>
          <w:right w:w="0" w:type="dxa"/>
        </w:tblCellMar>
      </w:tblPr>
      <w:tblGrid>
        <w:gridCol w:w="70"/>
        <w:gridCol w:w="232"/>
        <w:gridCol w:w="9903"/>
      </w:tblGrid>
      <w:tr>
        <w:trPr/>
        <w:tc>
          <w:tcPr>
            <w:tcW w:w="7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03" w:type="dxa"/>
            <w:tcBorders/>
            <w:vAlign w:val="center"/>
          </w:tcPr>
          <w:p>
            <w:pPr>
              <w:pStyle w:val="TableContents"/>
              <w:bidi w:val="0"/>
              <w:spacing w:before="0" w:after="283"/>
              <w:jc w:val="left"/>
              <w:rPr>
                <w:sz w:val="18"/>
              </w:rPr>
            </w:pPr>
            <w:r>
              <w:rPr>
                <w:sz w:val="18"/>
              </w:rPr>
              <w:t xml:space="preserve">The tax consequences of an investment in the Trigger PLUS are uncertain. </w:t>
            </w:r>
          </w:p>
        </w:tc>
      </w:tr>
    </w:tbl>
    <w:p>
      <w:pPr>
        <w:pStyle w:val="TextBody"/>
        <w:bidi w:val="0"/>
        <w:spacing w:before="0" w:after="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Conflicts of Interest</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Economic interests of the issuer, the guarantor, the calculation agent, the agent of the offering of the Trigger PLUS and other affiliates of the issuer may be different from those of investors.</w:t>
            </w:r>
          </w:p>
        </w:tc>
      </w:tr>
    </w:tbl>
    <w:tbl>
      <w:tblPr>
        <w:tblW w:w="5000" w:type="pct"/>
        <w:jc w:val="left"/>
        <w:tblInd w:w="0" w:type="dxa"/>
        <w:tblLayout w:type="fixed"/>
        <w:tblCellMar>
          <w:top w:w="0" w:type="dxa"/>
          <w:left w:w="0" w:type="dxa"/>
          <w:bottom w:w="0" w:type="dxa"/>
          <w:right w:w="0" w:type="dxa"/>
        </w:tblCellMar>
      </w:tblPr>
      <w:tblGrid>
        <w:gridCol w:w="46"/>
        <w:gridCol w:w="154"/>
        <w:gridCol w:w="10005"/>
      </w:tblGrid>
      <w:tr>
        <w:trPr/>
        <w:tc>
          <w:tcPr>
            <w:tcW w:w="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05" w:type="dxa"/>
            <w:tcBorders/>
            <w:vAlign w:val="center"/>
          </w:tcPr>
          <w:p>
            <w:pPr>
              <w:pStyle w:val="TableContents"/>
              <w:bidi w:val="0"/>
              <w:spacing w:before="0" w:after="283"/>
              <w:jc w:val="left"/>
              <w:rPr>
                <w:sz w:val="18"/>
              </w:rPr>
            </w:pPr>
            <w:r>
              <w:rPr>
                <w:sz w:val="18"/>
              </w:rPr>
              <w:t>Hedging and trading activities by the issuer and its affiliates could potentially affect the value of the Trigger PLUS.</w:t>
            </w:r>
          </w:p>
        </w:tc>
      </w:tr>
    </w:tbl>
    <w:p>
      <w:pPr>
        <w:pStyle w:val="TextBody"/>
        <w:bidi w:val="0"/>
        <w:spacing w:before="0" w:after="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Estimated Value and Secondary Market Prices of the Trigger PLUS</w:t>
      </w:r>
    </w:p>
    <w:tbl>
      <w:tblPr>
        <w:tblW w:w="5000" w:type="pct"/>
        <w:jc w:val="left"/>
        <w:tblInd w:w="0" w:type="dxa"/>
        <w:tblLayout w:type="fixed"/>
        <w:tblCellMar>
          <w:top w:w="0" w:type="dxa"/>
          <w:left w:w="0" w:type="dxa"/>
          <w:bottom w:w="0" w:type="dxa"/>
          <w:right w:w="0" w:type="dxa"/>
        </w:tblCellMar>
      </w:tblPr>
      <w:tblGrid>
        <w:gridCol w:w="44"/>
        <w:gridCol w:w="145"/>
        <w:gridCol w:w="10016"/>
      </w:tblGrid>
      <w:tr>
        <w:trPr/>
        <w:tc>
          <w:tcPr>
            <w:tcW w:w="4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16" w:type="dxa"/>
            <w:tcBorders/>
            <w:vAlign w:val="center"/>
          </w:tcPr>
          <w:p>
            <w:pPr>
              <w:pStyle w:val="TableContents"/>
              <w:bidi w:val="0"/>
              <w:spacing w:before="0" w:after="283"/>
              <w:jc w:val="left"/>
              <w:rPr>
                <w:sz w:val="18"/>
              </w:rPr>
            </w:pPr>
            <w:r>
              <w:rPr>
                <w:sz w:val="18"/>
              </w:rPr>
              <w:t>The estimated value of the Trigger PLUS will be lower than the original issue price (price to public) of the Trigger PLUS</w:t>
            </w:r>
            <w:r>
              <w:rPr>
                <w:rFonts w:ascii="Arial;Helvetica;Sans-Serif" w:hAnsi="Arial;Helvetica;Sans-Serif"/>
                <w:b w:val="false"/>
                <w:sz w:val="18"/>
              </w:rPr>
              <w:t>.</w:t>
            </w:r>
          </w:p>
        </w:tc>
      </w:tr>
    </w:tbl>
    <w:tbl>
      <w:tblPr>
        <w:tblW w:w="5000" w:type="pct"/>
        <w:jc w:val="left"/>
        <w:tblInd w:w="0" w:type="dxa"/>
        <w:tblLayout w:type="fixed"/>
        <w:tblCellMar>
          <w:top w:w="0" w:type="dxa"/>
          <w:left w:w="0" w:type="dxa"/>
          <w:bottom w:w="0" w:type="dxa"/>
          <w:right w:w="0" w:type="dxa"/>
        </w:tblCellMar>
      </w:tblPr>
      <w:tblGrid>
        <w:gridCol w:w="40"/>
        <w:gridCol w:w="131"/>
        <w:gridCol w:w="10034"/>
      </w:tblGrid>
      <w:tr>
        <w:trPr/>
        <w:tc>
          <w:tcPr>
            <w:tcW w:w="4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34" w:type="dxa"/>
            <w:tcBorders/>
            <w:vAlign w:val="center"/>
          </w:tcPr>
          <w:p>
            <w:pPr>
              <w:pStyle w:val="TableContents"/>
              <w:bidi w:val="0"/>
              <w:spacing w:before="0" w:after="283"/>
              <w:jc w:val="left"/>
              <w:rPr>
                <w:sz w:val="18"/>
              </w:rPr>
            </w:pPr>
            <w:r>
              <w:rPr>
                <w:sz w:val="18"/>
              </w:rPr>
              <w:t>The estimated value of the Trigger PLUS does not represent future values of the Trigger PLUS and may differ from others’ estimates</w:t>
            </w:r>
            <w:r>
              <w:rPr>
                <w:rFonts w:ascii="Arial;Helvetica;Sans-Serif" w:hAnsi="Arial;Helvetica;Sans-Serif"/>
                <w:b w:val="false"/>
                <w:sz w:val="18"/>
              </w:rPr>
              <w:t>.</w:t>
            </w:r>
          </w:p>
        </w:tc>
      </w:tr>
    </w:tbl>
    <w:tbl>
      <w:tblPr>
        <w:tblW w:w="5000" w:type="pct"/>
        <w:jc w:val="left"/>
        <w:tblInd w:w="0" w:type="dxa"/>
        <w:tblLayout w:type="fixed"/>
        <w:tblCellMar>
          <w:top w:w="0" w:type="dxa"/>
          <w:left w:w="0" w:type="dxa"/>
          <w:bottom w:w="0" w:type="dxa"/>
          <w:right w:w="0" w:type="dxa"/>
        </w:tblCellMar>
      </w:tblPr>
      <w:tblGrid>
        <w:gridCol w:w="51"/>
        <w:gridCol w:w="171"/>
        <w:gridCol w:w="9983"/>
      </w:tblGrid>
      <w:tr>
        <w:trPr/>
        <w:tc>
          <w:tcPr>
            <w:tcW w:w="5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83" w:type="dxa"/>
            <w:tcBorders/>
            <w:vAlign w:val="center"/>
          </w:tcPr>
          <w:p>
            <w:pPr>
              <w:pStyle w:val="TableContents"/>
              <w:bidi w:val="0"/>
              <w:spacing w:before="0" w:after="283"/>
              <w:jc w:val="left"/>
              <w:rPr/>
            </w:pPr>
            <w:r>
              <w:rPr>
                <w:rFonts w:ascii="Arial;Helvetica;Sans-Serif" w:hAnsi="Arial;Helvetica;Sans-Serif"/>
                <w:b w:val="false"/>
                <w:sz w:val="18"/>
              </w:rPr>
              <w:t xml:space="preserve">The estimated value of the </w:t>
            </w:r>
            <w:r>
              <w:rPr>
                <w:sz w:val="18"/>
              </w:rPr>
              <w:t xml:space="preserve">Trigger PLUS </w:t>
            </w:r>
            <w:r>
              <w:rPr>
                <w:rFonts w:ascii="Arial;Helvetica;Sans-Serif" w:hAnsi="Arial;Helvetica;Sans-Serif"/>
                <w:b w:val="false"/>
                <w:sz w:val="18"/>
              </w:rPr>
              <w:t>is derived by reference to an internal funding rate.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43" w:type="dxa"/>
            <w:tcBorders/>
            <w:vAlign w:val="center"/>
          </w:tcPr>
          <w:p>
            <w:pPr>
              <w:pStyle w:val="TableContents"/>
              <w:bidi w:val="0"/>
              <w:spacing w:before="0" w:after="283"/>
              <w:jc w:val="left"/>
              <w:rPr/>
            </w:pPr>
            <w:r>
              <w:rPr>
                <w:rFonts w:ascii="Arial;Helvetica;Sans-Serif" w:hAnsi="Arial;Helvetica;Sans-Serif"/>
                <w:b w:val="false"/>
                <w:sz w:val="18"/>
              </w:rPr>
              <w:t xml:space="preserve">The value of the </w:t>
            </w:r>
            <w:r>
              <w:rPr>
                <w:sz w:val="18"/>
              </w:rPr>
              <w:t xml:space="preserve">Trigger PLUS </w:t>
            </w:r>
            <w:r>
              <w:rPr>
                <w:rFonts w:ascii="Arial;Helvetica;Sans-Serif" w:hAnsi="Arial;Helvetica;Sans-Serif"/>
                <w:b w:val="false"/>
                <w:sz w:val="18"/>
              </w:rPr>
              <w:t xml:space="preserve">as published by J.P. Morgan Securities LLC (and which may be reflected on customer account statements) may be higher than the then-current estimated value of the </w:t>
            </w:r>
            <w:r>
              <w:rPr>
                <w:sz w:val="18"/>
              </w:rPr>
              <w:t xml:space="preserve">Trigger PLUS </w:t>
            </w:r>
            <w:r>
              <w:rPr>
                <w:rFonts w:ascii="Arial;Helvetica;Sans-Serif" w:hAnsi="Arial;Helvetica;Sans-Serif"/>
                <w:b w:val="false"/>
                <w:sz w:val="18"/>
              </w:rPr>
              <w:t>for a limited time period.</w:t>
            </w:r>
          </w:p>
        </w:tc>
      </w:tr>
    </w:tbl>
    <w:tbl>
      <w:tblPr>
        <w:tblW w:w="5000" w:type="pct"/>
        <w:jc w:val="left"/>
        <w:tblInd w:w="0" w:type="dxa"/>
        <w:tblLayout w:type="fixed"/>
        <w:tblCellMar>
          <w:top w:w="0" w:type="dxa"/>
          <w:left w:w="0" w:type="dxa"/>
          <w:bottom w:w="0" w:type="dxa"/>
          <w:right w:w="0" w:type="dxa"/>
        </w:tblCellMar>
      </w:tblPr>
      <w:tblGrid>
        <w:gridCol w:w="45"/>
        <w:gridCol w:w="151"/>
        <w:gridCol w:w="10009"/>
      </w:tblGrid>
      <w:tr>
        <w:trPr/>
        <w:tc>
          <w:tcPr>
            <w:tcW w:w="4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09" w:type="dxa"/>
            <w:tcBorders/>
            <w:vAlign w:val="center"/>
          </w:tcPr>
          <w:p>
            <w:pPr>
              <w:pStyle w:val="TableContents"/>
              <w:bidi w:val="0"/>
              <w:spacing w:before="0" w:after="283"/>
              <w:jc w:val="left"/>
              <w:rPr>
                <w:sz w:val="18"/>
              </w:rPr>
            </w:pPr>
            <w:r>
              <w:rPr>
                <w:sz w:val="18"/>
              </w:rPr>
              <w:t>Secondary market prices of the Trigger PLUS will likely be lower than the original issue price of the Trigger PLUS</w:t>
            </w:r>
            <w:r>
              <w:rPr>
                <w:rFonts w:ascii="Arial;Helvetica;Sans-Serif" w:hAnsi="Arial;Helvetica;Sans-Serif"/>
                <w:b w:val="false"/>
                <w:sz w:val="18"/>
              </w:rPr>
              <w:t xml:space="preserve">. </w:t>
            </w:r>
          </w:p>
        </w:tc>
      </w:tr>
    </w:tbl>
    <w:tbl>
      <w:tblPr>
        <w:tblW w:w="5000" w:type="pct"/>
        <w:jc w:val="left"/>
        <w:tblInd w:w="0" w:type="dxa"/>
        <w:tblLayout w:type="fixed"/>
        <w:tblCellMar>
          <w:top w:w="0" w:type="dxa"/>
          <w:left w:w="0" w:type="dxa"/>
          <w:bottom w:w="0" w:type="dxa"/>
          <w:right w:w="0" w:type="dxa"/>
        </w:tblCellMar>
      </w:tblPr>
      <w:tblGrid>
        <w:gridCol w:w="46"/>
        <w:gridCol w:w="153"/>
        <w:gridCol w:w="10006"/>
      </w:tblGrid>
      <w:tr>
        <w:trPr/>
        <w:tc>
          <w:tcPr>
            <w:tcW w:w="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06" w:type="dxa"/>
            <w:tcBorders/>
            <w:vAlign w:val="center"/>
          </w:tcPr>
          <w:p>
            <w:pPr>
              <w:pStyle w:val="TableContents"/>
              <w:bidi w:val="0"/>
              <w:spacing w:before="0" w:after="283"/>
              <w:jc w:val="left"/>
              <w:rPr/>
            </w:pPr>
            <w:r>
              <w:rPr>
                <w:rFonts w:ascii="Arial;Helvetica;Sans-Serif" w:hAnsi="Arial;Helvetica;Sans-Serif"/>
                <w:b w:val="false"/>
                <w:sz w:val="18"/>
              </w:rPr>
              <w:t xml:space="preserve">Secondary market prices of the </w:t>
            </w:r>
            <w:r>
              <w:rPr>
                <w:sz w:val="18"/>
              </w:rPr>
              <w:t xml:space="preserve">Trigger PLUS </w:t>
            </w:r>
            <w:r>
              <w:rPr>
                <w:rFonts w:ascii="Arial;Helvetica;Sans-Serif" w:hAnsi="Arial;Helvetica;Sans-Serif"/>
                <w:b w:val="false"/>
                <w:sz w:val="18"/>
              </w:rPr>
              <w:t>will be impacted by many economic and market factors.</w:t>
            </w:r>
          </w:p>
        </w:tc>
      </w:tr>
    </w:tbl>
    <w:p>
      <w:pPr>
        <w:pStyle w:val="TextBody"/>
        <w:bidi w:val="0"/>
        <w:spacing w:before="0" w:after="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ETF Shares</w:t>
      </w:r>
    </w:p>
    <w:tbl>
      <w:tblPr>
        <w:tblW w:w="5000" w:type="pct"/>
        <w:jc w:val="left"/>
        <w:tblInd w:w="0" w:type="dxa"/>
        <w:tblLayout w:type="fixed"/>
        <w:tblCellMar>
          <w:top w:w="0" w:type="dxa"/>
          <w:left w:w="0" w:type="dxa"/>
          <w:bottom w:w="0" w:type="dxa"/>
          <w:right w:w="0" w:type="dxa"/>
        </w:tblCellMar>
      </w:tblPr>
      <w:tblGrid>
        <w:gridCol w:w="66"/>
        <w:gridCol w:w="220"/>
        <w:gridCol w:w="9919"/>
      </w:tblGrid>
      <w:tr>
        <w:trPr/>
        <w:tc>
          <w:tcPr>
            <w:tcW w:w="6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19" w:type="dxa"/>
            <w:tcBorders/>
            <w:vAlign w:val="center"/>
          </w:tcPr>
          <w:p>
            <w:pPr>
              <w:pStyle w:val="TableContents"/>
              <w:bidi w:val="0"/>
              <w:spacing w:before="0" w:after="283"/>
              <w:jc w:val="left"/>
              <w:rPr>
                <w:sz w:val="18"/>
              </w:rPr>
            </w:pPr>
            <w:r>
              <w:rPr>
                <w:sz w:val="18"/>
              </w:rPr>
              <w:t>Investing in the Trigger PLUS is not equivalent to investing in the ETF Shares.</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2" w:type="dxa"/>
            <w:tcBorders/>
            <w:vAlign w:val="center"/>
          </w:tcPr>
          <w:p>
            <w:pPr>
              <w:pStyle w:val="TableContents"/>
              <w:bidi w:val="0"/>
              <w:spacing w:before="0" w:after="283"/>
              <w:jc w:val="left"/>
              <w:rPr>
                <w:sz w:val="18"/>
              </w:rPr>
            </w:pPr>
            <w:r>
              <w:rPr>
                <w:sz w:val="18"/>
              </w:rPr>
              <w:t>The Fund is not an investment company or a commodity pool and will not be subject to regulation under the Investment Company Act of 1940, as amended, or the Commodity Exchange Act.</w:t>
            </w:r>
          </w:p>
        </w:tc>
      </w:tr>
    </w:tbl>
    <w:tbl>
      <w:tblPr>
        <w:tblW w:w="5000" w:type="pct"/>
        <w:jc w:val="left"/>
        <w:tblInd w:w="0" w:type="dxa"/>
        <w:tblLayout w:type="fixed"/>
        <w:tblCellMar>
          <w:top w:w="0" w:type="dxa"/>
          <w:left w:w="0" w:type="dxa"/>
          <w:bottom w:w="0" w:type="dxa"/>
          <w:right w:w="0" w:type="dxa"/>
        </w:tblCellMar>
      </w:tblPr>
      <w:tblGrid>
        <w:gridCol w:w="108"/>
        <w:gridCol w:w="359"/>
        <w:gridCol w:w="9738"/>
      </w:tblGrid>
      <w:tr>
        <w:trPr/>
        <w:tc>
          <w:tcPr>
            <w:tcW w:w="10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738" w:type="dxa"/>
            <w:tcBorders/>
            <w:vAlign w:val="center"/>
          </w:tcPr>
          <w:p>
            <w:pPr>
              <w:pStyle w:val="TableContents"/>
              <w:bidi w:val="0"/>
              <w:spacing w:before="0" w:after="283"/>
              <w:jc w:val="left"/>
              <w:rPr>
                <w:sz w:val="18"/>
              </w:rPr>
            </w:pPr>
            <w:r>
              <w:rPr>
                <w:sz w:val="18"/>
              </w:rPr>
              <w:t>There are risks associated with the ETF Shares.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The performance and market value of the ETF Shares, particularly during periods of market volatility, may not correlate with the performance of the underlying asset as well as the net asset value per ETF Share.</w:t>
            </w:r>
          </w:p>
        </w:tc>
      </w:tr>
    </w:tbl>
    <w:tbl>
      <w:tblPr>
        <w:tblW w:w="5000" w:type="pct"/>
        <w:jc w:val="left"/>
        <w:tblInd w:w="0" w:type="dxa"/>
        <w:tblLayout w:type="fixed"/>
        <w:tblCellMar>
          <w:top w:w="0" w:type="dxa"/>
          <w:left w:w="0" w:type="dxa"/>
          <w:bottom w:w="0" w:type="dxa"/>
          <w:right w:w="0" w:type="dxa"/>
        </w:tblCellMar>
      </w:tblPr>
      <w:tblGrid>
        <w:gridCol w:w="83"/>
        <w:gridCol w:w="274"/>
        <w:gridCol w:w="9848"/>
      </w:tblGrid>
      <w:tr>
        <w:trPr/>
        <w:tc>
          <w:tcPr>
            <w:tcW w:w="8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848" w:type="dxa"/>
            <w:tcBorders/>
            <w:vAlign w:val="center"/>
          </w:tcPr>
          <w:p>
            <w:pPr>
              <w:pStyle w:val="TableContents"/>
              <w:bidi w:val="0"/>
              <w:spacing w:before="0" w:after="283"/>
              <w:jc w:val="left"/>
              <w:rPr/>
            </w:pPr>
            <w:r>
              <w:rPr/>
              <w:t>The Trigger PLUS are subject to volatility risk.</w:t>
            </w:r>
          </w:p>
        </w:tc>
      </w:tr>
    </w:tbl>
    <w:tbl>
      <w:tblPr>
        <w:tblW w:w="5000" w:type="pct"/>
        <w:jc w:val="left"/>
        <w:tblInd w:w="0" w:type="dxa"/>
        <w:tblLayout w:type="fixed"/>
        <w:tblCellMar>
          <w:top w:w="0" w:type="dxa"/>
          <w:left w:w="0" w:type="dxa"/>
          <w:bottom w:w="0" w:type="dxa"/>
          <w:right w:w="0" w:type="dxa"/>
        </w:tblCellMar>
      </w:tblPr>
      <w:tblGrid>
        <w:gridCol w:w="65"/>
        <w:gridCol w:w="215"/>
        <w:gridCol w:w="9925"/>
      </w:tblGrid>
      <w:tr>
        <w:trPr/>
        <w:tc>
          <w:tcPr>
            <w:tcW w:w="6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25" w:type="dxa"/>
            <w:tcBorders/>
            <w:vAlign w:val="center"/>
          </w:tcPr>
          <w:p>
            <w:pPr>
              <w:pStyle w:val="TableContents"/>
              <w:bidi w:val="0"/>
              <w:spacing w:before="0" w:after="283"/>
              <w:jc w:val="left"/>
              <w:rPr>
                <w:sz w:val="18"/>
              </w:rPr>
            </w:pPr>
            <w:r>
              <w:rPr>
                <w:sz w:val="18"/>
              </w:rPr>
              <w:t>The Trigger PLUS are subject to risks relating to bitcoin and the bitcoin network.</w:t>
            </w:r>
          </w:p>
        </w:tc>
      </w:tr>
    </w:tbl>
    <w:tbl>
      <w:tblPr>
        <w:tblW w:w="5000" w:type="pct"/>
        <w:jc w:val="left"/>
        <w:tblInd w:w="0" w:type="dxa"/>
        <w:tblLayout w:type="fixed"/>
        <w:tblCellMar>
          <w:top w:w="0" w:type="dxa"/>
          <w:left w:w="0" w:type="dxa"/>
          <w:bottom w:w="0" w:type="dxa"/>
          <w:right w:w="0" w:type="dxa"/>
        </w:tblCellMar>
      </w:tblPr>
      <w:tblGrid>
        <w:gridCol w:w="208"/>
        <w:gridCol w:w="684"/>
        <w:gridCol w:w="9313"/>
      </w:tblGrid>
      <w:tr>
        <w:trPr/>
        <w:tc>
          <w:tcPr>
            <w:tcW w:w="20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313" w:type="dxa"/>
            <w:tcBorders/>
            <w:vAlign w:val="center"/>
          </w:tcPr>
          <w:p>
            <w:pPr>
              <w:pStyle w:val="TableContents"/>
              <w:bidi w:val="0"/>
              <w:spacing w:before="0" w:after="283"/>
              <w:jc w:val="left"/>
              <w:rPr>
                <w:sz w:val="18"/>
              </w:rPr>
            </w:pPr>
            <w:r>
              <w:rPr>
                <w:sz w:val="18"/>
              </w:rPr>
              <w:t>Limited trading history.</w:t>
            </w:r>
          </w:p>
        </w:tc>
      </w:tr>
    </w:tbl>
    <w:tbl>
      <w:tblPr>
        <w:tblW w:w="5000" w:type="pct"/>
        <w:jc w:val="left"/>
        <w:tblInd w:w="0" w:type="dxa"/>
        <w:tblLayout w:type="fixed"/>
        <w:tblCellMar>
          <w:top w:w="0" w:type="dxa"/>
          <w:left w:w="0" w:type="dxa"/>
          <w:bottom w:w="0" w:type="dxa"/>
          <w:right w:w="0" w:type="dxa"/>
        </w:tblCellMar>
      </w:tblPr>
      <w:tblGrid>
        <w:gridCol w:w="91"/>
        <w:gridCol w:w="300"/>
        <w:gridCol w:w="9814"/>
      </w:tblGrid>
      <w:tr>
        <w:trPr/>
        <w:tc>
          <w:tcPr>
            <w:tcW w:w="9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814" w:type="dxa"/>
            <w:tcBorders/>
            <w:vAlign w:val="center"/>
          </w:tcPr>
          <w:p>
            <w:pPr>
              <w:pStyle w:val="TableContents"/>
              <w:bidi w:val="0"/>
              <w:spacing w:before="0" w:after="283"/>
              <w:jc w:val="left"/>
              <w:rPr>
                <w:sz w:val="18"/>
              </w:rPr>
            </w:pPr>
            <w:r>
              <w:rPr>
                <w:sz w:val="18"/>
              </w:rPr>
              <w:t>The anti-dilution protection for the ETF Shares is limited.</w:t>
            </w:r>
          </w:p>
        </w:tc>
      </w:tr>
    </w:tbl>
    <w:p>
      <w:pPr>
        <w:pStyle w:val="TextBody"/>
        <w:bidi w:val="0"/>
        <w:spacing w:before="0" w:after="0"/>
        <w:ind w:left="0" w:right="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Tax Considerations</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You should review carefully the discussion in the accompanying preliminary pricing supplement under “Additional Information about the Trigger PLUS — Tax considerations” concerning the U.S. federal income tax consequences of an investment in the Trigger PLUS, and you should consult your tax adviser.</w:t>
      </w:r>
    </w:p>
    <w:p>
      <w:pPr>
        <w:pStyle w:val="TextBody"/>
        <w:bidi w:val="0"/>
        <w:spacing w:before="0" w:after="0"/>
        <w:ind w:left="360" w:right="0" w:hanging="0"/>
        <w:jc w:val="left"/>
        <w:rPr>
          <w:caps w:val="false"/>
          <w:smallCaps w:val="false"/>
        </w:rPr>
      </w:pPr>
      <w:r>
        <w:rPr>
          <w:caps w:val="false"/>
          <w:smallCaps w:val="false"/>
        </w:rPr>
        <w:t> </w:t>
      </w:r>
    </w:p>
    <w:p>
      <w:pPr>
        <w:pStyle w:val="TextBody"/>
        <w:pBdr>
          <w:top w:val="single" w:sz="4" w:space="1" w:color="000000"/>
        </w:pBdr>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toll-free 1-866-535-9248.</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36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9617/000121390026089395/ea0302119-01_424b2.htm" TargetMode="External"/><Relationship Id="rId3" Type="http://schemas.openxmlformats.org/officeDocument/2006/relationships/hyperlink" Target="http://www.sec.gov/Archives/edgar/data/19617/000121390026089395/ea0302119-01_424b2.htm" TargetMode="External"/><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1757</Words>
  <Characters>9245</Characters>
  <CharactersWithSpaces>10866</CharactersWithSpaces>
  <Paragraphs>184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