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753-01_fwp.htm"/>
      <w:bookmarkStart w:id="1" w:name="ksea030575301_fwp"/>
      <w:bookmarkStart w:id="2" w:name="ea0305753-01_fwp.htm"/>
      <w:bookmarkStart w:id="3" w:name="ksea030575301_fwp"/>
      <w:bookmarkEnd w:id="2"/>
      <w:bookmarkEnd w:id="3"/>
    </w:p>
    <w:tbl>
      <w:tblPr>
        <w:tblW w:w="10205" w:type="dxa"/>
        <w:jc w:val="left"/>
        <w:tblInd w:w="0" w:type="dxa"/>
        <w:tblLayout w:type="fixed"/>
        <w:tblCellMar>
          <w:top w:w="0" w:type="dxa"/>
          <w:left w:w="0" w:type="dxa"/>
          <w:bottom w:w="0" w:type="dxa"/>
          <w:right w:w="0" w:type="dxa"/>
        </w:tblCellMar>
      </w:tblPr>
      <w:tblGrid>
        <w:gridCol w:w="7037"/>
        <w:gridCol w:w="3168"/>
      </w:tblGrid>
      <w:tr>
        <w:trPr/>
        <w:tc>
          <w:tcPr>
            <w:tcW w:w="7037"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br/>
              <w:t>333-293684-01</w:t>
            </w:r>
          </w:p>
        </w:tc>
      </w:tr>
      <w:tr>
        <w:trPr/>
        <w:tc>
          <w:tcPr>
            <w:tcW w:w="7037" w:type="dxa"/>
            <w:vMerge w:val="continue"/>
            <w:tcBorders/>
            <w:vAlign w:val="center"/>
          </w:tcPr>
          <w:p>
            <w:pPr>
              <w:pStyle w:val="Normal"/>
              <w:bidi w:val="0"/>
              <w:jc w:val="left"/>
              <w:rPr/>
            </w:pPr>
            <w:r>
              <w:rPr/>
            </w:r>
          </w:p>
        </w:tc>
        <w:tc>
          <w:tcPr>
            <w:tcW w:w="3168"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4287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0480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The Boeing Company and the Class A Common Stock of Space Exploration Technologies Corp. due March 29,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16, 2026 to Preliminary Pricing Supplement dated September 16,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80249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80249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38"/>
                              <w:gridCol w:w="9067"/>
                            </w:tblGrid>
                            <w:tr>
                              <w:trPr/>
                              <w:tc>
                                <w:tcPr>
                                  <w:tcW w:w="11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The Boeing Company (Bloomberg ticker: BA) and the Class A common stock of Space Exploration Technologies Corp. (Bloomberg ticker: SPCX)</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25, 2026</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March 29, 2029</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and only if, the stock closing price of the lowest performing Underlying Stock on the related calculation day is greater than or equal to its coupon threshold price. In addition, if the stock closing price of the lowest performing Underlying Stock on one or more calculation days is less than its coupon threshold price and, on a subsequent calculation day, the stock closing price of the lowest performing Underlying Stock is greater than or equal to its coupon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7"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17.60% per annum (to be provided in the pricing supplement)</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December 2026 to February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payments.</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March 2029,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March 2029 calculation day will be March 26, 2029.  We refer to March 26,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greater than or equal to its downside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less than its downside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7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38"/>
                        <w:gridCol w:w="9067"/>
                      </w:tblGrid>
                      <w:tr>
                        <w:trPr/>
                        <w:tc>
                          <w:tcPr>
                            <w:tcW w:w="113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The Boeing Company (Bloomberg ticker: BA) and the Class A common stock of Space Exploration Technologies Corp. (Bloomberg ticker: SPCX)</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25, 2026</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30, 2026</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March 29, 2029</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and only if, the stock closing price of the lowest performing Underlying Stock on the related calculation day is greater than or equal to its coupon threshold price. In addition, if the stock closing price of the lowest performing Underlying Stock on one or more calculation days is less than its coupon threshold price and, on a subsequent calculation day, the stock closing price of the lowest performing Underlying Stock is greater than or equal to its coupon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7"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17.60% per annum (to be provided in the pricing supplement)</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December 2026 to February 2029, inclusive, is greater than or equal to its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payments.</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25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March 2029,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March 2029 calculation day will be March 26, 2029.  We refer to March 26,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38"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7"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greater than or equal to its downside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of the lowest performing Underlying Stock on the final calculation day is less than its downside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3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0" w:type="dxa"/>
                                <w:right w:w="108" w:type="dxa"/>
                              </w:tblCellMar>
                            </w:tblPr>
                            <w:tblGrid>
                              <w:gridCol w:w="1343"/>
                              <w:gridCol w:w="8862"/>
                            </w:tblGrid>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62" w:type="dxa"/>
                                  <w:tcBorders>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343"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34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Threshold Price:</w:t>
                                  </w:r>
                                </w:p>
                              </w:tc>
                              <w:tc>
                                <w:tcPr>
                                  <w:tcW w:w="886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70% of its starting price</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Downside Threshold Price:</w:t>
                                  </w:r>
                                </w:p>
                              </w:tc>
                              <w:tc>
                                <w:tcPr>
                                  <w:tcW w:w="8862" w:type="dxa"/>
                                  <w:tcBorders>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60% of its starting price</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62"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43"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4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62" w:type="dxa"/>
                                  <w:tcBorders>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46661MY81</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62"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1.50%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43"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34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862"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4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2876550" cy="1714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876550" cy="1714500"/>
                                          </a:xfrm>
                                          <a:prstGeom prst="rect">
                                            <a:avLst/>
                                          </a:prstGeom>
                                        </pic:spPr>
                                      </pic:pic>
                                    </a:graphicData>
                                  </a:graphic>
                                </wp:inline>
                              </w:drawing>
                            </w:r>
                          </w:p>
                          <w:p>
                            <w:pPr>
                              <w:pStyle w:val="TextBody"/>
                              <w:bidi w:val="0"/>
                              <w:spacing w:before="0" w:after="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downside threshold price, you will lose more than 40%, and possibly all, of the principal amount of your securities at maturity.</w:t>
                            </w:r>
                          </w:p>
                          <w:p>
                            <w:pPr>
                              <w:pStyle w:val="TextBody"/>
                              <w:bidi w:val="0"/>
                              <w:spacing w:before="0" w:after="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either Underlying Stock, but you will have full downside exposure to the lowest performing Underlying Stock on the final calculation day if its ending price is less than its downside threshold price.</w:t>
                            </w:r>
                          </w:p>
                          <w:p>
                            <w:pPr>
                              <w:pStyle w:val="TextBody"/>
                              <w:bidi w:val="0"/>
                              <w:spacing w:before="0" w:after="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$937.80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0"/>
                              <w:ind w:left="108" w:right="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http://www.sec.gov/Archives/edgar/data/19617/000121390026100494/ea0</w:t>
                                <w:br/>
                                <w:t>305715-01_424b2.htm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0" w:type="dxa"/>
                          <w:right w:w="108" w:type="dxa"/>
                        </w:tblCellMar>
                      </w:tblPr>
                      <w:tblGrid>
                        <w:gridCol w:w="1343"/>
                        <w:gridCol w:w="8862"/>
                      </w:tblGrid>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62" w:type="dxa"/>
                            <w:tcBorders>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343"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34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Coupon Threshold Price:</w:t>
                            </w:r>
                          </w:p>
                        </w:tc>
                        <w:tc>
                          <w:tcPr>
                            <w:tcW w:w="886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70% of its starting price</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Downside Threshold Price:</w:t>
                            </w:r>
                          </w:p>
                        </w:tc>
                        <w:tc>
                          <w:tcPr>
                            <w:tcW w:w="8862" w:type="dxa"/>
                            <w:tcBorders>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60% of its starting price</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62"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43"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43" w:type="dxa"/>
                            <w:tcBorders>
                              <w:left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62" w:type="dxa"/>
                            <w:tcBorders>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46661MY81</w:t>
                            </w:r>
                          </w:p>
                        </w:tc>
                      </w:tr>
                      <w:tr>
                        <w:trPr/>
                        <w:tc>
                          <w:tcPr>
                            <w:tcW w:w="1343" w:type="dxa"/>
                            <w:tcBorders>
                              <w:top w:val="single" w:sz="8" w:space="0" w:color="000000"/>
                              <w:left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62"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2.075%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1.50%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43"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62"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343"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c>
                          <w:tcPr>
                            <w:tcW w:w="8862"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40" w:after="0"/>
                        <w:ind w:left="108" w:right="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jc w:val="center"/>
                        <w:rPr>
                          <w:caps w:val="false"/>
                          <w:smallCaps w:val="false"/>
                          <w:color w:val="8F8F8F"/>
                        </w:rPr>
                      </w:pPr>
                      <w:r>
                        <w:rPr>
                          <w:caps w:val="false"/>
                          <w:smallCaps w:val="false"/>
                          <w:color w:val="8F8F8F"/>
                        </w:rPr>
                        <w:drawing>
                          <wp:inline distT="0" distB="0" distL="0" distR="0">
                            <wp:extent cx="2876550" cy="1714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2876550" cy="1714500"/>
                                    </a:xfrm>
                                    <a:prstGeom prst="rect">
                                      <a:avLst/>
                                    </a:prstGeom>
                                  </pic:spPr>
                                </pic:pic>
                              </a:graphicData>
                            </a:graphic>
                          </wp:inline>
                        </w:drawing>
                      </w:r>
                    </w:p>
                    <w:p>
                      <w:pPr>
                        <w:pStyle w:val="TextBody"/>
                        <w:bidi w:val="0"/>
                        <w:spacing w:before="0" w:after="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downside threshold price, you will lose more than 40%, and possibly all, of the principal amount of your securities at maturity.</w:t>
                      </w:r>
                    </w:p>
                    <w:p>
                      <w:pPr>
                        <w:pStyle w:val="TextBody"/>
                        <w:bidi w:val="0"/>
                        <w:spacing w:before="0" w:after="0"/>
                        <w:ind w:left="10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either Underlying Stock, but you will have full downside exposure to the lowest performing Underlying Stock on the final calculation day if its ending price is less than its downside threshold price.</w:t>
                      </w:r>
                    </w:p>
                    <w:p>
                      <w:pPr>
                        <w:pStyle w:val="TextBody"/>
                        <w:bidi w:val="0"/>
                        <w:spacing w:before="0" w:after="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08"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$937.80 per security. The estimated value of the securities, when the terms of the securities are set, will be provided in the pricing supplement and will not be less than $900.00 per security. See “The Estimated Value of the Securities” in the preliminary pricing supplement for additional information.</w:t>
                      </w:r>
                    </w:p>
                    <w:p>
                      <w:pPr>
                        <w:pStyle w:val="TextBody"/>
                        <w:bidi w:val="0"/>
                        <w:spacing w:before="0" w:after="0"/>
                        <w:ind w:left="108" w:right="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http://www.sec.gov/Archives/edgar/data/19617/000121390026100494/ea0</w:t>
                          <w:br/>
                          <w:t>305715-01_424b2.htm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40" w:right="4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133"/>
        <w:gridCol w:w="5072"/>
      </w:tblGrid>
      <w:tr>
        <w:trPr/>
        <w:tc>
          <w:tcPr>
            <w:tcW w:w="5133"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Downside Threshold Price, You Will Lose More Than 40%,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Either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Operations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Risks Resulting from the Relationship Between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Benefit Provided by the Downside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072"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Affiliation with Either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Limited Trading History with Respect to the Class A Common Stock of Space Exploration Technologies Corp.</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 xml:space="preserve">Any Payment on the Securities Will Depend upon the Performance of each Underlying Stock and Therefore the Securities Are Subject to Risks Associated with each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0494/ea0305715-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0494/ea0305715-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1885</Words>
  <Characters>10196</Characters>
  <CharactersWithSpaces>12173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