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742-01_fwp.htm"/>
      <w:bookmarkStart w:id="1" w:name="ksea030474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The common stock of QUALCOMM Incorporated Pricing Date: September 4, 2026 Final Review Date: September 5, 2028 Maturity Date: September 8, 2028 Review Dates: Quarterly Contingent Interest Rate: At least 15.00% per annum, payable quarterly at a rate of at least 3.75%, if applicable* Interest Barrier/ Trigger Value: An amount that represents 56.00% of the Initial Value CUSIP: 46661MRB2 Preliminary Pricing Supplement: http://sp.jpmorgan.com/document/cusip/46661MRB2/doctype/Product_Termsheet/document.pdf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4.0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QCOM Auto Callable Contingent Interest Notes North America Structured Investments Payment at Maturity (assuming 15.00% per annum Contigent Interest Rate) Stock Return $1,037.50 60.00% $1,037.50 40.00% $1,037.50 20.00% $1,037.50 5.00% $1,037.50 0.00% $1,037.50 - 5.00% $1,037.50 - 10.00% $1,037.50 - 20.00% $1,037.50 - 30.00% $1,037.50 - 40.00% $1,037.50 - 44.00% $559.90 - 44.01%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$37.50 (equivalent to a Contingent Interest Rate of at least 15.00% per annum, payable at a rate of at least 3.75%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QCOM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1576</Words>
  <Characters>8029</Characters>
  <CharactersWithSpaces>9606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