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37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(Rule 14a-101)</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14A</w:t>
      </w:r>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Proxy Statement Pursuant to Section 14(a) of the</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Exchange Act of 1934 (Amendment No.__ )</w:t>
      </w:r>
    </w:p>
    <w:p>
      <w:pPr>
        <w:spacing w:after="0" w:line="148" w:lineRule="exact"/>
        <w:rPr>
          <w:sz w:val="24"/>
          <w:szCs w:val="24"/>
          <w:color w:val="auto"/>
        </w:rPr>
      </w:pPr>
    </w:p>
    <w:p>
      <w:pPr>
        <w:ind w:left="20"/>
        <w:spacing w:after="0" w:line="207" w:lineRule="exact"/>
        <w:tabs>
          <w:tab w:leader="none" w:pos="5860" w:val="left"/>
          <w:tab w:leader="none" w:pos="61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Filed by the Registrant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57" w:lineRule="exact"/>
        <w:rPr>
          <w:sz w:val="24"/>
          <w:szCs w:val="24"/>
          <w:color w:val="auto"/>
        </w:rPr>
      </w:pPr>
    </w:p>
    <w:p>
      <w:pPr>
        <w:ind w:left="580" w:hanging="554"/>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76" w:lineRule="exact"/>
        <w:rPr>
          <w:rFonts w:ascii="Arial" w:cs="Arial" w:eastAsia="Arial" w:hAnsi="Arial"/>
          <w:sz w:val="18"/>
          <w:szCs w:val="18"/>
          <w:color w:val="auto"/>
        </w:rPr>
      </w:pPr>
    </w:p>
    <w:p>
      <w:pPr>
        <w:ind w:left="20" w:right="4280" w:firstLine="6"/>
        <w:spacing w:after="0" w:line="270" w:lineRule="exact"/>
        <w:tabs>
          <w:tab w:leader="none" w:pos="573"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8" w:lineRule="exact"/>
        <w:rPr>
          <w:rFonts w:ascii="Arial" w:cs="Arial" w:eastAsia="Arial" w:hAnsi="Arial"/>
          <w:sz w:val="18"/>
          <w:szCs w:val="18"/>
          <w:color w:val="auto"/>
        </w:rPr>
      </w:pPr>
    </w:p>
    <w:p>
      <w:pPr>
        <w:ind w:left="580" w:hanging="554"/>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6" w:lineRule="exact"/>
        <w:rPr>
          <w:rFonts w:ascii="Arial" w:cs="Arial" w:eastAsia="Arial" w:hAnsi="Arial"/>
          <w:sz w:val="18"/>
          <w:szCs w:val="18"/>
          <w:color w:val="auto"/>
        </w:rPr>
      </w:pPr>
    </w:p>
    <w:p>
      <w:pPr>
        <w:ind w:left="580" w:hanging="554"/>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163195</wp:posOffset>
            </wp:positionV>
            <wp:extent cx="2571750"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24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(Name of Registrant as Specified In Its Charter)</w:t>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6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253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37460"/>
                    </a:xfrm>
                    <a:prstGeom prst="rect">
                      <a:avLst/>
                    </a:prstGeom>
                    <a:noFill/>
                  </pic:spPr>
                </pic:pic>
              </a:graphicData>
            </a:graphic>
          </wp:anchor>
        </w:drawing>
      </w:r>
    </w:p>
    <w:p>
      <w:pPr>
        <w:spacing w:after="0" w:line="57" w:lineRule="exact"/>
        <w:rPr>
          <w:sz w:val="24"/>
          <w:szCs w:val="24"/>
          <w:color w:val="auto"/>
        </w:rPr>
      </w:pPr>
    </w:p>
    <w:p>
      <w:pPr>
        <w:ind w:left="580" w:hanging="55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860" w:right="200" w:firstLine="3"/>
        <w:spacing w:after="0" w:line="281" w:lineRule="auto"/>
        <w:tabs>
          <w:tab w:leader="none" w:pos="107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580" w:hanging="55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Arial" w:cs="Arial" w:eastAsia="Arial" w:hAnsi="Arial"/>
          <w:sz w:val="18"/>
          <w:szCs w:val="18"/>
          <w:color w:val="auto"/>
        </w:rPr>
      </w:pPr>
    </w:p>
    <w:p>
      <w:pPr>
        <w:ind w:left="580" w:hanging="554"/>
        <w:spacing w:after="0" w:line="281"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366395</wp:posOffset>
            </wp:positionV>
            <wp:extent cx="6789420" cy="7818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9420" cy="7818120"/>
                    </a:xfrm>
                    <a:prstGeom prst="rect">
                      <a:avLst/>
                    </a:prstGeom>
                    <a:noFill/>
                  </pic:spPr>
                </pic:pic>
              </a:graphicData>
            </a:graphic>
          </wp:anchor>
        </w:drawing>
      </w:r>
    </w:p>
    <w:p>
      <w:pPr>
        <w:sectPr>
          <w:pgSz w:w="11900" w:h="16838" w:orient="portrait"/>
          <w:cols w:equalWidth="0" w:num="1">
            <w:col w:w="10139"/>
          </w:cols>
          <w:pgMar w:left="320" w:top="157" w:right="1440"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JPMorgan Chase &amp; Co.</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383 Madison Avenue</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York, New York 10179-0001</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April 4, 2022</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Dear fellow shareholders:</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 are pleased to invite you to attend the annual meeting of</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shareholders to be held in a virtual meeting format only, via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Internet, on May 17, 2022 at 10:00 a.m. Eastern Time. Shareholders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are provided an opportunity to ask questions about topics of</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importance to the Firm’s business and affairs, to consider matters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described in the proxy statement and to receive an update on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Firm’s activities and performance.</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 hope that you will attend the meeting. We encourage you to</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designate the persons named as proxies on the proxy card to vote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shares even if you are planning to attend. This will ensure that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common stock is represented at the meeting.</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This proxy statement explains more about the matters to be voted on</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 the annual meeting, about proxy voting, and other information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about how to participate. Please read it carefully. We look forward to</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participation.</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86360</wp:posOffset>
            </wp:positionV>
            <wp:extent cx="1714500"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James Dimon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606425</wp:posOffset>
            </wp:positionV>
            <wp:extent cx="257175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80340"/>
                    </a:xfrm>
                    <a:prstGeom prst="rect">
                      <a:avLst/>
                    </a:prstGeom>
                    <a:noFill/>
                  </pic:spPr>
                </pic:pic>
              </a:graphicData>
            </a:graphic>
          </wp:anchor>
        </w:drawing>
      </w:r>
    </w:p>
    <w:p>
      <w:pPr>
        <w:sectPr>
          <w:pgSz w:w="11900" w:h="16838" w:orient="portrait"/>
          <w:cols w:equalWidth="0" w:num="1">
            <w:col w:w="11120"/>
          </w:cols>
          <w:pgMar w:left="320" w:top="157" w:right="4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43"/>
          <w:szCs w:val="43"/>
          <w:color w:val="074A75"/>
        </w:rPr>
        <w:t>A Letter from Jamie Dimon, Our Chairman and CEO, and Stephen B. Burke, Our Lead Independent Director</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connection with the 2022 Annual Meeting, we want to share with you some of the highlights of the work of the Board. The Firm demonstrated strong financial performance in 2021, building upon its momentum from prior years. We gained market share in our businesses, demonstrated strong expense discipline while continuing to invest into our businesses, maintained a fortress balance sheet and returned $28.5 billion of capital to shareholders. That said, our clients and customers, employees and communities continued to face the challenges posed by COVID-19, societal gaps, including with respect to racial equity and access to health care, and climate change. We worked to support them, while remaining true to our fundamental business principles and commitment to building long-term value for our shareholders.</w:t>
      </w:r>
    </w:p>
    <w:p>
      <w:pPr>
        <w:spacing w:after="0" w:line="7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recognizes that long-term strong performance requires disciplined focus on the factors that drive performance and continued investment in products, technology and people who will lead the firm in the future. We have continued to prioritize management development and succession, growing senior leaders, and overseeing plans to give them greater responsibility and broader exposure to firmwide issues. We have built a deep bench of potential leaders who can execute the firm’s strategy and enhance our strong culture. This was illustrated clearly as Gordon Smith, co-President and Chief Operating Office and CEO of Consumer &amp; Community Banking (“CCB”) retired, Daniel Pinto was appointed sole President and Chief Operating Officer, Marianne Lake and Jennifer Piepszak were appointed co-heads of CCB, Jeremy Barnum succeeded Jenn as CFO and the Firm expanded the Operating Committee. As part of our long-term executive retention and succession planning, we also granted special awards to Mr. Dimon and Mr. Pinto. These awards reflect our desire for them to continue their outstanding leadership in their respective roles.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More broadly, we are guided by the firm’s core business principles</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exceptional client service, a commitment to integrity, fairness and responsibility, operational excellence and a great team and winning culture. We hold management accountable for developing strategic priorities that will reinforce these principles. In the past year, we added a Sustainable Business Practices tenet to the Firm’s strategic framework, in recognition of the importance of investing in and supporting our communities, integrating sustainability into business and operating decisions, serving a diverse customer base and promoting sound governance. In furtherance of our commitments to sustainable business practices, the Firm announced a ten-year target to finance and facilitate $1 trillion for climate action, as part of a $2.5</w:t>
      </w:r>
    </w:p>
    <w:p>
      <w:pPr>
        <w:spacing w:after="0" w:line="20" w:lineRule="exact"/>
        <w:rPr>
          <w:sz w:val="20"/>
          <w:szCs w:val="20"/>
          <w:color w:val="auto"/>
        </w:rPr>
      </w:pPr>
      <w:r>
        <w:rPr>
          <w:sz w:val="20"/>
          <w:szCs w:val="20"/>
          <w:color w:val="auto"/>
        </w:rPr>
        <w:br w:type="column"/>
      </w:r>
    </w:p>
    <w:p>
      <w:pPr>
        <w:ind w:left="4480"/>
        <w:spacing w:after="0"/>
        <w:rPr>
          <w:sz w:val="20"/>
          <w:szCs w:val="20"/>
          <w:color w:val="auto"/>
        </w:rPr>
      </w:pPr>
      <w:r>
        <w:rPr>
          <w:rFonts w:ascii="Arial" w:cs="Arial" w:eastAsia="Arial" w:hAnsi="Arial"/>
          <w:sz w:val="18"/>
          <w:szCs w:val="18"/>
          <w:color w:val="auto"/>
        </w:rPr>
        <w:t>April 4, 2022</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trillion target for sustainable development, and deployed or committed more than $18 billion towards our $30 billion goal to advance racial equity and promote inclusive growth.</w:t>
      </w:r>
    </w:p>
    <w:p>
      <w:pPr>
        <w:spacing w:after="0" w:line="6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Through our oversight of the strategic planning process, we also hold management accountable to navigate change and drive innovation while maintaining a strong risk and control environment. In today’s rapidly changing business space, it is critical that we keep pace with innovations in technology and investments in our business offerings. New technologies are changing the way we operate our business, the products and services we offer and even the way we engage with our clients. And the environment in 2021 offered the opportunity to complement our product offerings through acquisitions and investments. Board discussions have focused on what will contribute to the Firm’s future success, including thoughtful investments in technology, acquisitions and the continued identification and retention of top talent.</w:t>
      </w:r>
    </w:p>
    <w:p>
      <w:pPr>
        <w:spacing w:after="0" w:line="7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committed to maintaining a vital Board in the future. Our ongoing board recruitment process enables us to build a strong pipeline of prospective directors. We are seeking to recruit those candidates who will contribute to the Board’s balance of skills, experience, personal attributes and tenure and we are developing relationships with near-term and long-term prospective candidates. We also adopted enhancements to our policies that, building on the robust Lead Independent Director role, consider shareholder concerns and allow the Board to make the best decision on leadership structure at the time of the next CEO succession.</w:t>
      </w:r>
    </w:p>
    <w:p>
      <w:pPr>
        <w:spacing w:after="0" w:line="7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are optimistic about the future and look forward to continuing to deliver value to our customers, shareholders and stakeholders. On behalf of the entire board, we are grateful for your support of the Board and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1697355"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35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Dimon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206565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656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B. Burke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ectPr>
          <w:pgSz w:w="11900" w:h="16838" w:orient="portrait"/>
          <w:cols w:equalWidth="0" w:num="2">
            <w:col w:w="5380" w:space="360"/>
            <w:col w:w="5500"/>
          </w:cols>
          <w:pgMar w:left="320" w:top="157" w:right="3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43"/>
          <w:szCs w:val="43"/>
          <w:color w:val="074A75"/>
        </w:rPr>
        <w:t>Notice of 2022 Annual Meeting of Shareholders and Proxy Statement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80" w:type="dxa"/>
            <w:vAlign w:val="bottom"/>
          </w:tcPr>
          <w:p>
            <w:pPr>
              <w:jc w:val="right"/>
              <w:spacing w:after="0"/>
              <w:rPr>
                <w:sz w:val="20"/>
                <w:szCs w:val="20"/>
                <w:color w:val="auto"/>
              </w:rPr>
            </w:pPr>
            <w:r>
              <w:rPr>
                <w:rFonts w:ascii="Arial" w:cs="Arial" w:eastAsia="Arial" w:hAnsi="Arial"/>
                <w:sz w:val="17"/>
                <w:szCs w:val="17"/>
                <w:color w:val="auto"/>
              </w:rPr>
              <w:t>DATE</w:t>
            </w:r>
          </w:p>
        </w:tc>
        <w:tc>
          <w:tcPr>
            <w:tcW w:w="9560" w:type="dxa"/>
            <w:vAlign w:val="bottom"/>
          </w:tcPr>
          <w:p>
            <w:pPr>
              <w:ind w:left="80"/>
              <w:spacing w:after="0"/>
              <w:rPr>
                <w:sz w:val="20"/>
                <w:szCs w:val="20"/>
                <w:color w:val="auto"/>
              </w:rPr>
            </w:pPr>
            <w:r>
              <w:rPr>
                <w:rFonts w:ascii="Arial" w:cs="Arial" w:eastAsia="Arial" w:hAnsi="Arial"/>
                <w:sz w:val="17"/>
                <w:szCs w:val="17"/>
                <w:color w:val="auto"/>
              </w:rPr>
              <w:t>Tuesday, May 17, 2022</w:t>
            </w:r>
          </w:p>
        </w:tc>
      </w:tr>
      <w:tr>
        <w:trPr>
          <w:trHeight w:val="365"/>
        </w:trPr>
        <w:tc>
          <w:tcPr>
            <w:tcW w:w="1680" w:type="dxa"/>
            <w:vAlign w:val="bottom"/>
          </w:tcPr>
          <w:p>
            <w:pPr>
              <w:jc w:val="right"/>
              <w:spacing w:after="0"/>
              <w:rPr>
                <w:sz w:val="20"/>
                <w:szCs w:val="20"/>
                <w:color w:val="auto"/>
              </w:rPr>
            </w:pPr>
            <w:r>
              <w:rPr>
                <w:rFonts w:ascii="Arial" w:cs="Arial" w:eastAsia="Arial" w:hAnsi="Arial"/>
                <w:sz w:val="17"/>
                <w:szCs w:val="17"/>
                <w:color w:val="auto"/>
              </w:rPr>
              <w:t>TIME</w:t>
            </w:r>
          </w:p>
        </w:tc>
        <w:tc>
          <w:tcPr>
            <w:tcW w:w="9560" w:type="dxa"/>
            <w:vAlign w:val="bottom"/>
          </w:tcPr>
          <w:p>
            <w:pPr>
              <w:ind w:left="80"/>
              <w:spacing w:after="0"/>
              <w:rPr>
                <w:sz w:val="20"/>
                <w:szCs w:val="20"/>
                <w:color w:val="auto"/>
              </w:rPr>
            </w:pPr>
            <w:r>
              <w:rPr>
                <w:rFonts w:ascii="Arial" w:cs="Arial" w:eastAsia="Arial" w:hAnsi="Arial"/>
                <w:sz w:val="17"/>
                <w:szCs w:val="17"/>
                <w:color w:val="auto"/>
              </w:rPr>
              <w:t>10:00 a.m. Eastern Time</w:t>
            </w:r>
          </w:p>
        </w:tc>
      </w:tr>
      <w:tr>
        <w:trPr>
          <w:trHeight w:val="356"/>
        </w:trPr>
        <w:tc>
          <w:tcPr>
            <w:tcW w:w="1680" w:type="dxa"/>
            <w:vAlign w:val="bottom"/>
          </w:tcPr>
          <w:p>
            <w:pPr>
              <w:jc w:val="right"/>
              <w:spacing w:after="0"/>
              <w:rPr>
                <w:sz w:val="20"/>
                <w:szCs w:val="20"/>
                <w:color w:val="auto"/>
              </w:rPr>
            </w:pPr>
            <w:r>
              <w:rPr>
                <w:rFonts w:ascii="Arial" w:cs="Arial" w:eastAsia="Arial" w:hAnsi="Arial"/>
                <w:sz w:val="17"/>
                <w:szCs w:val="17"/>
                <w:color w:val="auto"/>
              </w:rPr>
              <w:t>ACCESS</w:t>
            </w:r>
          </w:p>
        </w:tc>
        <w:tc>
          <w:tcPr>
            <w:tcW w:w="9560" w:type="dxa"/>
            <w:vAlign w:val="bottom"/>
          </w:tcPr>
          <w:p>
            <w:pPr>
              <w:ind w:left="80"/>
              <w:spacing w:after="0"/>
              <w:rPr>
                <w:sz w:val="20"/>
                <w:szCs w:val="20"/>
                <w:color w:val="auto"/>
              </w:rPr>
            </w:pPr>
            <w:r>
              <w:rPr>
                <w:rFonts w:ascii="Arial" w:cs="Arial" w:eastAsia="Arial" w:hAnsi="Arial"/>
                <w:sz w:val="17"/>
                <w:szCs w:val="17"/>
                <w:color w:val="auto"/>
              </w:rPr>
              <w:t>The 2022 Annual Meeting will be held in a virtual meeting format only, via the Internet. If you plan to participate in the virtual</w:t>
            </w:r>
          </w:p>
        </w:tc>
      </w:tr>
      <w:tr>
        <w:trPr>
          <w:trHeight w:val="203"/>
        </w:trPr>
        <w:tc>
          <w:tcPr>
            <w:tcW w:w="1680" w:type="dxa"/>
            <w:vAlign w:val="bottom"/>
          </w:tcPr>
          <w:p>
            <w:pPr>
              <w:spacing w:after="0"/>
              <w:rPr>
                <w:sz w:val="17"/>
                <w:szCs w:val="17"/>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meeting, please see “Information about the annual shareholder meeting.” Shareholders will be able to attend, vote, examine</w:t>
            </w:r>
          </w:p>
        </w:tc>
      </w:tr>
      <w:tr>
        <w:trPr>
          <w:trHeight w:val="203"/>
        </w:trPr>
        <w:tc>
          <w:tcPr>
            <w:tcW w:w="1680" w:type="dxa"/>
            <w:vAlign w:val="bottom"/>
          </w:tcPr>
          <w:p>
            <w:pPr>
              <w:spacing w:after="0"/>
              <w:rPr>
                <w:sz w:val="17"/>
                <w:szCs w:val="17"/>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the stockholders list and submit questions (both before, and for a portion of, the meeting) from any location via the Internet.</w:t>
            </w:r>
          </w:p>
        </w:tc>
      </w:tr>
      <w:tr>
        <w:trPr>
          <w:trHeight w:val="225"/>
        </w:trPr>
        <w:tc>
          <w:tcPr>
            <w:tcW w:w="1680" w:type="dxa"/>
            <w:vAlign w:val="bottom"/>
          </w:tcPr>
          <w:p>
            <w:pPr>
              <w:spacing w:after="0"/>
              <w:rPr>
                <w:sz w:val="19"/>
                <w:szCs w:val="19"/>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Shareholders may participate online by logging in at www.virtualshareholdermeeting.com/JPM2022.</w:t>
            </w:r>
          </w:p>
        </w:tc>
      </w:tr>
      <w:tr>
        <w:trPr>
          <w:trHeight w:val="311"/>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We encourage you to submit your proxy prior to the annual meeting.</w:t>
            </w:r>
          </w:p>
        </w:tc>
      </w:tr>
      <w:tr>
        <w:trPr>
          <w:trHeight w:val="391"/>
        </w:trPr>
        <w:tc>
          <w:tcPr>
            <w:tcW w:w="1680" w:type="dxa"/>
            <w:vAlign w:val="bottom"/>
          </w:tcPr>
          <w:p>
            <w:pPr>
              <w:jc w:val="right"/>
              <w:spacing w:after="0"/>
              <w:rPr>
                <w:sz w:val="20"/>
                <w:szCs w:val="20"/>
                <w:color w:val="auto"/>
              </w:rPr>
            </w:pPr>
            <w:r>
              <w:rPr>
                <w:rFonts w:ascii="Arial" w:cs="Arial" w:eastAsia="Arial" w:hAnsi="Arial"/>
                <w:sz w:val="17"/>
                <w:szCs w:val="17"/>
                <w:color w:val="auto"/>
              </w:rPr>
              <w:t>RECORD DATE</w:t>
            </w:r>
          </w:p>
        </w:tc>
        <w:tc>
          <w:tcPr>
            <w:tcW w:w="9560" w:type="dxa"/>
            <w:vAlign w:val="bottom"/>
          </w:tcPr>
          <w:p>
            <w:pPr>
              <w:ind w:left="80"/>
              <w:spacing w:after="0"/>
              <w:rPr>
                <w:sz w:val="20"/>
                <w:szCs w:val="20"/>
                <w:color w:val="auto"/>
              </w:rPr>
            </w:pPr>
            <w:r>
              <w:rPr>
                <w:rFonts w:ascii="Arial" w:cs="Arial" w:eastAsia="Arial" w:hAnsi="Arial"/>
                <w:sz w:val="17"/>
                <w:szCs w:val="17"/>
                <w:color w:val="auto"/>
              </w:rPr>
              <w:t>March 18, 2022</w:t>
            </w:r>
          </w:p>
        </w:tc>
      </w:tr>
      <w:tr>
        <w:trPr>
          <w:trHeight w:val="365"/>
        </w:trPr>
        <w:tc>
          <w:tcPr>
            <w:tcW w:w="1680" w:type="dxa"/>
            <w:vAlign w:val="bottom"/>
          </w:tcPr>
          <w:p>
            <w:pPr>
              <w:jc w:val="right"/>
              <w:spacing w:after="0"/>
              <w:rPr>
                <w:sz w:val="20"/>
                <w:szCs w:val="20"/>
                <w:color w:val="auto"/>
              </w:rPr>
            </w:pPr>
            <w:r>
              <w:rPr>
                <w:rFonts w:ascii="Arial" w:cs="Arial" w:eastAsia="Arial" w:hAnsi="Arial"/>
                <w:sz w:val="17"/>
                <w:szCs w:val="17"/>
                <w:color w:val="auto"/>
              </w:rPr>
              <w:t>MATTERS TO BE</w:t>
            </w: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Election of Directors</w:t>
            </w:r>
          </w:p>
        </w:tc>
      </w:tr>
      <w:tr>
        <w:trPr>
          <w:trHeight w:val="270"/>
        </w:trPr>
        <w:tc>
          <w:tcPr>
            <w:tcW w:w="1680" w:type="dxa"/>
            <w:vAlign w:val="bottom"/>
          </w:tcPr>
          <w:p>
            <w:pPr>
              <w:jc w:val="right"/>
              <w:spacing w:after="0"/>
              <w:rPr>
                <w:sz w:val="20"/>
                <w:szCs w:val="20"/>
                <w:color w:val="auto"/>
              </w:rPr>
            </w:pPr>
            <w:r>
              <w:rPr>
                <w:rFonts w:ascii="Arial" w:cs="Arial" w:eastAsia="Arial" w:hAnsi="Arial"/>
                <w:sz w:val="17"/>
                <w:szCs w:val="17"/>
                <w:color w:val="auto"/>
              </w:rPr>
              <w:t>VOTED ON</w:t>
            </w: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Advisory resolution to approve executive compensation</w:t>
            </w:r>
          </w:p>
        </w:tc>
      </w:tr>
      <w:tr>
        <w:trPr>
          <w:trHeight w:val="283"/>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Ratification of PricewaterhouseCoopers LLP as our independent registered public accounting firm for 2022</w:t>
            </w:r>
          </w:p>
        </w:tc>
      </w:tr>
      <w:tr>
        <w:trPr>
          <w:trHeight w:val="270"/>
        </w:trPr>
        <w:tc>
          <w:tcPr>
            <w:tcW w:w="1680" w:type="dxa"/>
            <w:vAlign w:val="bottom"/>
          </w:tcPr>
          <w:p>
            <w:pPr>
              <w:spacing w:after="0"/>
              <w:rPr>
                <w:sz w:val="23"/>
                <w:szCs w:val="23"/>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Shareholder proposals, if they are properly introduced at the meeting</w:t>
            </w:r>
          </w:p>
        </w:tc>
      </w:tr>
      <w:tr>
        <w:trPr>
          <w:trHeight w:val="270"/>
        </w:trPr>
        <w:tc>
          <w:tcPr>
            <w:tcW w:w="1680" w:type="dxa"/>
            <w:vAlign w:val="bottom"/>
          </w:tcPr>
          <w:p>
            <w:pPr>
              <w:spacing w:after="0"/>
              <w:rPr>
                <w:sz w:val="23"/>
                <w:szCs w:val="23"/>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Any other matters that may properly be brought before the meeting</w:t>
            </w:r>
          </w:p>
        </w:tc>
      </w:tr>
      <w:tr>
        <w:trPr>
          <w:trHeight w:val="310"/>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By order of the Board of Directors</w:t>
            </w:r>
          </w:p>
        </w:tc>
      </w:tr>
      <w:tr>
        <w:trPr>
          <w:trHeight w:val="288"/>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John H. Tribolati</w:t>
            </w:r>
          </w:p>
        </w:tc>
      </w:tr>
      <w:tr>
        <w:trPr>
          <w:trHeight w:val="225"/>
        </w:trPr>
        <w:tc>
          <w:tcPr>
            <w:tcW w:w="1680" w:type="dxa"/>
            <w:vAlign w:val="bottom"/>
          </w:tcPr>
          <w:p>
            <w:pPr>
              <w:spacing w:after="0"/>
              <w:rPr>
                <w:sz w:val="19"/>
                <w:szCs w:val="19"/>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Secretary</w:t>
            </w:r>
          </w:p>
        </w:tc>
      </w:tr>
      <w:tr>
        <w:trPr>
          <w:trHeight w:val="310"/>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April 4, 2022</w:t>
            </w:r>
          </w:p>
        </w:tc>
      </w:tr>
      <w:tr>
        <w:trPr>
          <w:trHeight w:val="54"/>
        </w:trPr>
        <w:tc>
          <w:tcPr>
            <w:tcW w:w="1680" w:type="dxa"/>
            <w:vAlign w:val="bottom"/>
            <w:tcBorders>
              <w:bottom w:val="single" w:sz="8" w:color="58585A"/>
            </w:tcBorders>
          </w:tcPr>
          <w:p>
            <w:pPr>
              <w:spacing w:after="0"/>
              <w:rPr>
                <w:sz w:val="4"/>
                <w:szCs w:val="4"/>
                <w:color w:val="auto"/>
              </w:rPr>
            </w:pPr>
          </w:p>
        </w:tc>
        <w:tc>
          <w:tcPr>
            <w:tcW w:w="9560" w:type="dxa"/>
            <w:vAlign w:val="bottom"/>
            <w:tcBorders>
              <w:bottom w:val="single" w:sz="8" w:color="58585A"/>
            </w:tcBorders>
          </w:tcPr>
          <w:p>
            <w:pPr>
              <w:spacing w:after="0"/>
              <w:rPr>
                <w:sz w:val="4"/>
                <w:szCs w:val="4"/>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074A75"/>
        </w:rPr>
        <w:t>YOUR VOTE IS IMPORTANT TO US. PLEASE VOTE PROMPTLY.</w:t>
      </w:r>
    </w:p>
    <w:p>
      <w:pPr>
        <w:spacing w:after="0" w:line="1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JPMorgan Chase &amp; Co. uses the Securities and Exchange Commission (“SEC”) rule permitting companies to furnish proxy materials to their shareholders via the Internet. In accordance with this rule, on or about April 4, 2022, we sent to shareholders of record at the close of business on March 18, 2022, a Notice of Internet Availability of Proxy Materials (“Notice”), which includes instructions on how to access our 2022 Proxy Statement and 2021 Annual Report online, and how to vote online for the 2022 Annual Shareholder Meeting.</w:t>
      </w:r>
    </w:p>
    <w:p>
      <w:pPr>
        <w:spacing w:after="0" w:line="6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you received a Notice and would like to receive a printed copy of our proxy materials, please follow the instructions for requesting such materials included in the Notice.</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To be admitted to the annual meeting at www.virtualshareholdermeeting.com/JPM2022, you must enter the control number found on your proxy card, voting instruction form or Notice you previously received. See “Information about the annual shareholder meeting” on page 104. At the virtual meeting site, you may follow the instructions to vote, access the stockholders list and ask questions before or during the meeting.</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If you hold your shares through a broker, your shares will not be voted unless (i) you provide voting instructions or (ii) the matter is one for which brokers have discretionary authority to vote. Of the matters to be voted on at the annual meeting, the only one for which brokers have discretionary authority to vote is Proposal 3, the ratification of the independent registered public accounting firm. See “What is the voting requirement to approve each of the proposals?” on page 106.</w:t>
      </w:r>
    </w:p>
    <w:p>
      <w:pPr>
        <w:sectPr>
          <w:pgSz w:w="11900" w:h="16838" w:orient="portrait"/>
          <w:cols w:equalWidth="0" w:num="1">
            <w:col w:w="11240"/>
          </w:cols>
          <w:pgMar w:left="320" w:top="157"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42"/>
          <w:szCs w:val="42"/>
          <w:color w:val="074A75"/>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074A75"/>
        </w:rPr>
        <w:t>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-227330</wp:posOffset>
            </wp:positionV>
            <wp:extent cx="37719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719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180"/>
          </w:cols>
          <w:pgMar w:left="320" w:top="157" w:right="359" w:bottom="1440" w:gutter="0" w:footer="0" w:header="0"/>
          <w:type w:val="continuous"/>
        </w:sect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40" w:type="dxa"/>
            <w:vAlign w:val="bottom"/>
          </w:tcPr>
          <w:p>
            <w:pPr>
              <w:spacing w:after="0"/>
              <w:rPr>
                <w:rFonts w:ascii="Arial" w:cs="Arial" w:eastAsia="Arial" w:hAnsi="Arial"/>
                <w:sz w:val="16"/>
                <w:szCs w:val="16"/>
                <w:b w:val="1"/>
                <w:bCs w:val="1"/>
                <w:color w:val="074A75"/>
              </w:rPr>
            </w:pPr>
            <w:hyperlink w:anchor="page6">
              <w:r>
                <w:rPr>
                  <w:rFonts w:ascii="Arial" w:cs="Arial" w:eastAsia="Arial" w:hAnsi="Arial"/>
                  <w:sz w:val="16"/>
                  <w:szCs w:val="16"/>
                  <w:b w:val="1"/>
                  <w:bCs w:val="1"/>
                  <w:color w:val="074A75"/>
                </w:rPr>
                <w:t>2022 Proxy summary</w:t>
              </w:r>
            </w:hyperlink>
          </w:p>
        </w:tc>
        <w:tc>
          <w:tcPr>
            <w:tcW w:w="1900" w:type="dxa"/>
            <w:vAlign w:val="bottom"/>
          </w:tcPr>
          <w:p>
            <w:pPr>
              <w:jc w:val="right"/>
              <w:spacing w:after="0"/>
              <w:rPr>
                <w:rFonts w:ascii="Arial" w:cs="Arial" w:eastAsia="Arial" w:hAnsi="Arial"/>
                <w:sz w:val="16"/>
                <w:szCs w:val="16"/>
                <w:color w:val="auto"/>
              </w:rPr>
            </w:pPr>
            <w:hyperlink w:anchor="page6">
              <w:r>
                <w:rPr>
                  <w:rFonts w:ascii="Arial" w:cs="Arial" w:eastAsia="Arial" w:hAnsi="Arial"/>
                  <w:sz w:val="16"/>
                  <w:szCs w:val="16"/>
                  <w:color w:val="auto"/>
                </w:rPr>
                <w:t>1</w:t>
              </w:r>
            </w:hyperlink>
          </w:p>
        </w:tc>
      </w:tr>
    </w:tbl>
    <w:p>
      <w:pPr>
        <w:spacing w:after="0" w:line="258" w:lineRule="exact"/>
        <w:rPr>
          <w:sz w:val="20"/>
          <w:szCs w:val="20"/>
          <w:color w:val="auto"/>
        </w:rPr>
      </w:pPr>
    </w:p>
    <w:p>
      <w:pPr>
        <w:ind w:left="20"/>
        <w:spacing w:after="0"/>
        <w:rPr>
          <w:rFonts w:ascii="Arial" w:cs="Arial" w:eastAsia="Arial" w:hAnsi="Arial"/>
          <w:sz w:val="23"/>
          <w:szCs w:val="23"/>
          <w:b w:val="1"/>
          <w:bCs w:val="1"/>
          <w:color w:val="074A75"/>
        </w:rPr>
      </w:pPr>
      <w:hyperlink w:anchor="page15">
        <w:r>
          <w:rPr>
            <w:rFonts w:ascii="Arial" w:cs="Arial" w:eastAsia="Arial" w:hAnsi="Arial"/>
            <w:sz w:val="23"/>
            <w:szCs w:val="23"/>
            <w:b w:val="1"/>
            <w:bCs w:val="1"/>
            <w:color w:val="074A75"/>
          </w:rPr>
          <w:t>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411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9" w:lineRule="exact"/>
        <w:rPr>
          <w:sz w:val="20"/>
          <w:szCs w:val="20"/>
          <w:color w:val="auto"/>
        </w:rPr>
      </w:pPr>
    </w:p>
    <w:p>
      <w:pPr>
        <w:ind w:left="20"/>
        <w:spacing w:after="0"/>
        <w:rPr>
          <w:rFonts w:ascii="Arial" w:cs="Arial" w:eastAsia="Arial" w:hAnsi="Arial"/>
          <w:sz w:val="16"/>
          <w:szCs w:val="16"/>
          <w:b w:val="1"/>
          <w:bCs w:val="1"/>
          <w:color w:val="074A75"/>
        </w:rPr>
      </w:pPr>
      <w:hyperlink w:anchor="page16">
        <w:r>
          <w:rPr>
            <w:rFonts w:ascii="Arial" w:cs="Arial" w:eastAsia="Arial" w:hAnsi="Arial"/>
            <w:sz w:val="16"/>
            <w:szCs w:val="16"/>
            <w:b w:val="1"/>
            <w:bCs w:val="1"/>
            <w:color w:val="074A75"/>
          </w:rPr>
          <w:t>Proposal 1: Election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-115570</wp:posOffset>
            </wp:positionV>
            <wp:extent cx="1371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400" w:type="dxa"/>
            <w:vAlign w:val="bottom"/>
          </w:tcPr>
          <w:p>
            <w:pPr>
              <w:spacing w:after="0"/>
              <w:rPr>
                <w:rFonts w:ascii="Arial" w:cs="Arial" w:eastAsia="Arial" w:hAnsi="Arial"/>
                <w:sz w:val="16"/>
                <w:szCs w:val="16"/>
                <w:color w:val="auto"/>
              </w:rPr>
            </w:pPr>
            <w:hyperlink w:anchor="page16">
              <w:r>
                <w:rPr>
                  <w:rFonts w:ascii="Arial" w:cs="Arial" w:eastAsia="Arial" w:hAnsi="Arial"/>
                  <w:sz w:val="16"/>
                  <w:szCs w:val="16"/>
                  <w:color w:val="auto"/>
                </w:rPr>
                <w:t>Key factors for shareholder consideration</w:t>
              </w:r>
            </w:hyperlink>
          </w:p>
        </w:tc>
        <w:tc>
          <w:tcPr>
            <w:tcW w:w="940" w:type="dxa"/>
            <w:vAlign w:val="bottom"/>
          </w:tcPr>
          <w:p>
            <w:pPr>
              <w:jc w:val="right"/>
              <w:spacing w:after="0"/>
              <w:rPr>
                <w:rFonts w:ascii="Arial" w:cs="Arial" w:eastAsia="Arial" w:hAnsi="Arial"/>
                <w:sz w:val="16"/>
                <w:szCs w:val="16"/>
                <w:color w:val="auto"/>
              </w:rPr>
            </w:pPr>
            <w:hyperlink w:anchor="page16">
              <w:r>
                <w:rPr>
                  <w:rFonts w:ascii="Arial" w:cs="Arial" w:eastAsia="Arial" w:hAnsi="Arial"/>
                  <w:sz w:val="16"/>
                  <w:szCs w:val="16"/>
                  <w:color w:val="auto"/>
                </w:rPr>
                <w:t>11</w:t>
              </w:r>
            </w:hyperlink>
          </w:p>
        </w:tc>
      </w:tr>
      <w:tr>
        <w:trPr>
          <w:trHeight w:val="243"/>
        </w:trPr>
        <w:tc>
          <w:tcPr>
            <w:tcW w:w="4400" w:type="dxa"/>
            <w:vAlign w:val="bottom"/>
          </w:tcPr>
          <w:p>
            <w:pPr>
              <w:spacing w:after="0"/>
              <w:rPr>
                <w:rFonts w:ascii="Arial" w:cs="Arial" w:eastAsia="Arial" w:hAnsi="Arial"/>
                <w:sz w:val="16"/>
                <w:szCs w:val="16"/>
                <w:color w:val="auto"/>
              </w:rPr>
            </w:pPr>
            <w:hyperlink w:anchor="page17">
              <w:r>
                <w:rPr>
                  <w:rFonts w:ascii="Arial" w:cs="Arial" w:eastAsia="Arial" w:hAnsi="Arial"/>
                  <w:sz w:val="16"/>
                  <w:szCs w:val="16"/>
                  <w:color w:val="auto"/>
                </w:rPr>
                <w:t>Director nominees</w:t>
              </w:r>
            </w:hyperlink>
          </w:p>
        </w:tc>
        <w:tc>
          <w:tcPr>
            <w:tcW w:w="94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12</w:t>
              </w:r>
            </w:hyperlink>
          </w:p>
        </w:tc>
      </w:tr>
      <w:tr>
        <w:trPr>
          <w:trHeight w:val="243"/>
        </w:trPr>
        <w:tc>
          <w:tcPr>
            <w:tcW w:w="4400" w:type="dxa"/>
            <w:vAlign w:val="bottom"/>
          </w:tcPr>
          <w:p>
            <w:pPr>
              <w:spacing w:after="0"/>
              <w:rPr>
                <w:rFonts w:ascii="Arial" w:cs="Arial" w:eastAsia="Arial" w:hAnsi="Arial"/>
                <w:sz w:val="16"/>
                <w:szCs w:val="16"/>
                <w:color w:val="auto"/>
              </w:rPr>
            </w:pPr>
            <w:hyperlink w:anchor="page27">
              <w:r>
                <w:rPr>
                  <w:rFonts w:ascii="Arial" w:cs="Arial" w:eastAsia="Arial" w:hAnsi="Arial"/>
                  <w:sz w:val="16"/>
                  <w:szCs w:val="16"/>
                  <w:color w:val="auto"/>
                </w:rPr>
                <w:t>Board governance</w:t>
              </w:r>
            </w:hyperlink>
          </w:p>
        </w:tc>
        <w:tc>
          <w:tcPr>
            <w:tcW w:w="940" w:type="dxa"/>
            <w:vAlign w:val="bottom"/>
          </w:tcPr>
          <w:p>
            <w:pPr>
              <w:jc w:val="right"/>
              <w:spacing w:after="0"/>
              <w:rPr>
                <w:rFonts w:ascii="Arial" w:cs="Arial" w:eastAsia="Arial" w:hAnsi="Arial"/>
                <w:sz w:val="16"/>
                <w:szCs w:val="16"/>
                <w:color w:val="auto"/>
              </w:rPr>
            </w:pPr>
            <w:hyperlink w:anchor="page27">
              <w:r>
                <w:rPr>
                  <w:rFonts w:ascii="Arial" w:cs="Arial" w:eastAsia="Arial" w:hAnsi="Arial"/>
                  <w:sz w:val="16"/>
                  <w:szCs w:val="16"/>
                  <w:color w:val="auto"/>
                </w:rPr>
                <w:t>22</w:t>
              </w:r>
            </w:hyperlink>
          </w:p>
        </w:tc>
      </w:tr>
      <w:tr>
        <w:trPr>
          <w:trHeight w:val="243"/>
        </w:trPr>
        <w:tc>
          <w:tcPr>
            <w:tcW w:w="4400" w:type="dxa"/>
            <w:vAlign w:val="bottom"/>
          </w:tcPr>
          <w:p>
            <w:pPr>
              <w:spacing w:after="0"/>
              <w:rPr>
                <w:rFonts w:ascii="Arial" w:cs="Arial" w:eastAsia="Arial" w:hAnsi="Arial"/>
                <w:sz w:val="16"/>
                <w:szCs w:val="16"/>
                <w:color w:val="auto"/>
              </w:rPr>
            </w:pPr>
            <w:hyperlink w:anchor="page33">
              <w:r>
                <w:rPr>
                  <w:rFonts w:ascii="Arial" w:cs="Arial" w:eastAsia="Arial" w:hAnsi="Arial"/>
                  <w:sz w:val="16"/>
                  <w:szCs w:val="16"/>
                  <w:color w:val="auto"/>
                </w:rPr>
                <w:t>Board oversight</w:t>
              </w:r>
            </w:hyperlink>
          </w:p>
        </w:tc>
        <w:tc>
          <w:tcPr>
            <w:tcW w:w="94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28</w:t>
              </w:r>
            </w:hyperlink>
          </w:p>
        </w:tc>
      </w:tr>
      <w:tr>
        <w:trPr>
          <w:trHeight w:val="243"/>
        </w:trPr>
        <w:tc>
          <w:tcPr>
            <w:tcW w:w="440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Board engagement</w:t>
              </w:r>
            </w:hyperlink>
          </w:p>
        </w:tc>
        <w:tc>
          <w:tcPr>
            <w:tcW w:w="94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30</w:t>
              </w:r>
            </w:hyperlink>
          </w:p>
        </w:tc>
      </w:tr>
      <w:tr>
        <w:trPr>
          <w:trHeight w:val="243"/>
        </w:trPr>
        <w:tc>
          <w:tcPr>
            <w:tcW w:w="4400" w:type="dxa"/>
            <w:vAlign w:val="bottom"/>
          </w:tcPr>
          <w:p>
            <w:pPr>
              <w:spacing w:after="0"/>
              <w:rPr>
                <w:rFonts w:ascii="Arial" w:cs="Arial" w:eastAsia="Arial" w:hAnsi="Arial"/>
                <w:sz w:val="16"/>
                <w:szCs w:val="16"/>
                <w:color w:val="auto"/>
              </w:rPr>
            </w:pPr>
            <w:hyperlink w:anchor="page37">
              <w:r>
                <w:rPr>
                  <w:rFonts w:ascii="Arial" w:cs="Arial" w:eastAsia="Arial" w:hAnsi="Arial"/>
                  <w:sz w:val="16"/>
                  <w:szCs w:val="16"/>
                  <w:color w:val="auto"/>
                </w:rPr>
                <w:t>Director compensation</w:t>
              </w:r>
            </w:hyperlink>
          </w:p>
        </w:tc>
        <w:tc>
          <w:tcPr>
            <w:tcW w:w="94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32</w:t>
              </w:r>
            </w:hyperlink>
          </w:p>
        </w:tc>
      </w:tr>
      <w:tr>
        <w:trPr>
          <w:trHeight w:val="243"/>
        </w:trPr>
        <w:tc>
          <w:tcPr>
            <w:tcW w:w="4400" w:type="dxa"/>
            <w:vAlign w:val="bottom"/>
          </w:tcPr>
          <w:p>
            <w:pPr>
              <w:spacing w:after="0"/>
              <w:rPr>
                <w:rFonts w:ascii="Arial" w:cs="Arial" w:eastAsia="Arial" w:hAnsi="Arial"/>
                <w:sz w:val="16"/>
                <w:szCs w:val="16"/>
                <w:color w:val="auto"/>
              </w:rPr>
            </w:pPr>
            <w:hyperlink w:anchor="page39">
              <w:r>
                <w:rPr>
                  <w:rFonts w:ascii="Arial" w:cs="Arial" w:eastAsia="Arial" w:hAnsi="Arial"/>
                  <w:sz w:val="16"/>
                  <w:szCs w:val="16"/>
                  <w:color w:val="auto"/>
                </w:rPr>
                <w:t>Other corporate governance policies and practices</w:t>
              </w:r>
            </w:hyperlink>
          </w:p>
        </w:tc>
        <w:tc>
          <w:tcPr>
            <w:tcW w:w="940" w:type="dxa"/>
            <w:vAlign w:val="bottom"/>
          </w:tcPr>
          <w:p>
            <w:pPr>
              <w:jc w:val="right"/>
              <w:spacing w:after="0"/>
              <w:rPr>
                <w:rFonts w:ascii="Arial" w:cs="Arial" w:eastAsia="Arial" w:hAnsi="Arial"/>
                <w:sz w:val="16"/>
                <w:szCs w:val="16"/>
                <w:color w:val="auto"/>
              </w:rPr>
            </w:pPr>
            <w:hyperlink w:anchor="page39">
              <w:r>
                <w:rPr>
                  <w:rFonts w:ascii="Arial" w:cs="Arial" w:eastAsia="Arial" w:hAnsi="Arial"/>
                  <w:sz w:val="16"/>
                  <w:szCs w:val="16"/>
                  <w:color w:val="auto"/>
                </w:rPr>
                <w:t>34</w:t>
              </w:r>
            </w:hyperlink>
          </w:p>
        </w:tc>
      </w:tr>
    </w:tbl>
    <w:p>
      <w:pPr>
        <w:spacing w:after="0" w:line="266" w:lineRule="exact"/>
        <w:rPr>
          <w:sz w:val="20"/>
          <w:szCs w:val="20"/>
          <w:color w:val="auto"/>
        </w:rPr>
      </w:pPr>
    </w:p>
    <w:p>
      <w:pPr>
        <w:ind w:left="20"/>
        <w:spacing w:after="0"/>
        <w:rPr>
          <w:rFonts w:ascii="Arial" w:cs="Arial" w:eastAsia="Arial" w:hAnsi="Arial"/>
          <w:sz w:val="23"/>
          <w:szCs w:val="23"/>
          <w:b w:val="1"/>
          <w:bCs w:val="1"/>
          <w:color w:val="074A75"/>
        </w:rPr>
      </w:pPr>
      <w:hyperlink w:anchor="page42">
        <w:r>
          <w:rPr>
            <w:rFonts w:ascii="Arial" w:cs="Arial" w:eastAsia="Arial" w:hAnsi="Arial"/>
            <w:sz w:val="23"/>
            <w:szCs w:val="23"/>
            <w:b w:val="1"/>
            <w:bCs w:val="1"/>
            <w:color w:val="074A75"/>
          </w:rPr>
          <w:t>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4118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9" w:lineRule="exact"/>
        <w:rPr>
          <w:sz w:val="20"/>
          <w:szCs w:val="20"/>
          <w:color w:val="auto"/>
        </w:rPr>
      </w:pPr>
    </w:p>
    <w:p>
      <w:pPr>
        <w:ind w:left="20"/>
        <w:spacing w:after="0"/>
        <w:rPr>
          <w:rFonts w:ascii="Arial" w:cs="Arial" w:eastAsia="Arial" w:hAnsi="Arial"/>
          <w:sz w:val="16"/>
          <w:szCs w:val="16"/>
          <w:b w:val="1"/>
          <w:bCs w:val="1"/>
          <w:color w:val="074A75"/>
        </w:rPr>
      </w:pPr>
      <w:hyperlink w:anchor="page43">
        <w:r>
          <w:rPr>
            <w:rFonts w:ascii="Arial" w:cs="Arial" w:eastAsia="Arial" w:hAnsi="Arial"/>
            <w:sz w:val="16"/>
            <w:szCs w:val="16"/>
            <w:b w:val="1"/>
            <w:bCs w:val="1"/>
            <w:color w:val="074A75"/>
          </w:rPr>
          <w:t>Proposal 2: Advisory resolution to approve executive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-90170</wp:posOffset>
            </wp:positionV>
            <wp:extent cx="1371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60" w:type="dxa"/>
            <w:vAlign w:val="bottom"/>
            <w:gridSpan w:val="2"/>
          </w:tcPr>
          <w:p>
            <w:pPr>
              <w:ind w:left="260"/>
              <w:spacing w:after="0"/>
              <w:rPr>
                <w:rFonts w:ascii="Arial" w:cs="Arial" w:eastAsia="Arial" w:hAnsi="Arial"/>
                <w:sz w:val="16"/>
                <w:szCs w:val="16"/>
                <w:b w:val="1"/>
                <w:bCs w:val="1"/>
                <w:color w:val="074A75"/>
              </w:rPr>
            </w:pPr>
            <w:hyperlink w:anchor="page43">
              <w:r>
                <w:rPr>
                  <w:rFonts w:ascii="Arial" w:cs="Arial" w:eastAsia="Arial" w:hAnsi="Arial"/>
                  <w:sz w:val="16"/>
                  <w:szCs w:val="16"/>
                  <w:b w:val="1"/>
                  <w:bCs w:val="1"/>
                  <w:color w:val="074A75"/>
                </w:rPr>
                <w:t>compensation</w:t>
              </w:r>
            </w:hyperlink>
          </w:p>
        </w:tc>
        <w:tc>
          <w:tcPr>
            <w:tcW w:w="480" w:type="dxa"/>
            <w:vAlign w:val="bottom"/>
          </w:tcPr>
          <w:p>
            <w:pPr>
              <w:spacing w:after="0"/>
              <w:rPr>
                <w:sz w:val="19"/>
                <w:szCs w:val="19"/>
                <w:color w:val="auto"/>
              </w:rPr>
            </w:pPr>
          </w:p>
        </w:tc>
      </w:tr>
      <w:tr>
        <w:trPr>
          <w:trHeight w:val="219"/>
        </w:trPr>
        <w:tc>
          <w:tcPr>
            <w:tcW w:w="4860" w:type="dxa"/>
            <w:vAlign w:val="bottom"/>
            <w:gridSpan w:val="2"/>
          </w:tcPr>
          <w:p>
            <w:pPr>
              <w:spacing w:after="0"/>
              <w:rPr>
                <w:rFonts w:ascii="Arial" w:cs="Arial" w:eastAsia="Arial" w:hAnsi="Arial"/>
                <w:sz w:val="16"/>
                <w:szCs w:val="16"/>
                <w:color w:val="auto"/>
              </w:rPr>
            </w:pPr>
            <w:hyperlink w:anchor="page43">
              <w:r>
                <w:rPr>
                  <w:rFonts w:ascii="Arial" w:cs="Arial" w:eastAsia="Arial" w:hAnsi="Arial"/>
                  <w:sz w:val="16"/>
                  <w:szCs w:val="16"/>
                  <w:color w:val="auto"/>
                </w:rPr>
                <w:t>Overview</w:t>
              </w:r>
            </w:hyperlink>
          </w:p>
        </w:tc>
        <w:tc>
          <w:tcPr>
            <w:tcW w:w="480" w:type="dxa"/>
            <w:vAlign w:val="bottom"/>
          </w:tcPr>
          <w:p>
            <w:pPr>
              <w:jc w:val="right"/>
              <w:spacing w:after="0"/>
              <w:rPr>
                <w:rFonts w:ascii="Arial" w:cs="Arial" w:eastAsia="Arial" w:hAnsi="Arial"/>
                <w:sz w:val="16"/>
                <w:szCs w:val="16"/>
                <w:color w:val="auto"/>
              </w:rPr>
            </w:pPr>
            <w:hyperlink w:anchor="page43">
              <w:r>
                <w:rPr>
                  <w:rFonts w:ascii="Arial" w:cs="Arial" w:eastAsia="Arial" w:hAnsi="Arial"/>
                  <w:sz w:val="16"/>
                  <w:szCs w:val="16"/>
                  <w:color w:val="auto"/>
                </w:rPr>
                <w:t>38</w:t>
              </w:r>
            </w:hyperlink>
          </w:p>
        </w:tc>
      </w:tr>
      <w:tr>
        <w:trPr>
          <w:trHeight w:val="243"/>
        </w:trPr>
        <w:tc>
          <w:tcPr>
            <w:tcW w:w="4860" w:type="dxa"/>
            <w:vAlign w:val="bottom"/>
            <w:gridSpan w:val="2"/>
          </w:tcPr>
          <w:p>
            <w:pPr>
              <w:spacing w:after="0"/>
              <w:rPr>
                <w:rFonts w:ascii="Arial" w:cs="Arial" w:eastAsia="Arial" w:hAnsi="Arial"/>
                <w:sz w:val="16"/>
                <w:szCs w:val="16"/>
                <w:color w:val="auto"/>
              </w:rPr>
            </w:pPr>
            <w:hyperlink w:anchor="page44">
              <w:r>
                <w:rPr>
                  <w:rFonts w:ascii="Arial" w:cs="Arial" w:eastAsia="Arial" w:hAnsi="Arial"/>
                  <w:sz w:val="16"/>
                  <w:szCs w:val="16"/>
                  <w:color w:val="auto"/>
                </w:rPr>
                <w:t>Compensation Discussion and Analysis</w:t>
              </w:r>
            </w:hyperlink>
          </w:p>
        </w:tc>
        <w:tc>
          <w:tcPr>
            <w:tcW w:w="480" w:type="dxa"/>
            <w:vAlign w:val="bottom"/>
          </w:tcPr>
          <w:p>
            <w:pPr>
              <w:jc w:val="right"/>
              <w:spacing w:after="0"/>
              <w:rPr>
                <w:rFonts w:ascii="Arial" w:cs="Arial" w:eastAsia="Arial" w:hAnsi="Arial"/>
                <w:sz w:val="16"/>
                <w:szCs w:val="16"/>
                <w:color w:val="auto"/>
              </w:rPr>
            </w:pPr>
            <w:hyperlink w:anchor="page44">
              <w:r>
                <w:rPr>
                  <w:rFonts w:ascii="Arial" w:cs="Arial" w:eastAsia="Arial" w:hAnsi="Arial"/>
                  <w:sz w:val="16"/>
                  <w:szCs w:val="16"/>
                  <w:color w:val="auto"/>
                </w:rPr>
                <w:t>39</w:t>
              </w:r>
            </w:hyperlink>
          </w:p>
        </w:tc>
      </w:tr>
      <w:tr>
        <w:trPr>
          <w:trHeight w:val="243"/>
        </w:trPr>
        <w:tc>
          <w:tcPr>
            <w:tcW w:w="480" w:type="dxa"/>
            <w:vAlign w:val="bottom"/>
          </w:tcPr>
          <w:p>
            <w:pPr>
              <w:ind w:left="260"/>
              <w:spacing w:after="0"/>
              <w:rPr>
                <w:sz w:val="20"/>
                <w:szCs w:val="20"/>
                <w:color w:val="auto"/>
              </w:rPr>
            </w:pPr>
            <w:r>
              <w:rPr>
                <w:rFonts w:ascii="Arial" w:cs="Arial" w:eastAsia="Arial" w:hAnsi="Arial"/>
                <w:sz w:val="16"/>
                <w:szCs w:val="16"/>
                <w:color w:val="auto"/>
              </w:rPr>
              <w:t>1.</w:t>
            </w:r>
          </w:p>
        </w:tc>
        <w:tc>
          <w:tcPr>
            <w:tcW w:w="4380" w:type="dxa"/>
            <w:vAlign w:val="bottom"/>
          </w:tcPr>
          <w:p>
            <w:pPr>
              <w:ind w:left="160"/>
              <w:spacing w:after="0"/>
              <w:rPr>
                <w:rFonts w:ascii="Arial" w:cs="Arial" w:eastAsia="Arial" w:hAnsi="Arial"/>
                <w:sz w:val="16"/>
                <w:szCs w:val="16"/>
                <w:color w:val="auto"/>
              </w:rPr>
            </w:pPr>
            <w:hyperlink w:anchor="page45">
              <w:r>
                <w:rPr>
                  <w:rFonts w:ascii="Arial" w:cs="Arial" w:eastAsia="Arial" w:hAnsi="Arial"/>
                  <w:sz w:val="16"/>
                  <w:szCs w:val="16"/>
                  <w:color w:val="auto"/>
                </w:rPr>
                <w:t>How we think about pay decisions</w:t>
              </w:r>
            </w:hyperlink>
          </w:p>
        </w:tc>
        <w:tc>
          <w:tcPr>
            <w:tcW w:w="480" w:type="dxa"/>
            <w:vAlign w:val="bottom"/>
          </w:tcPr>
          <w:p>
            <w:pPr>
              <w:jc w:val="right"/>
              <w:spacing w:after="0"/>
              <w:rPr>
                <w:rFonts w:ascii="Arial" w:cs="Arial" w:eastAsia="Arial" w:hAnsi="Arial"/>
                <w:sz w:val="16"/>
                <w:szCs w:val="16"/>
                <w:color w:val="auto"/>
              </w:rPr>
            </w:pPr>
            <w:hyperlink w:anchor="page45">
              <w:r>
                <w:rPr>
                  <w:rFonts w:ascii="Arial" w:cs="Arial" w:eastAsia="Arial" w:hAnsi="Arial"/>
                  <w:sz w:val="16"/>
                  <w:szCs w:val="16"/>
                  <w:color w:val="auto"/>
                </w:rPr>
                <w:t>40</w:t>
              </w:r>
            </w:hyperlink>
          </w:p>
        </w:tc>
      </w:tr>
      <w:tr>
        <w:trPr>
          <w:trHeight w:val="243"/>
        </w:trPr>
        <w:tc>
          <w:tcPr>
            <w:tcW w:w="480" w:type="dxa"/>
            <w:vAlign w:val="bottom"/>
          </w:tcPr>
          <w:p>
            <w:pPr>
              <w:ind w:left="260"/>
              <w:spacing w:after="0"/>
              <w:rPr>
                <w:sz w:val="20"/>
                <w:szCs w:val="20"/>
                <w:color w:val="auto"/>
              </w:rPr>
            </w:pPr>
            <w:r>
              <w:rPr>
                <w:rFonts w:ascii="Arial" w:cs="Arial" w:eastAsia="Arial" w:hAnsi="Arial"/>
                <w:sz w:val="16"/>
                <w:szCs w:val="16"/>
                <w:color w:val="auto"/>
              </w:rPr>
              <w:t>2.</w:t>
            </w:r>
          </w:p>
        </w:tc>
        <w:tc>
          <w:tcPr>
            <w:tcW w:w="4380" w:type="dxa"/>
            <w:vAlign w:val="bottom"/>
          </w:tcPr>
          <w:p>
            <w:pPr>
              <w:ind w:left="160"/>
              <w:spacing w:after="0"/>
              <w:rPr>
                <w:rFonts w:ascii="Arial" w:cs="Arial" w:eastAsia="Arial" w:hAnsi="Arial"/>
                <w:sz w:val="16"/>
                <w:szCs w:val="16"/>
                <w:color w:val="auto"/>
              </w:rPr>
            </w:pPr>
            <w:hyperlink w:anchor="page58">
              <w:r>
                <w:rPr>
                  <w:rFonts w:ascii="Arial" w:cs="Arial" w:eastAsia="Arial" w:hAnsi="Arial"/>
                  <w:sz w:val="16"/>
                  <w:szCs w:val="16"/>
                  <w:color w:val="auto"/>
                </w:rPr>
                <w:t>How we performed against our business strategy</w:t>
              </w:r>
            </w:hyperlink>
          </w:p>
        </w:tc>
        <w:tc>
          <w:tcPr>
            <w:tcW w:w="480" w:type="dxa"/>
            <w:vAlign w:val="bottom"/>
          </w:tcPr>
          <w:p>
            <w:pPr>
              <w:jc w:val="right"/>
              <w:spacing w:after="0"/>
              <w:rPr>
                <w:rFonts w:ascii="Arial" w:cs="Arial" w:eastAsia="Arial" w:hAnsi="Arial"/>
                <w:sz w:val="16"/>
                <w:szCs w:val="16"/>
                <w:color w:val="auto"/>
              </w:rPr>
            </w:pPr>
            <w:hyperlink w:anchor="page58">
              <w:r>
                <w:rPr>
                  <w:rFonts w:ascii="Arial" w:cs="Arial" w:eastAsia="Arial" w:hAnsi="Arial"/>
                  <w:sz w:val="16"/>
                  <w:szCs w:val="16"/>
                  <w:color w:val="auto"/>
                </w:rPr>
                <w:t>53</w:t>
              </w:r>
            </w:hyperlink>
          </w:p>
        </w:tc>
      </w:tr>
      <w:tr>
        <w:trPr>
          <w:trHeight w:val="243"/>
        </w:trPr>
        <w:tc>
          <w:tcPr>
            <w:tcW w:w="480" w:type="dxa"/>
            <w:vAlign w:val="bottom"/>
          </w:tcPr>
          <w:p>
            <w:pPr>
              <w:ind w:left="260"/>
              <w:spacing w:after="0"/>
              <w:rPr>
                <w:sz w:val="20"/>
                <w:szCs w:val="20"/>
                <w:color w:val="auto"/>
              </w:rPr>
            </w:pPr>
            <w:r>
              <w:rPr>
                <w:rFonts w:ascii="Arial" w:cs="Arial" w:eastAsia="Arial" w:hAnsi="Arial"/>
                <w:sz w:val="16"/>
                <w:szCs w:val="16"/>
                <w:color w:val="auto"/>
              </w:rPr>
              <w:t>3.</w:t>
            </w:r>
          </w:p>
        </w:tc>
        <w:tc>
          <w:tcPr>
            <w:tcW w:w="4380" w:type="dxa"/>
            <w:vAlign w:val="bottom"/>
          </w:tcPr>
          <w:p>
            <w:pPr>
              <w:ind w:left="160"/>
              <w:spacing w:after="0"/>
              <w:rPr>
                <w:rFonts w:ascii="Arial" w:cs="Arial" w:eastAsia="Arial" w:hAnsi="Arial"/>
                <w:sz w:val="16"/>
                <w:szCs w:val="16"/>
                <w:color w:val="auto"/>
              </w:rPr>
            </w:pPr>
            <w:hyperlink w:anchor="page70">
              <w:r>
                <w:rPr>
                  <w:rFonts w:ascii="Arial" w:cs="Arial" w:eastAsia="Arial" w:hAnsi="Arial"/>
                  <w:sz w:val="16"/>
                  <w:szCs w:val="16"/>
                  <w:color w:val="auto"/>
                </w:rPr>
                <w:t>How performance determined pay in 2021</w:t>
              </w:r>
            </w:hyperlink>
          </w:p>
        </w:tc>
        <w:tc>
          <w:tcPr>
            <w:tcW w:w="480" w:type="dxa"/>
            <w:vAlign w:val="bottom"/>
          </w:tcPr>
          <w:p>
            <w:pPr>
              <w:jc w:val="right"/>
              <w:spacing w:after="0"/>
              <w:rPr>
                <w:rFonts w:ascii="Arial" w:cs="Arial" w:eastAsia="Arial" w:hAnsi="Arial"/>
                <w:sz w:val="16"/>
                <w:szCs w:val="16"/>
                <w:color w:val="auto"/>
              </w:rPr>
            </w:pPr>
            <w:hyperlink w:anchor="page70">
              <w:r>
                <w:rPr>
                  <w:rFonts w:ascii="Arial" w:cs="Arial" w:eastAsia="Arial" w:hAnsi="Arial"/>
                  <w:sz w:val="16"/>
                  <w:szCs w:val="16"/>
                  <w:color w:val="auto"/>
                </w:rPr>
                <w:t>65</w:t>
              </w:r>
            </w:hyperlink>
          </w:p>
        </w:tc>
      </w:tr>
      <w:tr>
        <w:trPr>
          <w:trHeight w:val="243"/>
        </w:trPr>
        <w:tc>
          <w:tcPr>
            <w:tcW w:w="4860" w:type="dxa"/>
            <w:vAlign w:val="bottom"/>
            <w:gridSpan w:val="2"/>
          </w:tcPr>
          <w:p>
            <w:pPr>
              <w:spacing w:after="0"/>
              <w:rPr>
                <w:rFonts w:ascii="Arial" w:cs="Arial" w:eastAsia="Arial" w:hAnsi="Arial"/>
                <w:sz w:val="16"/>
                <w:szCs w:val="16"/>
                <w:color w:val="auto"/>
              </w:rPr>
            </w:pPr>
            <w:hyperlink w:anchor="page78">
              <w:r>
                <w:rPr>
                  <w:rFonts w:ascii="Arial" w:cs="Arial" w:eastAsia="Arial" w:hAnsi="Arial"/>
                  <w:sz w:val="16"/>
                  <w:szCs w:val="16"/>
                  <w:color w:val="auto"/>
                </w:rPr>
                <w:t>Compensation &amp; Management Development Committee report</w:t>
              </w:r>
            </w:hyperlink>
          </w:p>
        </w:tc>
        <w:tc>
          <w:tcPr>
            <w:tcW w:w="480" w:type="dxa"/>
            <w:vAlign w:val="bottom"/>
          </w:tcPr>
          <w:p>
            <w:pPr>
              <w:jc w:val="right"/>
              <w:spacing w:after="0"/>
              <w:rPr>
                <w:rFonts w:ascii="Arial" w:cs="Arial" w:eastAsia="Arial" w:hAnsi="Arial"/>
                <w:sz w:val="16"/>
                <w:szCs w:val="16"/>
                <w:color w:val="auto"/>
              </w:rPr>
            </w:pPr>
            <w:hyperlink w:anchor="page78">
              <w:r>
                <w:rPr>
                  <w:rFonts w:ascii="Arial" w:cs="Arial" w:eastAsia="Arial" w:hAnsi="Arial"/>
                  <w:sz w:val="16"/>
                  <w:szCs w:val="16"/>
                  <w:color w:val="auto"/>
                </w:rPr>
                <w:t>73</w:t>
              </w:r>
            </w:hyperlink>
          </w:p>
        </w:tc>
      </w:tr>
      <w:tr>
        <w:trPr>
          <w:trHeight w:val="243"/>
        </w:trPr>
        <w:tc>
          <w:tcPr>
            <w:tcW w:w="4860" w:type="dxa"/>
            <w:vAlign w:val="bottom"/>
            <w:gridSpan w:val="2"/>
          </w:tcPr>
          <w:p>
            <w:pPr>
              <w:spacing w:after="0"/>
              <w:rPr>
                <w:rFonts w:ascii="Arial" w:cs="Arial" w:eastAsia="Arial" w:hAnsi="Arial"/>
                <w:sz w:val="16"/>
                <w:szCs w:val="16"/>
                <w:color w:val="auto"/>
              </w:rPr>
            </w:pPr>
            <w:hyperlink w:anchor="page79">
              <w:r>
                <w:rPr>
                  <w:rFonts w:ascii="Arial" w:cs="Arial" w:eastAsia="Arial" w:hAnsi="Arial"/>
                  <w:sz w:val="16"/>
                  <w:szCs w:val="16"/>
                  <w:color w:val="auto"/>
                </w:rPr>
                <w:t>Executive compensation tables</w:t>
              </w:r>
            </w:hyperlink>
          </w:p>
        </w:tc>
        <w:tc>
          <w:tcPr>
            <w:tcW w:w="480" w:type="dxa"/>
            <w:vAlign w:val="bottom"/>
          </w:tcPr>
          <w:p>
            <w:pPr>
              <w:jc w:val="right"/>
              <w:spacing w:after="0"/>
              <w:rPr>
                <w:rFonts w:ascii="Arial" w:cs="Arial" w:eastAsia="Arial" w:hAnsi="Arial"/>
                <w:sz w:val="16"/>
                <w:szCs w:val="16"/>
                <w:color w:val="auto"/>
              </w:rPr>
            </w:pPr>
            <w:hyperlink w:anchor="page79">
              <w:r>
                <w:rPr>
                  <w:rFonts w:ascii="Arial" w:cs="Arial" w:eastAsia="Arial" w:hAnsi="Arial"/>
                  <w:sz w:val="16"/>
                  <w:szCs w:val="16"/>
                  <w:color w:val="auto"/>
                </w:rPr>
                <w:t>74</w:t>
              </w:r>
            </w:hyperlink>
          </w:p>
        </w:tc>
      </w:tr>
      <w:tr>
        <w:trPr>
          <w:trHeight w:val="243"/>
        </w:trPr>
        <w:tc>
          <w:tcPr>
            <w:tcW w:w="480" w:type="dxa"/>
            <w:vAlign w:val="bottom"/>
          </w:tcPr>
          <w:p>
            <w:pPr>
              <w:ind w:left="260"/>
              <w:spacing w:after="0"/>
              <w:rPr>
                <w:sz w:val="20"/>
                <w:szCs w:val="20"/>
                <w:color w:val="auto"/>
              </w:rPr>
            </w:pPr>
            <w:r>
              <w:rPr>
                <w:rFonts w:ascii="Arial" w:cs="Arial" w:eastAsia="Arial" w:hAnsi="Arial"/>
                <w:sz w:val="16"/>
                <w:szCs w:val="16"/>
                <w:color w:val="auto"/>
              </w:rPr>
              <w:t>I.</w:t>
            </w:r>
          </w:p>
        </w:tc>
        <w:tc>
          <w:tcPr>
            <w:tcW w:w="4380" w:type="dxa"/>
            <w:vAlign w:val="bottom"/>
          </w:tcPr>
          <w:p>
            <w:pPr>
              <w:ind w:left="220"/>
              <w:spacing w:after="0"/>
              <w:rPr>
                <w:rFonts w:ascii="Arial" w:cs="Arial" w:eastAsia="Arial" w:hAnsi="Arial"/>
                <w:sz w:val="16"/>
                <w:szCs w:val="16"/>
                <w:color w:val="auto"/>
              </w:rPr>
            </w:pPr>
            <w:hyperlink w:anchor="page80">
              <w:r>
                <w:rPr>
                  <w:rFonts w:ascii="Arial" w:cs="Arial" w:eastAsia="Arial" w:hAnsi="Arial"/>
                  <w:sz w:val="16"/>
                  <w:szCs w:val="16"/>
                  <w:color w:val="auto"/>
                </w:rPr>
                <w:t>Summary compensation table (SCT)</w:t>
              </w:r>
            </w:hyperlink>
          </w:p>
        </w:tc>
        <w:tc>
          <w:tcPr>
            <w:tcW w:w="480" w:type="dxa"/>
            <w:vAlign w:val="bottom"/>
          </w:tcPr>
          <w:p>
            <w:pPr>
              <w:jc w:val="right"/>
              <w:spacing w:after="0"/>
              <w:rPr>
                <w:rFonts w:ascii="Arial" w:cs="Arial" w:eastAsia="Arial" w:hAnsi="Arial"/>
                <w:sz w:val="16"/>
                <w:szCs w:val="16"/>
                <w:color w:val="auto"/>
              </w:rPr>
            </w:pPr>
            <w:hyperlink w:anchor="page80">
              <w:r>
                <w:rPr>
                  <w:rFonts w:ascii="Arial" w:cs="Arial" w:eastAsia="Arial" w:hAnsi="Arial"/>
                  <w:sz w:val="16"/>
                  <w:szCs w:val="16"/>
                  <w:color w:val="auto"/>
                </w:rPr>
                <w:t>74</w:t>
              </w:r>
            </w:hyperlink>
          </w:p>
        </w:tc>
      </w:tr>
      <w:tr>
        <w:trPr>
          <w:trHeight w:val="243"/>
        </w:trPr>
        <w:tc>
          <w:tcPr>
            <w:tcW w:w="4860" w:type="dxa"/>
            <w:vAlign w:val="bottom"/>
            <w:gridSpan w:val="2"/>
          </w:tcPr>
          <w:p>
            <w:pPr>
              <w:ind w:left="260"/>
              <w:spacing w:after="0"/>
              <w:rPr>
                <w:rFonts w:ascii="Arial" w:cs="Arial" w:eastAsia="Arial" w:hAnsi="Arial"/>
                <w:sz w:val="16"/>
                <w:szCs w:val="16"/>
                <w:color w:val="auto"/>
              </w:rPr>
            </w:pPr>
            <w:r>
              <w:rPr>
                <w:rFonts w:ascii="Arial" w:cs="Arial" w:eastAsia="Arial" w:hAnsi="Arial"/>
                <w:sz w:val="16"/>
                <w:szCs w:val="16"/>
                <w:color w:val="auto"/>
              </w:rPr>
              <w:t xml:space="preserve">II.   </w:t>
            </w:r>
            <w:hyperlink w:anchor="page80">
              <w:r>
                <w:rPr>
                  <w:rFonts w:ascii="Arial" w:cs="Arial" w:eastAsia="Arial" w:hAnsi="Arial"/>
                  <w:sz w:val="16"/>
                  <w:szCs w:val="16"/>
                  <w:color w:val="auto"/>
                </w:rPr>
                <w:t>2021 Grants of plan-based awards</w:t>
              </w:r>
            </w:hyperlink>
          </w:p>
        </w:tc>
        <w:tc>
          <w:tcPr>
            <w:tcW w:w="480" w:type="dxa"/>
            <w:vAlign w:val="bottom"/>
          </w:tcPr>
          <w:p>
            <w:pPr>
              <w:jc w:val="right"/>
              <w:spacing w:after="0"/>
              <w:rPr>
                <w:rFonts w:ascii="Arial" w:cs="Arial" w:eastAsia="Arial" w:hAnsi="Arial"/>
                <w:sz w:val="16"/>
                <w:szCs w:val="16"/>
                <w:color w:val="auto"/>
              </w:rPr>
            </w:pPr>
            <w:hyperlink w:anchor="page80">
              <w:r>
                <w:rPr>
                  <w:rFonts w:ascii="Arial" w:cs="Arial" w:eastAsia="Arial" w:hAnsi="Arial"/>
                  <w:sz w:val="16"/>
                  <w:szCs w:val="16"/>
                  <w:color w:val="auto"/>
                </w:rPr>
                <w:t>75</w:t>
              </w:r>
            </w:hyperlink>
          </w:p>
        </w:tc>
      </w:tr>
      <w:tr>
        <w:trPr>
          <w:trHeight w:val="243"/>
        </w:trPr>
        <w:tc>
          <w:tcPr>
            <w:tcW w:w="4860" w:type="dxa"/>
            <w:vAlign w:val="bottom"/>
            <w:gridSpan w:val="2"/>
          </w:tcPr>
          <w:p>
            <w:pPr>
              <w:ind w:left="260"/>
              <w:spacing w:after="0"/>
              <w:rPr>
                <w:rFonts w:ascii="Arial" w:cs="Arial" w:eastAsia="Arial" w:hAnsi="Arial"/>
                <w:sz w:val="16"/>
                <w:szCs w:val="16"/>
                <w:color w:val="auto"/>
              </w:rPr>
            </w:pPr>
            <w:r>
              <w:rPr>
                <w:rFonts w:ascii="Arial" w:cs="Arial" w:eastAsia="Arial" w:hAnsi="Arial"/>
                <w:sz w:val="16"/>
                <w:szCs w:val="16"/>
                <w:color w:val="auto"/>
              </w:rPr>
              <w:t xml:space="preserve">III.  </w:t>
            </w:r>
            <w:hyperlink w:anchor="page81">
              <w:r>
                <w:rPr>
                  <w:rFonts w:ascii="Arial" w:cs="Arial" w:eastAsia="Arial" w:hAnsi="Arial"/>
                  <w:sz w:val="16"/>
                  <w:szCs w:val="16"/>
                  <w:color w:val="auto"/>
                </w:rPr>
                <w:t>Outstanding equity awards at fiscal year-end 2021</w:t>
              </w:r>
            </w:hyperlink>
          </w:p>
        </w:tc>
        <w:tc>
          <w:tcPr>
            <w:tcW w:w="480" w:type="dxa"/>
            <w:vAlign w:val="bottom"/>
          </w:tcPr>
          <w:p>
            <w:pPr>
              <w:jc w:val="right"/>
              <w:spacing w:after="0"/>
              <w:rPr>
                <w:rFonts w:ascii="Arial" w:cs="Arial" w:eastAsia="Arial" w:hAnsi="Arial"/>
                <w:sz w:val="16"/>
                <w:szCs w:val="16"/>
                <w:color w:val="auto"/>
              </w:rPr>
            </w:pPr>
            <w:hyperlink w:anchor="page81">
              <w:r>
                <w:rPr>
                  <w:rFonts w:ascii="Arial" w:cs="Arial" w:eastAsia="Arial" w:hAnsi="Arial"/>
                  <w:sz w:val="16"/>
                  <w:szCs w:val="16"/>
                  <w:color w:val="auto"/>
                </w:rPr>
                <w:t>76</w:t>
              </w:r>
            </w:hyperlink>
          </w:p>
        </w:tc>
      </w:tr>
      <w:tr>
        <w:trPr>
          <w:trHeight w:val="243"/>
        </w:trPr>
        <w:tc>
          <w:tcPr>
            <w:tcW w:w="480" w:type="dxa"/>
            <w:vAlign w:val="bottom"/>
          </w:tcPr>
          <w:p>
            <w:pPr>
              <w:ind w:left="260"/>
              <w:spacing w:after="0"/>
              <w:rPr>
                <w:sz w:val="20"/>
                <w:szCs w:val="20"/>
                <w:color w:val="auto"/>
              </w:rPr>
            </w:pPr>
            <w:r>
              <w:rPr>
                <w:rFonts w:ascii="Arial" w:cs="Arial" w:eastAsia="Arial" w:hAnsi="Arial"/>
                <w:sz w:val="16"/>
                <w:szCs w:val="16"/>
                <w:color w:val="auto"/>
              </w:rPr>
              <w:t>IV.</w:t>
            </w:r>
          </w:p>
        </w:tc>
        <w:tc>
          <w:tcPr>
            <w:tcW w:w="4380" w:type="dxa"/>
            <w:vAlign w:val="bottom"/>
          </w:tcPr>
          <w:p>
            <w:pPr>
              <w:ind w:left="140"/>
              <w:spacing w:after="0"/>
              <w:rPr>
                <w:rFonts w:ascii="Arial" w:cs="Arial" w:eastAsia="Arial" w:hAnsi="Arial"/>
                <w:sz w:val="16"/>
                <w:szCs w:val="16"/>
                <w:color w:val="auto"/>
              </w:rPr>
            </w:pPr>
            <w:hyperlink w:anchor="page83">
              <w:r>
                <w:rPr>
                  <w:rFonts w:ascii="Arial" w:cs="Arial" w:eastAsia="Arial" w:hAnsi="Arial"/>
                  <w:sz w:val="16"/>
                  <w:szCs w:val="16"/>
                  <w:color w:val="auto"/>
                </w:rPr>
                <w:t>2021 Option exercises and stock vested table</w:t>
              </w:r>
            </w:hyperlink>
          </w:p>
        </w:tc>
        <w:tc>
          <w:tcPr>
            <w:tcW w:w="480" w:type="dxa"/>
            <w:vAlign w:val="bottom"/>
          </w:tcPr>
          <w:p>
            <w:pPr>
              <w:jc w:val="right"/>
              <w:spacing w:after="0"/>
              <w:rPr>
                <w:rFonts w:ascii="Arial" w:cs="Arial" w:eastAsia="Arial" w:hAnsi="Arial"/>
                <w:sz w:val="16"/>
                <w:szCs w:val="16"/>
                <w:color w:val="auto"/>
              </w:rPr>
            </w:pPr>
            <w:hyperlink w:anchor="page83">
              <w:r>
                <w:rPr>
                  <w:rFonts w:ascii="Arial" w:cs="Arial" w:eastAsia="Arial" w:hAnsi="Arial"/>
                  <w:sz w:val="16"/>
                  <w:szCs w:val="16"/>
                  <w:color w:val="auto"/>
                </w:rPr>
                <w:t>78</w:t>
              </w:r>
            </w:hyperlink>
          </w:p>
        </w:tc>
      </w:tr>
      <w:tr>
        <w:trPr>
          <w:trHeight w:val="243"/>
        </w:trPr>
        <w:tc>
          <w:tcPr>
            <w:tcW w:w="480" w:type="dxa"/>
            <w:vAlign w:val="bottom"/>
          </w:tcPr>
          <w:p>
            <w:pPr>
              <w:ind w:left="260"/>
              <w:spacing w:after="0"/>
              <w:rPr>
                <w:sz w:val="20"/>
                <w:szCs w:val="20"/>
                <w:color w:val="auto"/>
              </w:rPr>
            </w:pPr>
            <w:r>
              <w:rPr>
                <w:rFonts w:ascii="Arial" w:cs="Arial" w:eastAsia="Arial" w:hAnsi="Arial"/>
                <w:sz w:val="16"/>
                <w:szCs w:val="16"/>
                <w:color w:val="auto"/>
              </w:rPr>
              <w:t>V.</w:t>
            </w:r>
          </w:p>
        </w:tc>
        <w:tc>
          <w:tcPr>
            <w:tcW w:w="4380" w:type="dxa"/>
            <w:vAlign w:val="bottom"/>
          </w:tcPr>
          <w:p>
            <w:pPr>
              <w:ind w:left="160"/>
              <w:spacing w:after="0"/>
              <w:rPr>
                <w:rFonts w:ascii="Arial" w:cs="Arial" w:eastAsia="Arial" w:hAnsi="Arial"/>
                <w:sz w:val="16"/>
                <w:szCs w:val="16"/>
                <w:color w:val="auto"/>
              </w:rPr>
            </w:pPr>
            <w:hyperlink w:anchor="page84">
              <w:r>
                <w:rPr>
                  <w:rFonts w:ascii="Arial" w:cs="Arial" w:eastAsia="Arial" w:hAnsi="Arial"/>
                  <w:sz w:val="16"/>
                  <w:szCs w:val="16"/>
                  <w:color w:val="auto"/>
                </w:rPr>
                <w:t>2021 Pension benefits</w:t>
              </w:r>
            </w:hyperlink>
          </w:p>
        </w:tc>
        <w:tc>
          <w:tcPr>
            <w:tcW w:w="480" w:type="dxa"/>
            <w:vAlign w:val="bottom"/>
          </w:tcPr>
          <w:p>
            <w:pPr>
              <w:jc w:val="right"/>
              <w:spacing w:after="0"/>
              <w:rPr>
                <w:rFonts w:ascii="Arial" w:cs="Arial" w:eastAsia="Arial" w:hAnsi="Arial"/>
                <w:sz w:val="16"/>
                <w:szCs w:val="16"/>
                <w:color w:val="auto"/>
              </w:rPr>
            </w:pPr>
            <w:hyperlink w:anchor="page84">
              <w:r>
                <w:rPr>
                  <w:rFonts w:ascii="Arial" w:cs="Arial" w:eastAsia="Arial" w:hAnsi="Arial"/>
                  <w:sz w:val="16"/>
                  <w:szCs w:val="16"/>
                  <w:color w:val="auto"/>
                </w:rPr>
                <w:t>78</w:t>
              </w:r>
            </w:hyperlink>
          </w:p>
        </w:tc>
      </w:tr>
      <w:tr>
        <w:trPr>
          <w:trHeight w:val="243"/>
        </w:trPr>
        <w:tc>
          <w:tcPr>
            <w:tcW w:w="4860" w:type="dxa"/>
            <w:vAlign w:val="bottom"/>
            <w:gridSpan w:val="2"/>
          </w:tcPr>
          <w:p>
            <w:pPr>
              <w:ind w:left="260"/>
              <w:spacing w:after="0"/>
              <w:rPr>
                <w:rFonts w:ascii="Arial" w:cs="Arial" w:eastAsia="Arial" w:hAnsi="Arial"/>
                <w:sz w:val="16"/>
                <w:szCs w:val="16"/>
                <w:color w:val="auto"/>
              </w:rPr>
            </w:pPr>
            <w:r>
              <w:rPr>
                <w:rFonts w:ascii="Arial" w:cs="Arial" w:eastAsia="Arial" w:hAnsi="Arial"/>
                <w:sz w:val="16"/>
                <w:szCs w:val="16"/>
                <w:color w:val="auto"/>
              </w:rPr>
              <w:t xml:space="preserve">VI. 2021 </w:t>
            </w:r>
            <w:hyperlink w:anchor="page85">
              <w:r>
                <w:rPr>
                  <w:rFonts w:ascii="Arial" w:cs="Arial" w:eastAsia="Arial" w:hAnsi="Arial"/>
                  <w:sz w:val="16"/>
                  <w:szCs w:val="16"/>
                  <w:color w:val="auto"/>
                </w:rPr>
                <w:t>Non-qualified deferred compensation</w:t>
              </w:r>
            </w:hyperlink>
          </w:p>
        </w:tc>
        <w:tc>
          <w:tcPr>
            <w:tcW w:w="480" w:type="dxa"/>
            <w:vAlign w:val="bottom"/>
          </w:tcPr>
          <w:p>
            <w:pPr>
              <w:jc w:val="right"/>
              <w:spacing w:after="0"/>
              <w:rPr>
                <w:rFonts w:ascii="Arial" w:cs="Arial" w:eastAsia="Arial" w:hAnsi="Arial"/>
                <w:sz w:val="16"/>
                <w:szCs w:val="16"/>
                <w:color w:val="auto"/>
              </w:rPr>
            </w:pPr>
            <w:hyperlink w:anchor="page85">
              <w:r>
                <w:rPr>
                  <w:rFonts w:ascii="Arial" w:cs="Arial" w:eastAsia="Arial" w:hAnsi="Arial"/>
                  <w:sz w:val="16"/>
                  <w:szCs w:val="16"/>
                  <w:color w:val="auto"/>
                </w:rPr>
                <w:t>79</w:t>
              </w:r>
            </w:hyperlink>
          </w:p>
        </w:tc>
      </w:tr>
      <w:tr>
        <w:trPr>
          <w:trHeight w:val="217"/>
        </w:trPr>
        <w:tc>
          <w:tcPr>
            <w:tcW w:w="4860" w:type="dxa"/>
            <w:vAlign w:val="bottom"/>
            <w:gridSpan w:val="2"/>
          </w:tcPr>
          <w:p>
            <w:pPr>
              <w:ind w:left="260"/>
              <w:spacing w:after="0"/>
              <w:rPr>
                <w:rFonts w:ascii="Arial" w:cs="Arial" w:eastAsia="Arial" w:hAnsi="Arial"/>
                <w:sz w:val="16"/>
                <w:szCs w:val="16"/>
                <w:color w:val="auto"/>
              </w:rPr>
            </w:pPr>
            <w:r>
              <w:rPr>
                <w:rFonts w:ascii="Arial" w:cs="Arial" w:eastAsia="Arial" w:hAnsi="Arial"/>
                <w:sz w:val="16"/>
                <w:szCs w:val="16"/>
                <w:color w:val="auto"/>
              </w:rPr>
              <w:t xml:space="preserve">VII. </w:t>
            </w:r>
            <w:hyperlink w:anchor="page85">
              <w:r>
                <w:rPr>
                  <w:rFonts w:ascii="Arial" w:cs="Arial" w:eastAsia="Arial" w:hAnsi="Arial"/>
                  <w:sz w:val="16"/>
                  <w:szCs w:val="16"/>
                  <w:color w:val="auto"/>
                </w:rPr>
                <w:t>2021 Potential payments upon termination or change in</w:t>
              </w:r>
            </w:hyperlink>
          </w:p>
        </w:tc>
        <w:tc>
          <w:tcPr>
            <w:tcW w:w="480" w:type="dxa"/>
            <w:vAlign w:val="bottom"/>
          </w:tcPr>
          <w:p>
            <w:pPr>
              <w:spacing w:after="0"/>
              <w:rPr>
                <w:sz w:val="18"/>
                <w:szCs w:val="18"/>
                <w:color w:val="auto"/>
              </w:rPr>
            </w:pPr>
          </w:p>
        </w:tc>
      </w:tr>
      <w:tr>
        <w:trPr>
          <w:trHeight w:val="215"/>
        </w:trPr>
        <w:tc>
          <w:tcPr>
            <w:tcW w:w="480" w:type="dxa"/>
            <w:vAlign w:val="bottom"/>
          </w:tcPr>
          <w:p>
            <w:pPr>
              <w:spacing w:after="0"/>
              <w:rPr>
                <w:sz w:val="18"/>
                <w:szCs w:val="18"/>
                <w:color w:val="auto"/>
              </w:rPr>
            </w:pPr>
          </w:p>
        </w:tc>
        <w:tc>
          <w:tcPr>
            <w:tcW w:w="4380" w:type="dxa"/>
            <w:vAlign w:val="bottom"/>
          </w:tcPr>
          <w:p>
            <w:pPr>
              <w:ind w:left="40"/>
              <w:spacing w:after="0"/>
              <w:rPr>
                <w:rFonts w:ascii="Arial" w:cs="Arial" w:eastAsia="Arial" w:hAnsi="Arial"/>
                <w:sz w:val="16"/>
                <w:szCs w:val="16"/>
                <w:color w:val="auto"/>
              </w:rPr>
            </w:pPr>
            <w:hyperlink w:anchor="page85">
              <w:r>
                <w:rPr>
                  <w:rFonts w:ascii="Arial" w:cs="Arial" w:eastAsia="Arial" w:hAnsi="Arial"/>
                  <w:sz w:val="16"/>
                  <w:szCs w:val="16"/>
                  <w:color w:val="auto"/>
                </w:rPr>
                <w:t>control</w:t>
              </w:r>
            </w:hyperlink>
          </w:p>
        </w:tc>
        <w:tc>
          <w:tcPr>
            <w:tcW w:w="480" w:type="dxa"/>
            <w:vAlign w:val="bottom"/>
          </w:tcPr>
          <w:p>
            <w:pPr>
              <w:jc w:val="right"/>
              <w:spacing w:after="0"/>
              <w:rPr>
                <w:rFonts w:ascii="Arial" w:cs="Arial" w:eastAsia="Arial" w:hAnsi="Arial"/>
                <w:sz w:val="16"/>
                <w:szCs w:val="16"/>
                <w:color w:val="auto"/>
              </w:rPr>
            </w:pPr>
            <w:hyperlink w:anchor="page85">
              <w:r>
                <w:rPr>
                  <w:rFonts w:ascii="Arial" w:cs="Arial" w:eastAsia="Arial" w:hAnsi="Arial"/>
                  <w:sz w:val="16"/>
                  <w:szCs w:val="16"/>
                  <w:color w:val="auto"/>
                </w:rPr>
                <w:t>80</w:t>
              </w:r>
            </w:hyperlink>
          </w:p>
        </w:tc>
      </w:tr>
      <w:tr>
        <w:trPr>
          <w:trHeight w:val="243"/>
        </w:trPr>
        <w:tc>
          <w:tcPr>
            <w:tcW w:w="4860" w:type="dxa"/>
            <w:vAlign w:val="bottom"/>
            <w:gridSpan w:val="2"/>
          </w:tcPr>
          <w:p>
            <w:pPr>
              <w:spacing w:after="0"/>
              <w:rPr>
                <w:rFonts w:ascii="Arial" w:cs="Arial" w:eastAsia="Arial" w:hAnsi="Arial"/>
                <w:sz w:val="16"/>
                <w:szCs w:val="16"/>
                <w:color w:val="auto"/>
              </w:rPr>
            </w:pPr>
            <w:hyperlink w:anchor="page87">
              <w:r>
                <w:rPr>
                  <w:rFonts w:ascii="Arial" w:cs="Arial" w:eastAsia="Arial" w:hAnsi="Arial"/>
                  <w:sz w:val="16"/>
                  <w:szCs w:val="16"/>
                  <w:color w:val="auto"/>
                </w:rPr>
                <w:t>CEO pay ratio disclosure</w:t>
              </w:r>
            </w:hyperlink>
          </w:p>
        </w:tc>
        <w:tc>
          <w:tcPr>
            <w:tcW w:w="480" w:type="dxa"/>
            <w:vAlign w:val="bottom"/>
          </w:tcPr>
          <w:p>
            <w:pPr>
              <w:jc w:val="right"/>
              <w:spacing w:after="0"/>
              <w:rPr>
                <w:rFonts w:ascii="Arial" w:cs="Arial" w:eastAsia="Arial" w:hAnsi="Arial"/>
                <w:sz w:val="16"/>
                <w:szCs w:val="16"/>
                <w:color w:val="auto"/>
              </w:rPr>
            </w:pPr>
            <w:hyperlink w:anchor="page87">
              <w:r>
                <w:rPr>
                  <w:rFonts w:ascii="Arial" w:cs="Arial" w:eastAsia="Arial" w:hAnsi="Arial"/>
                  <w:sz w:val="16"/>
                  <w:szCs w:val="16"/>
                  <w:color w:val="auto"/>
                </w:rPr>
                <w:t>82</w:t>
              </w:r>
            </w:hyperlink>
          </w:p>
        </w:tc>
      </w:tr>
      <w:tr>
        <w:trPr>
          <w:trHeight w:val="243"/>
        </w:trPr>
        <w:tc>
          <w:tcPr>
            <w:tcW w:w="4860" w:type="dxa"/>
            <w:vAlign w:val="bottom"/>
            <w:gridSpan w:val="2"/>
          </w:tcPr>
          <w:p>
            <w:pPr>
              <w:spacing w:after="0"/>
              <w:rPr>
                <w:rFonts w:ascii="Arial" w:cs="Arial" w:eastAsia="Arial" w:hAnsi="Arial"/>
                <w:sz w:val="16"/>
                <w:szCs w:val="16"/>
                <w:color w:val="auto"/>
              </w:rPr>
            </w:pPr>
            <w:hyperlink w:anchor="page88">
              <w:r>
                <w:rPr>
                  <w:rFonts w:ascii="Arial" w:cs="Arial" w:eastAsia="Arial" w:hAnsi="Arial"/>
                  <w:sz w:val="16"/>
                  <w:szCs w:val="16"/>
                  <w:color w:val="auto"/>
                </w:rPr>
                <w:t>Security ownership of directors and executive officers</w:t>
              </w:r>
            </w:hyperlink>
          </w:p>
        </w:tc>
        <w:tc>
          <w:tcPr>
            <w:tcW w:w="480" w:type="dxa"/>
            <w:vAlign w:val="bottom"/>
          </w:tcPr>
          <w:p>
            <w:pPr>
              <w:jc w:val="right"/>
              <w:spacing w:after="0"/>
              <w:rPr>
                <w:rFonts w:ascii="Arial" w:cs="Arial" w:eastAsia="Arial" w:hAnsi="Arial"/>
                <w:sz w:val="16"/>
                <w:szCs w:val="16"/>
                <w:color w:val="auto"/>
              </w:rPr>
            </w:pPr>
            <w:hyperlink w:anchor="page88">
              <w:r>
                <w:rPr>
                  <w:rFonts w:ascii="Arial" w:cs="Arial" w:eastAsia="Arial" w:hAnsi="Arial"/>
                  <w:sz w:val="16"/>
                  <w:szCs w:val="16"/>
                  <w:color w:val="auto"/>
                </w:rPr>
                <w:t>83</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rFonts w:ascii="Arial" w:cs="Arial" w:eastAsia="Arial" w:hAnsi="Arial"/>
          <w:sz w:val="23"/>
          <w:szCs w:val="23"/>
          <w:b w:val="1"/>
          <w:bCs w:val="1"/>
          <w:color w:val="074A75"/>
        </w:rPr>
      </w:pPr>
      <w:hyperlink w:anchor="page90">
        <w:r>
          <w:rPr>
            <w:rFonts w:ascii="Arial" w:cs="Arial" w:eastAsia="Arial" w:hAnsi="Arial"/>
            <w:sz w:val="23"/>
            <w:szCs w:val="23"/>
            <w:b w:val="1"/>
            <w:bCs w:val="1"/>
            <w:color w:val="074A75"/>
          </w:rPr>
          <w:t>Audit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9" w:lineRule="exact"/>
        <w:rPr>
          <w:sz w:val="20"/>
          <w:szCs w:val="20"/>
          <w:color w:val="auto"/>
        </w:rPr>
      </w:pPr>
    </w:p>
    <w:p>
      <w:pPr>
        <w:ind w:left="20"/>
        <w:spacing w:after="0"/>
        <w:rPr>
          <w:rFonts w:ascii="Arial" w:cs="Arial" w:eastAsia="Arial" w:hAnsi="Arial"/>
          <w:sz w:val="16"/>
          <w:szCs w:val="16"/>
          <w:b w:val="1"/>
          <w:bCs w:val="1"/>
          <w:color w:val="074A75"/>
        </w:rPr>
      </w:pPr>
      <w:hyperlink w:anchor="page91">
        <w:r>
          <w:rPr>
            <w:rFonts w:ascii="Arial" w:cs="Arial" w:eastAsia="Arial" w:hAnsi="Arial"/>
            <w:sz w:val="16"/>
            <w:szCs w:val="16"/>
            <w:b w:val="1"/>
            <w:bCs w:val="1"/>
            <w:color w:val="074A75"/>
          </w:rPr>
          <w:t>Proposal 3: Ratification of independent registered public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-98425</wp:posOffset>
            </wp:positionV>
            <wp:extent cx="16256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ind w:left="280"/>
              <w:spacing w:after="0"/>
              <w:rPr>
                <w:rFonts w:ascii="Arial" w:cs="Arial" w:eastAsia="Arial" w:hAnsi="Arial"/>
                <w:sz w:val="16"/>
                <w:szCs w:val="16"/>
                <w:b w:val="1"/>
                <w:bCs w:val="1"/>
                <w:color w:val="074A75"/>
              </w:rPr>
            </w:pPr>
            <w:hyperlink w:anchor="page91">
              <w:r>
                <w:rPr>
                  <w:rFonts w:ascii="Arial" w:cs="Arial" w:eastAsia="Arial" w:hAnsi="Arial"/>
                  <w:sz w:val="16"/>
                  <w:szCs w:val="16"/>
                  <w:b w:val="1"/>
                  <w:bCs w:val="1"/>
                  <w:color w:val="074A75"/>
                </w:rPr>
                <w:t>accounting firm</w:t>
              </w:r>
            </w:hyperlink>
          </w:p>
        </w:tc>
        <w:tc>
          <w:tcPr>
            <w:tcW w:w="480" w:type="dxa"/>
            <w:vAlign w:val="bottom"/>
          </w:tcPr>
          <w:p>
            <w:pPr>
              <w:spacing w:after="0"/>
              <w:rPr>
                <w:sz w:val="19"/>
                <w:szCs w:val="19"/>
                <w:color w:val="auto"/>
              </w:rPr>
            </w:pPr>
          </w:p>
        </w:tc>
      </w:tr>
      <w:tr>
        <w:trPr>
          <w:trHeight w:val="219"/>
        </w:trPr>
        <w:tc>
          <w:tcPr>
            <w:tcW w:w="4900" w:type="dxa"/>
            <w:vAlign w:val="bottom"/>
          </w:tcPr>
          <w:p>
            <w:pPr>
              <w:ind w:left="20"/>
              <w:spacing w:after="0"/>
              <w:rPr>
                <w:rFonts w:ascii="Arial" w:cs="Arial" w:eastAsia="Arial" w:hAnsi="Arial"/>
                <w:sz w:val="16"/>
                <w:szCs w:val="16"/>
                <w:color w:val="auto"/>
              </w:rPr>
            </w:pPr>
            <w:hyperlink w:anchor="page94">
              <w:r>
                <w:rPr>
                  <w:rFonts w:ascii="Arial" w:cs="Arial" w:eastAsia="Arial" w:hAnsi="Arial"/>
                  <w:sz w:val="16"/>
                  <w:szCs w:val="16"/>
                  <w:color w:val="auto"/>
                </w:rPr>
                <w:t>Audit Committee report</w:t>
              </w:r>
            </w:hyperlink>
          </w:p>
        </w:tc>
        <w:tc>
          <w:tcPr>
            <w:tcW w:w="480" w:type="dxa"/>
            <w:vAlign w:val="bottom"/>
          </w:tcPr>
          <w:p>
            <w:pPr>
              <w:jc w:val="right"/>
              <w:spacing w:after="0"/>
              <w:rPr>
                <w:rFonts w:ascii="Arial" w:cs="Arial" w:eastAsia="Arial" w:hAnsi="Arial"/>
                <w:sz w:val="16"/>
                <w:szCs w:val="16"/>
                <w:color w:val="auto"/>
              </w:rPr>
            </w:pPr>
            <w:hyperlink w:anchor="page94">
              <w:r>
                <w:rPr>
                  <w:rFonts w:ascii="Arial" w:cs="Arial" w:eastAsia="Arial" w:hAnsi="Arial"/>
                  <w:sz w:val="16"/>
                  <w:szCs w:val="16"/>
                  <w:color w:val="auto"/>
                </w:rPr>
                <w:t>89</w:t>
              </w:r>
            </w:hyperlink>
          </w:p>
        </w:tc>
      </w:tr>
      <w:tr>
        <w:trPr>
          <w:trHeight w:val="601"/>
        </w:trPr>
        <w:tc>
          <w:tcPr>
            <w:tcW w:w="4900" w:type="dxa"/>
            <w:vAlign w:val="bottom"/>
          </w:tcPr>
          <w:p>
            <w:pPr>
              <w:ind w:left="20"/>
              <w:spacing w:after="0"/>
              <w:rPr>
                <w:rFonts w:ascii="Arial" w:cs="Arial" w:eastAsia="Arial" w:hAnsi="Arial"/>
                <w:sz w:val="23"/>
                <w:szCs w:val="23"/>
                <w:b w:val="1"/>
                <w:bCs w:val="1"/>
                <w:color w:val="074A75"/>
              </w:rPr>
            </w:pPr>
            <w:hyperlink w:anchor="page96">
              <w:r>
                <w:rPr>
                  <w:rFonts w:ascii="Arial" w:cs="Arial" w:eastAsia="Arial" w:hAnsi="Arial"/>
                  <w:sz w:val="23"/>
                  <w:szCs w:val="23"/>
                  <w:b w:val="1"/>
                  <w:bCs w:val="1"/>
                  <w:color w:val="074A75"/>
                </w:rPr>
                <w:t>Shareholder Proposals</w:t>
              </w:r>
            </w:hyperlink>
          </w:p>
        </w:tc>
        <w:tc>
          <w:tcPr>
            <w:tcW w:w="480" w:type="dxa"/>
            <w:vAlign w:val="bottom"/>
          </w:tcPr>
          <w:p>
            <w:pPr>
              <w:spacing w:after="0"/>
              <w:rPr>
                <w:sz w:val="24"/>
                <w:szCs w:val="24"/>
                <w:color w:val="auto"/>
              </w:rPr>
            </w:pPr>
          </w:p>
        </w:tc>
      </w:tr>
      <w:tr>
        <w:trPr>
          <w:trHeight w:val="22"/>
        </w:trPr>
        <w:tc>
          <w:tcPr>
            <w:tcW w:w="4900" w:type="dxa"/>
            <w:vAlign w:val="bottom"/>
            <w:tcBorders>
              <w:bottom w:val="single" w:sz="8" w:color="004578"/>
            </w:tcBorders>
          </w:tcPr>
          <w:p>
            <w:pPr>
              <w:spacing w:after="0" w:line="20" w:lineRule="exact"/>
              <w:rPr>
                <w:sz w:val="1"/>
                <w:szCs w:val="1"/>
                <w:color w:val="auto"/>
              </w:rPr>
            </w:pPr>
          </w:p>
        </w:tc>
        <w:tc>
          <w:tcPr>
            <w:tcW w:w="480" w:type="dxa"/>
            <w:vAlign w:val="bottom"/>
            <w:tcBorders>
              <w:bottom w:val="single" w:sz="8" w:color="074A75"/>
            </w:tcBorders>
          </w:tcPr>
          <w:p>
            <w:pPr>
              <w:spacing w:after="0" w:line="20" w:lineRule="exact"/>
              <w:rPr>
                <w:sz w:val="1"/>
                <w:szCs w:val="1"/>
                <w:color w:val="auto"/>
              </w:rPr>
            </w:pPr>
          </w:p>
        </w:tc>
      </w:tr>
      <w:tr>
        <w:trPr>
          <w:trHeight w:val="472"/>
        </w:trPr>
        <w:tc>
          <w:tcPr>
            <w:tcW w:w="4900" w:type="dxa"/>
            <w:vAlign w:val="bottom"/>
          </w:tcPr>
          <w:p>
            <w:pPr>
              <w:ind w:left="20"/>
              <w:spacing w:after="0"/>
              <w:rPr>
                <w:rFonts w:ascii="Arial" w:cs="Arial" w:eastAsia="Arial" w:hAnsi="Arial"/>
                <w:sz w:val="16"/>
                <w:szCs w:val="16"/>
                <w:b w:val="1"/>
                <w:bCs w:val="1"/>
                <w:color w:val="074A75"/>
              </w:rPr>
            </w:pPr>
            <w:hyperlink w:anchor="page109">
              <w:r>
                <w:rPr>
                  <w:rFonts w:ascii="Arial" w:cs="Arial" w:eastAsia="Arial" w:hAnsi="Arial"/>
                  <w:sz w:val="16"/>
                  <w:szCs w:val="16"/>
                  <w:b w:val="1"/>
                  <w:bCs w:val="1"/>
                  <w:color w:val="074A75"/>
                </w:rPr>
                <w:t>Information about the annual shareholder meeting</w:t>
              </w:r>
            </w:hyperlink>
          </w:p>
        </w:tc>
        <w:tc>
          <w:tcPr>
            <w:tcW w:w="480" w:type="dxa"/>
            <w:vAlign w:val="bottom"/>
          </w:tcPr>
          <w:p>
            <w:pPr>
              <w:jc w:val="right"/>
              <w:spacing w:after="0"/>
              <w:rPr>
                <w:rFonts w:ascii="Arial" w:cs="Arial" w:eastAsia="Arial" w:hAnsi="Arial"/>
                <w:sz w:val="16"/>
                <w:szCs w:val="16"/>
                <w:color w:val="auto"/>
              </w:rPr>
            </w:pPr>
            <w:hyperlink w:anchor="page109">
              <w:r>
                <w:rPr>
                  <w:rFonts w:ascii="Arial" w:cs="Arial" w:eastAsia="Arial" w:hAnsi="Arial"/>
                  <w:sz w:val="16"/>
                  <w:szCs w:val="16"/>
                  <w:color w:val="auto"/>
                </w:rPr>
                <w:t>104</w:t>
              </w:r>
            </w:hyperlink>
          </w:p>
        </w:tc>
      </w:tr>
      <w:tr>
        <w:trPr>
          <w:trHeight w:val="317"/>
        </w:trPr>
        <w:tc>
          <w:tcPr>
            <w:tcW w:w="4900" w:type="dxa"/>
            <w:vAlign w:val="bottom"/>
          </w:tcPr>
          <w:p>
            <w:pPr>
              <w:ind w:left="20"/>
              <w:spacing w:after="0"/>
              <w:rPr>
                <w:rFonts w:ascii="Arial" w:cs="Arial" w:eastAsia="Arial" w:hAnsi="Arial"/>
                <w:sz w:val="16"/>
                <w:szCs w:val="16"/>
                <w:b w:val="1"/>
                <w:bCs w:val="1"/>
                <w:color w:val="074A75"/>
              </w:rPr>
            </w:pPr>
            <w:hyperlink w:anchor="page114">
              <w:r>
                <w:rPr>
                  <w:rFonts w:ascii="Arial" w:cs="Arial" w:eastAsia="Arial" w:hAnsi="Arial"/>
                  <w:sz w:val="16"/>
                  <w:szCs w:val="16"/>
                  <w:b w:val="1"/>
                  <w:bCs w:val="1"/>
                  <w:color w:val="074A75"/>
                </w:rPr>
                <w:t>Shareholder proposals and nominations for the 2023 annual</w:t>
              </w:r>
            </w:hyperlink>
          </w:p>
        </w:tc>
        <w:tc>
          <w:tcPr>
            <w:tcW w:w="480" w:type="dxa"/>
            <w:vAlign w:val="bottom"/>
          </w:tcPr>
          <w:p>
            <w:pPr>
              <w:spacing w:after="0"/>
              <w:rPr>
                <w:sz w:val="24"/>
                <w:szCs w:val="24"/>
                <w:color w:val="auto"/>
              </w:rPr>
            </w:pPr>
          </w:p>
        </w:tc>
      </w:tr>
      <w:tr>
        <w:trPr>
          <w:trHeight w:val="223"/>
        </w:trPr>
        <w:tc>
          <w:tcPr>
            <w:tcW w:w="4900" w:type="dxa"/>
            <w:vAlign w:val="bottom"/>
          </w:tcPr>
          <w:p>
            <w:pPr>
              <w:ind w:left="20"/>
              <w:spacing w:after="0"/>
              <w:rPr>
                <w:rFonts w:ascii="Arial" w:cs="Arial" w:eastAsia="Arial" w:hAnsi="Arial"/>
                <w:sz w:val="16"/>
                <w:szCs w:val="16"/>
                <w:b w:val="1"/>
                <w:bCs w:val="1"/>
                <w:color w:val="074A75"/>
              </w:rPr>
            </w:pPr>
            <w:hyperlink w:anchor="page114">
              <w:r>
                <w:rPr>
                  <w:rFonts w:ascii="Arial" w:cs="Arial" w:eastAsia="Arial" w:hAnsi="Arial"/>
                  <w:sz w:val="16"/>
                  <w:szCs w:val="16"/>
                  <w:b w:val="1"/>
                  <w:bCs w:val="1"/>
                  <w:color w:val="074A75"/>
                </w:rPr>
                <w:t>meeting</w:t>
              </w:r>
            </w:hyperlink>
          </w:p>
        </w:tc>
        <w:tc>
          <w:tcPr>
            <w:tcW w:w="480" w:type="dxa"/>
            <w:vAlign w:val="bottom"/>
          </w:tcPr>
          <w:p>
            <w:pPr>
              <w:jc w:val="right"/>
              <w:spacing w:after="0"/>
              <w:rPr>
                <w:rFonts w:ascii="Arial" w:cs="Arial" w:eastAsia="Arial" w:hAnsi="Arial"/>
                <w:sz w:val="16"/>
                <w:szCs w:val="16"/>
                <w:color w:val="auto"/>
              </w:rPr>
            </w:pPr>
            <w:hyperlink w:anchor="page114">
              <w:r>
                <w:rPr>
                  <w:rFonts w:ascii="Arial" w:cs="Arial" w:eastAsia="Arial" w:hAnsi="Arial"/>
                  <w:sz w:val="16"/>
                  <w:szCs w:val="16"/>
                  <w:color w:val="auto"/>
                </w:rPr>
                <w:t>109</w:t>
              </w:r>
            </w:hyperlink>
          </w:p>
        </w:tc>
      </w:tr>
      <w:tr>
        <w:trPr>
          <w:trHeight w:val="351"/>
        </w:trPr>
        <w:tc>
          <w:tcPr>
            <w:tcW w:w="4900" w:type="dxa"/>
            <w:vAlign w:val="bottom"/>
          </w:tcPr>
          <w:p>
            <w:pPr>
              <w:ind w:left="20"/>
              <w:spacing w:after="0"/>
              <w:rPr>
                <w:rFonts w:ascii="Arial" w:cs="Arial" w:eastAsia="Arial" w:hAnsi="Arial"/>
                <w:sz w:val="16"/>
                <w:szCs w:val="16"/>
                <w:b w:val="1"/>
                <w:bCs w:val="1"/>
                <w:color w:val="074A75"/>
              </w:rPr>
            </w:pPr>
            <w:hyperlink w:anchor="page115">
              <w:r>
                <w:rPr>
                  <w:rFonts w:ascii="Arial" w:cs="Arial" w:eastAsia="Arial" w:hAnsi="Arial"/>
                  <w:sz w:val="16"/>
                  <w:szCs w:val="16"/>
                  <w:b w:val="1"/>
                  <w:bCs w:val="1"/>
                  <w:color w:val="074A75"/>
                </w:rPr>
                <w:t>Notes on non-GAAP financial measures</w:t>
              </w:r>
            </w:hyperlink>
          </w:p>
        </w:tc>
        <w:tc>
          <w:tcPr>
            <w:tcW w:w="480" w:type="dxa"/>
            <w:vAlign w:val="bottom"/>
          </w:tcPr>
          <w:p>
            <w:pPr>
              <w:jc w:val="right"/>
              <w:spacing w:after="0"/>
              <w:rPr>
                <w:rFonts w:ascii="Arial" w:cs="Arial" w:eastAsia="Arial" w:hAnsi="Arial"/>
                <w:sz w:val="16"/>
                <w:szCs w:val="16"/>
                <w:color w:val="auto"/>
              </w:rPr>
            </w:pPr>
            <w:hyperlink w:anchor="page115">
              <w:r>
                <w:rPr>
                  <w:rFonts w:ascii="Arial" w:cs="Arial" w:eastAsia="Arial" w:hAnsi="Arial"/>
                  <w:sz w:val="16"/>
                  <w:szCs w:val="16"/>
                  <w:color w:val="auto"/>
                </w:rPr>
                <w:t>110</w:t>
              </w:r>
            </w:hyperlink>
          </w:p>
        </w:tc>
      </w:tr>
      <w:tr>
        <w:trPr>
          <w:trHeight w:val="351"/>
        </w:trPr>
        <w:tc>
          <w:tcPr>
            <w:tcW w:w="4900" w:type="dxa"/>
            <w:vAlign w:val="bottom"/>
          </w:tcPr>
          <w:p>
            <w:pPr>
              <w:ind w:left="20"/>
              <w:spacing w:after="0"/>
              <w:rPr>
                <w:rFonts w:ascii="Arial" w:cs="Arial" w:eastAsia="Arial" w:hAnsi="Arial"/>
                <w:sz w:val="16"/>
                <w:szCs w:val="16"/>
                <w:b w:val="1"/>
                <w:bCs w:val="1"/>
                <w:color w:val="074A75"/>
              </w:rPr>
            </w:pPr>
            <w:hyperlink w:anchor="page117">
              <w:r>
                <w:rPr>
                  <w:rFonts w:ascii="Arial" w:cs="Arial" w:eastAsia="Arial" w:hAnsi="Arial"/>
                  <w:sz w:val="16"/>
                  <w:szCs w:val="16"/>
                  <w:b w:val="1"/>
                  <w:bCs w:val="1"/>
                  <w:color w:val="074A75"/>
                </w:rPr>
                <w:t>Glossary of selected terms and acronyms</w:t>
              </w:r>
            </w:hyperlink>
          </w:p>
        </w:tc>
        <w:tc>
          <w:tcPr>
            <w:tcW w:w="480" w:type="dxa"/>
            <w:vAlign w:val="bottom"/>
          </w:tcPr>
          <w:p>
            <w:pPr>
              <w:jc w:val="right"/>
              <w:spacing w:after="0"/>
              <w:rPr>
                <w:rFonts w:ascii="Arial" w:cs="Arial" w:eastAsia="Arial" w:hAnsi="Arial"/>
                <w:sz w:val="16"/>
                <w:szCs w:val="16"/>
                <w:color w:val="auto"/>
              </w:rPr>
            </w:pPr>
            <w:hyperlink w:anchor="page117">
              <w:r>
                <w:rPr>
                  <w:rFonts w:ascii="Arial" w:cs="Arial" w:eastAsia="Arial" w:hAnsi="Arial"/>
                  <w:sz w:val="16"/>
                  <w:szCs w:val="16"/>
                  <w:color w:val="auto"/>
                </w:rPr>
                <w:t>112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-1332230</wp:posOffset>
            </wp:positionV>
            <wp:extent cx="1714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4417" w:lineRule="exact"/>
        <w:rPr>
          <w:sz w:val="20"/>
          <w:szCs w:val="20"/>
          <w:color w:val="auto"/>
        </w:rPr>
      </w:pPr>
    </w:p>
    <w:p>
      <w:pPr>
        <w:sectPr>
          <w:pgSz w:w="11900" w:h="16838" w:orient="portrait"/>
          <w:cols w:equalWidth="0" w:num="2">
            <w:col w:w="5360" w:space="380"/>
            <w:col w:w="5480"/>
          </w:cols>
          <w:pgMar w:left="320" w:top="157" w:right="359" w:bottom="1440" w:gutter="0" w:footer="0" w:header="0"/>
          <w:type w:val="continuous"/>
        </w:sectPr>
      </w:pP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proxy statement contains forward-looking statements. These statements can be identified by the fact that they do not relate strictly to historical or current facts. Forward-looking statements often use words such as “anticipate,” “target,” “expect,” “estimate,” “intend,” “plan,” “goal,” “believe” or other words of similar meaning. Forward-looking statements provide JPMorgan Chase &amp; Co.’s (“JPMorgan Chase” or the “Firm”) current expectations or forecasts of future events, circumstances, results or aspirations, and are subject to significant risks and uncertainties. These risks and uncertainties could cause the Firm’s actual results to differ materially from those set forth in such forward-looking statements. Certain of such risks and uncertainties are described in JPMorgan Chase’s Annual Report on Form 10-K for the year ended December 31, 2021 ("2021 Form 10-K"). JPMorgan Chase does not undertake to update the forward-looking statements included in this proxy statement to reflect the impact of circumstances or events that may arise after the date the forward-looking statements were made.</w:t>
      </w:r>
    </w:p>
    <w:p>
      <w:pPr>
        <w:spacing w:after="0" w:line="77"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i w:val="1"/>
          <w:iCs w:val="1"/>
          <w:color w:val="auto"/>
        </w:rPr>
        <w:t>No reports, documents or websites that are cited or referred to in this proxy statement shall be deemed to form part of, or to be incorporated by reference into, this proxy statement.</w:t>
      </w:r>
    </w:p>
    <w:p>
      <w:pPr>
        <w:sectPr>
          <w:pgSz w:w="11900" w:h="16838" w:orient="portrait"/>
          <w:cols w:equalWidth="0" w:num="1">
            <w:col w:w="11220"/>
          </w:cols>
          <w:pgMar w:left="320" w:top="157" w:right="35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2022 Proxy summary</w:t>
      </w:r>
    </w:p>
    <w:p>
      <w:pPr>
        <w:spacing w:after="0" w:line="13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i w:val="1"/>
          <w:iCs w:val="1"/>
          <w:color w:val="auto"/>
        </w:rPr>
        <w:t>This summary highlights information in this proxy statement. This summary does not contain all the information you should consider, and you should read the entire proxy statement carefully before voting. Terms not defined in the text of this proxy statement can be found in the “Glossary of selected terms and acronyms” on page 112.</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Your vote is important. For more information on voting and attending the annual meeting, see “Information about the annual shareholder meeting” on page 104. This proxy statement has been prepared by our management and approved by the Board of Directors, and is being sent or made available to our shareholders on or about April 4, 2022.</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color w:val="074A75"/>
        </w:rPr>
        <w:t>Annual meeting overview: 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137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20"/>
          <w:szCs w:val="20"/>
          <w:color w:val="074A75"/>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80" w:right="1760"/>
        <w:spacing w:after="0" w:line="287" w:lineRule="auto"/>
        <w:rPr>
          <w:sz w:val="20"/>
          <w:szCs w:val="20"/>
          <w:color w:val="auto"/>
        </w:rPr>
      </w:pPr>
      <w:r>
        <w:rPr>
          <w:rFonts w:ascii="Arial" w:cs="Arial" w:eastAsia="Arial" w:hAnsi="Arial"/>
          <w:sz w:val="18"/>
          <w:szCs w:val="18"/>
          <w:b w:val="1"/>
          <w:bCs w:val="1"/>
          <w:color w:val="074A75"/>
          <w:shd w:val="clear" w:color="auto" w:fill="E7E7E8"/>
        </w:rPr>
        <w:t xml:space="preserve">The Board of Directors recommends you vote </w:t>
      </w:r>
      <w:r>
        <w:rPr>
          <w:rFonts w:ascii="Arial" w:cs="Arial" w:eastAsia="Arial" w:hAnsi="Arial"/>
          <w:sz w:val="18"/>
          <w:szCs w:val="18"/>
          <w:b w:val="1"/>
          <w:bCs w:val="1"/>
          <w:u w:val="single" w:color="auto"/>
          <w:color w:val="074A75"/>
          <w:shd w:val="clear" w:color="auto" w:fill="E7E7E8"/>
        </w:rPr>
        <w:t>FOR</w:t>
      </w:r>
      <w:r>
        <w:rPr>
          <w:rFonts w:ascii="Arial" w:cs="Arial" w:eastAsia="Arial" w:hAnsi="Arial"/>
          <w:sz w:val="18"/>
          <w:szCs w:val="18"/>
          <w:b w:val="1"/>
          <w:bCs w:val="1"/>
          <w:color w:val="074A75"/>
          <w:shd w:val="clear" w:color="auto" w:fill="E7E7E8"/>
        </w:rPr>
        <w:t xml:space="preserve"> each director nominee and </w:t>
      </w:r>
      <w:r>
        <w:rPr>
          <w:rFonts w:ascii="Arial" w:cs="Arial" w:eastAsia="Arial" w:hAnsi="Arial"/>
          <w:sz w:val="18"/>
          <w:szCs w:val="18"/>
          <w:b w:val="1"/>
          <w:bCs w:val="1"/>
          <w:u w:val="single" w:color="auto"/>
          <w:color w:val="074A75"/>
          <w:shd w:val="clear" w:color="auto" w:fill="E7E7E8"/>
        </w:rPr>
        <w:t>FOR</w:t>
      </w:r>
      <w:r>
        <w:rPr>
          <w:rFonts w:ascii="Arial" w:cs="Arial" w:eastAsia="Arial" w:hAnsi="Arial"/>
          <w:sz w:val="18"/>
          <w:szCs w:val="18"/>
          <w:b w:val="1"/>
          <w:bCs w:val="1"/>
          <w:color w:val="074A75"/>
          <w:shd w:val="clear" w:color="auto" w:fill="E7E7E8"/>
        </w:rPr>
        <w:t xml:space="preserve"> </w:t>
      </w:r>
      <w:r>
        <w:rPr>
          <w:rFonts w:ascii="Arial" w:cs="Arial" w:eastAsia="Arial" w:hAnsi="Arial"/>
          <w:sz w:val="18"/>
          <w:szCs w:val="18"/>
          <w:b w:val="1"/>
          <w:bCs w:val="1"/>
          <w:color w:val="074A75"/>
        </w:rPr>
        <w:t>the following proposals</w:t>
      </w:r>
      <w:r>
        <w:rPr>
          <w:rFonts w:ascii="Arial" w:cs="Arial" w:eastAsia="Arial" w:hAnsi="Arial"/>
          <w:sz w:val="18"/>
          <w:szCs w:val="18"/>
          <w:b w:val="1"/>
          <w:bCs w:val="1"/>
          <w:color w:val="074A75"/>
          <w:shd w:val="clear" w:color="auto" w:fill="E7E7E8"/>
        </w:rPr>
        <w:t xml:space="preserve"> </w:t>
      </w:r>
      <w:r>
        <w:rPr>
          <w:rFonts w:ascii="Arial" w:cs="Arial" w:eastAsia="Arial" w:hAnsi="Arial"/>
          <w:sz w:val="18"/>
          <w:szCs w:val="18"/>
          <w:color w:val="074A75"/>
          <w:shd w:val="clear" w:color="auto" w:fill="E7E7E8"/>
        </w:rPr>
        <w:t>(for more information see page referenced):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1.</w:t>
            </w:r>
          </w:p>
        </w:tc>
        <w:tc>
          <w:tcPr>
            <w:tcW w:w="7820" w:type="dxa"/>
            <w:vAlign w:val="bottom"/>
          </w:tcPr>
          <w:p>
            <w:pPr>
              <w:ind w:left="140"/>
              <w:spacing w:after="0"/>
              <w:rPr>
                <w:sz w:val="20"/>
                <w:szCs w:val="20"/>
                <w:color w:val="auto"/>
              </w:rPr>
            </w:pPr>
            <w:r>
              <w:rPr>
                <w:rFonts w:ascii="Arial" w:cs="Arial" w:eastAsia="Arial" w:hAnsi="Arial"/>
                <w:sz w:val="18"/>
                <w:szCs w:val="18"/>
                <w:color w:val="auto"/>
              </w:rPr>
              <w:t>Election of Directors</w:t>
            </w:r>
          </w:p>
        </w:tc>
        <w:tc>
          <w:tcPr>
            <w:tcW w:w="3080" w:type="dxa"/>
            <w:vAlign w:val="bottom"/>
          </w:tcPr>
          <w:p>
            <w:pPr>
              <w:jc w:val="right"/>
              <w:spacing w:after="0"/>
              <w:rPr>
                <w:rFonts w:ascii="Arial" w:cs="Arial" w:eastAsia="Arial" w:hAnsi="Arial"/>
                <w:sz w:val="16"/>
                <w:szCs w:val="16"/>
                <w:color w:val="auto"/>
              </w:rPr>
            </w:pPr>
            <w:hyperlink w:anchor="page16">
              <w:r>
                <w:rPr>
                  <w:rFonts w:ascii="Arial" w:cs="Arial" w:eastAsia="Arial" w:hAnsi="Arial"/>
                  <w:sz w:val="16"/>
                  <w:szCs w:val="16"/>
                  <w:color w:val="auto"/>
                </w:rPr>
                <w:t>10</w:t>
              </w:r>
            </w:hyperlink>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2.</w:t>
            </w:r>
          </w:p>
        </w:tc>
        <w:tc>
          <w:tcPr>
            <w:tcW w:w="7820" w:type="dxa"/>
            <w:vAlign w:val="bottom"/>
          </w:tcPr>
          <w:p>
            <w:pPr>
              <w:ind w:left="140"/>
              <w:spacing w:after="0"/>
              <w:rPr>
                <w:sz w:val="20"/>
                <w:szCs w:val="20"/>
                <w:color w:val="auto"/>
              </w:rPr>
            </w:pPr>
            <w:r>
              <w:rPr>
                <w:rFonts w:ascii="Arial" w:cs="Arial" w:eastAsia="Arial" w:hAnsi="Arial"/>
                <w:sz w:val="18"/>
                <w:szCs w:val="18"/>
                <w:color w:val="auto"/>
              </w:rPr>
              <w:t>Advisory resolution to approve executive compensation</w:t>
            </w:r>
          </w:p>
        </w:tc>
        <w:tc>
          <w:tcPr>
            <w:tcW w:w="3080" w:type="dxa"/>
            <w:vAlign w:val="bottom"/>
          </w:tcPr>
          <w:p>
            <w:pPr>
              <w:jc w:val="right"/>
              <w:spacing w:after="0"/>
              <w:rPr>
                <w:rFonts w:ascii="Arial" w:cs="Arial" w:eastAsia="Arial" w:hAnsi="Arial"/>
                <w:sz w:val="16"/>
                <w:szCs w:val="16"/>
                <w:color w:val="auto"/>
              </w:rPr>
            </w:pPr>
            <w:hyperlink w:anchor="page43">
              <w:r>
                <w:rPr>
                  <w:rFonts w:ascii="Arial" w:cs="Arial" w:eastAsia="Arial" w:hAnsi="Arial"/>
                  <w:sz w:val="16"/>
                  <w:szCs w:val="16"/>
                  <w:color w:val="auto"/>
                </w:rPr>
                <w:t>37</w:t>
              </w:r>
            </w:hyperlink>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3.</w:t>
            </w:r>
          </w:p>
        </w:tc>
        <w:tc>
          <w:tcPr>
            <w:tcW w:w="7820" w:type="dxa"/>
            <w:vAlign w:val="bottom"/>
          </w:tcPr>
          <w:p>
            <w:pPr>
              <w:ind w:left="140"/>
              <w:spacing w:after="0"/>
              <w:rPr>
                <w:sz w:val="20"/>
                <w:szCs w:val="20"/>
                <w:color w:val="auto"/>
              </w:rPr>
            </w:pPr>
            <w:r>
              <w:rPr>
                <w:rFonts w:ascii="Arial" w:cs="Arial" w:eastAsia="Arial" w:hAnsi="Arial"/>
                <w:sz w:val="18"/>
                <w:szCs w:val="18"/>
                <w:color w:val="auto"/>
              </w:rPr>
              <w:t>Ratification of independent registered public accounting firm</w:t>
            </w:r>
          </w:p>
        </w:tc>
        <w:tc>
          <w:tcPr>
            <w:tcW w:w="3080" w:type="dxa"/>
            <w:vAlign w:val="bottom"/>
          </w:tcPr>
          <w:p>
            <w:pPr>
              <w:jc w:val="right"/>
              <w:spacing w:after="0"/>
              <w:rPr>
                <w:rFonts w:ascii="Arial" w:cs="Arial" w:eastAsia="Arial" w:hAnsi="Arial"/>
                <w:sz w:val="16"/>
                <w:szCs w:val="16"/>
                <w:color w:val="auto"/>
              </w:rPr>
            </w:pPr>
            <w:hyperlink w:anchor="page91">
              <w:r>
                <w:rPr>
                  <w:rFonts w:ascii="Arial" w:cs="Arial" w:eastAsia="Arial" w:hAnsi="Arial"/>
                  <w:sz w:val="16"/>
                  <w:szCs w:val="16"/>
                  <w:color w:val="auto"/>
                </w:rPr>
                <w:t>85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155575</wp:posOffset>
            </wp:positionV>
            <wp:extent cx="137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20"/>
          <w:szCs w:val="20"/>
          <w:color w:val="074A75"/>
        </w:rPr>
        <w:t>SHAREHOLDER PROPOSALS (if they are properly introduced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306" w:lineRule="exact"/>
        <w:rPr>
          <w:sz w:val="20"/>
          <w:szCs w:val="20"/>
          <w:color w:val="auto"/>
        </w:rPr>
      </w:pPr>
    </w:p>
    <w:p>
      <w:pPr>
        <w:ind w:left="280" w:right="2340"/>
        <w:spacing w:after="0" w:line="287" w:lineRule="auto"/>
        <w:rPr>
          <w:sz w:val="20"/>
          <w:szCs w:val="20"/>
          <w:color w:val="auto"/>
        </w:rPr>
      </w:pPr>
      <w:r>
        <w:rPr>
          <w:rFonts w:ascii="Arial" w:cs="Arial" w:eastAsia="Arial" w:hAnsi="Arial"/>
          <w:sz w:val="18"/>
          <w:szCs w:val="18"/>
          <w:b w:val="1"/>
          <w:bCs w:val="1"/>
          <w:color w:val="074A75"/>
          <w:shd w:val="clear" w:color="auto" w:fill="E7E7E8"/>
        </w:rPr>
        <w:t xml:space="preserve">The Board of Directors recommends you vote </w:t>
      </w:r>
      <w:r>
        <w:rPr>
          <w:rFonts w:ascii="Arial" w:cs="Arial" w:eastAsia="Arial" w:hAnsi="Arial"/>
          <w:sz w:val="18"/>
          <w:szCs w:val="18"/>
          <w:b w:val="1"/>
          <w:bCs w:val="1"/>
          <w:u w:val="single" w:color="auto"/>
          <w:color w:val="9E3124"/>
          <w:shd w:val="clear" w:color="auto" w:fill="E7E7E8"/>
        </w:rPr>
        <w:t>AGAINST</w:t>
      </w:r>
      <w:r>
        <w:rPr>
          <w:rFonts w:ascii="Arial" w:cs="Arial" w:eastAsia="Arial" w:hAnsi="Arial"/>
          <w:sz w:val="18"/>
          <w:szCs w:val="18"/>
          <w:b w:val="1"/>
          <w:bCs w:val="1"/>
          <w:color w:val="074A75"/>
          <w:shd w:val="clear" w:color="auto" w:fill="E7E7E8"/>
        </w:rPr>
        <w:t xml:space="preserve"> each of the following shareholder proposals </w:t>
      </w:r>
      <w:r>
        <w:rPr>
          <w:rFonts w:ascii="Arial" w:cs="Arial" w:eastAsia="Arial" w:hAnsi="Arial"/>
          <w:sz w:val="18"/>
          <w:szCs w:val="18"/>
          <w:color w:val="074A75"/>
          <w:shd w:val="clear" w:color="auto" w:fill="E7E7E8"/>
        </w:rPr>
        <w:t>(for more information see page referenced):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Fossil fuel financing</w:t>
            </w:r>
          </w:p>
        </w:tc>
        <w:tc>
          <w:tcPr>
            <w:tcW w:w="420" w:type="dxa"/>
            <w:vAlign w:val="bottom"/>
          </w:tcPr>
          <w:p>
            <w:pPr>
              <w:spacing w:after="0"/>
              <w:rPr>
                <w:sz w:val="21"/>
                <w:szCs w:val="21"/>
                <w:color w:val="auto"/>
              </w:rPr>
            </w:pPr>
          </w:p>
        </w:tc>
        <w:tc>
          <w:tcPr>
            <w:tcW w:w="5380" w:type="dxa"/>
            <w:vAlign w:val="bottom"/>
            <w:gridSpan w:val="2"/>
          </w:tcPr>
          <w:p>
            <w:pPr>
              <w:jc w:val="right"/>
              <w:spacing w:after="0"/>
              <w:rPr>
                <w:rFonts w:ascii="Arial" w:cs="Arial" w:eastAsia="Arial" w:hAnsi="Arial"/>
                <w:sz w:val="16"/>
                <w:szCs w:val="16"/>
                <w:color w:val="auto"/>
              </w:rPr>
            </w:pPr>
            <w:hyperlink w:anchor="page97">
              <w:r>
                <w:rPr>
                  <w:rFonts w:ascii="Arial" w:cs="Arial" w:eastAsia="Arial" w:hAnsi="Arial"/>
                  <w:sz w:val="16"/>
                  <w:szCs w:val="16"/>
                  <w:color w:val="auto"/>
                </w:rPr>
                <w:t>92</w:t>
              </w:r>
            </w:hyperlink>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Special shareholder meeting improvement</w:t>
            </w:r>
          </w:p>
        </w:tc>
        <w:tc>
          <w:tcPr>
            <w:tcW w:w="420" w:type="dxa"/>
            <w:vAlign w:val="bottom"/>
          </w:tcPr>
          <w:p>
            <w:pPr>
              <w:spacing w:after="0"/>
              <w:rPr>
                <w:sz w:val="23"/>
                <w:szCs w:val="23"/>
                <w:color w:val="auto"/>
              </w:rPr>
            </w:pPr>
          </w:p>
        </w:tc>
        <w:tc>
          <w:tcPr>
            <w:tcW w:w="5380" w:type="dxa"/>
            <w:vAlign w:val="bottom"/>
            <w:gridSpan w:val="2"/>
          </w:tcPr>
          <w:p>
            <w:pPr>
              <w:jc w:val="right"/>
              <w:spacing w:after="0"/>
              <w:rPr>
                <w:rFonts w:ascii="Arial" w:cs="Arial" w:eastAsia="Arial" w:hAnsi="Arial"/>
                <w:sz w:val="16"/>
                <w:szCs w:val="16"/>
                <w:color w:val="auto"/>
              </w:rPr>
            </w:pPr>
            <w:hyperlink w:anchor="page99">
              <w:r>
                <w:rPr>
                  <w:rFonts w:ascii="Arial" w:cs="Arial" w:eastAsia="Arial" w:hAnsi="Arial"/>
                  <w:sz w:val="16"/>
                  <w:szCs w:val="16"/>
                  <w:color w:val="auto"/>
                </w:rPr>
                <w:t>94</w:t>
              </w:r>
            </w:hyperlink>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Independent board chairman</w:t>
            </w:r>
          </w:p>
        </w:tc>
        <w:tc>
          <w:tcPr>
            <w:tcW w:w="420" w:type="dxa"/>
            <w:vAlign w:val="bottom"/>
          </w:tcPr>
          <w:p>
            <w:pPr>
              <w:spacing w:after="0"/>
              <w:rPr>
                <w:sz w:val="23"/>
                <w:szCs w:val="23"/>
                <w:color w:val="auto"/>
              </w:rPr>
            </w:pPr>
          </w:p>
        </w:tc>
        <w:tc>
          <w:tcPr>
            <w:tcW w:w="5380" w:type="dxa"/>
            <w:vAlign w:val="bottom"/>
            <w:gridSpan w:val="2"/>
          </w:tcPr>
          <w:p>
            <w:pPr>
              <w:jc w:val="right"/>
              <w:spacing w:after="0"/>
              <w:rPr>
                <w:rFonts w:ascii="Arial" w:cs="Arial" w:eastAsia="Arial" w:hAnsi="Arial"/>
                <w:sz w:val="16"/>
                <w:szCs w:val="16"/>
                <w:color w:val="auto"/>
              </w:rPr>
            </w:pPr>
            <w:hyperlink w:anchor="page101">
              <w:r>
                <w:rPr>
                  <w:rFonts w:ascii="Arial" w:cs="Arial" w:eastAsia="Arial" w:hAnsi="Arial"/>
                  <w:sz w:val="16"/>
                  <w:szCs w:val="16"/>
                  <w:color w:val="auto"/>
                </w:rPr>
                <w:t>96</w:t>
              </w:r>
            </w:hyperlink>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Board diversity resolution</w:t>
            </w:r>
          </w:p>
        </w:tc>
        <w:tc>
          <w:tcPr>
            <w:tcW w:w="420" w:type="dxa"/>
            <w:vAlign w:val="bottom"/>
          </w:tcPr>
          <w:p>
            <w:pPr>
              <w:spacing w:after="0"/>
              <w:rPr>
                <w:sz w:val="23"/>
                <w:szCs w:val="23"/>
                <w:color w:val="auto"/>
              </w:rPr>
            </w:pPr>
          </w:p>
        </w:tc>
        <w:tc>
          <w:tcPr>
            <w:tcW w:w="5380" w:type="dxa"/>
            <w:vAlign w:val="bottom"/>
            <w:gridSpan w:val="2"/>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98</w:t>
              </w:r>
            </w:hyperlink>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Conversion to public benefit corporation</w:t>
            </w:r>
          </w:p>
        </w:tc>
        <w:tc>
          <w:tcPr>
            <w:tcW w:w="420" w:type="dxa"/>
            <w:vAlign w:val="bottom"/>
          </w:tcPr>
          <w:p>
            <w:pPr>
              <w:spacing w:after="0"/>
              <w:rPr>
                <w:sz w:val="23"/>
                <w:szCs w:val="23"/>
                <w:color w:val="auto"/>
              </w:rPr>
            </w:pPr>
          </w:p>
        </w:tc>
        <w:tc>
          <w:tcPr>
            <w:tcW w:w="5380" w:type="dxa"/>
            <w:vAlign w:val="bottom"/>
            <w:gridSpan w:val="2"/>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100</w:t>
              </w:r>
            </w:hyperlink>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Report on setting absolute contraction targets</w:t>
            </w:r>
          </w:p>
        </w:tc>
        <w:tc>
          <w:tcPr>
            <w:tcW w:w="420" w:type="dxa"/>
            <w:vAlign w:val="bottom"/>
          </w:tcPr>
          <w:p>
            <w:pPr>
              <w:spacing w:after="0"/>
              <w:rPr>
                <w:sz w:val="23"/>
                <w:szCs w:val="23"/>
                <w:color w:val="auto"/>
              </w:rPr>
            </w:pPr>
          </w:p>
        </w:tc>
        <w:tc>
          <w:tcPr>
            <w:tcW w:w="5380" w:type="dxa"/>
            <w:vAlign w:val="bottom"/>
            <w:gridSpan w:val="2"/>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102</w:t>
              </w:r>
            </w:hyperlink>
          </w:p>
        </w:tc>
        <w:tc>
          <w:tcPr>
            <w:tcW w:w="0" w:type="dxa"/>
            <w:vAlign w:val="bottom"/>
          </w:tcPr>
          <w:p>
            <w:pPr>
              <w:spacing w:after="0"/>
              <w:rPr>
                <w:sz w:val="1"/>
                <w:szCs w:val="1"/>
                <w:color w:val="auto"/>
              </w:rPr>
            </w:pPr>
          </w:p>
        </w:tc>
      </w:tr>
      <w:tr>
        <w:trPr>
          <w:trHeight w:val="420"/>
        </w:trPr>
        <w:tc>
          <w:tcPr>
            <w:tcW w:w="1920" w:type="dxa"/>
            <w:vAlign w:val="bottom"/>
            <w:gridSpan w:val="2"/>
            <w:vMerge w:val="restart"/>
          </w:tcPr>
          <w:p>
            <w:pPr>
              <w:spacing w:after="0"/>
              <w:rPr>
                <w:sz w:val="20"/>
                <w:szCs w:val="20"/>
                <w:color w:val="auto"/>
              </w:rPr>
            </w:pPr>
            <w:r>
              <w:rPr>
                <w:rFonts w:ascii="Arial" w:cs="Arial" w:eastAsia="Arial" w:hAnsi="Arial"/>
                <w:sz w:val="14"/>
                <w:szCs w:val="14"/>
                <w:color w:val="auto"/>
              </w:rPr>
              <w:t>2022 PROXY STATEMENT</w:t>
            </w:r>
          </w:p>
        </w:tc>
        <w:tc>
          <w:tcPr>
            <w:tcW w:w="3480" w:type="dxa"/>
            <w:vAlign w:val="bottom"/>
          </w:tcPr>
          <w:p>
            <w:pPr>
              <w:spacing w:after="0"/>
              <w:rPr>
                <w:sz w:val="24"/>
                <w:szCs w:val="24"/>
                <w:color w:val="auto"/>
              </w:rPr>
            </w:pPr>
          </w:p>
        </w:tc>
        <w:tc>
          <w:tcPr>
            <w:tcW w:w="420" w:type="dxa"/>
            <w:vAlign w:val="bottom"/>
            <w:tcBorders>
              <w:bottom w:val="single" w:sz="8" w:color="8A8C8F"/>
            </w:tcBorders>
          </w:tcPr>
          <w:p>
            <w:pPr>
              <w:spacing w:after="0"/>
              <w:rPr>
                <w:sz w:val="24"/>
                <w:szCs w:val="24"/>
                <w:color w:val="auto"/>
              </w:rPr>
            </w:pPr>
          </w:p>
        </w:tc>
        <w:tc>
          <w:tcPr>
            <w:tcW w:w="3460" w:type="dxa"/>
            <w:vAlign w:val="bottom"/>
          </w:tcPr>
          <w:p>
            <w:pPr>
              <w:spacing w:after="0"/>
              <w:rPr>
                <w:sz w:val="24"/>
                <w:szCs w:val="24"/>
                <w:color w:val="auto"/>
              </w:rPr>
            </w:pPr>
          </w:p>
        </w:tc>
        <w:tc>
          <w:tcPr>
            <w:tcW w:w="1920" w:type="dxa"/>
            <w:vAlign w:val="bottom"/>
            <w:vMerge w:val="restart"/>
          </w:tcPr>
          <w:p>
            <w:pPr>
              <w:jc w:val="right"/>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88"/>
        </w:trPr>
        <w:tc>
          <w:tcPr>
            <w:tcW w:w="1920" w:type="dxa"/>
            <w:vAlign w:val="bottom"/>
            <w:gridSpan w:val="2"/>
            <w:vMerge w:val="continue"/>
          </w:tcPr>
          <w:p>
            <w:pPr>
              <w:spacing w:after="0"/>
              <w:rPr>
                <w:sz w:val="7"/>
                <w:szCs w:val="7"/>
                <w:color w:val="auto"/>
              </w:rPr>
            </w:pPr>
          </w:p>
        </w:tc>
        <w:tc>
          <w:tcPr>
            <w:tcW w:w="3480" w:type="dxa"/>
            <w:vAlign w:val="bottom"/>
            <w:tcBorders>
              <w:bottom w:val="single" w:sz="8" w:color="8A8C8F"/>
              <w:right w:val="single" w:sz="8" w:color="8A8C8F"/>
            </w:tcBorders>
          </w:tcPr>
          <w:p>
            <w:pPr>
              <w:spacing w:after="0"/>
              <w:rPr>
                <w:sz w:val="7"/>
                <w:szCs w:val="7"/>
                <w:color w:val="auto"/>
              </w:rPr>
            </w:pPr>
          </w:p>
        </w:tc>
        <w:tc>
          <w:tcPr>
            <w:tcW w:w="420" w:type="dxa"/>
            <w:vAlign w:val="bottom"/>
            <w:tcBorders>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1</w:t>
            </w:r>
          </w:p>
        </w:tc>
        <w:tc>
          <w:tcPr>
            <w:tcW w:w="3460" w:type="dxa"/>
            <w:vAlign w:val="bottom"/>
            <w:tcBorders>
              <w:bottom w:val="single" w:sz="8" w:color="8A8C8F"/>
            </w:tcBorders>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920" w:type="dxa"/>
            <w:vAlign w:val="bottom"/>
            <w:gridSpan w:val="2"/>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34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74A75"/>
        </w:rPr>
        <w:t>The Firm demonstrated strong financial performance in 2021</w:t>
      </w:r>
    </w:p>
    <w:p>
      <w:pPr>
        <w:spacing w:after="0" w:line="337"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The Firm continued to build upon its strong momentum from prior years amid the continued challenges of COVID-19. In 2021, the Firm reported record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$125.3 billion and net income of $48.3 billion, or $15.36 per share, with return on common equity ("ROE") of 19% and return on tangible common equity ("ROTCE")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23%, while returning $28.5 billion of capital to shareholders (including common dividends and net share repurchases). The Firm's results for 2021 included a reduction in the allowance for credit losses of $12.1 billion. We gained market share in our businesses, demonstrated strong expense discipline while continuing to invest into our businesses, continued to achieve high customer satisfaction scores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637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703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36"/>
          <w:szCs w:val="36"/>
          <w:color w:val="074A75"/>
        </w:rPr>
        <w:t>JPMORGAN CHASE &amp; CO.</w:t>
      </w:r>
    </w:p>
    <w:p>
      <w:pPr>
        <w:spacing w:after="0" w:line="84" w:lineRule="exact"/>
        <w:rPr>
          <w:sz w:val="20"/>
          <w:szCs w:val="20"/>
          <w:color w:val="auto"/>
        </w:rPr>
      </w:pPr>
    </w:p>
    <w:tbl>
      <w:tblPr>
        <w:tblLayout w:type="fixed"/>
        <w:tblInd w:w="140" w:type="dxa"/>
        <w:tblCellMar>
          <w:top w:w="0" w:type="dxa"/>
          <w:left w:w="0" w:type="dxa"/>
          <w:bottom w:w="0" w:type="dxa"/>
          <w:right w:w="0" w:type="dxa"/>
        </w:tblCellMar>
      </w:tblPr>
      <w:tr>
        <w:trPr>
          <w:trHeight w:val="148"/>
        </w:trPr>
        <w:tc>
          <w:tcPr>
            <w:tcW w:w="1660" w:type="dxa"/>
            <w:vAlign w:val="bottom"/>
            <w:vMerge w:val="restart"/>
          </w:tcPr>
          <w:p>
            <w:pPr>
              <w:ind w:left="40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48.3</w:t>
            </w:r>
            <w:r>
              <w:rPr>
                <w:rFonts w:ascii="Arial" w:cs="Arial" w:eastAsia="Arial" w:hAnsi="Arial"/>
                <w:sz w:val="23"/>
                <w:szCs w:val="23"/>
                <w:color w:val="074A75"/>
              </w:rPr>
              <w:t>B</w:t>
            </w:r>
          </w:p>
        </w:tc>
        <w:tc>
          <w:tcPr>
            <w:tcW w:w="12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39"/>
                <w:szCs w:val="39"/>
                <w:color w:val="074A75"/>
                <w:w w:val="93"/>
                <w:vertAlign w:val="superscript"/>
              </w:rPr>
              <w:t>$</w:t>
            </w:r>
            <w:r>
              <w:rPr>
                <w:rFonts w:ascii="Arial" w:cs="Arial" w:eastAsia="Arial" w:hAnsi="Arial"/>
                <w:sz w:val="31"/>
                <w:szCs w:val="31"/>
                <w:color w:val="074A75"/>
                <w:w w:val="93"/>
              </w:rPr>
              <w:t>15.36</w:t>
            </w:r>
          </w:p>
        </w:tc>
        <w:tc>
          <w:tcPr>
            <w:tcW w:w="120" w:type="dxa"/>
            <w:vAlign w:val="bottom"/>
          </w:tcPr>
          <w:p>
            <w:pPr>
              <w:spacing w:after="0"/>
              <w:rPr>
                <w:sz w:val="12"/>
                <w:szCs w:val="12"/>
                <w:color w:val="auto"/>
              </w:rPr>
            </w:pPr>
          </w:p>
        </w:tc>
        <w:tc>
          <w:tcPr>
            <w:tcW w:w="1340" w:type="dxa"/>
            <w:vAlign w:val="bottom"/>
            <w:vMerge w:val="restart"/>
          </w:tcPr>
          <w:p>
            <w:pPr>
              <w:jc w:val="center"/>
              <w:ind w:right="288"/>
              <w:spacing w:after="0"/>
              <w:rPr>
                <w:sz w:val="20"/>
                <w:szCs w:val="20"/>
                <w:color w:val="auto"/>
              </w:rPr>
            </w:pPr>
            <w:r>
              <w:rPr>
                <w:rFonts w:ascii="Arial" w:cs="Arial" w:eastAsia="Arial" w:hAnsi="Arial"/>
                <w:sz w:val="31"/>
                <w:szCs w:val="31"/>
                <w:color w:val="074A75"/>
              </w:rPr>
              <w:t>19</w:t>
            </w:r>
            <w:r>
              <w:rPr>
                <w:rFonts w:ascii="Arial" w:cs="Arial" w:eastAsia="Arial" w:hAnsi="Arial"/>
                <w:sz w:val="39"/>
                <w:szCs w:val="39"/>
                <w:color w:val="074A75"/>
                <w:vertAlign w:val="superscript"/>
              </w:rPr>
              <w:t>%</w:t>
            </w:r>
          </w:p>
        </w:tc>
        <w:tc>
          <w:tcPr>
            <w:tcW w:w="20" w:type="dxa"/>
            <w:vAlign w:val="bottom"/>
          </w:tcPr>
          <w:p>
            <w:pPr>
              <w:spacing w:after="0"/>
              <w:rPr>
                <w:sz w:val="12"/>
                <w:szCs w:val="12"/>
                <w:color w:val="auto"/>
              </w:rPr>
            </w:pPr>
          </w:p>
        </w:tc>
        <w:tc>
          <w:tcPr>
            <w:tcW w:w="1300" w:type="dxa"/>
            <w:vAlign w:val="bottom"/>
            <w:vMerge w:val="restart"/>
          </w:tcPr>
          <w:p>
            <w:pPr>
              <w:ind w:left="380"/>
              <w:spacing w:after="0"/>
              <w:rPr>
                <w:sz w:val="20"/>
                <w:szCs w:val="20"/>
                <w:color w:val="auto"/>
              </w:rPr>
            </w:pPr>
            <w:r>
              <w:rPr>
                <w:rFonts w:ascii="Arial" w:cs="Arial" w:eastAsia="Arial" w:hAnsi="Arial"/>
                <w:sz w:val="31"/>
                <w:szCs w:val="31"/>
                <w:color w:val="074A75"/>
              </w:rPr>
              <w:t>23</w:t>
            </w:r>
            <w:r>
              <w:rPr>
                <w:rFonts w:ascii="Arial" w:cs="Arial" w:eastAsia="Arial" w:hAnsi="Arial"/>
                <w:sz w:val="39"/>
                <w:szCs w:val="39"/>
                <w:color w:val="074A75"/>
                <w:vertAlign w:val="superscript"/>
              </w:rPr>
              <w:t>%</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88.07</w:t>
            </w:r>
          </w:p>
        </w:tc>
        <w:tc>
          <w:tcPr>
            <w:tcW w:w="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71.53</w:t>
            </w:r>
          </w:p>
        </w:tc>
        <w:tc>
          <w:tcPr>
            <w:tcW w:w="12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28.5</w:t>
            </w:r>
            <w:r>
              <w:rPr>
                <w:rFonts w:ascii="Arial" w:cs="Arial" w:eastAsia="Arial" w:hAnsi="Arial"/>
                <w:sz w:val="23"/>
                <w:szCs w:val="23"/>
                <w:color w:val="074A75"/>
                <w:w w:val="95"/>
              </w:rPr>
              <w:t>B</w:t>
            </w:r>
          </w:p>
        </w:tc>
        <w:tc>
          <w:tcPr>
            <w:tcW w:w="140" w:type="dxa"/>
            <w:vAlign w:val="bottom"/>
            <w:shd w:val="clear" w:color="auto" w:fill="E7E7E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vMerge w:val="continue"/>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700" w:type="dxa"/>
            <w:vAlign w:val="bottom"/>
            <w:vMerge w:val="continue"/>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3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720" w:type="dxa"/>
            <w:vAlign w:val="bottom"/>
            <w:vMerge w:val="continue"/>
          </w:tcPr>
          <w:p>
            <w:pPr>
              <w:spacing w:after="0"/>
              <w:rPr>
                <w:sz w:val="11"/>
                <w:szCs w:val="11"/>
                <w:color w:val="auto"/>
              </w:rPr>
            </w:pPr>
          </w:p>
        </w:tc>
        <w:tc>
          <w:tcPr>
            <w:tcW w:w="14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644"/>
        </w:trPr>
        <w:tc>
          <w:tcPr>
            <w:tcW w:w="1660" w:type="dxa"/>
            <w:vAlign w:val="bottom"/>
            <w:vMerge w:val="continue"/>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700" w:type="dxa"/>
            <w:vAlign w:val="bottom"/>
            <w:vMerge w:val="continue"/>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34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36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720" w:type="dxa"/>
            <w:vAlign w:val="bottom"/>
            <w:vMerge w:val="continue"/>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60" w:type="dxa"/>
            <w:vAlign w:val="bottom"/>
            <w:vMerge w:val="restart"/>
          </w:tcPr>
          <w:p>
            <w:pPr>
              <w:ind w:left="38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E7E7E8"/>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EARNINGS</w:t>
            </w:r>
          </w:p>
        </w:tc>
        <w:tc>
          <w:tcPr>
            <w:tcW w:w="120" w:type="dxa"/>
            <w:vAlign w:val="bottom"/>
            <w:shd w:val="clear" w:color="auto" w:fill="E7E7E8"/>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ROE</w:t>
            </w:r>
          </w:p>
        </w:tc>
        <w:tc>
          <w:tcPr>
            <w:tcW w:w="20" w:type="dxa"/>
            <w:vAlign w:val="bottom"/>
            <w:shd w:val="clear" w:color="auto" w:fill="454545"/>
          </w:tcPr>
          <w:p>
            <w:pPr>
              <w:spacing w:after="0"/>
              <w:rPr>
                <w:sz w:val="14"/>
                <w:szCs w:val="14"/>
                <w:color w:val="auto"/>
              </w:rPr>
            </w:pPr>
          </w:p>
        </w:tc>
        <w:tc>
          <w:tcPr>
            <w:tcW w:w="1300" w:type="dxa"/>
            <w:vAlign w:val="bottom"/>
          </w:tcPr>
          <w:p>
            <w:pPr>
              <w:ind w:left="360"/>
              <w:spacing w:after="0" w:line="168" w:lineRule="exact"/>
              <w:rPr>
                <w:sz w:val="20"/>
                <w:szCs w:val="20"/>
                <w:color w:val="auto"/>
              </w:rPr>
            </w:pPr>
            <w:r>
              <w:rPr>
                <w:rFonts w:ascii="Arial" w:cs="Arial" w:eastAsia="Arial" w:hAnsi="Arial"/>
                <w:sz w:val="14"/>
                <w:szCs w:val="14"/>
                <w:color w:val="auto"/>
              </w:rPr>
              <w:t>ROTCE</w:t>
            </w:r>
            <w:r>
              <w:rPr>
                <w:rFonts w:ascii="Arial" w:cs="Arial" w:eastAsia="Arial" w:hAnsi="Arial"/>
                <w:sz w:val="18"/>
                <w:szCs w:val="18"/>
                <w:color w:val="auto"/>
                <w:vertAlign w:val="superscript"/>
              </w:rPr>
              <w:t>2</w:t>
            </w:r>
          </w:p>
        </w:tc>
        <w:tc>
          <w:tcPr>
            <w:tcW w:w="120" w:type="dxa"/>
            <w:vAlign w:val="bottom"/>
            <w:shd w:val="clear" w:color="auto" w:fill="E7E7E8"/>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BOOK VALUE</w:t>
            </w:r>
          </w:p>
        </w:tc>
        <w:tc>
          <w:tcPr>
            <w:tcW w:w="20" w:type="dxa"/>
            <w:vAlign w:val="bottom"/>
            <w:shd w:val="clear" w:color="auto" w:fill="454545"/>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TANGIBLE</w:t>
            </w:r>
          </w:p>
        </w:tc>
        <w:tc>
          <w:tcPr>
            <w:tcW w:w="120" w:type="dxa"/>
            <w:vAlign w:val="bottom"/>
            <w:shd w:val="clear" w:color="auto" w:fill="E7E7E8"/>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NET CAPITAL</w:t>
            </w:r>
          </w:p>
        </w:tc>
        <w:tc>
          <w:tcPr>
            <w:tcW w:w="14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60" w:type="dxa"/>
            <w:vAlign w:val="bottom"/>
            <w:vMerge w:val="continue"/>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PER SHARE (“EPS”)</w:t>
            </w:r>
          </w:p>
        </w:tc>
        <w:tc>
          <w:tcPr>
            <w:tcW w:w="120" w:type="dxa"/>
            <w:vAlign w:val="bottom"/>
            <w:shd w:val="clear" w:color="auto" w:fill="E7E7E8"/>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PER SHARE</w:t>
            </w:r>
          </w:p>
        </w:tc>
        <w:tc>
          <w:tcPr>
            <w:tcW w:w="20" w:type="dxa"/>
            <w:vAlign w:val="bottom"/>
            <w:shd w:val="clear" w:color="auto" w:fill="454545"/>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BOOK VALUE</w:t>
            </w:r>
          </w:p>
        </w:tc>
        <w:tc>
          <w:tcPr>
            <w:tcW w:w="120" w:type="dxa"/>
            <w:vAlign w:val="bottom"/>
            <w:shd w:val="clear" w:color="auto" w:fill="E7E7E8"/>
          </w:tcPr>
          <w:p>
            <w:pPr>
              <w:spacing w:after="0"/>
              <w:rPr>
                <w:sz w:val="14"/>
                <w:szCs w:val="14"/>
                <w:color w:val="auto"/>
              </w:rPr>
            </w:pPr>
          </w:p>
        </w:tc>
        <w:tc>
          <w:tcPr>
            <w:tcW w:w="1720" w:type="dxa"/>
            <w:vAlign w:val="bottom"/>
          </w:tcPr>
          <w:p>
            <w:pPr>
              <w:jc w:val="center"/>
              <w:spacing w:after="0" w:line="164" w:lineRule="exact"/>
              <w:rPr>
                <w:sz w:val="20"/>
                <w:szCs w:val="20"/>
                <w:color w:val="auto"/>
              </w:rPr>
            </w:pPr>
            <w:r>
              <w:rPr>
                <w:rFonts w:ascii="Arial" w:cs="Arial" w:eastAsia="Arial" w:hAnsi="Arial"/>
                <w:sz w:val="14"/>
                <w:szCs w:val="14"/>
                <w:color w:val="auto"/>
              </w:rPr>
              <w:t>DISTRIBUTIONS</w:t>
            </w:r>
            <w:r>
              <w:rPr>
                <w:rFonts w:ascii="Arial" w:cs="Arial" w:eastAsia="Arial" w:hAnsi="Arial"/>
                <w:sz w:val="18"/>
                <w:szCs w:val="18"/>
                <w:color w:val="auto"/>
                <w:vertAlign w:val="superscript"/>
              </w:rPr>
              <w:t>3</w:t>
            </w:r>
          </w:p>
        </w:tc>
        <w:tc>
          <w:tcPr>
            <w:tcW w:w="14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60" w:type="dxa"/>
            <w:vAlign w:val="bottom"/>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shd w:val="clear" w:color="auto" w:fill="454545"/>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rPr>
              <w:t>(“BVPS”)</w:t>
            </w:r>
          </w:p>
        </w:tc>
        <w:tc>
          <w:tcPr>
            <w:tcW w:w="20" w:type="dxa"/>
            <w:vAlign w:val="bottom"/>
            <w:shd w:val="clear" w:color="auto" w:fill="454545"/>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rPr>
              <w:t>PER SHARE</w:t>
            </w:r>
          </w:p>
        </w:tc>
        <w:tc>
          <w:tcPr>
            <w:tcW w:w="120" w:type="dxa"/>
            <w:vAlign w:val="bottom"/>
            <w:shd w:val="clear" w:color="auto" w:fill="E7E7E8"/>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660" w:type="dxa"/>
            <w:vAlign w:val="bottom"/>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shd w:val="clear" w:color="auto" w:fill="454545"/>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shd w:val="clear" w:color="auto" w:fill="454545"/>
          </w:tcPr>
          <w:p>
            <w:pPr>
              <w:spacing w:after="0"/>
              <w:rPr>
                <w:sz w:val="17"/>
                <w:szCs w:val="17"/>
                <w:color w:val="auto"/>
              </w:rPr>
            </w:pPr>
          </w:p>
        </w:tc>
        <w:tc>
          <w:tcPr>
            <w:tcW w:w="1360" w:type="dxa"/>
            <w:vAlign w:val="bottom"/>
          </w:tcPr>
          <w:p>
            <w:pPr>
              <w:jc w:val="center"/>
              <w:spacing w:after="0" w:line="201" w:lineRule="exact"/>
              <w:rPr>
                <w:sz w:val="20"/>
                <w:szCs w:val="20"/>
                <w:color w:val="auto"/>
              </w:rPr>
            </w:pPr>
            <w:r>
              <w:rPr>
                <w:rFonts w:ascii="Arial" w:cs="Arial" w:eastAsia="Arial" w:hAnsi="Arial"/>
                <w:sz w:val="14"/>
                <w:szCs w:val="14"/>
                <w:color w:val="auto"/>
              </w:rPr>
              <w:t>(“TBVPS”)</w:t>
            </w:r>
            <w:r>
              <w:rPr>
                <w:rFonts w:ascii="Arial" w:cs="Arial" w:eastAsia="Arial" w:hAnsi="Arial"/>
                <w:sz w:val="18"/>
                <w:szCs w:val="18"/>
                <w:color w:val="auto"/>
                <w:vertAlign w:val="superscript"/>
              </w:rPr>
              <w:t>2</w:t>
            </w:r>
          </w:p>
        </w:tc>
        <w:tc>
          <w:tcPr>
            <w:tcW w:w="120" w:type="dxa"/>
            <w:vAlign w:val="bottom"/>
            <w:shd w:val="clear" w:color="auto" w:fill="E7E7E8"/>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7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340" w:type="dxa"/>
            <w:vAlign w:val="bottom"/>
            <w:shd w:val="clear" w:color="auto" w:fill="E7E7E8"/>
          </w:tcPr>
          <w:p>
            <w:pPr>
              <w:spacing w:after="0"/>
              <w:rPr>
                <w:sz w:val="14"/>
                <w:szCs w:val="14"/>
                <w:color w:val="auto"/>
              </w:rPr>
            </w:pPr>
          </w:p>
        </w:tc>
        <w:tc>
          <w:tcPr>
            <w:tcW w:w="20" w:type="dxa"/>
            <w:vAlign w:val="bottom"/>
            <w:shd w:val="clear" w:color="auto" w:fill="E7E7E8"/>
          </w:tcPr>
          <w:p>
            <w:pPr>
              <w:spacing w:after="0"/>
              <w:rPr>
                <w:sz w:val="14"/>
                <w:szCs w:val="14"/>
                <w:color w:val="auto"/>
              </w:rPr>
            </w:pPr>
          </w:p>
        </w:tc>
        <w:tc>
          <w:tcPr>
            <w:tcW w:w="13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360" w:type="dxa"/>
            <w:vAlign w:val="bottom"/>
            <w:shd w:val="clear" w:color="auto" w:fill="E7E7E8"/>
          </w:tcPr>
          <w:p>
            <w:pPr>
              <w:spacing w:after="0"/>
              <w:rPr>
                <w:sz w:val="14"/>
                <w:szCs w:val="14"/>
                <w:color w:val="auto"/>
              </w:rPr>
            </w:pPr>
          </w:p>
        </w:tc>
        <w:tc>
          <w:tcPr>
            <w:tcW w:w="20" w:type="dxa"/>
            <w:vAlign w:val="bottom"/>
            <w:shd w:val="clear" w:color="auto" w:fill="E7E7E8"/>
          </w:tcPr>
          <w:p>
            <w:pPr>
              <w:spacing w:after="0"/>
              <w:rPr>
                <w:sz w:val="14"/>
                <w:szCs w:val="14"/>
                <w:color w:val="auto"/>
              </w:rPr>
            </w:pPr>
          </w:p>
        </w:tc>
        <w:tc>
          <w:tcPr>
            <w:tcW w:w="13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7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3257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25755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22" w:lineRule="exact"/>
        <w:rPr>
          <w:sz w:val="20"/>
          <w:szCs w:val="20"/>
          <w:color w:val="auto"/>
        </w:rPr>
      </w:pPr>
    </w:p>
    <w:p>
      <w:pPr>
        <w:jc w:val="center"/>
        <w:ind w:left="120" w:right="120"/>
        <w:spacing w:after="0" w:line="270" w:lineRule="auto"/>
        <w:rPr>
          <w:sz w:val="20"/>
          <w:szCs w:val="20"/>
          <w:color w:val="auto"/>
        </w:rPr>
      </w:pPr>
      <w:r>
        <w:rPr>
          <w:rFonts w:ascii="Arial" w:cs="Arial" w:eastAsia="Arial" w:hAnsi="Arial"/>
          <w:sz w:val="21"/>
          <w:szCs w:val="21"/>
          <w:color w:val="074A75"/>
        </w:rPr>
        <w:t>CONSUMER &amp; COMMUNITY BANKING</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180" w:type="dxa"/>
            <w:vAlign w:val="bottom"/>
            <w:shd w:val="clear" w:color="auto" w:fill="E7E7E8"/>
          </w:tcPr>
          <w:p>
            <w:pPr>
              <w:spacing w:after="0"/>
              <w:rPr>
                <w:sz w:val="15"/>
                <w:szCs w:val="15"/>
                <w:color w:val="auto"/>
              </w:rPr>
            </w:pPr>
          </w:p>
        </w:tc>
        <w:tc>
          <w:tcPr>
            <w:tcW w:w="120" w:type="dxa"/>
            <w:vAlign w:val="bottom"/>
            <w:vMerge w:val="restart"/>
            <w:shd w:val="clear" w:color="auto" w:fill="E7E7E8"/>
          </w:tcPr>
          <w:p>
            <w:pPr>
              <w:spacing w:after="0"/>
              <w:rPr>
                <w:sz w:val="20"/>
                <w:szCs w:val="20"/>
                <w:color w:val="auto"/>
              </w:rPr>
            </w:pPr>
            <w:r>
              <w:rPr>
                <w:rFonts w:ascii="Arial" w:cs="Arial" w:eastAsia="Arial" w:hAnsi="Arial"/>
                <w:sz w:val="20"/>
                <w:szCs w:val="20"/>
                <w:color w:val="074A75"/>
                <w:w w:val="89"/>
                <w:shd w:val="clear" w:color="auto" w:fill="E7E7E8"/>
              </w:rPr>
              <w:t>$</w:t>
            </w:r>
          </w:p>
        </w:tc>
        <w:tc>
          <w:tcPr>
            <w:tcW w:w="580" w:type="dxa"/>
            <w:vAlign w:val="bottom"/>
            <w:vMerge w:val="restart"/>
            <w:shd w:val="clear" w:color="auto" w:fill="E7E7E8"/>
          </w:tcPr>
          <w:p>
            <w:pPr>
              <w:jc w:val="right"/>
              <w:spacing w:after="0"/>
              <w:rPr>
                <w:sz w:val="20"/>
                <w:szCs w:val="20"/>
                <w:color w:val="auto"/>
              </w:rPr>
            </w:pPr>
            <w:r>
              <w:rPr>
                <w:rFonts w:ascii="Arial" w:cs="Arial" w:eastAsia="Arial" w:hAnsi="Arial"/>
                <w:sz w:val="31"/>
                <w:szCs w:val="31"/>
                <w:color w:val="074A75"/>
                <w:w w:val="92"/>
                <w:shd w:val="clear" w:color="auto" w:fill="E7E7E8"/>
              </w:rPr>
              <w:t>20.9</w:t>
            </w:r>
          </w:p>
        </w:tc>
        <w:tc>
          <w:tcPr>
            <w:tcW w:w="180" w:type="dxa"/>
            <w:vAlign w:val="bottom"/>
            <w:vMerge w:val="restart"/>
            <w:shd w:val="clear" w:color="auto" w:fill="E7E7E8"/>
          </w:tcPr>
          <w:p>
            <w:pPr>
              <w:ind w:left="20"/>
              <w:spacing w:after="0"/>
              <w:rPr>
                <w:sz w:val="20"/>
                <w:szCs w:val="20"/>
                <w:color w:val="auto"/>
              </w:rPr>
            </w:pPr>
            <w:r>
              <w:rPr>
                <w:rFonts w:ascii="Arial" w:cs="Arial" w:eastAsia="Arial" w:hAnsi="Arial"/>
                <w:sz w:val="22"/>
                <w:szCs w:val="22"/>
                <w:color w:val="074A75"/>
                <w:w w:val="95"/>
                <w:shd w:val="clear" w:color="auto" w:fill="E7E7E8"/>
              </w:rPr>
              <w:t>B</w:t>
            </w:r>
          </w:p>
        </w:tc>
        <w:tc>
          <w:tcPr>
            <w:tcW w:w="180" w:type="dxa"/>
            <w:vAlign w:val="bottom"/>
            <w:tcBorders>
              <w:right w:val="single" w:sz="8" w:color="E7E7E8"/>
            </w:tcBorders>
            <w:shd w:val="clear" w:color="auto" w:fill="E7E7E8"/>
          </w:tcPr>
          <w:p>
            <w:pPr>
              <w:spacing w:after="0"/>
              <w:rPr>
                <w:sz w:val="15"/>
                <w:szCs w:val="15"/>
                <w:color w:val="auto"/>
              </w:rPr>
            </w:pPr>
          </w:p>
        </w:tc>
        <w:tc>
          <w:tcPr>
            <w:tcW w:w="1120" w:type="dxa"/>
            <w:vAlign w:val="bottom"/>
            <w:vMerge w:val="restart"/>
            <w:shd w:val="clear" w:color="auto" w:fill="E7E7E8"/>
          </w:tcPr>
          <w:p>
            <w:pPr>
              <w:jc w:val="center"/>
              <w:ind w:right="168"/>
              <w:spacing w:after="0"/>
              <w:rPr>
                <w:sz w:val="20"/>
                <w:szCs w:val="20"/>
                <w:color w:val="auto"/>
              </w:rPr>
            </w:pPr>
            <w:r>
              <w:rPr>
                <w:rFonts w:ascii="Arial" w:cs="Arial" w:eastAsia="Arial" w:hAnsi="Arial"/>
                <w:sz w:val="31"/>
                <w:szCs w:val="31"/>
                <w:color w:val="074A75"/>
              </w:rPr>
              <w:t>41</w:t>
            </w:r>
            <w:r>
              <w:rPr>
                <w:rFonts w:ascii="Arial" w:cs="Arial" w:eastAsia="Arial" w:hAnsi="Arial"/>
                <w:sz w:val="39"/>
                <w:szCs w:val="39"/>
                <w:color w:val="074A75"/>
                <w:vertAlign w:val="superscript"/>
              </w:rPr>
              <w:t>%</w:t>
            </w:r>
          </w:p>
        </w:tc>
        <w:tc>
          <w:tcPr>
            <w:tcW w:w="1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180" w:type="dxa"/>
            <w:vAlign w:val="bottom"/>
            <w:vMerge w:val="restart"/>
            <w:shd w:val="clear" w:color="auto" w:fill="E7E7E8"/>
          </w:tcPr>
          <w:p>
            <w:pPr>
              <w:spacing w:after="0"/>
              <w:rPr>
                <w:sz w:val="24"/>
                <w:szCs w:val="24"/>
                <w:color w:val="auto"/>
              </w:rPr>
            </w:pPr>
          </w:p>
        </w:tc>
        <w:tc>
          <w:tcPr>
            <w:tcW w:w="120" w:type="dxa"/>
            <w:vAlign w:val="bottom"/>
            <w:vMerge w:val="continue"/>
            <w:shd w:val="clear" w:color="auto" w:fill="E7E7E8"/>
          </w:tcPr>
          <w:p>
            <w:pPr>
              <w:spacing w:after="0"/>
              <w:rPr>
                <w:sz w:val="24"/>
                <w:szCs w:val="24"/>
                <w:color w:val="auto"/>
              </w:rPr>
            </w:pPr>
          </w:p>
        </w:tc>
        <w:tc>
          <w:tcPr>
            <w:tcW w:w="580" w:type="dxa"/>
            <w:vAlign w:val="bottom"/>
            <w:vMerge w:val="continue"/>
            <w:shd w:val="clear" w:color="auto" w:fill="E7E7E8"/>
          </w:tcPr>
          <w:p>
            <w:pPr>
              <w:spacing w:after="0"/>
              <w:rPr>
                <w:sz w:val="24"/>
                <w:szCs w:val="24"/>
                <w:color w:val="auto"/>
              </w:rPr>
            </w:pPr>
          </w:p>
        </w:tc>
        <w:tc>
          <w:tcPr>
            <w:tcW w:w="180" w:type="dxa"/>
            <w:vAlign w:val="bottom"/>
            <w:vMerge w:val="continue"/>
            <w:shd w:val="clear" w:color="auto" w:fill="E7E7E8"/>
          </w:tcPr>
          <w:p>
            <w:pPr>
              <w:spacing w:after="0"/>
              <w:rPr>
                <w:sz w:val="24"/>
                <w:szCs w:val="24"/>
                <w:color w:val="auto"/>
              </w:rPr>
            </w:pPr>
          </w:p>
        </w:tc>
        <w:tc>
          <w:tcPr>
            <w:tcW w:w="180" w:type="dxa"/>
            <w:vAlign w:val="bottom"/>
            <w:tcBorders>
              <w:right w:val="single" w:sz="8" w:color="454545"/>
            </w:tcBorders>
            <w:shd w:val="clear" w:color="auto" w:fill="E7E7E8"/>
          </w:tcPr>
          <w:p>
            <w:pPr>
              <w:spacing w:after="0"/>
              <w:rPr>
                <w:sz w:val="24"/>
                <w:szCs w:val="24"/>
                <w:color w:val="auto"/>
              </w:rPr>
            </w:pPr>
          </w:p>
        </w:tc>
        <w:tc>
          <w:tcPr>
            <w:tcW w:w="1120" w:type="dxa"/>
            <w:vAlign w:val="bottom"/>
            <w:vMerge w:val="continue"/>
            <w:shd w:val="clear" w:color="auto" w:fill="E7E7E8"/>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80" w:type="dxa"/>
            <w:vAlign w:val="bottom"/>
            <w:vMerge w:val="continue"/>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580" w:type="dxa"/>
            <w:vAlign w:val="bottom"/>
            <w:vMerge w:val="continue"/>
            <w:shd w:val="clear" w:color="auto" w:fill="E7E7E8"/>
          </w:tcPr>
          <w:p>
            <w:pPr>
              <w:spacing w:after="0"/>
              <w:rPr>
                <w:sz w:val="7"/>
                <w:szCs w:val="7"/>
                <w:color w:val="auto"/>
              </w:rPr>
            </w:pPr>
          </w:p>
        </w:tc>
        <w:tc>
          <w:tcPr>
            <w:tcW w:w="180" w:type="dxa"/>
            <w:vAlign w:val="bottom"/>
            <w:vMerge w:val="continue"/>
            <w:shd w:val="clear" w:color="auto" w:fill="E7E7E8"/>
          </w:tcPr>
          <w:p>
            <w:pPr>
              <w:spacing w:after="0"/>
              <w:rPr>
                <w:sz w:val="7"/>
                <w:szCs w:val="7"/>
                <w:color w:val="auto"/>
              </w:rPr>
            </w:pPr>
          </w:p>
        </w:tc>
        <w:tc>
          <w:tcPr>
            <w:tcW w:w="180" w:type="dxa"/>
            <w:vAlign w:val="bottom"/>
            <w:tcBorders>
              <w:right w:val="single" w:sz="8" w:color="454545"/>
            </w:tcBorders>
            <w:shd w:val="clear" w:color="auto" w:fill="E7E7E8"/>
          </w:tcPr>
          <w:p>
            <w:pPr>
              <w:spacing w:after="0"/>
              <w:rPr>
                <w:sz w:val="7"/>
                <w:szCs w:val="7"/>
                <w:color w:val="auto"/>
              </w:rPr>
            </w:pPr>
          </w:p>
        </w:tc>
        <w:tc>
          <w:tcPr>
            <w:tcW w:w="1120" w:type="dxa"/>
            <w:vAlign w:val="bottom"/>
            <w:vMerge w:val="continue"/>
            <w:shd w:val="clear" w:color="auto" w:fill="E7E7E8"/>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060" w:type="dxa"/>
            <w:vAlign w:val="bottom"/>
            <w:gridSpan w:val="4"/>
            <w:shd w:val="clear" w:color="auto" w:fill="E7E7E8"/>
          </w:tcPr>
          <w:p>
            <w:pPr>
              <w:ind w:left="160"/>
              <w:spacing w:after="0"/>
              <w:rPr>
                <w:sz w:val="20"/>
                <w:szCs w:val="20"/>
                <w:color w:val="auto"/>
              </w:rPr>
            </w:pPr>
            <w:r>
              <w:rPr>
                <w:rFonts w:ascii="Arial" w:cs="Arial" w:eastAsia="Arial" w:hAnsi="Arial"/>
                <w:sz w:val="14"/>
                <w:szCs w:val="14"/>
                <w:color w:val="auto"/>
                <w:shd w:val="clear" w:color="auto" w:fill="E7E7E8"/>
              </w:rPr>
              <w:t>NET INCOME</w:t>
            </w:r>
          </w:p>
        </w:tc>
        <w:tc>
          <w:tcPr>
            <w:tcW w:w="180" w:type="dxa"/>
            <w:vAlign w:val="bottom"/>
            <w:tcBorders>
              <w:right w:val="single" w:sz="8" w:color="454545"/>
            </w:tcBorders>
            <w:shd w:val="clear" w:color="auto" w:fill="E7E7E8"/>
          </w:tcPr>
          <w:p>
            <w:pPr>
              <w:spacing w:after="0"/>
              <w:rPr>
                <w:sz w:val="17"/>
                <w:szCs w:val="17"/>
                <w:color w:val="auto"/>
              </w:rPr>
            </w:pPr>
          </w:p>
        </w:tc>
        <w:tc>
          <w:tcPr>
            <w:tcW w:w="112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8"/>
              </w:rPr>
              <w:t>ROE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8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580" w:type="dxa"/>
            <w:vAlign w:val="bottom"/>
            <w:shd w:val="clear" w:color="auto" w:fill="E7E7E8"/>
          </w:tcPr>
          <w:p>
            <w:pPr>
              <w:spacing w:after="0"/>
              <w:rPr>
                <w:sz w:val="23"/>
                <w:szCs w:val="23"/>
                <w:color w:val="auto"/>
              </w:rPr>
            </w:pPr>
          </w:p>
        </w:tc>
        <w:tc>
          <w:tcPr>
            <w:tcW w:w="180" w:type="dxa"/>
            <w:vAlign w:val="bottom"/>
            <w:shd w:val="clear" w:color="auto" w:fill="E7E7E8"/>
          </w:tcPr>
          <w:p>
            <w:pPr>
              <w:spacing w:after="0"/>
              <w:rPr>
                <w:sz w:val="23"/>
                <w:szCs w:val="23"/>
                <w:color w:val="auto"/>
              </w:rPr>
            </w:pPr>
          </w:p>
        </w:tc>
        <w:tc>
          <w:tcPr>
            <w:tcW w:w="180" w:type="dxa"/>
            <w:vAlign w:val="bottom"/>
            <w:tcBorders>
              <w:right w:val="single" w:sz="8" w:color="454545"/>
            </w:tcBorders>
            <w:shd w:val="clear" w:color="auto" w:fill="E7E7E8"/>
          </w:tcPr>
          <w:p>
            <w:pPr>
              <w:spacing w:after="0"/>
              <w:rPr>
                <w:sz w:val="23"/>
                <w:szCs w:val="23"/>
                <w:color w:val="auto"/>
              </w:rPr>
            </w:pPr>
          </w:p>
        </w:tc>
        <w:tc>
          <w:tcPr>
            <w:tcW w:w="1120" w:type="dxa"/>
            <w:vAlign w:val="bottom"/>
            <w:shd w:val="clear" w:color="auto" w:fill="E7E7E8"/>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580" w:type="dxa"/>
            <w:vAlign w:val="bottom"/>
            <w:shd w:val="clear" w:color="auto" w:fill="E7E7E8"/>
          </w:tcPr>
          <w:p>
            <w:pPr>
              <w:spacing w:after="0"/>
              <w:rPr>
                <w:sz w:val="11"/>
                <w:szCs w:val="11"/>
                <w:color w:val="auto"/>
              </w:rPr>
            </w:pPr>
          </w:p>
        </w:tc>
        <w:tc>
          <w:tcPr>
            <w:tcW w:w="180" w:type="dxa"/>
            <w:vAlign w:val="bottom"/>
            <w:shd w:val="clear" w:color="auto" w:fill="E7E7E8"/>
          </w:tcPr>
          <w:p>
            <w:pPr>
              <w:spacing w:after="0"/>
              <w:rPr>
                <w:sz w:val="11"/>
                <w:szCs w:val="11"/>
                <w:color w:val="auto"/>
              </w:rPr>
            </w:pPr>
          </w:p>
        </w:tc>
        <w:tc>
          <w:tcPr>
            <w:tcW w:w="180" w:type="dxa"/>
            <w:vAlign w:val="bottom"/>
            <w:tcBorders>
              <w:right w:val="single" w:sz="8" w:color="E7E7E8"/>
            </w:tcBorders>
            <w:shd w:val="clear" w:color="auto" w:fill="E7E7E8"/>
          </w:tcPr>
          <w:p>
            <w:pPr>
              <w:spacing w:after="0"/>
              <w:rPr>
                <w:sz w:val="11"/>
                <w:szCs w:val="11"/>
                <w:color w:val="auto"/>
              </w:rPr>
            </w:pPr>
          </w:p>
        </w:tc>
        <w:tc>
          <w:tcPr>
            <w:tcW w:w="1120" w:type="dxa"/>
            <w:vAlign w:val="bottom"/>
            <w:shd w:val="clear" w:color="auto" w:fill="E7E7E8"/>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193"/>
        <w:spacing w:after="0"/>
        <w:tabs>
          <w:tab w:leader="none" w:pos="340" w:val="left"/>
        </w:tabs>
        <w:numPr>
          <w:ilvl w:val="0"/>
          <w:numId w:val="5"/>
        </w:numPr>
        <w:rPr>
          <w:rFonts w:ascii="Arial" w:cs="Arial" w:eastAsia="Arial" w:hAnsi="Arial"/>
          <w:sz w:val="16"/>
          <w:szCs w:val="16"/>
          <w:color w:val="064A75"/>
        </w:rPr>
      </w:pPr>
      <w:r>
        <w:rPr>
          <w:rFonts w:ascii="Arial" w:cs="Arial" w:eastAsia="Arial" w:hAnsi="Arial"/>
          <w:sz w:val="15"/>
          <w:szCs w:val="15"/>
          <w:color w:val="auto"/>
        </w:rPr>
        <w:t>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$50.1B</w:t>
      </w:r>
    </w:p>
    <w:p>
      <w:pPr>
        <w:spacing w:after="0" w:line="66" w:lineRule="exact"/>
        <w:rPr>
          <w:rFonts w:ascii="Arial" w:cs="Arial" w:eastAsia="Arial" w:hAnsi="Arial"/>
          <w:sz w:val="16"/>
          <w:szCs w:val="16"/>
          <w:color w:val="064A75"/>
        </w:rPr>
      </w:pPr>
    </w:p>
    <w:p>
      <w:pPr>
        <w:ind w:left="340" w:right="240" w:hanging="193"/>
        <w:spacing w:after="0" w:line="263" w:lineRule="auto"/>
        <w:tabs>
          <w:tab w:leader="none" w:pos="334" w:val="left"/>
        </w:tabs>
        <w:numPr>
          <w:ilvl w:val="0"/>
          <w:numId w:val="5"/>
        </w:numPr>
        <w:rPr>
          <w:rFonts w:ascii="Arial" w:cs="Arial" w:eastAsia="Arial" w:hAnsi="Arial"/>
          <w:sz w:val="15"/>
          <w:szCs w:val="15"/>
          <w:color w:val="064A75"/>
        </w:rPr>
      </w:pPr>
      <w:r>
        <w:rPr>
          <w:rFonts w:ascii="Arial" w:cs="Arial" w:eastAsia="Arial" w:hAnsi="Arial"/>
          <w:sz w:val="15"/>
          <w:szCs w:val="15"/>
          <w:color w:val="auto"/>
        </w:rPr>
        <w:t>Average deposits of $1.1T (up 24%); average loans of $434.0B (down 3%)</w:t>
      </w:r>
    </w:p>
    <w:p>
      <w:pPr>
        <w:spacing w:after="0" w:line="67" w:lineRule="exact"/>
        <w:rPr>
          <w:rFonts w:ascii="Arial" w:cs="Arial" w:eastAsia="Arial" w:hAnsi="Arial"/>
          <w:sz w:val="15"/>
          <w:szCs w:val="15"/>
          <w:color w:val="064A75"/>
        </w:rPr>
      </w:pPr>
    </w:p>
    <w:p>
      <w:pPr>
        <w:ind w:left="340" w:right="200" w:hanging="193"/>
        <w:spacing w:after="0" w:line="281" w:lineRule="auto"/>
        <w:tabs>
          <w:tab w:leader="none" w:pos="334" w:val="left"/>
        </w:tabs>
        <w:numPr>
          <w:ilvl w:val="0"/>
          <w:numId w:val="5"/>
        </w:numPr>
        <w:rPr>
          <w:rFonts w:ascii="Arial" w:cs="Arial" w:eastAsia="Arial" w:hAnsi="Arial"/>
          <w:sz w:val="15"/>
          <w:szCs w:val="15"/>
          <w:color w:val="074A75"/>
        </w:rPr>
      </w:pPr>
      <w:r>
        <w:rPr>
          <w:rFonts w:ascii="Arial" w:cs="Arial" w:eastAsia="Arial" w:hAnsi="Arial"/>
          <w:sz w:val="15"/>
          <w:szCs w:val="15"/>
          <w:color w:val="auto"/>
        </w:rPr>
        <w:t>#1 in U.S. retail deposit market share</w:t>
      </w:r>
      <w:r>
        <w:rPr>
          <w:rFonts w:ascii="Arial" w:cs="Arial" w:eastAsia="Arial" w:hAnsi="Arial"/>
          <w:sz w:val="19"/>
          <w:szCs w:val="19"/>
          <w:color w:val="auto"/>
          <w:vertAlign w:val="superscript"/>
        </w:rPr>
        <w:t>4</w:t>
      </w:r>
    </w:p>
    <w:p>
      <w:pPr>
        <w:spacing w:after="0" w:line="1" w:lineRule="exact"/>
        <w:rPr>
          <w:rFonts w:ascii="Arial" w:cs="Arial" w:eastAsia="Arial" w:hAnsi="Arial"/>
          <w:sz w:val="15"/>
          <w:szCs w:val="15"/>
          <w:color w:val="074A75"/>
        </w:rPr>
      </w:pPr>
    </w:p>
    <w:p>
      <w:pPr>
        <w:jc w:val="both"/>
        <w:ind w:left="340" w:right="200" w:hanging="193"/>
        <w:spacing w:after="0" w:line="263" w:lineRule="auto"/>
        <w:tabs>
          <w:tab w:leader="none" w:pos="334" w:val="left"/>
        </w:tabs>
        <w:numPr>
          <w:ilvl w:val="0"/>
          <w:numId w:val="5"/>
        </w:numPr>
        <w:rPr>
          <w:rFonts w:ascii="Arial" w:cs="Arial" w:eastAsia="Arial" w:hAnsi="Arial"/>
          <w:sz w:val="15"/>
          <w:szCs w:val="15"/>
          <w:color w:val="064A75"/>
        </w:rPr>
      </w:pPr>
      <w:r>
        <w:rPr>
          <w:rFonts w:ascii="Arial" w:cs="Arial" w:eastAsia="Arial" w:hAnsi="Arial"/>
          <w:sz w:val="15"/>
          <w:szCs w:val="15"/>
          <w:color w:val="auto"/>
        </w:rPr>
        <w:t>Maintained #1 market share in Card, based on U.S. sales and outstandings</w:t>
      </w:r>
    </w:p>
    <w:p>
      <w:pPr>
        <w:spacing w:after="0" w:line="67" w:lineRule="exact"/>
        <w:rPr>
          <w:rFonts w:ascii="Arial" w:cs="Arial" w:eastAsia="Arial" w:hAnsi="Arial"/>
          <w:sz w:val="15"/>
          <w:szCs w:val="15"/>
          <w:color w:val="064A75"/>
        </w:rPr>
      </w:pPr>
    </w:p>
    <w:p>
      <w:pPr>
        <w:ind w:left="340" w:right="260" w:hanging="193"/>
        <w:spacing w:after="0" w:line="263" w:lineRule="auto"/>
        <w:tabs>
          <w:tab w:leader="none" w:pos="334" w:val="left"/>
        </w:tabs>
        <w:numPr>
          <w:ilvl w:val="0"/>
          <w:numId w:val="5"/>
        </w:numPr>
        <w:rPr>
          <w:rFonts w:ascii="Arial" w:cs="Arial" w:eastAsia="Arial" w:hAnsi="Arial"/>
          <w:sz w:val="15"/>
          <w:szCs w:val="15"/>
          <w:color w:val="064A75"/>
        </w:rPr>
      </w:pPr>
      <w:r>
        <w:rPr>
          <w:rFonts w:ascii="Arial" w:cs="Arial" w:eastAsia="Arial" w:hAnsi="Arial"/>
          <w:sz w:val="15"/>
          <w:szCs w:val="15"/>
          <w:color w:val="auto"/>
        </w:rPr>
        <w:t>Largest active digital and mobile customer base among U.S. banks, customers up 6% and 11% respectively</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074A75"/>
        </w:rPr>
        <w:t>CORPORATE &amp;</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074A75"/>
        </w:rPr>
        <w:t>INVESTMENT BANK</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 w:type="dxa"/>
            <w:vAlign w:val="bottom"/>
            <w:shd w:val="clear" w:color="auto" w:fill="E7E7E8"/>
          </w:tcPr>
          <w:p>
            <w:pPr>
              <w:spacing w:after="0"/>
              <w:rPr>
                <w:sz w:val="16"/>
                <w:szCs w:val="16"/>
                <w:color w:val="auto"/>
              </w:rPr>
            </w:pPr>
          </w:p>
        </w:tc>
        <w:tc>
          <w:tcPr>
            <w:tcW w:w="100" w:type="dxa"/>
            <w:vAlign w:val="bottom"/>
            <w:vMerge w:val="restart"/>
            <w:shd w:val="clear" w:color="auto" w:fill="E7E7E8"/>
          </w:tcPr>
          <w:p>
            <w:pPr>
              <w:spacing w:after="0"/>
              <w:rPr>
                <w:sz w:val="20"/>
                <w:szCs w:val="20"/>
                <w:color w:val="auto"/>
              </w:rPr>
            </w:pPr>
            <w:r>
              <w:rPr>
                <w:rFonts w:ascii="Arial" w:cs="Arial" w:eastAsia="Arial" w:hAnsi="Arial"/>
                <w:sz w:val="20"/>
                <w:szCs w:val="20"/>
                <w:color w:val="074A75"/>
                <w:w w:val="71"/>
                <w:shd w:val="clear" w:color="auto" w:fill="E7E7E8"/>
              </w:rPr>
              <w:t>$</w:t>
            </w: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31"/>
                <w:szCs w:val="31"/>
                <w:color w:val="074A75"/>
                <w:w w:val="96"/>
                <w:shd w:val="clear" w:color="auto" w:fill="E7E7E8"/>
              </w:rPr>
              <w:t>21.1</w:t>
            </w:r>
          </w:p>
        </w:tc>
        <w:tc>
          <w:tcPr>
            <w:tcW w:w="140" w:type="dxa"/>
            <w:vAlign w:val="bottom"/>
            <w:vMerge w:val="restart"/>
            <w:shd w:val="clear" w:color="auto" w:fill="E7E7E8"/>
          </w:tcPr>
          <w:p>
            <w:pPr>
              <w:spacing w:after="0"/>
              <w:rPr>
                <w:sz w:val="20"/>
                <w:szCs w:val="20"/>
                <w:color w:val="auto"/>
              </w:rPr>
            </w:pPr>
            <w:r>
              <w:rPr>
                <w:rFonts w:ascii="Arial" w:cs="Arial" w:eastAsia="Arial" w:hAnsi="Arial"/>
                <w:sz w:val="22"/>
                <w:szCs w:val="22"/>
                <w:color w:val="074A75"/>
                <w:w w:val="81"/>
                <w:shd w:val="clear" w:color="auto" w:fill="E7E7E8"/>
              </w:rPr>
              <w:t>B</w:t>
            </w:r>
          </w:p>
        </w:tc>
        <w:tc>
          <w:tcPr>
            <w:tcW w:w="220" w:type="dxa"/>
            <w:vAlign w:val="bottom"/>
            <w:tcBorders>
              <w:right w:val="single" w:sz="8" w:color="E7E7E8"/>
            </w:tcBorders>
            <w:shd w:val="clear" w:color="auto" w:fill="E7E7E8"/>
          </w:tcPr>
          <w:p>
            <w:pPr>
              <w:spacing w:after="0"/>
              <w:rPr>
                <w:sz w:val="16"/>
                <w:szCs w:val="16"/>
                <w:color w:val="auto"/>
              </w:rPr>
            </w:pPr>
          </w:p>
        </w:tc>
        <w:tc>
          <w:tcPr>
            <w:tcW w:w="1180" w:type="dxa"/>
            <w:vAlign w:val="bottom"/>
            <w:vMerge w:val="restart"/>
            <w:shd w:val="clear" w:color="auto" w:fill="E7E7E8"/>
          </w:tcPr>
          <w:p>
            <w:pPr>
              <w:jc w:val="center"/>
              <w:ind w:right="188"/>
              <w:spacing w:after="0"/>
              <w:rPr>
                <w:sz w:val="20"/>
                <w:szCs w:val="20"/>
                <w:color w:val="auto"/>
              </w:rPr>
            </w:pPr>
            <w:r>
              <w:rPr>
                <w:rFonts w:ascii="Arial" w:cs="Arial" w:eastAsia="Arial" w:hAnsi="Arial"/>
                <w:sz w:val="31"/>
                <w:szCs w:val="31"/>
                <w:color w:val="074A75"/>
              </w:rPr>
              <w:t>25</w:t>
            </w:r>
            <w:r>
              <w:rPr>
                <w:rFonts w:ascii="Arial" w:cs="Arial" w:eastAsia="Arial" w:hAnsi="Arial"/>
                <w:sz w:val="39"/>
                <w:szCs w:val="39"/>
                <w:color w:val="074A75"/>
                <w:vertAlign w:val="superscript"/>
              </w:rPr>
              <w:t>%</w:t>
            </w:r>
          </w:p>
        </w:tc>
        <w:tc>
          <w:tcPr>
            <w:tcW w:w="1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200" w:type="dxa"/>
            <w:vAlign w:val="bottom"/>
            <w:vMerge w:val="restart"/>
            <w:shd w:val="clear" w:color="auto" w:fill="E7E7E8"/>
          </w:tcPr>
          <w:p>
            <w:pPr>
              <w:spacing w:after="0"/>
              <w:rPr>
                <w:sz w:val="24"/>
                <w:szCs w:val="24"/>
                <w:color w:val="auto"/>
              </w:rPr>
            </w:pPr>
          </w:p>
        </w:tc>
        <w:tc>
          <w:tcPr>
            <w:tcW w:w="100" w:type="dxa"/>
            <w:vAlign w:val="bottom"/>
            <w:vMerge w:val="continue"/>
            <w:shd w:val="clear" w:color="auto" w:fill="E7E7E8"/>
          </w:tcPr>
          <w:p>
            <w:pPr>
              <w:spacing w:after="0"/>
              <w:rPr>
                <w:sz w:val="24"/>
                <w:szCs w:val="24"/>
                <w:color w:val="auto"/>
              </w:rPr>
            </w:pPr>
          </w:p>
        </w:tc>
        <w:tc>
          <w:tcPr>
            <w:tcW w:w="600" w:type="dxa"/>
            <w:vAlign w:val="bottom"/>
            <w:vMerge w:val="continue"/>
            <w:shd w:val="clear" w:color="auto" w:fill="E7E7E8"/>
          </w:tcPr>
          <w:p>
            <w:pPr>
              <w:spacing w:after="0"/>
              <w:rPr>
                <w:sz w:val="24"/>
                <w:szCs w:val="24"/>
                <w:color w:val="auto"/>
              </w:rPr>
            </w:pPr>
          </w:p>
        </w:tc>
        <w:tc>
          <w:tcPr>
            <w:tcW w:w="140" w:type="dxa"/>
            <w:vAlign w:val="bottom"/>
            <w:vMerge w:val="continue"/>
            <w:shd w:val="clear" w:color="auto" w:fill="E7E7E8"/>
          </w:tcPr>
          <w:p>
            <w:pPr>
              <w:spacing w:after="0"/>
              <w:rPr>
                <w:sz w:val="24"/>
                <w:szCs w:val="24"/>
                <w:color w:val="auto"/>
              </w:rPr>
            </w:pPr>
          </w:p>
        </w:tc>
        <w:tc>
          <w:tcPr>
            <w:tcW w:w="220" w:type="dxa"/>
            <w:vAlign w:val="bottom"/>
            <w:tcBorders>
              <w:right w:val="single" w:sz="8" w:color="454545"/>
            </w:tcBorders>
            <w:shd w:val="clear" w:color="auto" w:fill="E7E7E8"/>
          </w:tcPr>
          <w:p>
            <w:pPr>
              <w:spacing w:after="0"/>
              <w:rPr>
                <w:sz w:val="24"/>
                <w:szCs w:val="24"/>
                <w:color w:val="auto"/>
              </w:rPr>
            </w:pPr>
          </w:p>
        </w:tc>
        <w:tc>
          <w:tcPr>
            <w:tcW w:w="1180" w:type="dxa"/>
            <w:vAlign w:val="bottom"/>
            <w:vMerge w:val="continue"/>
            <w:shd w:val="clear" w:color="auto" w:fill="E7E7E8"/>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0" w:type="dxa"/>
            <w:vAlign w:val="bottom"/>
            <w:vMerge w:val="continue"/>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600" w:type="dxa"/>
            <w:vAlign w:val="bottom"/>
            <w:vMerge w:val="continue"/>
            <w:shd w:val="clear" w:color="auto" w:fill="E7E7E8"/>
          </w:tcPr>
          <w:p>
            <w:pPr>
              <w:spacing w:after="0"/>
              <w:rPr>
                <w:sz w:val="7"/>
                <w:szCs w:val="7"/>
                <w:color w:val="auto"/>
              </w:rPr>
            </w:pPr>
          </w:p>
        </w:tc>
        <w:tc>
          <w:tcPr>
            <w:tcW w:w="140" w:type="dxa"/>
            <w:vAlign w:val="bottom"/>
            <w:vMerge w:val="continue"/>
            <w:shd w:val="clear" w:color="auto" w:fill="E7E7E8"/>
          </w:tcPr>
          <w:p>
            <w:pPr>
              <w:spacing w:after="0"/>
              <w:rPr>
                <w:sz w:val="7"/>
                <w:szCs w:val="7"/>
                <w:color w:val="auto"/>
              </w:rPr>
            </w:pPr>
          </w:p>
        </w:tc>
        <w:tc>
          <w:tcPr>
            <w:tcW w:w="220" w:type="dxa"/>
            <w:vAlign w:val="bottom"/>
            <w:tcBorders>
              <w:right w:val="single" w:sz="8" w:color="454545"/>
            </w:tcBorders>
            <w:shd w:val="clear" w:color="auto" w:fill="E7E7E8"/>
          </w:tcPr>
          <w:p>
            <w:pPr>
              <w:spacing w:after="0"/>
              <w:rPr>
                <w:sz w:val="7"/>
                <w:szCs w:val="7"/>
                <w:color w:val="auto"/>
              </w:rPr>
            </w:pPr>
          </w:p>
        </w:tc>
        <w:tc>
          <w:tcPr>
            <w:tcW w:w="1180" w:type="dxa"/>
            <w:vAlign w:val="bottom"/>
            <w:vMerge w:val="continue"/>
            <w:shd w:val="clear" w:color="auto" w:fill="E7E7E8"/>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260" w:type="dxa"/>
            <w:vAlign w:val="bottom"/>
            <w:tcBorders>
              <w:right w:val="single" w:sz="8" w:color="454545"/>
            </w:tcBorders>
            <w:gridSpan w:val="5"/>
            <w:shd w:val="clear" w:color="auto" w:fill="E7E7E8"/>
          </w:tcPr>
          <w:p>
            <w:pPr>
              <w:ind w:left="160"/>
              <w:spacing w:after="0"/>
              <w:rPr>
                <w:sz w:val="20"/>
                <w:szCs w:val="20"/>
                <w:color w:val="auto"/>
              </w:rPr>
            </w:pPr>
            <w:r>
              <w:rPr>
                <w:rFonts w:ascii="Arial" w:cs="Arial" w:eastAsia="Arial" w:hAnsi="Arial"/>
                <w:sz w:val="14"/>
                <w:szCs w:val="14"/>
                <w:color w:val="auto"/>
                <w:shd w:val="clear" w:color="auto" w:fill="E7E7E8"/>
              </w:rPr>
              <w:t>NET INCOME</w:t>
            </w:r>
          </w:p>
        </w:tc>
        <w:tc>
          <w:tcPr>
            <w:tcW w:w="118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8"/>
              </w:rPr>
              <w:t>ROE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6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220" w:type="dxa"/>
            <w:vAlign w:val="bottom"/>
            <w:tcBorders>
              <w:right w:val="single" w:sz="8" w:color="454545"/>
            </w:tcBorders>
            <w:shd w:val="clear" w:color="auto" w:fill="E7E7E8"/>
          </w:tcPr>
          <w:p>
            <w:pPr>
              <w:spacing w:after="0"/>
              <w:rPr>
                <w:sz w:val="23"/>
                <w:szCs w:val="23"/>
                <w:color w:val="auto"/>
              </w:rPr>
            </w:pPr>
          </w:p>
        </w:tc>
        <w:tc>
          <w:tcPr>
            <w:tcW w:w="1180" w:type="dxa"/>
            <w:vAlign w:val="bottom"/>
            <w:shd w:val="clear" w:color="auto" w:fill="E7E7E8"/>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c>
          <w:tcPr>
            <w:tcW w:w="600" w:type="dxa"/>
            <w:vAlign w:val="bottom"/>
            <w:shd w:val="clear" w:color="auto" w:fill="E7E7E8"/>
          </w:tcPr>
          <w:p>
            <w:pPr>
              <w:spacing w:after="0"/>
              <w:rPr>
                <w:sz w:val="11"/>
                <w:szCs w:val="11"/>
                <w:color w:val="auto"/>
              </w:rPr>
            </w:pPr>
          </w:p>
        </w:tc>
        <w:tc>
          <w:tcPr>
            <w:tcW w:w="140" w:type="dxa"/>
            <w:vAlign w:val="bottom"/>
            <w:shd w:val="clear" w:color="auto" w:fill="E7E7E8"/>
          </w:tcPr>
          <w:p>
            <w:pPr>
              <w:spacing w:after="0"/>
              <w:rPr>
                <w:sz w:val="11"/>
                <w:szCs w:val="11"/>
                <w:color w:val="auto"/>
              </w:rPr>
            </w:pPr>
          </w:p>
        </w:tc>
        <w:tc>
          <w:tcPr>
            <w:tcW w:w="220" w:type="dxa"/>
            <w:vAlign w:val="bottom"/>
            <w:tcBorders>
              <w:right w:val="single" w:sz="8" w:color="E7E7E8"/>
            </w:tcBorders>
            <w:shd w:val="clear" w:color="auto" w:fill="E7E7E8"/>
          </w:tcPr>
          <w:p>
            <w:pPr>
              <w:spacing w:after="0"/>
              <w:rPr>
                <w:sz w:val="11"/>
                <w:szCs w:val="11"/>
                <w:color w:val="auto"/>
              </w:rPr>
            </w:pPr>
          </w:p>
        </w:tc>
        <w:tc>
          <w:tcPr>
            <w:tcW w:w="1180" w:type="dxa"/>
            <w:vAlign w:val="bottom"/>
            <w:shd w:val="clear" w:color="auto" w:fill="E7E7E8"/>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00" w:right="400" w:hanging="192"/>
        <w:spacing w:after="0" w:line="281" w:lineRule="auto"/>
        <w:tabs>
          <w:tab w:leader="none" w:pos="194" w:val="left"/>
        </w:tabs>
        <w:numPr>
          <w:ilvl w:val="0"/>
          <w:numId w:val="6"/>
        </w:numPr>
        <w:rPr>
          <w:rFonts w:ascii="Arial" w:cs="Arial" w:eastAsia="Arial" w:hAnsi="Arial"/>
          <w:sz w:val="15"/>
          <w:szCs w:val="15"/>
          <w:color w:val="064A75"/>
          <w:shd w:val="clear" w:color="auto" w:fill="E7E7E8"/>
        </w:rPr>
      </w:pPr>
      <w:r>
        <w:rPr>
          <w:rFonts w:ascii="Arial" w:cs="Arial" w:eastAsia="Arial" w:hAnsi="Arial"/>
          <w:sz w:val="15"/>
          <w:szCs w:val="15"/>
          <w:color w:val="auto"/>
        </w:rPr>
        <w:t>Record net income on record 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$51.7B</w:t>
      </w:r>
    </w:p>
    <w:p>
      <w:pPr>
        <w:spacing w:after="0" w:line="1" w:lineRule="exact"/>
        <w:rPr>
          <w:rFonts w:ascii="Arial" w:cs="Arial" w:eastAsia="Arial" w:hAnsi="Arial"/>
          <w:sz w:val="15"/>
          <w:szCs w:val="15"/>
          <w:color w:val="064A75"/>
          <w:shd w:val="clear" w:color="auto" w:fill="E7E7E8"/>
        </w:rPr>
      </w:pPr>
    </w:p>
    <w:p>
      <w:pPr>
        <w:ind w:left="200" w:right="320" w:hanging="192"/>
        <w:spacing w:after="0" w:line="283" w:lineRule="auto"/>
        <w:tabs>
          <w:tab w:leader="none" w:pos="194" w:val="left"/>
        </w:tabs>
        <w:numPr>
          <w:ilvl w:val="0"/>
          <w:numId w:val="6"/>
        </w:numPr>
        <w:rPr>
          <w:rFonts w:ascii="Arial" w:cs="Arial" w:eastAsia="Arial" w:hAnsi="Arial"/>
          <w:sz w:val="15"/>
          <w:szCs w:val="15"/>
          <w:color w:val="074A75"/>
        </w:rPr>
      </w:pPr>
      <w:r>
        <w:rPr>
          <w:rFonts w:ascii="Arial" w:cs="Arial" w:eastAsia="Arial" w:hAnsi="Arial"/>
          <w:sz w:val="15"/>
          <w:szCs w:val="15"/>
          <w:color w:val="auto"/>
        </w:rPr>
        <w:t>Record Investment Banking ("IB") fees of $13.4B (up 41%)</w:t>
      </w:r>
    </w:p>
    <w:p>
      <w:pPr>
        <w:spacing w:after="0" w:line="52" w:lineRule="exact"/>
        <w:rPr>
          <w:rFonts w:ascii="Arial" w:cs="Arial" w:eastAsia="Arial" w:hAnsi="Arial"/>
          <w:sz w:val="15"/>
          <w:szCs w:val="15"/>
          <w:color w:val="074A75"/>
        </w:rPr>
      </w:pPr>
    </w:p>
    <w:p>
      <w:pPr>
        <w:ind w:left="200" w:right="220" w:hanging="192"/>
        <w:spacing w:after="0" w:line="263" w:lineRule="auto"/>
        <w:tabs>
          <w:tab w:leader="none" w:pos="194" w:val="left"/>
        </w:tabs>
        <w:numPr>
          <w:ilvl w:val="0"/>
          <w:numId w:val="6"/>
        </w:numPr>
        <w:rPr>
          <w:rFonts w:ascii="Arial" w:cs="Arial" w:eastAsia="Arial" w:hAnsi="Arial"/>
          <w:sz w:val="15"/>
          <w:szCs w:val="15"/>
          <w:color w:val="074A75"/>
        </w:rPr>
      </w:pPr>
      <w:r>
        <w:rPr>
          <w:rFonts w:ascii="Arial" w:cs="Arial" w:eastAsia="Arial" w:hAnsi="Arial"/>
          <w:sz w:val="15"/>
          <w:szCs w:val="15"/>
          <w:color w:val="auto"/>
        </w:rPr>
        <w:t>#1 in IB fees for 13 consecutive years with 9.5% wallet share; #1 in Markets revenue</w:t>
      </w:r>
    </w:p>
    <w:p>
      <w:pPr>
        <w:spacing w:after="0" w:line="67" w:lineRule="exact"/>
        <w:rPr>
          <w:rFonts w:ascii="Arial" w:cs="Arial" w:eastAsia="Arial" w:hAnsi="Arial"/>
          <w:sz w:val="15"/>
          <w:szCs w:val="15"/>
          <w:color w:val="074A75"/>
        </w:rPr>
      </w:pPr>
    </w:p>
    <w:p>
      <w:pPr>
        <w:ind w:left="200" w:right="560" w:hanging="192"/>
        <w:spacing w:after="0" w:line="263" w:lineRule="auto"/>
        <w:tabs>
          <w:tab w:leader="none" w:pos="194" w:val="left"/>
        </w:tabs>
        <w:numPr>
          <w:ilvl w:val="0"/>
          <w:numId w:val="6"/>
        </w:numPr>
        <w:rPr>
          <w:rFonts w:ascii="Arial" w:cs="Arial" w:eastAsia="Arial" w:hAnsi="Arial"/>
          <w:sz w:val="15"/>
          <w:szCs w:val="15"/>
          <w:color w:val="074A75"/>
        </w:rPr>
      </w:pPr>
      <w:r>
        <w:rPr>
          <w:rFonts w:ascii="Arial" w:cs="Arial" w:eastAsia="Arial" w:hAnsi="Arial"/>
          <w:sz w:val="15"/>
          <w:szCs w:val="15"/>
          <w:color w:val="auto"/>
        </w:rPr>
        <w:t>#2 custodian globally as measured by assets under custody of $33.2T (up 7%)</w:t>
      </w:r>
    </w:p>
    <w:p>
      <w:pPr>
        <w:spacing w:after="0" w:line="67" w:lineRule="exact"/>
        <w:rPr>
          <w:rFonts w:ascii="Arial" w:cs="Arial" w:eastAsia="Arial" w:hAnsi="Arial"/>
          <w:sz w:val="15"/>
          <w:szCs w:val="15"/>
          <w:color w:val="074A75"/>
        </w:rPr>
      </w:pPr>
    </w:p>
    <w:p>
      <w:pPr>
        <w:ind w:left="200" w:hanging="192"/>
        <w:spacing w:after="0"/>
        <w:tabs>
          <w:tab w:leader="none" w:pos="200" w:val="left"/>
        </w:tabs>
        <w:numPr>
          <w:ilvl w:val="0"/>
          <w:numId w:val="6"/>
        </w:numPr>
        <w:rPr>
          <w:rFonts w:ascii="Arial" w:cs="Arial" w:eastAsia="Arial" w:hAnsi="Arial"/>
          <w:sz w:val="15"/>
          <w:szCs w:val="15"/>
          <w:color w:val="074A75"/>
        </w:rPr>
      </w:pPr>
      <w:r>
        <w:rPr>
          <w:rFonts w:ascii="Arial" w:cs="Arial" w:eastAsia="Arial" w:hAnsi="Arial"/>
          <w:sz w:val="15"/>
          <w:szCs w:val="15"/>
          <w:color w:val="auto"/>
        </w:rPr>
        <w:t>#1 in USD Payments volume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074A75"/>
        </w:rPr>
        <w:t>COMMERCIAL</w:t>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074A75"/>
        </w:rPr>
        <w:t>BANKING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 w:type="dxa"/>
            <w:vAlign w:val="bottom"/>
            <w:shd w:val="clear" w:color="auto" w:fill="E7E7E8"/>
          </w:tcPr>
          <w:p>
            <w:pPr>
              <w:spacing w:after="0"/>
              <w:rPr>
                <w:sz w:val="16"/>
                <w:szCs w:val="16"/>
                <w:color w:val="auto"/>
              </w:rPr>
            </w:pPr>
          </w:p>
        </w:tc>
        <w:tc>
          <w:tcPr>
            <w:tcW w:w="120" w:type="dxa"/>
            <w:vAlign w:val="bottom"/>
            <w:vMerge w:val="restart"/>
            <w:shd w:val="clear" w:color="auto" w:fill="E7E7E8"/>
          </w:tcPr>
          <w:p>
            <w:pPr>
              <w:jc w:val="right"/>
              <w:spacing w:after="0"/>
              <w:rPr>
                <w:sz w:val="20"/>
                <w:szCs w:val="20"/>
                <w:color w:val="auto"/>
              </w:rPr>
            </w:pPr>
            <w:r>
              <w:rPr>
                <w:rFonts w:ascii="Arial" w:cs="Arial" w:eastAsia="Arial" w:hAnsi="Arial"/>
                <w:sz w:val="20"/>
                <w:szCs w:val="20"/>
                <w:color w:val="074A75"/>
                <w:w w:val="89"/>
                <w:shd w:val="clear" w:color="auto" w:fill="E7E7E8"/>
              </w:rPr>
              <w:t>$</w:t>
            </w:r>
          </w:p>
        </w:tc>
        <w:tc>
          <w:tcPr>
            <w:tcW w:w="420" w:type="dxa"/>
            <w:vAlign w:val="bottom"/>
            <w:vMerge w:val="restart"/>
            <w:shd w:val="clear" w:color="auto" w:fill="E7E7E8"/>
          </w:tcPr>
          <w:p>
            <w:pPr>
              <w:jc w:val="right"/>
              <w:spacing w:after="0"/>
              <w:rPr>
                <w:sz w:val="20"/>
                <w:szCs w:val="20"/>
                <w:color w:val="auto"/>
              </w:rPr>
            </w:pPr>
            <w:r>
              <w:rPr>
                <w:rFonts w:ascii="Arial" w:cs="Arial" w:eastAsia="Arial" w:hAnsi="Arial"/>
                <w:sz w:val="31"/>
                <w:szCs w:val="31"/>
                <w:color w:val="074A75"/>
                <w:w w:val="92"/>
                <w:shd w:val="clear" w:color="auto" w:fill="E7E7E8"/>
              </w:rPr>
              <w:t>5.2</w:t>
            </w:r>
          </w:p>
        </w:tc>
        <w:tc>
          <w:tcPr>
            <w:tcW w:w="140" w:type="dxa"/>
            <w:vAlign w:val="bottom"/>
            <w:vMerge w:val="restart"/>
            <w:shd w:val="clear" w:color="auto" w:fill="E7E7E8"/>
          </w:tcPr>
          <w:p>
            <w:pPr>
              <w:spacing w:after="0"/>
              <w:rPr>
                <w:sz w:val="20"/>
                <w:szCs w:val="20"/>
                <w:color w:val="auto"/>
              </w:rPr>
            </w:pPr>
            <w:r>
              <w:rPr>
                <w:rFonts w:ascii="Arial" w:cs="Arial" w:eastAsia="Arial" w:hAnsi="Arial"/>
                <w:sz w:val="22"/>
                <w:szCs w:val="22"/>
                <w:color w:val="074A75"/>
                <w:w w:val="81"/>
                <w:shd w:val="clear" w:color="auto" w:fill="E7E7E8"/>
              </w:rPr>
              <w:t>B</w:t>
            </w:r>
          </w:p>
        </w:tc>
        <w:tc>
          <w:tcPr>
            <w:tcW w:w="300" w:type="dxa"/>
            <w:vAlign w:val="bottom"/>
            <w:tcBorders>
              <w:right w:val="single" w:sz="8" w:color="E7E7E8"/>
            </w:tcBorders>
            <w:shd w:val="clear" w:color="auto" w:fill="E7E7E8"/>
          </w:tcPr>
          <w:p>
            <w:pPr>
              <w:spacing w:after="0"/>
              <w:rPr>
                <w:sz w:val="16"/>
                <w:szCs w:val="16"/>
                <w:color w:val="auto"/>
              </w:rPr>
            </w:pPr>
          </w:p>
        </w:tc>
        <w:tc>
          <w:tcPr>
            <w:tcW w:w="1180" w:type="dxa"/>
            <w:vAlign w:val="bottom"/>
            <w:vMerge w:val="restart"/>
            <w:shd w:val="clear" w:color="auto" w:fill="E7E7E8"/>
          </w:tcPr>
          <w:p>
            <w:pPr>
              <w:jc w:val="center"/>
              <w:ind w:right="208"/>
              <w:spacing w:after="0"/>
              <w:rPr>
                <w:sz w:val="20"/>
                <w:szCs w:val="20"/>
                <w:color w:val="auto"/>
              </w:rPr>
            </w:pPr>
            <w:r>
              <w:rPr>
                <w:rFonts w:ascii="Arial" w:cs="Arial" w:eastAsia="Arial" w:hAnsi="Arial"/>
                <w:sz w:val="31"/>
                <w:szCs w:val="31"/>
                <w:color w:val="074A75"/>
              </w:rPr>
              <w:t>21</w:t>
            </w:r>
            <w:r>
              <w:rPr>
                <w:rFonts w:ascii="Arial" w:cs="Arial" w:eastAsia="Arial" w:hAnsi="Arial"/>
                <w:sz w:val="39"/>
                <w:szCs w:val="39"/>
                <w:color w:val="074A75"/>
                <w:vertAlign w:val="superscript"/>
              </w:rPr>
              <w:t>%</w:t>
            </w:r>
          </w:p>
        </w:tc>
        <w:tc>
          <w:tcPr>
            <w:tcW w:w="14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260" w:type="dxa"/>
            <w:vAlign w:val="bottom"/>
            <w:vMerge w:val="restart"/>
            <w:shd w:val="clear" w:color="auto" w:fill="E7E7E8"/>
          </w:tcPr>
          <w:p>
            <w:pPr>
              <w:spacing w:after="0"/>
              <w:rPr>
                <w:sz w:val="24"/>
                <w:szCs w:val="24"/>
                <w:color w:val="auto"/>
              </w:rPr>
            </w:pPr>
          </w:p>
        </w:tc>
        <w:tc>
          <w:tcPr>
            <w:tcW w:w="120" w:type="dxa"/>
            <w:vAlign w:val="bottom"/>
            <w:vMerge w:val="continue"/>
            <w:shd w:val="clear" w:color="auto" w:fill="E7E7E8"/>
          </w:tcPr>
          <w:p>
            <w:pPr>
              <w:spacing w:after="0"/>
              <w:rPr>
                <w:sz w:val="24"/>
                <w:szCs w:val="24"/>
                <w:color w:val="auto"/>
              </w:rPr>
            </w:pPr>
          </w:p>
        </w:tc>
        <w:tc>
          <w:tcPr>
            <w:tcW w:w="420" w:type="dxa"/>
            <w:vAlign w:val="bottom"/>
            <w:vMerge w:val="continue"/>
            <w:shd w:val="clear" w:color="auto" w:fill="E7E7E8"/>
          </w:tcPr>
          <w:p>
            <w:pPr>
              <w:spacing w:after="0"/>
              <w:rPr>
                <w:sz w:val="24"/>
                <w:szCs w:val="24"/>
                <w:color w:val="auto"/>
              </w:rPr>
            </w:pPr>
          </w:p>
        </w:tc>
        <w:tc>
          <w:tcPr>
            <w:tcW w:w="140" w:type="dxa"/>
            <w:vAlign w:val="bottom"/>
            <w:vMerge w:val="continue"/>
            <w:shd w:val="clear" w:color="auto" w:fill="E7E7E8"/>
          </w:tcPr>
          <w:p>
            <w:pPr>
              <w:spacing w:after="0"/>
              <w:rPr>
                <w:sz w:val="24"/>
                <w:szCs w:val="24"/>
                <w:color w:val="auto"/>
              </w:rPr>
            </w:pPr>
          </w:p>
        </w:tc>
        <w:tc>
          <w:tcPr>
            <w:tcW w:w="300" w:type="dxa"/>
            <w:vAlign w:val="bottom"/>
            <w:tcBorders>
              <w:right w:val="single" w:sz="8" w:color="454545"/>
            </w:tcBorders>
            <w:shd w:val="clear" w:color="auto" w:fill="E7E7E8"/>
          </w:tcPr>
          <w:p>
            <w:pPr>
              <w:spacing w:after="0"/>
              <w:rPr>
                <w:sz w:val="24"/>
                <w:szCs w:val="24"/>
                <w:color w:val="auto"/>
              </w:rPr>
            </w:pPr>
          </w:p>
        </w:tc>
        <w:tc>
          <w:tcPr>
            <w:tcW w:w="1180" w:type="dxa"/>
            <w:vAlign w:val="bottom"/>
            <w:vMerge w:val="continue"/>
            <w:shd w:val="clear" w:color="auto" w:fill="E7E7E8"/>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60" w:type="dxa"/>
            <w:vAlign w:val="bottom"/>
            <w:vMerge w:val="continue"/>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420" w:type="dxa"/>
            <w:vAlign w:val="bottom"/>
            <w:vMerge w:val="continue"/>
            <w:shd w:val="clear" w:color="auto" w:fill="E7E7E8"/>
          </w:tcPr>
          <w:p>
            <w:pPr>
              <w:spacing w:after="0"/>
              <w:rPr>
                <w:sz w:val="7"/>
                <w:szCs w:val="7"/>
                <w:color w:val="auto"/>
              </w:rPr>
            </w:pPr>
          </w:p>
        </w:tc>
        <w:tc>
          <w:tcPr>
            <w:tcW w:w="140" w:type="dxa"/>
            <w:vAlign w:val="bottom"/>
            <w:vMerge w:val="continue"/>
            <w:shd w:val="clear" w:color="auto" w:fill="E7E7E8"/>
          </w:tcPr>
          <w:p>
            <w:pPr>
              <w:spacing w:after="0"/>
              <w:rPr>
                <w:sz w:val="7"/>
                <w:szCs w:val="7"/>
                <w:color w:val="auto"/>
              </w:rPr>
            </w:pPr>
          </w:p>
        </w:tc>
        <w:tc>
          <w:tcPr>
            <w:tcW w:w="300" w:type="dxa"/>
            <w:vAlign w:val="bottom"/>
            <w:tcBorders>
              <w:right w:val="single" w:sz="8" w:color="454545"/>
            </w:tcBorders>
            <w:shd w:val="clear" w:color="auto" w:fill="E7E7E8"/>
          </w:tcPr>
          <w:p>
            <w:pPr>
              <w:spacing w:after="0"/>
              <w:rPr>
                <w:sz w:val="7"/>
                <w:szCs w:val="7"/>
                <w:color w:val="auto"/>
              </w:rPr>
            </w:pPr>
          </w:p>
        </w:tc>
        <w:tc>
          <w:tcPr>
            <w:tcW w:w="1180" w:type="dxa"/>
            <w:vAlign w:val="bottom"/>
            <w:vMerge w:val="continue"/>
            <w:shd w:val="clear" w:color="auto" w:fill="E7E7E8"/>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240" w:type="dxa"/>
            <w:vAlign w:val="bottom"/>
            <w:tcBorders>
              <w:right w:val="single" w:sz="8" w:color="454545"/>
            </w:tcBorders>
            <w:gridSpan w:val="5"/>
            <w:shd w:val="clear" w:color="auto" w:fill="E7E7E8"/>
          </w:tcPr>
          <w:p>
            <w:pPr>
              <w:jc w:val="center"/>
              <w:ind w:right="20"/>
              <w:spacing w:after="0"/>
              <w:rPr>
                <w:sz w:val="20"/>
                <w:szCs w:val="20"/>
                <w:color w:val="auto"/>
              </w:rPr>
            </w:pPr>
            <w:r>
              <w:rPr>
                <w:rFonts w:ascii="Arial" w:cs="Arial" w:eastAsia="Arial" w:hAnsi="Arial"/>
                <w:sz w:val="14"/>
                <w:szCs w:val="14"/>
                <w:color w:val="auto"/>
                <w:shd w:val="clear" w:color="auto" w:fill="E7E7E8"/>
              </w:rPr>
              <w:t>NET INCOME</w:t>
            </w:r>
          </w:p>
        </w:tc>
        <w:tc>
          <w:tcPr>
            <w:tcW w:w="118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8"/>
              </w:rPr>
              <w:t>ROE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42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300" w:type="dxa"/>
            <w:vAlign w:val="bottom"/>
            <w:tcBorders>
              <w:right w:val="single" w:sz="8" w:color="454545"/>
            </w:tcBorders>
            <w:shd w:val="clear" w:color="auto" w:fill="E7E7E8"/>
          </w:tcPr>
          <w:p>
            <w:pPr>
              <w:spacing w:after="0"/>
              <w:rPr>
                <w:sz w:val="23"/>
                <w:szCs w:val="23"/>
                <w:color w:val="auto"/>
              </w:rPr>
            </w:pPr>
          </w:p>
        </w:tc>
        <w:tc>
          <w:tcPr>
            <w:tcW w:w="1180" w:type="dxa"/>
            <w:vAlign w:val="bottom"/>
            <w:shd w:val="clear" w:color="auto" w:fill="E7E7E8"/>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420" w:type="dxa"/>
            <w:vAlign w:val="bottom"/>
            <w:shd w:val="clear" w:color="auto" w:fill="E7E7E8"/>
          </w:tcPr>
          <w:p>
            <w:pPr>
              <w:spacing w:after="0"/>
              <w:rPr>
                <w:sz w:val="11"/>
                <w:szCs w:val="11"/>
                <w:color w:val="auto"/>
              </w:rPr>
            </w:pPr>
          </w:p>
        </w:tc>
        <w:tc>
          <w:tcPr>
            <w:tcW w:w="140" w:type="dxa"/>
            <w:vAlign w:val="bottom"/>
            <w:shd w:val="clear" w:color="auto" w:fill="E7E7E8"/>
          </w:tcPr>
          <w:p>
            <w:pPr>
              <w:spacing w:after="0"/>
              <w:rPr>
                <w:sz w:val="11"/>
                <w:szCs w:val="11"/>
                <w:color w:val="auto"/>
              </w:rPr>
            </w:pPr>
          </w:p>
        </w:tc>
        <w:tc>
          <w:tcPr>
            <w:tcW w:w="300" w:type="dxa"/>
            <w:vAlign w:val="bottom"/>
            <w:tcBorders>
              <w:right w:val="single" w:sz="8" w:color="E7E7E8"/>
            </w:tcBorders>
            <w:shd w:val="clear" w:color="auto" w:fill="E7E7E8"/>
          </w:tcPr>
          <w:p>
            <w:pPr>
              <w:spacing w:after="0"/>
              <w:rPr>
                <w:sz w:val="11"/>
                <w:szCs w:val="11"/>
                <w:color w:val="auto"/>
              </w:rPr>
            </w:pPr>
          </w:p>
        </w:tc>
        <w:tc>
          <w:tcPr>
            <w:tcW w:w="1180" w:type="dxa"/>
            <w:vAlign w:val="bottom"/>
            <w:shd w:val="clear" w:color="auto" w:fill="E7E7E8"/>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0" w:hanging="183"/>
        <w:spacing w:after="0"/>
        <w:tabs>
          <w:tab w:leader="none" w:pos="200" w:val="left"/>
        </w:tabs>
        <w:numPr>
          <w:ilvl w:val="0"/>
          <w:numId w:val="7"/>
        </w:numPr>
        <w:rPr>
          <w:rFonts w:ascii="Arial" w:cs="Arial" w:eastAsia="Arial" w:hAnsi="Arial"/>
          <w:sz w:val="16"/>
          <w:szCs w:val="16"/>
          <w:color w:val="074A75"/>
          <w:shd w:val="clear" w:color="auto" w:fill="E7E7E8"/>
        </w:rPr>
      </w:pPr>
      <w:r>
        <w:rPr>
          <w:rFonts w:ascii="Arial" w:cs="Arial" w:eastAsia="Arial" w:hAnsi="Arial"/>
          <w:sz w:val="15"/>
          <w:szCs w:val="15"/>
          <w:color w:val="auto"/>
        </w:rPr>
        <w:t>Record 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$10.0B</w:t>
      </w:r>
    </w:p>
    <w:p>
      <w:pPr>
        <w:spacing w:after="0" w:line="65" w:lineRule="exact"/>
        <w:rPr>
          <w:rFonts w:ascii="Arial" w:cs="Arial" w:eastAsia="Arial" w:hAnsi="Arial"/>
          <w:sz w:val="16"/>
          <w:szCs w:val="16"/>
          <w:color w:val="074A75"/>
          <w:shd w:val="clear" w:color="auto" w:fill="E7E7E8"/>
        </w:rPr>
      </w:pPr>
    </w:p>
    <w:p>
      <w:pPr>
        <w:ind w:left="220" w:right="240" w:hanging="203"/>
        <w:spacing w:after="0"/>
        <w:tabs>
          <w:tab w:leader="none" w:pos="214" w:val="left"/>
        </w:tabs>
        <w:numPr>
          <w:ilvl w:val="0"/>
          <w:numId w:val="7"/>
        </w:numPr>
        <w:rPr>
          <w:rFonts w:ascii="Arial" w:cs="Arial" w:eastAsia="Arial" w:hAnsi="Arial"/>
          <w:sz w:val="15"/>
          <w:szCs w:val="15"/>
          <w:color w:val="074A75"/>
        </w:rPr>
      </w:pPr>
      <w:r>
        <w:rPr>
          <w:rFonts w:ascii="Arial" w:cs="Arial" w:eastAsia="Arial" w:hAnsi="Arial"/>
          <w:sz w:val="15"/>
          <w:szCs w:val="15"/>
          <w:color w:val="auto"/>
        </w:rPr>
        <w:t>Record gross IB revenue</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of $5.1B (up 52%), including record year for both Middle Market Banking &amp; Specialized Industries and Corporate Client Banking &amp; Specialized Industries</w:t>
      </w:r>
    </w:p>
    <w:p>
      <w:pPr>
        <w:spacing w:after="0" w:line="84" w:lineRule="exact"/>
        <w:rPr>
          <w:rFonts w:ascii="Arial" w:cs="Arial" w:eastAsia="Arial" w:hAnsi="Arial"/>
          <w:sz w:val="15"/>
          <w:szCs w:val="15"/>
          <w:color w:val="074A75"/>
        </w:rPr>
      </w:pPr>
    </w:p>
    <w:p>
      <w:pPr>
        <w:ind w:left="220" w:right="400" w:hanging="203"/>
        <w:spacing w:after="0" w:line="281" w:lineRule="auto"/>
        <w:tabs>
          <w:tab w:leader="none" w:pos="214" w:val="left"/>
        </w:tabs>
        <w:numPr>
          <w:ilvl w:val="0"/>
          <w:numId w:val="7"/>
        </w:numPr>
        <w:rPr>
          <w:rFonts w:ascii="Arial" w:cs="Arial" w:eastAsia="Arial" w:hAnsi="Arial"/>
          <w:sz w:val="15"/>
          <w:szCs w:val="15"/>
          <w:color w:val="074A75"/>
        </w:rPr>
      </w:pPr>
      <w:r>
        <w:rPr>
          <w:rFonts w:ascii="Arial" w:cs="Arial" w:eastAsia="Arial" w:hAnsi="Arial"/>
          <w:sz w:val="15"/>
          <w:szCs w:val="15"/>
          <w:color w:val="auto"/>
        </w:rPr>
        <w:t>Record payments revenue of $1.8B</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(up 15%)</w:t>
      </w:r>
    </w:p>
    <w:p>
      <w:pPr>
        <w:spacing w:after="0" w:line="1" w:lineRule="exact"/>
        <w:rPr>
          <w:rFonts w:ascii="Arial" w:cs="Arial" w:eastAsia="Arial" w:hAnsi="Arial"/>
          <w:sz w:val="15"/>
          <w:szCs w:val="15"/>
          <w:color w:val="074A75"/>
        </w:rPr>
      </w:pPr>
    </w:p>
    <w:p>
      <w:pPr>
        <w:ind w:left="220" w:right="280" w:hanging="203"/>
        <w:spacing w:after="0" w:line="283" w:lineRule="auto"/>
        <w:tabs>
          <w:tab w:leader="none" w:pos="214" w:val="left"/>
        </w:tabs>
        <w:numPr>
          <w:ilvl w:val="0"/>
          <w:numId w:val="7"/>
        </w:numPr>
        <w:rPr>
          <w:rFonts w:ascii="Arial" w:cs="Arial" w:eastAsia="Arial" w:hAnsi="Arial"/>
          <w:sz w:val="15"/>
          <w:szCs w:val="15"/>
          <w:color w:val="074A75"/>
        </w:rPr>
      </w:pPr>
      <w:r>
        <w:rPr>
          <w:rFonts w:ascii="Arial" w:cs="Arial" w:eastAsia="Arial" w:hAnsi="Arial"/>
          <w:sz w:val="15"/>
          <w:szCs w:val="15"/>
          <w:color w:val="auto"/>
        </w:rPr>
        <w:t>Strong credit performance with a net charge-off ratio of 4bps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074A75"/>
        </w:rPr>
        <w:t>ASSET &amp; WEALTH</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074A75"/>
        </w:rPr>
        <w:t>MANAGEMENT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 w:type="dxa"/>
            <w:vAlign w:val="bottom"/>
            <w:shd w:val="clear" w:color="auto" w:fill="E7E7E8"/>
          </w:tcPr>
          <w:p>
            <w:pPr>
              <w:spacing w:after="0"/>
              <w:rPr>
                <w:sz w:val="16"/>
                <w:szCs w:val="16"/>
                <w:color w:val="auto"/>
              </w:rPr>
            </w:pPr>
          </w:p>
        </w:tc>
        <w:tc>
          <w:tcPr>
            <w:tcW w:w="120" w:type="dxa"/>
            <w:vAlign w:val="bottom"/>
            <w:vMerge w:val="restart"/>
            <w:shd w:val="clear" w:color="auto" w:fill="E7E7E8"/>
          </w:tcPr>
          <w:p>
            <w:pPr>
              <w:jc w:val="right"/>
              <w:spacing w:after="0"/>
              <w:rPr>
                <w:sz w:val="20"/>
                <w:szCs w:val="20"/>
                <w:color w:val="auto"/>
              </w:rPr>
            </w:pPr>
            <w:r>
              <w:rPr>
                <w:rFonts w:ascii="Arial" w:cs="Arial" w:eastAsia="Arial" w:hAnsi="Arial"/>
                <w:sz w:val="20"/>
                <w:szCs w:val="20"/>
                <w:color w:val="074A75"/>
                <w:w w:val="89"/>
                <w:shd w:val="clear" w:color="auto" w:fill="E7E7E8"/>
              </w:rPr>
              <w:t>$</w:t>
            </w:r>
          </w:p>
        </w:tc>
        <w:tc>
          <w:tcPr>
            <w:tcW w:w="420" w:type="dxa"/>
            <w:vAlign w:val="bottom"/>
            <w:vMerge w:val="restart"/>
            <w:shd w:val="clear" w:color="auto" w:fill="E7E7E8"/>
          </w:tcPr>
          <w:p>
            <w:pPr>
              <w:jc w:val="right"/>
              <w:spacing w:after="0"/>
              <w:rPr>
                <w:sz w:val="20"/>
                <w:szCs w:val="20"/>
                <w:color w:val="auto"/>
              </w:rPr>
            </w:pPr>
            <w:r>
              <w:rPr>
                <w:rFonts w:ascii="Arial" w:cs="Arial" w:eastAsia="Arial" w:hAnsi="Arial"/>
                <w:sz w:val="31"/>
                <w:szCs w:val="31"/>
                <w:color w:val="074A75"/>
                <w:w w:val="92"/>
                <w:shd w:val="clear" w:color="auto" w:fill="E7E7E8"/>
              </w:rPr>
              <w:t>4.7</w:t>
            </w:r>
          </w:p>
        </w:tc>
        <w:tc>
          <w:tcPr>
            <w:tcW w:w="140" w:type="dxa"/>
            <w:vAlign w:val="bottom"/>
            <w:vMerge w:val="restart"/>
            <w:shd w:val="clear" w:color="auto" w:fill="E7E7E8"/>
          </w:tcPr>
          <w:p>
            <w:pPr>
              <w:spacing w:after="0"/>
              <w:rPr>
                <w:sz w:val="20"/>
                <w:szCs w:val="20"/>
                <w:color w:val="auto"/>
              </w:rPr>
            </w:pPr>
            <w:r>
              <w:rPr>
                <w:rFonts w:ascii="Arial" w:cs="Arial" w:eastAsia="Arial" w:hAnsi="Arial"/>
                <w:sz w:val="22"/>
                <w:szCs w:val="22"/>
                <w:color w:val="074A75"/>
                <w:w w:val="81"/>
                <w:shd w:val="clear" w:color="auto" w:fill="E7E7E8"/>
              </w:rPr>
              <w:t>B</w:t>
            </w:r>
          </w:p>
        </w:tc>
        <w:tc>
          <w:tcPr>
            <w:tcW w:w="280" w:type="dxa"/>
            <w:vAlign w:val="bottom"/>
            <w:tcBorders>
              <w:right w:val="single" w:sz="8" w:color="E7E7E8"/>
            </w:tcBorders>
            <w:shd w:val="clear" w:color="auto" w:fill="E7E7E8"/>
          </w:tcPr>
          <w:p>
            <w:pPr>
              <w:spacing w:after="0"/>
              <w:rPr>
                <w:sz w:val="16"/>
                <w:szCs w:val="16"/>
                <w:color w:val="auto"/>
              </w:rPr>
            </w:pPr>
          </w:p>
        </w:tc>
        <w:tc>
          <w:tcPr>
            <w:tcW w:w="360" w:type="dxa"/>
            <w:vAlign w:val="bottom"/>
            <w:shd w:val="clear" w:color="auto" w:fill="E7E7E8"/>
          </w:tcPr>
          <w:p>
            <w:pPr>
              <w:spacing w:after="0"/>
              <w:rPr>
                <w:sz w:val="16"/>
                <w:szCs w:val="16"/>
                <w:color w:val="auto"/>
              </w:rPr>
            </w:pPr>
          </w:p>
        </w:tc>
        <w:tc>
          <w:tcPr>
            <w:tcW w:w="340" w:type="dxa"/>
            <w:vAlign w:val="bottom"/>
            <w:vMerge w:val="restart"/>
            <w:shd w:val="clear" w:color="auto" w:fill="E7E7E8"/>
          </w:tcPr>
          <w:p>
            <w:pPr>
              <w:jc w:val="right"/>
              <w:spacing w:after="0"/>
              <w:rPr>
                <w:sz w:val="20"/>
                <w:szCs w:val="20"/>
                <w:color w:val="auto"/>
              </w:rPr>
            </w:pPr>
            <w:r>
              <w:rPr>
                <w:rFonts w:ascii="Arial" w:cs="Arial" w:eastAsia="Arial" w:hAnsi="Arial"/>
                <w:sz w:val="31"/>
                <w:szCs w:val="31"/>
                <w:color w:val="074A75"/>
                <w:w w:val="92"/>
                <w:shd w:val="clear" w:color="auto" w:fill="E7E7E8"/>
              </w:rPr>
              <w:t>33</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20"/>
                <w:szCs w:val="20"/>
                <w:color w:val="074A75"/>
                <w:w w:val="78"/>
                <w:shd w:val="clear" w:color="auto" w:fill="E7E7E8"/>
              </w:rPr>
              <w:t>%</w:t>
            </w:r>
          </w:p>
        </w:tc>
        <w:tc>
          <w:tcPr>
            <w:tcW w:w="36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260" w:type="dxa"/>
            <w:vAlign w:val="bottom"/>
            <w:vMerge w:val="restart"/>
            <w:shd w:val="clear" w:color="auto" w:fill="E7E7E8"/>
          </w:tcPr>
          <w:p>
            <w:pPr>
              <w:spacing w:after="0"/>
              <w:rPr>
                <w:sz w:val="24"/>
                <w:szCs w:val="24"/>
                <w:color w:val="auto"/>
              </w:rPr>
            </w:pPr>
          </w:p>
        </w:tc>
        <w:tc>
          <w:tcPr>
            <w:tcW w:w="120" w:type="dxa"/>
            <w:vAlign w:val="bottom"/>
            <w:vMerge w:val="continue"/>
            <w:shd w:val="clear" w:color="auto" w:fill="E7E7E8"/>
          </w:tcPr>
          <w:p>
            <w:pPr>
              <w:spacing w:after="0"/>
              <w:rPr>
                <w:sz w:val="24"/>
                <w:szCs w:val="24"/>
                <w:color w:val="auto"/>
              </w:rPr>
            </w:pPr>
          </w:p>
        </w:tc>
        <w:tc>
          <w:tcPr>
            <w:tcW w:w="420" w:type="dxa"/>
            <w:vAlign w:val="bottom"/>
            <w:vMerge w:val="continue"/>
            <w:shd w:val="clear" w:color="auto" w:fill="E7E7E8"/>
          </w:tcPr>
          <w:p>
            <w:pPr>
              <w:spacing w:after="0"/>
              <w:rPr>
                <w:sz w:val="24"/>
                <w:szCs w:val="24"/>
                <w:color w:val="auto"/>
              </w:rPr>
            </w:pPr>
          </w:p>
        </w:tc>
        <w:tc>
          <w:tcPr>
            <w:tcW w:w="140" w:type="dxa"/>
            <w:vAlign w:val="bottom"/>
            <w:vMerge w:val="continue"/>
            <w:shd w:val="clear" w:color="auto" w:fill="E7E7E8"/>
          </w:tcPr>
          <w:p>
            <w:pPr>
              <w:spacing w:after="0"/>
              <w:rPr>
                <w:sz w:val="24"/>
                <w:szCs w:val="24"/>
                <w:color w:val="auto"/>
              </w:rPr>
            </w:pPr>
          </w:p>
        </w:tc>
        <w:tc>
          <w:tcPr>
            <w:tcW w:w="280" w:type="dxa"/>
            <w:vAlign w:val="bottom"/>
            <w:tcBorders>
              <w:right w:val="single" w:sz="8" w:color="454545"/>
            </w:tcBorders>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340" w:type="dxa"/>
            <w:vAlign w:val="bottom"/>
            <w:vMerge w:val="continue"/>
            <w:shd w:val="clear" w:color="auto" w:fill="E7E7E8"/>
          </w:tcPr>
          <w:p>
            <w:pPr>
              <w:spacing w:after="0"/>
              <w:rPr>
                <w:sz w:val="24"/>
                <w:szCs w:val="24"/>
                <w:color w:val="auto"/>
              </w:rPr>
            </w:pPr>
          </w:p>
        </w:tc>
        <w:tc>
          <w:tcPr>
            <w:tcW w:w="160" w:type="dxa"/>
            <w:vAlign w:val="bottom"/>
            <w:vMerge w:val="continue"/>
            <w:shd w:val="clear" w:color="auto" w:fill="E7E7E8"/>
          </w:tcPr>
          <w:p>
            <w:pPr>
              <w:spacing w:after="0"/>
              <w:rPr>
                <w:sz w:val="24"/>
                <w:szCs w:val="24"/>
                <w:color w:val="auto"/>
              </w:rPr>
            </w:pPr>
          </w:p>
        </w:tc>
        <w:tc>
          <w:tcPr>
            <w:tcW w:w="360" w:type="dxa"/>
            <w:vAlign w:val="bottom"/>
            <w:vMerge w:val="restart"/>
            <w:shd w:val="clear" w:color="auto" w:fill="E7E7E8"/>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60" w:type="dxa"/>
            <w:vAlign w:val="bottom"/>
            <w:vMerge w:val="continue"/>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420" w:type="dxa"/>
            <w:vAlign w:val="bottom"/>
            <w:vMerge w:val="continue"/>
            <w:shd w:val="clear" w:color="auto" w:fill="E7E7E8"/>
          </w:tcPr>
          <w:p>
            <w:pPr>
              <w:spacing w:after="0"/>
              <w:rPr>
                <w:sz w:val="7"/>
                <w:szCs w:val="7"/>
                <w:color w:val="auto"/>
              </w:rPr>
            </w:pPr>
          </w:p>
        </w:tc>
        <w:tc>
          <w:tcPr>
            <w:tcW w:w="140" w:type="dxa"/>
            <w:vAlign w:val="bottom"/>
            <w:vMerge w:val="continue"/>
            <w:shd w:val="clear" w:color="auto" w:fill="E7E7E8"/>
          </w:tcPr>
          <w:p>
            <w:pPr>
              <w:spacing w:after="0"/>
              <w:rPr>
                <w:sz w:val="7"/>
                <w:szCs w:val="7"/>
                <w:color w:val="auto"/>
              </w:rPr>
            </w:pPr>
          </w:p>
        </w:tc>
        <w:tc>
          <w:tcPr>
            <w:tcW w:w="280" w:type="dxa"/>
            <w:vAlign w:val="bottom"/>
            <w:tcBorders>
              <w:right w:val="single" w:sz="8" w:color="454545"/>
            </w:tcBorders>
            <w:shd w:val="clear" w:color="auto" w:fill="E7E7E8"/>
          </w:tcPr>
          <w:p>
            <w:pPr>
              <w:spacing w:after="0"/>
              <w:rPr>
                <w:sz w:val="7"/>
                <w:szCs w:val="7"/>
                <w:color w:val="auto"/>
              </w:rPr>
            </w:pPr>
          </w:p>
        </w:tc>
        <w:tc>
          <w:tcPr>
            <w:tcW w:w="360" w:type="dxa"/>
            <w:vAlign w:val="bottom"/>
            <w:shd w:val="clear" w:color="auto" w:fill="E7E7E8"/>
          </w:tcPr>
          <w:p>
            <w:pPr>
              <w:spacing w:after="0"/>
              <w:rPr>
                <w:sz w:val="7"/>
                <w:szCs w:val="7"/>
                <w:color w:val="auto"/>
              </w:rPr>
            </w:pPr>
          </w:p>
        </w:tc>
        <w:tc>
          <w:tcPr>
            <w:tcW w:w="340" w:type="dxa"/>
            <w:vAlign w:val="bottom"/>
            <w:vMerge w:val="continue"/>
            <w:shd w:val="clear" w:color="auto" w:fill="E7E7E8"/>
          </w:tcPr>
          <w:p>
            <w:pPr>
              <w:spacing w:after="0"/>
              <w:rPr>
                <w:sz w:val="7"/>
                <w:szCs w:val="7"/>
                <w:color w:val="auto"/>
              </w:rPr>
            </w:pPr>
          </w:p>
        </w:tc>
        <w:tc>
          <w:tcPr>
            <w:tcW w:w="160" w:type="dxa"/>
            <w:vAlign w:val="bottom"/>
            <w:shd w:val="clear" w:color="auto" w:fill="E7E7E8"/>
          </w:tcPr>
          <w:p>
            <w:pPr>
              <w:spacing w:after="0"/>
              <w:rPr>
                <w:sz w:val="7"/>
                <w:szCs w:val="7"/>
                <w:color w:val="auto"/>
              </w:rPr>
            </w:pPr>
          </w:p>
        </w:tc>
        <w:tc>
          <w:tcPr>
            <w:tcW w:w="360" w:type="dxa"/>
            <w:vAlign w:val="bottom"/>
            <w:vMerge w:val="continue"/>
            <w:shd w:val="clear" w:color="auto" w:fill="E7E7E8"/>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220" w:type="dxa"/>
            <w:vAlign w:val="bottom"/>
            <w:tcBorders>
              <w:right w:val="single" w:sz="8" w:color="454545"/>
            </w:tcBorders>
            <w:gridSpan w:val="5"/>
            <w:shd w:val="clear" w:color="auto" w:fill="E7E7E8"/>
          </w:tcPr>
          <w:p>
            <w:pPr>
              <w:jc w:val="center"/>
              <w:ind w:right="20"/>
              <w:spacing w:after="0"/>
              <w:rPr>
                <w:sz w:val="20"/>
                <w:szCs w:val="20"/>
                <w:color w:val="auto"/>
              </w:rPr>
            </w:pPr>
            <w:r>
              <w:rPr>
                <w:rFonts w:ascii="Arial" w:cs="Arial" w:eastAsia="Arial" w:hAnsi="Arial"/>
                <w:sz w:val="14"/>
                <w:szCs w:val="14"/>
                <w:color w:val="auto"/>
                <w:shd w:val="clear" w:color="auto" w:fill="E7E7E8"/>
              </w:rPr>
              <w:t>NET INCOME</w:t>
            </w:r>
          </w:p>
        </w:tc>
        <w:tc>
          <w:tcPr>
            <w:tcW w:w="360" w:type="dxa"/>
            <w:vAlign w:val="bottom"/>
            <w:shd w:val="clear" w:color="auto" w:fill="E7E7E8"/>
          </w:tcPr>
          <w:p>
            <w:pPr>
              <w:spacing w:after="0"/>
              <w:rPr>
                <w:sz w:val="17"/>
                <w:szCs w:val="17"/>
                <w:color w:val="auto"/>
              </w:rPr>
            </w:pPr>
          </w:p>
        </w:tc>
        <w:tc>
          <w:tcPr>
            <w:tcW w:w="500" w:type="dxa"/>
            <w:vAlign w:val="bottom"/>
            <w:gridSpan w:val="2"/>
            <w:shd w:val="clear" w:color="auto" w:fill="E7E7E8"/>
          </w:tcPr>
          <w:p>
            <w:pPr>
              <w:jc w:val="right"/>
              <w:ind w:right="1"/>
              <w:spacing w:after="0"/>
              <w:rPr>
                <w:sz w:val="20"/>
                <w:szCs w:val="20"/>
                <w:color w:val="auto"/>
              </w:rPr>
            </w:pPr>
            <w:r>
              <w:rPr>
                <w:rFonts w:ascii="Arial" w:cs="Arial" w:eastAsia="Arial" w:hAnsi="Arial"/>
                <w:sz w:val="14"/>
                <w:szCs w:val="14"/>
                <w:color w:val="auto"/>
                <w:shd w:val="clear" w:color="auto" w:fill="E7E7E8"/>
              </w:rPr>
              <w:t>ROE</w:t>
            </w:r>
          </w:p>
        </w:tc>
        <w:tc>
          <w:tcPr>
            <w:tcW w:w="360" w:type="dxa"/>
            <w:vAlign w:val="bottom"/>
            <w:shd w:val="clear" w:color="auto" w:fill="E7E7E8"/>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42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280" w:type="dxa"/>
            <w:vAlign w:val="bottom"/>
            <w:tcBorders>
              <w:right w:val="single" w:sz="8" w:color="454545"/>
            </w:tcBorders>
            <w:shd w:val="clear" w:color="auto" w:fill="E7E7E8"/>
          </w:tcPr>
          <w:p>
            <w:pPr>
              <w:spacing w:after="0"/>
              <w:rPr>
                <w:sz w:val="23"/>
                <w:szCs w:val="23"/>
                <w:color w:val="auto"/>
              </w:rPr>
            </w:pPr>
          </w:p>
        </w:tc>
        <w:tc>
          <w:tcPr>
            <w:tcW w:w="360" w:type="dxa"/>
            <w:vAlign w:val="bottom"/>
            <w:shd w:val="clear" w:color="auto" w:fill="E7E7E8"/>
          </w:tcPr>
          <w:p>
            <w:pPr>
              <w:spacing w:after="0"/>
              <w:rPr>
                <w:sz w:val="23"/>
                <w:szCs w:val="23"/>
                <w:color w:val="auto"/>
              </w:rPr>
            </w:pPr>
          </w:p>
        </w:tc>
        <w:tc>
          <w:tcPr>
            <w:tcW w:w="340" w:type="dxa"/>
            <w:vAlign w:val="bottom"/>
            <w:shd w:val="clear" w:color="auto" w:fill="E7E7E8"/>
          </w:tcPr>
          <w:p>
            <w:pPr>
              <w:spacing w:after="0"/>
              <w:rPr>
                <w:sz w:val="23"/>
                <w:szCs w:val="23"/>
                <w:color w:val="auto"/>
              </w:rPr>
            </w:pPr>
          </w:p>
        </w:tc>
        <w:tc>
          <w:tcPr>
            <w:tcW w:w="160" w:type="dxa"/>
            <w:vAlign w:val="bottom"/>
            <w:shd w:val="clear" w:color="auto" w:fill="E7E7E8"/>
          </w:tcPr>
          <w:p>
            <w:pPr>
              <w:spacing w:after="0"/>
              <w:rPr>
                <w:sz w:val="23"/>
                <w:szCs w:val="23"/>
                <w:color w:val="auto"/>
              </w:rPr>
            </w:pPr>
          </w:p>
        </w:tc>
        <w:tc>
          <w:tcPr>
            <w:tcW w:w="360" w:type="dxa"/>
            <w:vAlign w:val="bottom"/>
            <w:shd w:val="clear" w:color="auto" w:fill="E7E7E8"/>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420" w:type="dxa"/>
            <w:vAlign w:val="bottom"/>
            <w:shd w:val="clear" w:color="auto" w:fill="E7E7E8"/>
          </w:tcPr>
          <w:p>
            <w:pPr>
              <w:spacing w:after="0"/>
              <w:rPr>
                <w:sz w:val="11"/>
                <w:szCs w:val="11"/>
                <w:color w:val="auto"/>
              </w:rPr>
            </w:pPr>
          </w:p>
        </w:tc>
        <w:tc>
          <w:tcPr>
            <w:tcW w:w="140" w:type="dxa"/>
            <w:vAlign w:val="bottom"/>
            <w:shd w:val="clear" w:color="auto" w:fill="E7E7E8"/>
          </w:tcPr>
          <w:p>
            <w:pPr>
              <w:spacing w:after="0"/>
              <w:rPr>
                <w:sz w:val="11"/>
                <w:szCs w:val="11"/>
                <w:color w:val="auto"/>
              </w:rPr>
            </w:pPr>
          </w:p>
        </w:tc>
        <w:tc>
          <w:tcPr>
            <w:tcW w:w="280" w:type="dxa"/>
            <w:vAlign w:val="bottom"/>
            <w:tcBorders>
              <w:right w:val="single" w:sz="8" w:color="E7E7E8"/>
            </w:tcBorders>
            <w:shd w:val="clear" w:color="auto" w:fill="E7E7E8"/>
          </w:tcPr>
          <w:p>
            <w:pPr>
              <w:spacing w:after="0"/>
              <w:rPr>
                <w:sz w:val="11"/>
                <w:szCs w:val="11"/>
                <w:color w:val="auto"/>
              </w:rPr>
            </w:pPr>
          </w:p>
        </w:tc>
        <w:tc>
          <w:tcPr>
            <w:tcW w:w="360" w:type="dxa"/>
            <w:vAlign w:val="bottom"/>
            <w:shd w:val="clear" w:color="auto" w:fill="E7E7E8"/>
          </w:tcPr>
          <w:p>
            <w:pPr>
              <w:spacing w:after="0"/>
              <w:rPr>
                <w:sz w:val="11"/>
                <w:szCs w:val="11"/>
                <w:color w:val="auto"/>
              </w:rPr>
            </w:pPr>
          </w:p>
        </w:tc>
        <w:tc>
          <w:tcPr>
            <w:tcW w:w="340" w:type="dxa"/>
            <w:vAlign w:val="bottom"/>
            <w:shd w:val="clear" w:color="auto" w:fill="E7E7E8"/>
          </w:tcPr>
          <w:p>
            <w:pPr>
              <w:spacing w:after="0"/>
              <w:rPr>
                <w:sz w:val="11"/>
                <w:szCs w:val="11"/>
                <w:color w:val="auto"/>
              </w:rPr>
            </w:pPr>
          </w:p>
        </w:tc>
        <w:tc>
          <w:tcPr>
            <w:tcW w:w="160" w:type="dxa"/>
            <w:vAlign w:val="bottom"/>
            <w:shd w:val="clear" w:color="auto" w:fill="E7E7E8"/>
          </w:tcPr>
          <w:p>
            <w:pPr>
              <w:spacing w:after="0"/>
              <w:rPr>
                <w:sz w:val="11"/>
                <w:szCs w:val="11"/>
                <w:color w:val="auto"/>
              </w:rPr>
            </w:pPr>
          </w:p>
        </w:tc>
        <w:tc>
          <w:tcPr>
            <w:tcW w:w="360" w:type="dxa"/>
            <w:vAlign w:val="bottom"/>
            <w:shd w:val="clear" w:color="auto" w:fill="E7E7E8"/>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00" w:right="380" w:hanging="187"/>
        <w:spacing w:after="0" w:line="230" w:lineRule="auto"/>
        <w:tabs>
          <w:tab w:leader="none" w:pos="197" w:val="left"/>
        </w:tabs>
        <w:numPr>
          <w:ilvl w:val="0"/>
          <w:numId w:val="8"/>
        </w:numPr>
        <w:rPr>
          <w:rFonts w:ascii="Arial" w:cs="Arial" w:eastAsia="Arial" w:hAnsi="Arial"/>
          <w:sz w:val="16"/>
          <w:szCs w:val="16"/>
          <w:color w:val="074A75"/>
          <w:shd w:val="clear" w:color="auto" w:fill="E7E7E8"/>
        </w:rPr>
      </w:pPr>
      <w:r>
        <w:rPr>
          <w:rFonts w:ascii="Arial" w:cs="Arial" w:eastAsia="Arial" w:hAnsi="Arial"/>
          <w:sz w:val="15"/>
          <w:szCs w:val="15"/>
          <w:color w:val="auto"/>
        </w:rPr>
        <w:t>Record net income on record 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$17.0B; pre-tax margin of 37%</w:t>
      </w:r>
    </w:p>
    <w:p>
      <w:pPr>
        <w:spacing w:after="0" w:line="83" w:lineRule="exact"/>
        <w:rPr>
          <w:rFonts w:ascii="Arial" w:cs="Arial" w:eastAsia="Arial" w:hAnsi="Arial"/>
          <w:sz w:val="16"/>
          <w:szCs w:val="16"/>
          <w:color w:val="074A75"/>
          <w:shd w:val="clear" w:color="auto" w:fill="E7E7E8"/>
        </w:rPr>
      </w:pPr>
    </w:p>
    <w:p>
      <w:pPr>
        <w:ind w:left="200" w:right="260" w:hanging="187"/>
        <w:spacing w:after="0" w:line="257" w:lineRule="auto"/>
        <w:tabs>
          <w:tab w:leader="none" w:pos="194" w:val="left"/>
        </w:tabs>
        <w:numPr>
          <w:ilvl w:val="0"/>
          <w:numId w:val="8"/>
        </w:numPr>
        <w:rPr>
          <w:rFonts w:ascii="Arial" w:cs="Arial" w:eastAsia="Arial" w:hAnsi="Arial"/>
          <w:sz w:val="15"/>
          <w:szCs w:val="15"/>
          <w:color w:val="074A75"/>
        </w:rPr>
      </w:pPr>
      <w:r>
        <w:rPr>
          <w:rFonts w:ascii="Arial" w:cs="Arial" w:eastAsia="Arial" w:hAnsi="Arial"/>
          <w:sz w:val="15"/>
          <w:szCs w:val="15"/>
          <w:color w:val="auto"/>
        </w:rPr>
        <w:t>Record assets under management ("AUM") of $3.1T (up 15%) and client assets of $4.3T (up 18%)</w:t>
      </w:r>
    </w:p>
    <w:p>
      <w:pPr>
        <w:spacing w:after="0" w:line="71" w:lineRule="exact"/>
        <w:rPr>
          <w:rFonts w:ascii="Arial" w:cs="Arial" w:eastAsia="Arial" w:hAnsi="Arial"/>
          <w:sz w:val="15"/>
          <w:szCs w:val="15"/>
          <w:color w:val="074A75"/>
        </w:rPr>
      </w:pPr>
    </w:p>
    <w:p>
      <w:pPr>
        <w:ind w:left="200" w:right="280" w:hanging="187"/>
        <w:spacing w:after="0" w:line="283" w:lineRule="auto"/>
        <w:tabs>
          <w:tab w:leader="none" w:pos="194" w:val="left"/>
        </w:tabs>
        <w:numPr>
          <w:ilvl w:val="0"/>
          <w:numId w:val="8"/>
        </w:numPr>
        <w:rPr>
          <w:rFonts w:ascii="Arial" w:cs="Arial" w:eastAsia="Arial" w:hAnsi="Arial"/>
          <w:sz w:val="15"/>
          <w:szCs w:val="15"/>
          <w:color w:val="074A75"/>
        </w:rPr>
      </w:pPr>
      <w:r>
        <w:rPr>
          <w:rFonts w:ascii="Arial" w:cs="Arial" w:eastAsia="Arial" w:hAnsi="Arial"/>
          <w:sz w:val="15"/>
          <w:szCs w:val="15"/>
          <w:color w:val="auto"/>
        </w:rPr>
        <w:t>AUM flows of $232B and client asset flows of $389B</w:t>
      </w:r>
    </w:p>
    <w:p>
      <w:pPr>
        <w:spacing w:after="0" w:line="52" w:lineRule="exact"/>
        <w:rPr>
          <w:rFonts w:ascii="Arial" w:cs="Arial" w:eastAsia="Arial" w:hAnsi="Arial"/>
          <w:sz w:val="15"/>
          <w:szCs w:val="15"/>
          <w:color w:val="074A75"/>
        </w:rPr>
      </w:pPr>
    </w:p>
    <w:p>
      <w:pPr>
        <w:ind w:left="200" w:right="340" w:hanging="187"/>
        <w:spacing w:after="0" w:line="257" w:lineRule="auto"/>
        <w:tabs>
          <w:tab w:leader="none" w:pos="194" w:val="left"/>
        </w:tabs>
        <w:numPr>
          <w:ilvl w:val="0"/>
          <w:numId w:val="8"/>
        </w:numPr>
        <w:rPr>
          <w:rFonts w:ascii="Arial" w:cs="Arial" w:eastAsia="Arial" w:hAnsi="Arial"/>
          <w:sz w:val="15"/>
          <w:szCs w:val="15"/>
          <w:color w:val="074A75"/>
        </w:rPr>
      </w:pPr>
      <w:r>
        <w:rPr>
          <w:rFonts w:ascii="Arial" w:cs="Arial" w:eastAsia="Arial" w:hAnsi="Arial"/>
          <w:sz w:val="15"/>
          <w:szCs w:val="15"/>
          <w:color w:val="auto"/>
        </w:rPr>
        <w:t>Record average deposits of $230.3B (up 42%); record average loans of $198.5B (up 19%)</w:t>
      </w:r>
    </w:p>
    <w:p>
      <w:pPr>
        <w:spacing w:after="0" w:line="351" w:lineRule="exact"/>
        <w:rPr>
          <w:sz w:val="20"/>
          <w:szCs w:val="20"/>
          <w:color w:val="auto"/>
        </w:rPr>
      </w:pPr>
    </w:p>
    <w:p>
      <w:pPr>
        <w:sectPr>
          <w:pgSz w:w="11900" w:h="16838" w:orient="portrait"/>
          <w:cols w:equalWidth="0" w:num="4">
            <w:col w:w="2620" w:space="300"/>
            <w:col w:w="2560" w:space="320"/>
            <w:col w:w="2560" w:space="320"/>
            <w:col w:w="2560"/>
          </w:cols>
          <w:pgMar w:left="320" w:top="157" w:right="339" w:bottom="1440" w:gutter="0" w:footer="0" w:header="0"/>
          <w:type w:val="continuous"/>
        </w:sectPr>
      </w:pPr>
    </w:p>
    <w:tbl>
      <w:tblPr>
        <w:tblLayout w:type="fixed"/>
        <w:tblInd w:w="0" w:type="dxa"/>
        <w:tblCellMar>
          <w:top w:w="0" w:type="dxa"/>
          <w:left w:w="0" w:type="dxa"/>
          <w:bottom w:w="0" w:type="dxa"/>
          <w:right w:w="0" w:type="dxa"/>
        </w:tblCellMar>
      </w:tblPr>
      <w:tr>
        <w:trPr>
          <w:trHeight w:val="297"/>
        </w:trPr>
        <w:tc>
          <w:tcPr>
            <w:tcW w:w="120" w:type="dxa"/>
            <w:vAlign w:val="bottom"/>
            <w:tcBorders>
              <w:top w:val="single" w:sz="8" w:color="E7E7E8"/>
            </w:tcBorders>
            <w:shd w:val="clear" w:color="auto" w:fill="E7E7E8"/>
          </w:tcPr>
          <w:p>
            <w:pPr>
              <w:spacing w:after="0"/>
              <w:rPr>
                <w:sz w:val="24"/>
                <w:szCs w:val="24"/>
                <w:color w:val="auto"/>
              </w:rPr>
            </w:pPr>
          </w:p>
        </w:tc>
        <w:tc>
          <w:tcPr>
            <w:tcW w:w="5360" w:type="dxa"/>
            <w:vAlign w:val="bottom"/>
            <w:tcBorders>
              <w:top w:val="single" w:sz="8" w:color="E7E7E8"/>
            </w:tcBorders>
            <w:gridSpan w:val="3"/>
            <w:shd w:val="clear" w:color="auto" w:fill="074A75"/>
          </w:tcPr>
          <w:p>
            <w:pPr>
              <w:ind w:left="1240"/>
              <w:spacing w:after="0"/>
              <w:rPr>
                <w:sz w:val="20"/>
                <w:szCs w:val="20"/>
                <w:color w:val="auto"/>
              </w:rPr>
            </w:pPr>
            <w:r>
              <w:rPr>
                <w:rFonts w:ascii="Arial" w:cs="Arial" w:eastAsia="Arial" w:hAnsi="Arial"/>
                <w:sz w:val="16"/>
                <w:szCs w:val="16"/>
                <w:b w:val="1"/>
                <w:bCs w:val="1"/>
                <w:color w:val="FFFFFF"/>
              </w:rPr>
              <w:t>EXCEPTIONAL CLIENT FRANCHISES</w:t>
            </w:r>
          </w:p>
        </w:tc>
        <w:tc>
          <w:tcPr>
            <w:tcW w:w="180" w:type="dxa"/>
            <w:vAlign w:val="bottom"/>
            <w:tcBorders>
              <w:top w:val="single" w:sz="8" w:color="E7E7E8"/>
            </w:tcBorders>
            <w:shd w:val="clear" w:color="auto" w:fill="E7E7E8"/>
          </w:tcPr>
          <w:p>
            <w:pPr>
              <w:spacing w:after="0"/>
              <w:rPr>
                <w:sz w:val="24"/>
                <w:szCs w:val="24"/>
                <w:color w:val="auto"/>
              </w:rPr>
            </w:pPr>
          </w:p>
        </w:tc>
        <w:tc>
          <w:tcPr>
            <w:tcW w:w="5460" w:type="dxa"/>
            <w:vAlign w:val="bottom"/>
            <w:tcBorders>
              <w:top w:val="single" w:sz="8" w:color="E7E7E8"/>
            </w:tcBorders>
            <w:gridSpan w:val="3"/>
            <w:shd w:val="clear" w:color="auto" w:fill="074A75"/>
          </w:tcPr>
          <w:p>
            <w:pPr>
              <w:jc w:val="center"/>
              <w:spacing w:after="0"/>
              <w:rPr>
                <w:sz w:val="20"/>
                <w:szCs w:val="20"/>
                <w:color w:val="auto"/>
              </w:rPr>
            </w:pPr>
            <w:r>
              <w:rPr>
                <w:rFonts w:ascii="Arial" w:cs="Arial" w:eastAsia="Arial" w:hAnsi="Arial"/>
                <w:sz w:val="16"/>
                <w:szCs w:val="16"/>
                <w:b w:val="1"/>
                <w:bCs w:val="1"/>
                <w:color w:val="FFFFFF"/>
              </w:rPr>
              <w:t>UNWAVERING PRINCIPLES</w:t>
            </w:r>
          </w:p>
        </w:tc>
        <w:tc>
          <w:tcPr>
            <w:tcW w:w="120" w:type="dxa"/>
            <w:vAlign w:val="bottom"/>
            <w:tcBorders>
              <w:top w:val="single" w:sz="8" w:color="E7E7E8"/>
            </w:tcBorders>
            <w:shd w:val="clear" w:color="auto" w:fill="E7E7E8"/>
          </w:tcPr>
          <w:p>
            <w:pPr>
              <w:spacing w:after="0"/>
              <w:rPr>
                <w:sz w:val="24"/>
                <w:szCs w:val="24"/>
                <w:color w:val="auto"/>
              </w:rPr>
            </w:pPr>
          </w:p>
        </w:tc>
      </w:tr>
      <w:tr>
        <w:trPr>
          <w:trHeight w:val="54"/>
        </w:trPr>
        <w:tc>
          <w:tcPr>
            <w:tcW w:w="120" w:type="dxa"/>
            <w:vAlign w:val="bottom"/>
            <w:shd w:val="clear" w:color="auto" w:fill="E7E7E8"/>
          </w:tcPr>
          <w:p>
            <w:pPr>
              <w:spacing w:after="0"/>
              <w:rPr>
                <w:sz w:val="4"/>
                <w:szCs w:val="4"/>
                <w:color w:val="auto"/>
              </w:rPr>
            </w:pPr>
          </w:p>
        </w:tc>
        <w:tc>
          <w:tcPr>
            <w:tcW w:w="2500" w:type="dxa"/>
            <w:vAlign w:val="bottom"/>
            <w:shd w:val="clear" w:color="auto" w:fill="E7E7E8"/>
          </w:tcPr>
          <w:p>
            <w:pPr>
              <w:spacing w:after="0"/>
              <w:rPr>
                <w:sz w:val="4"/>
                <w:szCs w:val="4"/>
                <w:color w:val="auto"/>
              </w:rPr>
            </w:pPr>
          </w:p>
        </w:tc>
        <w:tc>
          <w:tcPr>
            <w:tcW w:w="160" w:type="dxa"/>
            <w:vAlign w:val="bottom"/>
          </w:tcPr>
          <w:p>
            <w:pPr>
              <w:spacing w:after="0"/>
              <w:rPr>
                <w:sz w:val="4"/>
                <w:szCs w:val="4"/>
                <w:color w:val="auto"/>
              </w:rPr>
            </w:pPr>
          </w:p>
        </w:tc>
        <w:tc>
          <w:tcPr>
            <w:tcW w:w="2700" w:type="dxa"/>
            <w:vAlign w:val="bottom"/>
            <w:shd w:val="clear" w:color="auto" w:fill="E7E7E8"/>
          </w:tcPr>
          <w:p>
            <w:pPr>
              <w:spacing w:after="0"/>
              <w:rPr>
                <w:sz w:val="4"/>
                <w:szCs w:val="4"/>
                <w:color w:val="auto"/>
              </w:rPr>
            </w:pPr>
          </w:p>
        </w:tc>
        <w:tc>
          <w:tcPr>
            <w:tcW w:w="180" w:type="dxa"/>
            <w:vAlign w:val="bottom"/>
            <w:shd w:val="clear" w:color="auto" w:fill="E7E7E8"/>
          </w:tcPr>
          <w:p>
            <w:pPr>
              <w:spacing w:after="0"/>
              <w:rPr>
                <w:sz w:val="4"/>
                <w:szCs w:val="4"/>
                <w:color w:val="auto"/>
              </w:rPr>
            </w:pPr>
          </w:p>
        </w:tc>
        <w:tc>
          <w:tcPr>
            <w:tcW w:w="2700" w:type="dxa"/>
            <w:vAlign w:val="bottom"/>
            <w:shd w:val="clear" w:color="auto" w:fill="E7E7E8"/>
          </w:tcPr>
          <w:p>
            <w:pPr>
              <w:spacing w:after="0"/>
              <w:rPr>
                <w:sz w:val="4"/>
                <w:szCs w:val="4"/>
                <w:color w:val="auto"/>
              </w:rPr>
            </w:pPr>
          </w:p>
        </w:tc>
        <w:tc>
          <w:tcPr>
            <w:tcW w:w="180" w:type="dxa"/>
            <w:vAlign w:val="bottom"/>
          </w:tcPr>
          <w:p>
            <w:pPr>
              <w:spacing w:after="0"/>
              <w:rPr>
                <w:sz w:val="4"/>
                <w:szCs w:val="4"/>
                <w:color w:val="auto"/>
              </w:rPr>
            </w:pPr>
          </w:p>
        </w:tc>
        <w:tc>
          <w:tcPr>
            <w:tcW w:w="2580" w:type="dxa"/>
            <w:vAlign w:val="bottom"/>
            <w:shd w:val="clear" w:color="auto" w:fill="E7E7E8"/>
          </w:tcPr>
          <w:p>
            <w:pPr>
              <w:spacing w:after="0"/>
              <w:rPr>
                <w:sz w:val="4"/>
                <w:szCs w:val="4"/>
                <w:color w:val="auto"/>
              </w:rPr>
            </w:pPr>
          </w:p>
        </w:tc>
        <w:tc>
          <w:tcPr>
            <w:tcW w:w="120" w:type="dxa"/>
            <w:vAlign w:val="bottom"/>
            <w:shd w:val="clear" w:color="auto" w:fill="E7E7E8"/>
          </w:tcPr>
          <w:p>
            <w:pPr>
              <w:spacing w:after="0"/>
              <w:rPr>
                <w:sz w:val="4"/>
                <w:szCs w:val="4"/>
                <w:color w:val="auto"/>
              </w:rPr>
            </w:pPr>
          </w:p>
        </w:tc>
      </w:tr>
      <w:tr>
        <w:trPr>
          <w:trHeight w:val="277"/>
        </w:trPr>
        <w:tc>
          <w:tcPr>
            <w:tcW w:w="120" w:type="dxa"/>
            <w:vAlign w:val="bottom"/>
            <w:tcBorders>
              <w:bottom w:val="single" w:sz="8" w:color="E7E7E8"/>
            </w:tcBorders>
            <w:shd w:val="clear" w:color="auto" w:fill="E7E7E8"/>
          </w:tcPr>
          <w:p>
            <w:pPr>
              <w:spacing w:after="0"/>
              <w:rPr>
                <w:sz w:val="24"/>
                <w:szCs w:val="24"/>
                <w:color w:val="auto"/>
              </w:rPr>
            </w:pPr>
          </w:p>
        </w:tc>
        <w:tc>
          <w:tcPr>
            <w:tcW w:w="5360" w:type="dxa"/>
            <w:vAlign w:val="bottom"/>
            <w:tcBorders>
              <w:bottom w:val="single" w:sz="8" w:color="E7E7E8"/>
            </w:tcBorders>
            <w:gridSpan w:val="3"/>
            <w:shd w:val="clear" w:color="auto" w:fill="074A75"/>
          </w:tcPr>
          <w:p>
            <w:pPr>
              <w:ind w:left="1260"/>
              <w:spacing w:after="0"/>
              <w:rPr>
                <w:sz w:val="20"/>
                <w:szCs w:val="20"/>
                <w:color w:val="auto"/>
              </w:rPr>
            </w:pPr>
            <w:r>
              <w:rPr>
                <w:rFonts w:ascii="Arial" w:cs="Arial" w:eastAsia="Arial" w:hAnsi="Arial"/>
                <w:sz w:val="16"/>
                <w:szCs w:val="16"/>
                <w:b w:val="1"/>
                <w:bCs w:val="1"/>
                <w:color w:val="FFFFFF"/>
              </w:rPr>
              <w:t>LONG-TERM SHAREHOLDER VALUE</w:t>
            </w:r>
          </w:p>
        </w:tc>
        <w:tc>
          <w:tcPr>
            <w:tcW w:w="180" w:type="dxa"/>
            <w:vAlign w:val="bottom"/>
            <w:tcBorders>
              <w:bottom w:val="single" w:sz="8" w:color="E7E7E8"/>
            </w:tcBorders>
            <w:shd w:val="clear" w:color="auto" w:fill="E7E7E8"/>
          </w:tcPr>
          <w:p>
            <w:pPr>
              <w:spacing w:after="0"/>
              <w:rPr>
                <w:sz w:val="24"/>
                <w:szCs w:val="24"/>
                <w:color w:val="auto"/>
              </w:rPr>
            </w:pPr>
          </w:p>
        </w:tc>
        <w:tc>
          <w:tcPr>
            <w:tcW w:w="5460" w:type="dxa"/>
            <w:vAlign w:val="bottom"/>
            <w:tcBorders>
              <w:bottom w:val="single" w:sz="8" w:color="E7E7E8"/>
            </w:tcBorders>
            <w:gridSpan w:val="3"/>
            <w:shd w:val="clear" w:color="auto" w:fill="074A75"/>
          </w:tcPr>
          <w:p>
            <w:pPr>
              <w:jc w:val="center"/>
              <w:spacing w:after="0"/>
              <w:rPr>
                <w:sz w:val="20"/>
                <w:szCs w:val="20"/>
                <w:color w:val="auto"/>
              </w:rPr>
            </w:pPr>
            <w:r>
              <w:rPr>
                <w:rFonts w:ascii="Arial" w:cs="Arial" w:eastAsia="Arial" w:hAnsi="Arial"/>
                <w:sz w:val="16"/>
                <w:szCs w:val="16"/>
                <w:b w:val="1"/>
                <w:bCs w:val="1"/>
                <w:color w:val="FFFFFF"/>
              </w:rPr>
              <w:t>SUSTAINABLE BUSINESS PRACTICES</w:t>
            </w:r>
          </w:p>
        </w:tc>
        <w:tc>
          <w:tcPr>
            <w:tcW w:w="120" w:type="dxa"/>
            <w:vAlign w:val="bottom"/>
            <w:tcBorders>
              <w:bottom w:val="single" w:sz="8" w:color="E7E7E8"/>
            </w:tcBorders>
            <w:shd w:val="clear" w:color="auto" w:fill="E7E7E8"/>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The Firm reviews the results of the lines of business on a managed basis. Refer to Additional notes, Note 1, on page 111 for a definition of managed basis.</w:t>
      </w:r>
    </w:p>
    <w:p>
      <w:pPr>
        <w:ind w:left="200" w:hanging="192"/>
        <w:spacing w:after="0" w:line="193" w:lineRule="auto"/>
        <w:tabs>
          <w:tab w:leader="none" w:pos="2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ROTCE and TBVPS are each non-GAAP financial measures; refer to Note 1 on page 110 for a further discussion of these measures.</w:t>
      </w:r>
    </w:p>
    <w:p>
      <w:pPr>
        <w:ind w:left="200" w:hanging="192"/>
        <w:spacing w:after="0" w:line="194" w:lineRule="auto"/>
        <w:tabs>
          <w:tab w:leader="none" w:pos="20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Refer to Note 2 on page 39.</w:t>
      </w:r>
    </w:p>
    <w:p>
      <w:pPr>
        <w:ind w:left="200" w:hanging="192"/>
        <w:spacing w:after="0" w:line="194" w:lineRule="auto"/>
        <w:tabs>
          <w:tab w:leader="none" w:pos="2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Refer to Notes 2 and 3 on page 69.</w:t>
      </w:r>
    </w:p>
    <w:p>
      <w:pPr>
        <w:ind w:left="200" w:hanging="192"/>
        <w:spacing w:after="0" w:line="193" w:lineRule="auto"/>
        <w:tabs>
          <w:tab w:leader="none" w:pos="20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Refer to Additional notes, Note 3, on page 111.</w:t>
      </w:r>
    </w:p>
    <w:p>
      <w:pPr>
        <w:ind w:left="200" w:hanging="192"/>
        <w:spacing w:after="0" w:line="202" w:lineRule="auto"/>
        <w:tabs>
          <w:tab w:leader="none" w:pos="20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Refer to Additional notes, Note 4, on page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  </w:t>
      </w:r>
      <w:r>
        <w:rPr>
          <w:sz w:val="1"/>
          <w:szCs w:val="1"/>
          <w:color w:val="auto"/>
        </w:rPr>
        <w:drawing>
          <wp:inline distT="0" distB="0" distL="0" distR="0">
            <wp:extent cx="2203450" cy="1543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334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74A75"/>
        </w:rPr>
        <w:t>The Firm has demonstrated sustained, strong financial performance over time</w:t>
      </w:r>
    </w:p>
    <w:p>
      <w:pPr>
        <w:spacing w:after="0" w:line="337" w:lineRule="exact"/>
        <w:rPr>
          <w:sz w:val="20"/>
          <w:szCs w:val="20"/>
          <w:color w:val="auto"/>
        </w:rPr>
      </w:pPr>
    </w:p>
    <w:p>
      <w:pPr>
        <w:jc w:val="both"/>
        <w:ind w:right="60"/>
        <w:spacing w:after="0" w:line="244" w:lineRule="auto"/>
        <w:rPr>
          <w:sz w:val="20"/>
          <w:szCs w:val="20"/>
          <w:color w:val="auto"/>
        </w:rPr>
      </w:pPr>
      <w:r>
        <w:rPr>
          <w:rFonts w:ascii="Arial" w:cs="Arial" w:eastAsia="Arial" w:hAnsi="Arial"/>
          <w:sz w:val="18"/>
          <w:szCs w:val="18"/>
          <w:color w:val="auto"/>
        </w:rPr>
        <w:t>We have generated strong financial results over time, significantly increasing net income by over 125% over the past 10 years while adding substantial capital. Over this period we increased average common equity by over 35% to $251 billion, and average tangible common equity ("TCE")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by over 45% to $203 billion to support growth in the businesses and maintain a fortress balance sheet. We have maintained strong ROE and ROTCE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657850" cy="1628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340"/>
        <w:spacing w:after="0" w:line="232" w:lineRule="auto"/>
        <w:rPr>
          <w:sz w:val="20"/>
          <w:szCs w:val="20"/>
          <w:color w:val="auto"/>
        </w:rPr>
      </w:pPr>
      <w:r>
        <w:rPr>
          <w:rFonts w:ascii="Arial" w:cs="Arial" w:eastAsia="Arial" w:hAnsi="Arial"/>
          <w:sz w:val="18"/>
          <w:szCs w:val="18"/>
          <w:color w:val="auto"/>
        </w:rPr>
        <w:t>We have also delivered sustained growth in EPS, BVPS and TBVPS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 the past 10 years, reflecting compound annual growth rates of 13%, 6% and 7%,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5657850" cy="2057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Average TCE, ROTCE and TBVPS are each non-GAAP financial measures; refer to Note 1 on page 110 for a further discussion of these measures.</w:t>
      </w:r>
    </w:p>
    <w:p>
      <w:pPr>
        <w:ind w:left="200" w:hanging="192"/>
        <w:spacing w:after="0" w:line="224" w:lineRule="auto"/>
        <w:tabs>
          <w:tab w:leader="none" w:pos="20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Excluding the impact of the enactment of the Tax Cuts and Jobs Act (“TCJA”) of $(2.4) billion and a legal benefit of $406 million (after-tax) in 2017, adjusted net income would have been $26.5 billion, adjusted ROTCE would have been 13% and adjusted EPS would have been $6.87. Adjusted net income, adjusted ROTCE and adjusted EPS are each non-GAAP financial measures; refer to Notes on non-GAAP financial measures, Note 2, on page 110 for a further discussion of these measures.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auto"/>
              </w:rPr>
              <w:t>2022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3</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34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74A75"/>
        </w:rPr>
        <w:t>Total shareholder return (“TSR”)</w:t>
      </w:r>
    </w:p>
    <w:p>
      <w:pPr>
        <w:spacing w:after="0" w:line="335"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TSR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28% in 2021, following a TSR of (6)% in 2020 and 47% in 2019, for a combined three-year TSR of 78%. The graph below shows our TSR expressed as the cumulative return to shareholders over the past decade. As illustrated, a $100 investment in JPMorgan Chase common stock on December 31, 2011 would be valued at $ 627 as of December 31, 2021, which significantly outperformed the financial services industry over the ten-year period, as measured by the S&amp;P Financials Index and the KBW Bank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100330</wp:posOffset>
            </wp:positionV>
            <wp:extent cx="5966460" cy="3446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646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TSR shows the actual return of the stock price, with dividends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360045</wp:posOffset>
            </wp:positionV>
            <wp:extent cx="274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  </w:t>
      </w:r>
      <w:r>
        <w:rPr>
          <w:sz w:val="1"/>
          <w:szCs w:val="1"/>
          <w:color w:val="auto"/>
        </w:rPr>
        <w:drawing>
          <wp:inline distT="0" distB="0" distL="0" distR="0">
            <wp:extent cx="2203450" cy="1543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0" w:name="page11"/>
    <w:bookmarkEnd w:id="10"/>
    <w:p>
      <w:pPr>
        <w:ind w:left="4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29210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149225</wp:posOffset>
            </wp:positionV>
            <wp:extent cx="7132320" cy="334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74A75"/>
        </w:rPr>
        <w:t>We are committed to strong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174625</wp:posOffset>
            </wp:positionV>
            <wp:extent cx="71323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Board reviews its composition for the right mix of experience, refreshment, skills and diversity</w:t>
      </w:r>
    </w:p>
    <w:p>
      <w:pPr>
        <w:spacing w:after="0" w:line="222" w:lineRule="exact"/>
        <w:rPr>
          <w:sz w:val="20"/>
          <w:szCs w:val="20"/>
          <w:color w:val="auto"/>
        </w:rPr>
      </w:pPr>
    </w:p>
    <w:p>
      <w:pPr>
        <w:ind w:left="240" w:right="60" w:hanging="192"/>
        <w:spacing w:after="0" w:line="284" w:lineRule="auto"/>
        <w:tabs>
          <w:tab w:leader="none" w:pos="240" w:val="left"/>
        </w:tabs>
        <w:numPr>
          <w:ilvl w:val="0"/>
          <w:numId w:val="18"/>
        </w:numPr>
        <w:rPr>
          <w:rFonts w:ascii="Arial" w:cs="Arial" w:eastAsia="Arial" w:hAnsi="Arial"/>
          <w:sz w:val="17"/>
          <w:szCs w:val="17"/>
          <w:color w:val="074A75"/>
        </w:rPr>
      </w:pPr>
      <w:r>
        <w:rPr>
          <w:rFonts w:ascii="Arial" w:cs="Arial" w:eastAsia="Arial" w:hAnsi="Arial"/>
          <w:sz w:val="17"/>
          <w:szCs w:val="17"/>
          <w:color w:val="auto"/>
        </w:rPr>
        <w:t>We seek directors with experience and demonstrated success in executive fields relevant to the Firm’s businesses and operations who contribute to the Board’s effective oversight of management and its diversity across a range of attributes, executive experience and skills.</w:t>
      </w:r>
    </w:p>
    <w:p>
      <w:pPr>
        <w:spacing w:after="0" w:line="23" w:lineRule="exact"/>
        <w:rPr>
          <w:rFonts w:ascii="Arial" w:cs="Arial" w:eastAsia="Arial" w:hAnsi="Arial"/>
          <w:sz w:val="17"/>
          <w:szCs w:val="17"/>
          <w:color w:val="074A75"/>
        </w:rPr>
      </w:pPr>
    </w:p>
    <w:p>
      <w:pPr>
        <w:ind w:left="240" w:hanging="192"/>
        <w:spacing w:after="0"/>
        <w:tabs>
          <w:tab w:leader="none" w:pos="240" w:val="left"/>
        </w:tabs>
        <w:numPr>
          <w:ilvl w:val="0"/>
          <w:numId w:val="18"/>
        </w:numPr>
        <w:rPr>
          <w:rFonts w:ascii="Arial" w:cs="Arial" w:eastAsia="Arial" w:hAnsi="Arial"/>
          <w:sz w:val="17"/>
          <w:szCs w:val="17"/>
          <w:color w:val="074A75"/>
        </w:rPr>
      </w:pPr>
      <w:r>
        <w:rPr>
          <w:rFonts w:ascii="Arial" w:cs="Arial" w:eastAsia="Arial" w:hAnsi="Arial"/>
          <w:sz w:val="17"/>
          <w:szCs w:val="17"/>
          <w:color w:val="auto"/>
        </w:rPr>
        <w:t>Our directors have a well-balanced tenure with a mix of experience and fresh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78740</wp:posOffset>
            </wp:positionV>
            <wp:extent cx="713232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strong Lead Independent Director role facilitates independent Board oversight of management</w:t>
      </w:r>
    </w:p>
    <w:p>
      <w:pPr>
        <w:spacing w:after="0" w:line="235" w:lineRule="exact"/>
        <w:rPr>
          <w:sz w:val="20"/>
          <w:szCs w:val="20"/>
          <w:color w:val="auto"/>
        </w:rPr>
      </w:pPr>
    </w:p>
    <w:p>
      <w:pPr>
        <w:ind w:left="240" w:right="80" w:hanging="192"/>
        <w:spacing w:after="0" w:line="284" w:lineRule="auto"/>
        <w:tabs>
          <w:tab w:leader="none" w:pos="240" w:val="left"/>
        </w:tabs>
        <w:numPr>
          <w:ilvl w:val="0"/>
          <w:numId w:val="19"/>
        </w:numPr>
        <w:rPr>
          <w:rFonts w:ascii="Arial" w:cs="Arial" w:eastAsia="Arial" w:hAnsi="Arial"/>
          <w:sz w:val="17"/>
          <w:szCs w:val="17"/>
          <w:color w:val="074A75"/>
        </w:rPr>
      </w:pPr>
      <w:r>
        <w:rPr>
          <w:rFonts w:ascii="Arial" w:cs="Arial" w:eastAsia="Arial" w:hAnsi="Arial"/>
          <w:sz w:val="17"/>
          <w:szCs w:val="17"/>
          <w:color w:val="auto"/>
        </w:rPr>
        <w:t>The Firm’s Corporate Governance Principles (“Governance Principles”) require the independent directors to appoint a Lead Independent Director if the role of the Chair is combined with that of the CEO</w:t>
      </w:r>
    </w:p>
    <w:p>
      <w:pPr>
        <w:spacing w:after="0" w:line="9" w:lineRule="exact"/>
        <w:rPr>
          <w:rFonts w:ascii="Arial" w:cs="Arial" w:eastAsia="Arial" w:hAnsi="Arial"/>
          <w:sz w:val="17"/>
          <w:szCs w:val="17"/>
          <w:color w:val="074A75"/>
        </w:rPr>
      </w:pPr>
    </w:p>
    <w:p>
      <w:pPr>
        <w:ind w:left="240" w:hanging="192"/>
        <w:spacing w:after="0"/>
        <w:tabs>
          <w:tab w:leader="none" w:pos="240" w:val="left"/>
        </w:tabs>
        <w:numPr>
          <w:ilvl w:val="0"/>
          <w:numId w:val="19"/>
        </w:numPr>
        <w:rPr>
          <w:rFonts w:ascii="Arial" w:cs="Arial" w:eastAsia="Arial" w:hAnsi="Arial"/>
          <w:sz w:val="17"/>
          <w:szCs w:val="17"/>
          <w:color w:val="074A75"/>
        </w:rPr>
      </w:pPr>
      <w:r>
        <w:rPr>
          <w:rFonts w:ascii="Arial" w:cs="Arial" w:eastAsia="Arial" w:hAnsi="Arial"/>
          <w:sz w:val="17"/>
          <w:szCs w:val="17"/>
          <w:color w:val="auto"/>
        </w:rPr>
        <w:t>The Board reviews its leadership structure annually as part of its self-assessment process</w:t>
      </w:r>
    </w:p>
    <w:p>
      <w:pPr>
        <w:sectPr>
          <w:pgSz w:w="11900" w:h="16838" w:orient="portrait"/>
          <w:cols w:equalWidth="0" w:num="1">
            <w:col w:w="11260"/>
          </w:cols>
          <w:pgMar w:left="280" w:top="157" w:right="359" w:bottom="1440" w:gutter="0" w:footer="0" w:header="0"/>
        </w:sectPr>
      </w:pPr>
    </w:p>
    <w:p>
      <w:pPr>
        <w:spacing w:after="0" w:line="75" w:lineRule="exact"/>
        <w:rPr>
          <w:sz w:val="20"/>
          <w:szCs w:val="20"/>
          <w:color w:val="auto"/>
        </w:rPr>
      </w:pPr>
    </w:p>
    <w:p>
      <w:pPr>
        <w:ind w:left="240" w:hanging="192"/>
        <w:spacing w:after="0"/>
        <w:tabs>
          <w:tab w:leader="none" w:pos="240" w:val="left"/>
        </w:tabs>
        <w:numPr>
          <w:ilvl w:val="0"/>
          <w:numId w:val="20"/>
        </w:numPr>
        <w:rPr>
          <w:rFonts w:ascii="Arial" w:cs="Arial" w:eastAsia="Arial" w:hAnsi="Arial"/>
          <w:sz w:val="17"/>
          <w:szCs w:val="17"/>
          <w:color w:val="074A75"/>
        </w:rPr>
      </w:pPr>
      <w:r>
        <w:rPr>
          <w:rFonts w:ascii="Arial" w:cs="Arial" w:eastAsia="Arial" w:hAnsi="Arial"/>
          <w:sz w:val="17"/>
          <w:szCs w:val="17"/>
          <w:color w:val="auto"/>
        </w:rPr>
        <w:t>Responsibilities of the Lead Independent Director include:</w:t>
      </w:r>
    </w:p>
    <w:p>
      <w:pPr>
        <w:spacing w:after="0" w:line="169" w:lineRule="exact"/>
        <w:rPr>
          <w:sz w:val="20"/>
          <w:szCs w:val="20"/>
          <w:color w:val="auto"/>
        </w:rPr>
      </w:pPr>
    </w:p>
    <w:p>
      <w:pPr>
        <w:ind w:left="500" w:right="560"/>
        <w:spacing w:after="0" w:line="284" w:lineRule="auto"/>
        <w:rPr>
          <w:sz w:val="20"/>
          <w:szCs w:val="20"/>
          <w:color w:val="auto"/>
        </w:rPr>
      </w:pPr>
      <w:r>
        <w:rPr>
          <w:rFonts w:ascii="Arial" w:cs="Arial" w:eastAsia="Arial" w:hAnsi="Arial"/>
          <w:sz w:val="17"/>
          <w:szCs w:val="17"/>
          <w:color w:val="auto"/>
        </w:rPr>
        <w:t>has the authority to call for a Board meeting or a meeting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-253365</wp:posOffset>
            </wp:positionV>
            <wp:extent cx="14541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-253365</wp:posOffset>
            </wp:positionV>
            <wp:extent cx="14541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20320</wp:posOffset>
            </wp:positionV>
            <wp:extent cx="14541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pacing w:after="0" w:line="138" w:lineRule="exact"/>
        <w:rPr>
          <w:sz w:val="20"/>
          <w:szCs w:val="20"/>
          <w:color w:val="auto"/>
        </w:rPr>
      </w:pPr>
    </w:p>
    <w:p>
      <w:pPr>
        <w:ind w:left="500" w:right="580"/>
        <w:spacing w:after="0" w:line="284" w:lineRule="auto"/>
        <w:rPr>
          <w:sz w:val="20"/>
          <w:szCs w:val="20"/>
          <w:color w:val="auto"/>
        </w:rPr>
      </w:pPr>
      <w:r>
        <w:rPr>
          <w:rFonts w:ascii="Arial" w:cs="Arial" w:eastAsia="Arial" w:hAnsi="Arial"/>
          <w:sz w:val="17"/>
          <w:szCs w:val="17"/>
          <w:color w:val="auto"/>
        </w:rPr>
        <w:t>presides at Board meetings in the Chair’s absence or when otherwise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-253365</wp:posOffset>
            </wp:positionV>
            <wp:extent cx="15430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-124460</wp:posOffset>
            </wp:positionV>
            <wp:extent cx="14541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138" w:lineRule="exact"/>
        <w:rPr>
          <w:sz w:val="20"/>
          <w:szCs w:val="20"/>
          <w:color w:val="auto"/>
        </w:rPr>
      </w:pPr>
    </w:p>
    <w:p>
      <w:pPr>
        <w:ind w:left="500"/>
        <w:spacing w:after="0" w:line="284" w:lineRule="auto"/>
        <w:rPr>
          <w:sz w:val="20"/>
          <w:szCs w:val="20"/>
          <w:color w:val="auto"/>
        </w:rPr>
      </w:pPr>
      <w:r>
        <w:rPr>
          <w:rFonts w:ascii="Arial" w:cs="Arial" w:eastAsia="Arial" w:hAnsi="Arial"/>
          <w:sz w:val="17"/>
          <w:szCs w:val="17"/>
          <w:color w:val="auto"/>
        </w:rPr>
        <w:t>approves agendas and adds agenda items for Board meetings and meetings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-253365</wp:posOffset>
            </wp:positionV>
            <wp:extent cx="15430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-253365</wp:posOffset>
            </wp:positionV>
            <wp:extent cx="14541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37465</wp:posOffset>
            </wp:positionV>
            <wp:extent cx="15430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37465</wp:posOffset>
            </wp:positionV>
            <wp:extent cx="14541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71" w:lineRule="exact"/>
        <w:rPr>
          <w:sz w:val="20"/>
          <w:szCs w:val="20"/>
          <w:color w:val="auto"/>
        </w:rPr>
      </w:pPr>
    </w:p>
    <w:p>
      <w:pPr>
        <w:ind w:left="500" w:right="120"/>
        <w:spacing w:after="0" w:line="472" w:lineRule="auto"/>
        <w:rPr>
          <w:sz w:val="20"/>
          <w:szCs w:val="20"/>
          <w:color w:val="auto"/>
        </w:rPr>
      </w:pPr>
      <w:r>
        <w:rPr>
          <w:rFonts w:ascii="Arial" w:cs="Arial" w:eastAsia="Arial" w:hAnsi="Arial"/>
          <w:sz w:val="17"/>
          <w:szCs w:val="17"/>
          <w:color w:val="auto"/>
        </w:rPr>
        <w:t>acts as liaison between independent directors and the Chair/CEO presides over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-233680</wp:posOffset>
            </wp:positionV>
            <wp:extent cx="15430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-233680</wp:posOffset>
            </wp:positionV>
            <wp:extent cx="14541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ind w:left="500" w:right="760"/>
        <w:spacing w:after="0" w:line="284" w:lineRule="auto"/>
        <w:rPr>
          <w:sz w:val="20"/>
          <w:szCs w:val="20"/>
          <w:color w:val="auto"/>
        </w:rPr>
      </w:pPr>
      <w:r>
        <w:rPr>
          <w:rFonts w:ascii="Arial" w:cs="Arial" w:eastAsia="Arial" w:hAnsi="Arial"/>
          <w:sz w:val="17"/>
          <w:szCs w:val="17"/>
          <w:color w:val="auto"/>
        </w:rPr>
        <w:t>engages and consults with major shareholders and other constituencies,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-253365</wp:posOffset>
            </wp:positionV>
            <wp:extent cx="15430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-253365</wp:posOffset>
            </wp:positionV>
            <wp:extent cx="14541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97790</wp:posOffset>
            </wp:positionV>
            <wp:extent cx="692658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658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provides advice and guidance to the CEO on executing long-term strategy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guides the annual performance review of the Chair/CEO</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advises the CEO of the Board’s information needs</w:t>
      </w:r>
    </w:p>
    <w:p>
      <w:pPr>
        <w:spacing w:after="0" w:line="196"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guides the annual independent director consideration of Chair/CEO compensation</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meets one-on-one with the Chair/CEO following executive sessions of independent directors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guides the Board in its consideration of CEO succession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guides the self-assessment of the Board</w:t>
      </w:r>
    </w:p>
    <w:p>
      <w:pPr>
        <w:spacing w:after="0" w:line="467" w:lineRule="exact"/>
        <w:rPr>
          <w:sz w:val="20"/>
          <w:szCs w:val="20"/>
          <w:color w:val="auto"/>
        </w:rPr>
      </w:pPr>
    </w:p>
    <w:p>
      <w:pPr>
        <w:sectPr>
          <w:pgSz w:w="11900" w:h="16838" w:orient="portrait"/>
          <w:cols w:equalWidth="0" w:num="2">
            <w:col w:w="5560" w:space="560"/>
            <w:col w:w="5140"/>
          </w:cols>
          <w:pgMar w:left="280" w:top="157" w:right="35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 Board provides independent oversight of the Firm’s business and affairs</w:t>
      </w:r>
    </w:p>
    <w:p>
      <w:pPr>
        <w:sectPr>
          <w:pgSz w:w="11900" w:h="16838" w:orient="portrait"/>
          <w:cols w:equalWidth="0" w:num="1">
            <w:col w:w="11260"/>
          </w:cols>
          <w:pgMar w:left="280" w:top="157" w:right="359" w:bottom="1440" w:gutter="0" w:footer="0" w:header="0"/>
          <w:type w:val="continuous"/>
        </w:sectPr>
      </w:pPr>
    </w:p>
    <w:p>
      <w:pPr>
        <w:spacing w:after="0" w:line="233" w:lineRule="exact"/>
        <w:rPr>
          <w:sz w:val="20"/>
          <w:szCs w:val="20"/>
          <w:color w:val="auto"/>
        </w:rPr>
      </w:pPr>
    </w:p>
    <w:p>
      <w:pPr>
        <w:ind w:left="240" w:hanging="192"/>
        <w:spacing w:after="0"/>
        <w:tabs>
          <w:tab w:leader="none" w:pos="240" w:val="left"/>
        </w:tabs>
        <w:numPr>
          <w:ilvl w:val="0"/>
          <w:numId w:val="21"/>
        </w:numPr>
        <w:rPr>
          <w:rFonts w:ascii="Arial" w:cs="Arial" w:eastAsia="Arial" w:hAnsi="Arial"/>
          <w:sz w:val="17"/>
          <w:szCs w:val="17"/>
          <w:color w:val="074A75"/>
        </w:rPr>
      </w:pPr>
      <w:r>
        <w:rPr>
          <w:rFonts w:ascii="Arial" w:cs="Arial" w:eastAsia="Arial" w:hAnsi="Arial"/>
          <w:sz w:val="17"/>
          <w:szCs w:val="17"/>
          <w:color w:val="auto"/>
        </w:rPr>
        <w:t>Sets the cultural “tone at the top”</w:t>
      </w:r>
    </w:p>
    <w:p>
      <w:pPr>
        <w:spacing w:after="0" w:line="61" w:lineRule="exact"/>
        <w:rPr>
          <w:rFonts w:ascii="Arial" w:cs="Arial" w:eastAsia="Arial" w:hAnsi="Arial"/>
          <w:sz w:val="17"/>
          <w:szCs w:val="17"/>
          <w:color w:val="074A75"/>
        </w:rPr>
      </w:pPr>
    </w:p>
    <w:p>
      <w:pPr>
        <w:ind w:left="240" w:right="60" w:hanging="192"/>
        <w:spacing w:after="0" w:line="266" w:lineRule="auto"/>
        <w:tabs>
          <w:tab w:leader="none" w:pos="240" w:val="left"/>
        </w:tabs>
        <w:numPr>
          <w:ilvl w:val="0"/>
          <w:numId w:val="21"/>
        </w:numPr>
        <w:rPr>
          <w:rFonts w:ascii="Arial" w:cs="Arial" w:eastAsia="Arial" w:hAnsi="Arial"/>
          <w:sz w:val="17"/>
          <w:szCs w:val="17"/>
          <w:color w:val="074A75"/>
        </w:rPr>
      </w:pPr>
      <w:r>
        <w:rPr>
          <w:rFonts w:ascii="Arial" w:cs="Arial" w:eastAsia="Arial" w:hAnsi="Arial"/>
          <w:sz w:val="17"/>
          <w:szCs w:val="17"/>
          <w:color w:val="auto"/>
        </w:rPr>
        <w:t>Reviews and approves the Firm’s strategic plan, and oversees strategic objectives including environmental, social and governance (“ESG”)-related matters</w:t>
      </w:r>
    </w:p>
    <w:p>
      <w:pPr>
        <w:spacing w:after="0" w:line="11" w:lineRule="exact"/>
        <w:rPr>
          <w:rFonts w:ascii="Arial" w:cs="Arial" w:eastAsia="Arial" w:hAnsi="Arial"/>
          <w:sz w:val="17"/>
          <w:szCs w:val="17"/>
          <w:color w:val="074A75"/>
        </w:rPr>
      </w:pPr>
    </w:p>
    <w:p>
      <w:pPr>
        <w:ind w:left="240" w:hanging="192"/>
        <w:spacing w:after="0" w:line="284" w:lineRule="auto"/>
        <w:tabs>
          <w:tab w:leader="none" w:pos="240" w:val="left"/>
        </w:tabs>
        <w:numPr>
          <w:ilvl w:val="0"/>
          <w:numId w:val="21"/>
        </w:numPr>
        <w:rPr>
          <w:rFonts w:ascii="Arial" w:cs="Arial" w:eastAsia="Arial" w:hAnsi="Arial"/>
          <w:sz w:val="17"/>
          <w:szCs w:val="17"/>
          <w:color w:val="074A75"/>
        </w:rPr>
      </w:pPr>
      <w:r>
        <w:rPr>
          <w:rFonts w:ascii="Arial" w:cs="Arial" w:eastAsia="Arial" w:hAnsi="Arial"/>
          <w:sz w:val="17"/>
          <w:szCs w:val="17"/>
          <w:color w:val="auto"/>
        </w:rPr>
        <w:t>Evaluates the CEO’s performance and oversees talent management for other senior executives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 actively engage with shareholders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204" w:hanging="204"/>
        <w:spacing w:after="0"/>
        <w:tabs>
          <w:tab w:leader="none" w:pos="204" w:val="left"/>
        </w:tabs>
        <w:numPr>
          <w:ilvl w:val="0"/>
          <w:numId w:val="22"/>
        </w:numPr>
        <w:rPr>
          <w:rFonts w:ascii="Arial" w:cs="Arial" w:eastAsia="Arial" w:hAnsi="Arial"/>
          <w:sz w:val="17"/>
          <w:szCs w:val="17"/>
          <w:color w:val="074A75"/>
        </w:rPr>
      </w:pPr>
      <w:r>
        <w:rPr>
          <w:rFonts w:ascii="Arial" w:cs="Arial" w:eastAsia="Arial" w:hAnsi="Arial"/>
          <w:sz w:val="17"/>
          <w:szCs w:val="17"/>
          <w:color w:val="auto"/>
        </w:rPr>
        <w:t>Oversees the Firm’s financial performance and condition</w:t>
      </w:r>
    </w:p>
    <w:p>
      <w:pPr>
        <w:spacing w:after="0" w:line="88" w:lineRule="exact"/>
        <w:rPr>
          <w:rFonts w:ascii="Arial" w:cs="Arial" w:eastAsia="Arial" w:hAnsi="Arial"/>
          <w:sz w:val="17"/>
          <w:szCs w:val="17"/>
          <w:color w:val="074A75"/>
        </w:rPr>
      </w:pPr>
    </w:p>
    <w:p>
      <w:pPr>
        <w:ind w:left="204" w:right="980" w:hanging="204"/>
        <w:spacing w:after="0" w:line="284" w:lineRule="auto"/>
        <w:tabs>
          <w:tab w:leader="none" w:pos="204" w:val="left"/>
        </w:tabs>
        <w:numPr>
          <w:ilvl w:val="0"/>
          <w:numId w:val="22"/>
        </w:numPr>
        <w:rPr>
          <w:rFonts w:ascii="Arial" w:cs="Arial" w:eastAsia="Arial" w:hAnsi="Arial"/>
          <w:sz w:val="17"/>
          <w:szCs w:val="17"/>
          <w:color w:val="074A75"/>
        </w:rPr>
      </w:pPr>
      <w:r>
        <w:rPr>
          <w:rFonts w:ascii="Arial" w:cs="Arial" w:eastAsia="Arial" w:hAnsi="Arial"/>
          <w:sz w:val="17"/>
          <w:szCs w:val="17"/>
          <w:color w:val="auto"/>
        </w:rPr>
        <w:t>Oversees the Firm’s risk management and internal control frameworks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431800</wp:posOffset>
            </wp:positionV>
            <wp:extent cx="713232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203" w:lineRule="exact"/>
        <w:rPr>
          <w:sz w:val="20"/>
          <w:szCs w:val="20"/>
          <w:color w:val="auto"/>
        </w:rPr>
      </w:pPr>
    </w:p>
    <w:p>
      <w:pPr>
        <w:sectPr>
          <w:pgSz w:w="11900" w:h="16838" w:orient="portrait"/>
          <w:cols w:equalWidth="0" w:num="2">
            <w:col w:w="5400" w:space="296"/>
            <w:col w:w="5564"/>
          </w:cols>
          <w:pgMar w:left="280" w:top="157" w:right="359" w:bottom="1440" w:gutter="0" w:footer="0" w:header="0"/>
          <w:type w:val="continuous"/>
        </w:sectPr>
      </w:pPr>
    </w:p>
    <w:p>
      <w:pPr>
        <w:spacing w:after="0" w:line="35" w:lineRule="exact"/>
        <w:rPr>
          <w:sz w:val="20"/>
          <w:szCs w:val="20"/>
          <w:color w:val="auto"/>
        </w:rPr>
      </w:pPr>
    </w:p>
    <w:p>
      <w:pPr>
        <w:ind w:left="240" w:right="320" w:hanging="192"/>
        <w:spacing w:after="0" w:line="284" w:lineRule="auto"/>
        <w:tabs>
          <w:tab w:leader="none" w:pos="240" w:val="left"/>
        </w:tabs>
        <w:numPr>
          <w:ilvl w:val="0"/>
          <w:numId w:val="23"/>
        </w:numPr>
        <w:rPr>
          <w:rFonts w:ascii="Arial" w:cs="Arial" w:eastAsia="Arial" w:hAnsi="Arial"/>
          <w:sz w:val="17"/>
          <w:szCs w:val="17"/>
          <w:color w:val="074A75"/>
        </w:rPr>
      </w:pPr>
      <w:r>
        <w:rPr>
          <w:rFonts w:ascii="Arial" w:cs="Arial" w:eastAsia="Arial" w:hAnsi="Arial"/>
          <w:sz w:val="17"/>
          <w:szCs w:val="17"/>
          <w:color w:val="auto"/>
        </w:rPr>
        <w:t>We regularly engage with shareholders throughout the year on a wide variety of topics, such as strategy, financial and operating performance, competitive environment, regulatory landscape and ESG matters</w:t>
      </w:r>
    </w:p>
    <w:p>
      <w:pPr>
        <w:spacing w:after="0" w:line="9" w:lineRule="exact"/>
        <w:rPr>
          <w:rFonts w:ascii="Arial" w:cs="Arial" w:eastAsia="Arial" w:hAnsi="Arial"/>
          <w:sz w:val="17"/>
          <w:szCs w:val="17"/>
          <w:color w:val="074A75"/>
        </w:rPr>
      </w:pPr>
    </w:p>
    <w:p>
      <w:pPr>
        <w:ind w:left="240" w:hanging="192"/>
        <w:spacing w:after="0"/>
        <w:tabs>
          <w:tab w:leader="none" w:pos="240" w:val="left"/>
        </w:tabs>
        <w:numPr>
          <w:ilvl w:val="0"/>
          <w:numId w:val="23"/>
        </w:numPr>
        <w:rPr>
          <w:rFonts w:ascii="Arial" w:cs="Arial" w:eastAsia="Arial" w:hAnsi="Arial"/>
          <w:sz w:val="17"/>
          <w:szCs w:val="17"/>
          <w:color w:val="074A75"/>
        </w:rPr>
      </w:pPr>
      <w:r>
        <w:rPr>
          <w:rFonts w:ascii="Arial" w:cs="Arial" w:eastAsia="Arial" w:hAnsi="Arial"/>
          <w:sz w:val="17"/>
          <w:szCs w:val="17"/>
          <w:color w:val="auto"/>
        </w:rPr>
        <w:t>In 2021, our shareholder engagement initiatives included:</w:t>
      </w:r>
    </w:p>
    <w:p>
      <w:pPr>
        <w:spacing w:after="0" w:line="88" w:lineRule="exact"/>
        <w:rPr>
          <w:rFonts w:ascii="Arial" w:cs="Arial" w:eastAsia="Arial" w:hAnsi="Arial"/>
          <w:sz w:val="17"/>
          <w:szCs w:val="17"/>
          <w:color w:val="074A75"/>
        </w:rPr>
      </w:pPr>
    </w:p>
    <w:p>
      <w:pPr>
        <w:ind w:left="440" w:right="200" w:hanging="194"/>
        <w:spacing w:after="0" w:line="266" w:lineRule="auto"/>
        <w:rPr>
          <w:rFonts w:ascii="Arial" w:cs="Arial" w:eastAsia="Arial" w:hAnsi="Arial"/>
          <w:sz w:val="17"/>
          <w:szCs w:val="17"/>
          <w:color w:val="074A75"/>
        </w:rPr>
      </w:pPr>
      <w:r>
        <w:rPr>
          <w:rFonts w:ascii="Arial" w:cs="Arial" w:eastAsia="Arial" w:hAnsi="Arial"/>
          <w:sz w:val="17"/>
          <w:szCs w:val="17"/>
          <w:color w:val="074A75"/>
        </w:rPr>
        <w:t xml:space="preserve">– </w:t>
      </w:r>
      <w:r>
        <w:rPr>
          <w:rFonts w:ascii="Arial" w:cs="Arial" w:eastAsia="Arial" w:hAnsi="Arial"/>
          <w:sz w:val="17"/>
          <w:szCs w:val="17"/>
          <w:b w:val="1"/>
          <w:bCs w:val="1"/>
          <w:color w:val="000000"/>
        </w:rPr>
        <w:t>Shareholder Outreach Program:</w:t>
      </w:r>
      <w:r>
        <w:rPr>
          <w:rFonts w:ascii="Arial" w:cs="Arial" w:eastAsia="Arial" w:hAnsi="Arial"/>
          <w:sz w:val="17"/>
          <w:szCs w:val="17"/>
          <w:color w:val="074A75"/>
        </w:rPr>
        <w:t xml:space="preserve"> </w:t>
      </w:r>
      <w:r>
        <w:rPr>
          <w:rFonts w:ascii="Arial" w:cs="Arial" w:eastAsia="Arial" w:hAnsi="Arial"/>
          <w:sz w:val="17"/>
          <w:szCs w:val="17"/>
          <w:color w:val="000000"/>
        </w:rPr>
        <w:t>In approximately 90 engagements with nearly 70 shareholders representing approximately 46% of the</w:t>
      </w:r>
      <w:r>
        <w:rPr>
          <w:rFonts w:ascii="Arial" w:cs="Arial" w:eastAsia="Arial" w:hAnsi="Arial"/>
          <w:sz w:val="17"/>
          <w:szCs w:val="17"/>
          <w:color w:val="074A75"/>
        </w:rPr>
        <w:t xml:space="preserve"> </w:t>
      </w:r>
      <w:r>
        <w:rPr>
          <w:rFonts w:ascii="Arial" w:cs="Arial" w:eastAsia="Arial" w:hAnsi="Arial"/>
          <w:sz w:val="17"/>
          <w:szCs w:val="17"/>
          <w:color w:val="000000"/>
        </w:rPr>
        <w:t>Firm’s outstanding common stock, we solicited feedback on strategy, financial and operating performance, executive compensation and ESG matters, among others. Directors, including our Lead Independent Director, participated in engagements with several large shareholders.</w:t>
      </w:r>
    </w:p>
    <w:p>
      <w:pPr>
        <w:spacing w:after="0" w:line="11" w:lineRule="exact"/>
        <w:rPr>
          <w:rFonts w:ascii="Arial" w:cs="Arial" w:eastAsia="Arial" w:hAnsi="Arial"/>
          <w:sz w:val="17"/>
          <w:szCs w:val="17"/>
          <w:color w:val="074A75"/>
        </w:rPr>
      </w:pPr>
    </w:p>
    <w:p>
      <w:pPr>
        <w:ind w:left="440" w:right="660" w:hanging="194"/>
        <w:spacing w:after="0" w:line="284" w:lineRule="auto"/>
        <w:rPr>
          <w:rFonts w:ascii="Arial" w:cs="Arial" w:eastAsia="Arial" w:hAnsi="Arial"/>
          <w:sz w:val="17"/>
          <w:szCs w:val="17"/>
          <w:color w:val="074A75"/>
        </w:rPr>
      </w:pPr>
      <w:r>
        <w:rPr>
          <w:rFonts w:ascii="Arial" w:cs="Arial" w:eastAsia="Arial" w:hAnsi="Arial"/>
          <w:sz w:val="17"/>
          <w:szCs w:val="17"/>
          <w:color w:val="074A75"/>
        </w:rPr>
        <w:t xml:space="preserve">– </w:t>
      </w:r>
      <w:r>
        <w:rPr>
          <w:rFonts w:ascii="Arial" w:cs="Arial" w:eastAsia="Arial" w:hAnsi="Arial"/>
          <w:sz w:val="17"/>
          <w:szCs w:val="17"/>
          <w:b w:val="1"/>
          <w:bCs w:val="1"/>
          <w:color w:val="000000"/>
        </w:rPr>
        <w:t>Meetings/Conferences:</w:t>
      </w:r>
      <w:r>
        <w:rPr>
          <w:rFonts w:ascii="Arial" w:cs="Arial" w:eastAsia="Arial" w:hAnsi="Arial"/>
          <w:sz w:val="17"/>
          <w:szCs w:val="17"/>
          <w:color w:val="074A75"/>
        </w:rPr>
        <w:t xml:space="preserve"> </w:t>
      </w:r>
      <w:r>
        <w:rPr>
          <w:rFonts w:ascii="Arial" w:cs="Arial" w:eastAsia="Arial" w:hAnsi="Arial"/>
          <w:sz w:val="17"/>
          <w:szCs w:val="17"/>
          <w:color w:val="000000"/>
        </w:rPr>
        <w:t>Senior management hosted approximately 25 investor meetings, and presented at approximately 15 investor</w:t>
      </w:r>
      <w:r>
        <w:rPr>
          <w:rFonts w:ascii="Arial" w:cs="Arial" w:eastAsia="Arial" w:hAnsi="Arial"/>
          <w:sz w:val="17"/>
          <w:szCs w:val="17"/>
          <w:color w:val="074A75"/>
        </w:rPr>
        <w:t xml:space="preserve"> </w:t>
      </w:r>
      <w:r>
        <w:rPr>
          <w:rFonts w:ascii="Arial" w:cs="Arial" w:eastAsia="Arial" w:hAnsi="Arial"/>
          <w:sz w:val="17"/>
          <w:szCs w:val="17"/>
          <w:color w:val="000000"/>
        </w:rPr>
        <w:t>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29210</wp:posOffset>
            </wp:positionV>
            <wp:extent cx="713232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governance practices promote Board effectiveness and shareholder interests</w:t>
      </w:r>
    </w:p>
    <w:p>
      <w:pPr>
        <w:sectPr>
          <w:pgSz w:w="11900" w:h="16838" w:orient="portrait"/>
          <w:cols w:equalWidth="0" w:num="1">
            <w:col w:w="11260"/>
          </w:cols>
          <w:pgMar w:left="280" w:top="157" w:right="359" w:bottom="1440" w:gutter="0" w:footer="0" w:header="0"/>
          <w:type w:val="continuous"/>
        </w:sectPr>
      </w:pPr>
    </w:p>
    <w:p>
      <w:pPr>
        <w:spacing w:after="0" w:line="276" w:lineRule="exact"/>
        <w:rPr>
          <w:sz w:val="20"/>
          <w:szCs w:val="20"/>
          <w:color w:val="auto"/>
        </w:rPr>
      </w:pPr>
    </w:p>
    <w:p>
      <w:pPr>
        <w:ind w:left="260" w:hanging="194"/>
        <w:spacing w:after="0"/>
        <w:tabs>
          <w:tab w:leader="none" w:pos="260" w:val="left"/>
        </w:tabs>
        <w:numPr>
          <w:ilvl w:val="0"/>
          <w:numId w:val="24"/>
        </w:numPr>
        <w:rPr>
          <w:rFonts w:ascii="Arial" w:cs="Arial" w:eastAsia="Arial" w:hAnsi="Arial"/>
          <w:sz w:val="17"/>
          <w:szCs w:val="17"/>
          <w:color w:val="074A75"/>
        </w:rPr>
      </w:pPr>
      <w:r>
        <w:rPr>
          <w:rFonts w:ascii="Arial" w:cs="Arial" w:eastAsia="Arial" w:hAnsi="Arial"/>
          <w:sz w:val="17"/>
          <w:szCs w:val="17"/>
          <w:color w:val="auto"/>
        </w:rPr>
        <w:t>Annual Board and committee assessment</w:t>
      </w:r>
    </w:p>
    <w:p>
      <w:pPr>
        <w:spacing w:after="0" w:line="47" w:lineRule="exact"/>
        <w:rPr>
          <w:rFonts w:ascii="Arial" w:cs="Arial" w:eastAsia="Arial" w:hAnsi="Arial"/>
          <w:sz w:val="17"/>
          <w:szCs w:val="17"/>
          <w:color w:val="074A75"/>
        </w:rPr>
      </w:pPr>
    </w:p>
    <w:p>
      <w:pPr>
        <w:ind w:left="260" w:hanging="194"/>
        <w:spacing w:after="0"/>
        <w:tabs>
          <w:tab w:leader="none" w:pos="260" w:val="left"/>
        </w:tabs>
        <w:numPr>
          <w:ilvl w:val="0"/>
          <w:numId w:val="24"/>
        </w:numPr>
        <w:rPr>
          <w:rFonts w:ascii="Arial" w:cs="Arial" w:eastAsia="Arial" w:hAnsi="Arial"/>
          <w:sz w:val="17"/>
          <w:szCs w:val="17"/>
          <w:color w:val="074A75"/>
        </w:rPr>
      </w:pPr>
      <w:r>
        <w:rPr>
          <w:rFonts w:ascii="Arial" w:cs="Arial" w:eastAsia="Arial" w:hAnsi="Arial"/>
          <w:sz w:val="17"/>
          <w:szCs w:val="17"/>
          <w:color w:val="auto"/>
        </w:rPr>
        <w:t>Robust shareholder rights:</w:t>
      </w:r>
    </w:p>
    <w:p>
      <w:pPr>
        <w:spacing w:after="0" w:line="74" w:lineRule="exact"/>
        <w:rPr>
          <w:rFonts w:ascii="Arial" w:cs="Arial" w:eastAsia="Arial" w:hAnsi="Arial"/>
          <w:sz w:val="17"/>
          <w:szCs w:val="17"/>
          <w:color w:val="074A75"/>
        </w:rPr>
      </w:pPr>
    </w:p>
    <w:p>
      <w:pPr>
        <w:ind w:left="260"/>
        <w:spacing w:after="0"/>
        <w:rPr>
          <w:rFonts w:ascii="Arial" w:cs="Arial" w:eastAsia="Arial" w:hAnsi="Arial"/>
          <w:sz w:val="17"/>
          <w:szCs w:val="17"/>
          <w:color w:val="074A75"/>
        </w:rPr>
      </w:pPr>
      <w:r>
        <w:rPr>
          <w:rFonts w:ascii="Arial" w:cs="Arial" w:eastAsia="Arial" w:hAnsi="Arial"/>
          <w:sz w:val="17"/>
          <w:szCs w:val="17"/>
          <w:b w:val="1"/>
          <w:bCs w:val="1"/>
          <w:color w:val="074A75"/>
        </w:rPr>
        <w:t xml:space="preserve">– </w:t>
      </w:r>
      <w:r>
        <w:rPr>
          <w:rFonts w:ascii="Arial" w:cs="Arial" w:eastAsia="Arial" w:hAnsi="Arial"/>
          <w:sz w:val="17"/>
          <w:szCs w:val="17"/>
          <w:color w:val="000000"/>
        </w:rPr>
        <w:t>proxy access</w:t>
      </w:r>
    </w:p>
    <w:p>
      <w:pPr>
        <w:spacing w:after="0" w:line="61" w:lineRule="exact"/>
        <w:rPr>
          <w:rFonts w:ascii="Arial" w:cs="Arial" w:eastAsia="Arial" w:hAnsi="Arial"/>
          <w:sz w:val="17"/>
          <w:szCs w:val="17"/>
          <w:color w:val="074A75"/>
        </w:rPr>
      </w:pPr>
    </w:p>
    <w:p>
      <w:pPr>
        <w:ind w:left="260"/>
        <w:spacing w:after="0"/>
        <w:rPr>
          <w:rFonts w:ascii="Arial" w:cs="Arial" w:eastAsia="Arial" w:hAnsi="Arial"/>
          <w:sz w:val="17"/>
          <w:szCs w:val="17"/>
          <w:color w:val="074A75"/>
        </w:rPr>
      </w:pPr>
      <w:r>
        <w:rPr>
          <w:rFonts w:ascii="Arial" w:cs="Arial" w:eastAsia="Arial" w:hAnsi="Arial"/>
          <w:sz w:val="17"/>
          <w:szCs w:val="17"/>
          <w:b w:val="1"/>
          <w:bCs w:val="1"/>
          <w:color w:val="074A75"/>
        </w:rPr>
        <w:t xml:space="preserve">– </w:t>
      </w:r>
      <w:r>
        <w:rPr>
          <w:rFonts w:ascii="Arial" w:cs="Arial" w:eastAsia="Arial" w:hAnsi="Arial"/>
          <w:sz w:val="17"/>
          <w:szCs w:val="17"/>
          <w:color w:val="000000"/>
        </w:rPr>
        <w:t>right to call a special meeting</w:t>
      </w:r>
    </w:p>
    <w:p>
      <w:pPr>
        <w:spacing w:after="0" w:line="61" w:lineRule="exact"/>
        <w:rPr>
          <w:rFonts w:ascii="Arial" w:cs="Arial" w:eastAsia="Arial" w:hAnsi="Arial"/>
          <w:sz w:val="17"/>
          <w:szCs w:val="17"/>
          <w:color w:val="074A75"/>
        </w:rPr>
      </w:pPr>
    </w:p>
    <w:p>
      <w:pPr>
        <w:ind w:left="260"/>
        <w:spacing w:after="0"/>
        <w:rPr>
          <w:rFonts w:ascii="Arial" w:cs="Arial" w:eastAsia="Arial" w:hAnsi="Arial"/>
          <w:sz w:val="17"/>
          <w:szCs w:val="17"/>
          <w:color w:val="074A75"/>
        </w:rPr>
      </w:pPr>
      <w:r>
        <w:rPr>
          <w:rFonts w:ascii="Arial" w:cs="Arial" w:eastAsia="Arial" w:hAnsi="Arial"/>
          <w:sz w:val="17"/>
          <w:szCs w:val="17"/>
          <w:b w:val="1"/>
          <w:bCs w:val="1"/>
          <w:color w:val="074A75"/>
        </w:rPr>
        <w:t xml:space="preserve">– </w:t>
      </w:r>
      <w:r>
        <w:rPr>
          <w:rFonts w:ascii="Arial" w:cs="Arial" w:eastAsia="Arial" w:hAnsi="Arial"/>
          <w:sz w:val="17"/>
          <w:szCs w:val="17"/>
          <w:color w:val="000000"/>
        </w:rPr>
        <w:t>right to act by written consent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198" w:hanging="198"/>
        <w:spacing w:after="0"/>
        <w:tabs>
          <w:tab w:leader="none" w:pos="198" w:val="left"/>
        </w:tabs>
        <w:numPr>
          <w:ilvl w:val="0"/>
          <w:numId w:val="25"/>
        </w:numPr>
        <w:rPr>
          <w:rFonts w:ascii="Arial" w:cs="Arial" w:eastAsia="Arial" w:hAnsi="Arial"/>
          <w:sz w:val="17"/>
          <w:szCs w:val="17"/>
          <w:color w:val="074A75"/>
        </w:rPr>
      </w:pPr>
      <w:r>
        <w:rPr>
          <w:rFonts w:ascii="Arial" w:cs="Arial" w:eastAsia="Arial" w:hAnsi="Arial"/>
          <w:sz w:val="17"/>
          <w:szCs w:val="17"/>
          <w:color w:val="auto"/>
        </w:rPr>
        <w:t>Majority voting for all director elections</w:t>
      </w:r>
    </w:p>
    <w:p>
      <w:pPr>
        <w:spacing w:after="0" w:line="88" w:lineRule="exact"/>
        <w:rPr>
          <w:rFonts w:ascii="Arial" w:cs="Arial" w:eastAsia="Arial" w:hAnsi="Arial"/>
          <w:sz w:val="17"/>
          <w:szCs w:val="17"/>
          <w:color w:val="074A75"/>
        </w:rPr>
      </w:pPr>
    </w:p>
    <w:p>
      <w:pPr>
        <w:ind w:left="198" w:hanging="198"/>
        <w:spacing w:after="0"/>
        <w:tabs>
          <w:tab w:leader="none" w:pos="198" w:val="left"/>
        </w:tabs>
        <w:numPr>
          <w:ilvl w:val="0"/>
          <w:numId w:val="25"/>
        </w:numPr>
        <w:rPr>
          <w:rFonts w:ascii="Arial" w:cs="Arial" w:eastAsia="Arial" w:hAnsi="Arial"/>
          <w:sz w:val="17"/>
          <w:szCs w:val="17"/>
          <w:color w:val="074A75"/>
        </w:rPr>
      </w:pPr>
      <w:r>
        <w:rPr>
          <w:rFonts w:ascii="Arial" w:cs="Arial" w:eastAsia="Arial" w:hAnsi="Arial"/>
          <w:sz w:val="17"/>
          <w:szCs w:val="17"/>
          <w:color w:val="auto"/>
        </w:rPr>
        <w:t>Stock ownership requirements for directors</w:t>
      </w:r>
    </w:p>
    <w:p>
      <w:pPr>
        <w:spacing w:after="0" w:line="74" w:lineRule="exact"/>
        <w:rPr>
          <w:rFonts w:ascii="Arial" w:cs="Arial" w:eastAsia="Arial" w:hAnsi="Arial"/>
          <w:sz w:val="17"/>
          <w:szCs w:val="17"/>
          <w:color w:val="074A75"/>
        </w:rPr>
      </w:pPr>
    </w:p>
    <w:p>
      <w:pPr>
        <w:ind w:left="198" w:hanging="198"/>
        <w:spacing w:after="0"/>
        <w:tabs>
          <w:tab w:leader="none" w:pos="198" w:val="left"/>
        </w:tabs>
        <w:numPr>
          <w:ilvl w:val="0"/>
          <w:numId w:val="25"/>
        </w:numPr>
        <w:rPr>
          <w:rFonts w:ascii="Arial" w:cs="Arial" w:eastAsia="Arial" w:hAnsi="Arial"/>
          <w:sz w:val="17"/>
          <w:szCs w:val="17"/>
          <w:color w:val="074A75"/>
        </w:rPr>
      </w:pPr>
      <w:r>
        <w:rPr>
          <w:rFonts w:ascii="Arial" w:cs="Arial" w:eastAsia="Arial" w:hAnsi="Arial"/>
          <w:sz w:val="17"/>
          <w:szCs w:val="17"/>
          <w:color w:val="auto"/>
        </w:rPr>
        <w:t>100% principal standing committee independence</w:t>
      </w:r>
    </w:p>
    <w:p>
      <w:pPr>
        <w:spacing w:after="0" w:line="74" w:lineRule="exact"/>
        <w:rPr>
          <w:rFonts w:ascii="Arial" w:cs="Arial" w:eastAsia="Arial" w:hAnsi="Arial"/>
          <w:sz w:val="17"/>
          <w:szCs w:val="17"/>
          <w:color w:val="074A75"/>
        </w:rPr>
      </w:pPr>
    </w:p>
    <w:p>
      <w:pPr>
        <w:ind w:left="198" w:right="320" w:hanging="198"/>
        <w:spacing w:after="0" w:line="284" w:lineRule="auto"/>
        <w:tabs>
          <w:tab w:leader="none" w:pos="198" w:val="left"/>
        </w:tabs>
        <w:numPr>
          <w:ilvl w:val="0"/>
          <w:numId w:val="25"/>
        </w:numPr>
        <w:rPr>
          <w:rFonts w:ascii="Arial" w:cs="Arial" w:eastAsia="Arial" w:hAnsi="Arial"/>
          <w:sz w:val="17"/>
          <w:szCs w:val="17"/>
          <w:color w:val="074A75"/>
        </w:rPr>
      </w:pPr>
      <w:r>
        <w:rPr>
          <w:rFonts w:ascii="Arial" w:cs="Arial" w:eastAsia="Arial" w:hAnsi="Arial"/>
          <w:sz w:val="17"/>
          <w:szCs w:val="17"/>
          <w:color w:val="auto"/>
        </w:rPr>
        <w:t>Executive sessions of independent directors at each regular Board meeting</w:t>
      </w:r>
    </w:p>
    <w:p>
      <w:pPr>
        <w:spacing w:after="0" w:line="200" w:lineRule="exact"/>
        <w:rPr>
          <w:sz w:val="20"/>
          <w:szCs w:val="20"/>
          <w:color w:val="auto"/>
        </w:rPr>
      </w:pPr>
    </w:p>
    <w:p>
      <w:pPr>
        <w:sectPr>
          <w:pgSz w:w="11900" w:h="16838" w:orient="portrait"/>
          <w:cols w:equalWidth="0" w:num="2">
            <w:col w:w="5002" w:space="720"/>
            <w:col w:w="5538"/>
          </w:cols>
          <w:pgMar w:left="280" w:top="157" w:right="359" w:bottom="1440" w:gutter="0" w:footer="0" w:header="0"/>
          <w:type w:val="continuous"/>
        </w:sectPr>
      </w:pP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auto"/>
              </w:rPr>
              <w:t>2022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5</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80" w:top="157" w:right="35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346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74A75"/>
        </w:rPr>
        <w:t>2021 Highlights</w:t>
      </w:r>
    </w:p>
    <w:p>
      <w:pPr>
        <w:spacing w:after="0" w:line="22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Firm continued to enhance existing programs and launch new efforts to demonstrate our commitment to shareholders, employees, clients, customers and stakeholders. These efforts are important components of our ESG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Advancing climate and sustainability solutions</w:t>
      </w:r>
    </w:p>
    <w:p>
      <w:pPr>
        <w:spacing w:after="0" w:line="252" w:lineRule="exact"/>
        <w:rPr>
          <w:sz w:val="20"/>
          <w:szCs w:val="20"/>
          <w:color w:val="auto"/>
        </w:rPr>
      </w:pPr>
    </w:p>
    <w:p>
      <w:pPr>
        <w:ind w:right="700"/>
        <w:spacing w:after="0" w:line="255" w:lineRule="auto"/>
        <w:rPr>
          <w:sz w:val="20"/>
          <w:szCs w:val="20"/>
          <w:color w:val="auto"/>
        </w:rPr>
      </w:pPr>
      <w:r>
        <w:rPr>
          <w:rFonts w:ascii="Arial" w:cs="Arial" w:eastAsia="Arial" w:hAnsi="Arial"/>
          <w:sz w:val="18"/>
          <w:szCs w:val="18"/>
          <w:color w:val="auto"/>
        </w:rPr>
        <w:t>We are applying our capital, data, expertise and other resources to help address climate change by supporting responsible business practices and providing our clients with financing to accelerate the transition to a low-carbon future.</w:t>
      </w:r>
    </w:p>
    <w:p>
      <w:pPr>
        <w:spacing w:after="0" w:line="2" w:lineRule="exact"/>
        <w:rPr>
          <w:sz w:val="20"/>
          <w:szCs w:val="20"/>
          <w:color w:val="auto"/>
        </w:rPr>
      </w:pPr>
    </w:p>
    <w:p>
      <w:pPr>
        <w:ind w:left="200" w:right="80" w:hanging="192"/>
        <w:spacing w:after="0" w:line="260" w:lineRule="auto"/>
        <w:tabs>
          <w:tab w:leader="none" w:pos="204" w:val="left"/>
        </w:tabs>
        <w:numPr>
          <w:ilvl w:val="0"/>
          <w:numId w:val="26"/>
        </w:numPr>
        <w:rPr>
          <w:rFonts w:ascii="Arial" w:cs="Arial" w:eastAsia="Arial" w:hAnsi="Arial"/>
          <w:sz w:val="18"/>
          <w:szCs w:val="18"/>
          <w:color w:val="064A75"/>
        </w:rPr>
      </w:pPr>
      <w:r>
        <w:rPr>
          <w:rFonts w:ascii="Arial" w:cs="Arial" w:eastAsia="Arial" w:hAnsi="Arial"/>
          <w:sz w:val="18"/>
          <w:szCs w:val="18"/>
          <w:color w:val="auto"/>
        </w:rPr>
        <w:t>In April 2021, we announced a target to finance and facilitate $1 trillion by the end of 2030 for climate action, as part of a broader target to finance and facilitate $2.5 trillion by the end of 2030 to advance sustainable development around the world.</w:t>
      </w:r>
    </w:p>
    <w:p>
      <w:pPr>
        <w:spacing w:after="0" w:line="28" w:lineRule="exact"/>
        <w:rPr>
          <w:rFonts w:ascii="Arial" w:cs="Arial" w:eastAsia="Arial" w:hAnsi="Arial"/>
          <w:sz w:val="18"/>
          <w:szCs w:val="18"/>
          <w:color w:val="064A75"/>
        </w:rPr>
      </w:pPr>
    </w:p>
    <w:p>
      <w:pPr>
        <w:jc w:val="both"/>
        <w:ind w:left="200" w:right="20" w:hanging="192"/>
        <w:spacing w:after="0" w:line="253" w:lineRule="auto"/>
        <w:tabs>
          <w:tab w:leader="none" w:pos="204" w:val="left"/>
        </w:tabs>
        <w:numPr>
          <w:ilvl w:val="0"/>
          <w:numId w:val="26"/>
        </w:numPr>
        <w:rPr>
          <w:rFonts w:ascii="Arial" w:cs="Arial" w:eastAsia="Arial" w:hAnsi="Arial"/>
          <w:sz w:val="18"/>
          <w:szCs w:val="18"/>
          <w:color w:val="064A75"/>
        </w:rPr>
      </w:pPr>
      <w:r>
        <w:rPr>
          <w:rFonts w:ascii="Arial" w:cs="Arial" w:eastAsia="Arial" w:hAnsi="Arial"/>
          <w:sz w:val="18"/>
          <w:szCs w:val="18"/>
          <w:color w:val="auto"/>
        </w:rPr>
        <w:t>In May 2021, we became one of the first U.S. banks to set 2030 carbon intensity targets for our financing portfolio in three key sectors - Oil &amp; Gas, Electric Power and Auto Manufacturing - and published our Carbon Compass Methodology, which details our approach for aligning our client financing with the goals of the Paris Agreement. We also announced our intention to expand to new sectors over time.</w:t>
      </w:r>
    </w:p>
    <w:p>
      <w:pPr>
        <w:spacing w:after="0" w:line="20" w:lineRule="exact"/>
        <w:rPr>
          <w:rFonts w:ascii="Arial" w:cs="Arial" w:eastAsia="Arial" w:hAnsi="Arial"/>
          <w:sz w:val="18"/>
          <w:szCs w:val="18"/>
          <w:color w:val="064A75"/>
        </w:rPr>
      </w:pPr>
    </w:p>
    <w:p>
      <w:pPr>
        <w:ind w:left="200" w:right="40" w:hanging="192"/>
        <w:spacing w:after="0" w:line="247" w:lineRule="auto"/>
        <w:tabs>
          <w:tab w:leader="none" w:pos="204" w:val="left"/>
        </w:tabs>
        <w:numPr>
          <w:ilvl w:val="0"/>
          <w:numId w:val="26"/>
        </w:numPr>
        <w:rPr>
          <w:rFonts w:ascii="Arial" w:cs="Arial" w:eastAsia="Arial" w:hAnsi="Arial"/>
          <w:sz w:val="18"/>
          <w:szCs w:val="18"/>
          <w:color w:val="064A75"/>
        </w:rPr>
      </w:pPr>
      <w:r>
        <w:rPr>
          <w:rFonts w:ascii="Arial" w:cs="Arial" w:eastAsia="Arial" w:hAnsi="Arial"/>
          <w:sz w:val="18"/>
          <w:szCs w:val="18"/>
          <w:color w:val="auto"/>
        </w:rPr>
        <w:t>In October 2021, we announced our support for the goals of the Net Zero Banking Alliance ("NZBA"), a global network of banks working to align their lending and investment portfolios with the goal of reaching net zero emissions by 2050. Our participation reflects our ambition for greater climate action globally, the sharing of best practices, and a collaborative approach between the public and private sectors to address climate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Advancing racial equity</w:t>
      </w:r>
    </w:p>
    <w:p>
      <w:pPr>
        <w:spacing w:after="0" w:line="252"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Our five-year commitment, announced in October 2020, brings together our business, policy, data and philanthropic expertise to advance racial equity and promote inclusive growth.</w:t>
      </w:r>
    </w:p>
    <w:p>
      <w:pPr>
        <w:ind w:left="200" w:right="60" w:hanging="192"/>
        <w:spacing w:after="0" w:line="245" w:lineRule="auto"/>
        <w:tabs>
          <w:tab w:leader="none" w:pos="204" w:val="left"/>
        </w:tabs>
        <w:numPr>
          <w:ilvl w:val="0"/>
          <w:numId w:val="27"/>
        </w:numPr>
        <w:rPr>
          <w:rFonts w:ascii="Arial" w:cs="Arial" w:eastAsia="Arial" w:hAnsi="Arial"/>
          <w:sz w:val="18"/>
          <w:szCs w:val="18"/>
          <w:color w:val="064A75"/>
        </w:rPr>
      </w:pPr>
      <w:r>
        <w:rPr>
          <w:rFonts w:ascii="Arial" w:cs="Arial" w:eastAsia="Arial" w:hAnsi="Arial"/>
          <w:sz w:val="18"/>
          <w:szCs w:val="18"/>
          <w:color w:val="auto"/>
        </w:rPr>
        <w:t>By the end of 2021, we had deployed or committed more than $18 billion toward our $30 billion Racial Equity Commitment. We achieved this progress primarily in the areas of affordable rental housing preservation and homeownership refinance – areas where we had existing products and processes and could take prompt action toward fulfilling our commitment. We are building a long-term, sustainable infrastructure to enable our Firm to accelerate progress and reach more people going forward.</w:t>
      </w:r>
    </w:p>
    <w:p>
      <w:pPr>
        <w:spacing w:after="0" w:line="1" w:lineRule="exact"/>
        <w:rPr>
          <w:rFonts w:ascii="Arial" w:cs="Arial" w:eastAsia="Arial" w:hAnsi="Arial"/>
          <w:sz w:val="18"/>
          <w:szCs w:val="18"/>
          <w:color w:val="064A75"/>
        </w:rPr>
      </w:pPr>
    </w:p>
    <w:p>
      <w:pPr>
        <w:ind w:left="200" w:right="40" w:hanging="192"/>
        <w:spacing w:after="0"/>
        <w:tabs>
          <w:tab w:leader="none" w:pos="204" w:val="left"/>
        </w:tabs>
        <w:numPr>
          <w:ilvl w:val="0"/>
          <w:numId w:val="27"/>
        </w:numPr>
        <w:rPr>
          <w:rFonts w:ascii="Arial" w:cs="Arial" w:eastAsia="Arial" w:hAnsi="Arial"/>
          <w:sz w:val="18"/>
          <w:szCs w:val="18"/>
          <w:color w:val="064A75"/>
        </w:rPr>
      </w:pPr>
      <w:r>
        <w:rPr>
          <w:rFonts w:ascii="Arial" w:cs="Arial" w:eastAsia="Arial" w:hAnsi="Arial"/>
          <w:sz w:val="18"/>
          <w:szCs w:val="18"/>
          <w:color w:val="auto"/>
        </w:rPr>
        <w:t>The Firm's Public Engagement team is dedicated to connecting with external stakeholders, including civil rights organizations, civic leaders, trade associations and diverse chambers of commerce. In addition to ongoing relationship building, Public Engagement facilitates the Chase Advisory Panel ("CAP") program, a series of regular conversations between stakeholders and JPMorgan Chase senior executives. The CAP program is grounded in the Firm's commitment to including diverse voices in the development of products, services and approaches, including accountability for racial equity. In 2021, Public Engagement connected with over 200 groups around the Racial Equity Commitment.</w:t>
      </w:r>
    </w:p>
    <w:p>
      <w:pPr>
        <w:spacing w:after="0" w:line="4" w:lineRule="exact"/>
        <w:rPr>
          <w:rFonts w:ascii="Arial" w:cs="Arial" w:eastAsia="Arial" w:hAnsi="Arial"/>
          <w:sz w:val="18"/>
          <w:szCs w:val="18"/>
          <w:color w:val="064A75"/>
        </w:rPr>
      </w:pPr>
    </w:p>
    <w:p>
      <w:pPr>
        <w:ind w:left="200" w:right="900" w:hanging="192"/>
        <w:spacing w:after="0" w:line="273" w:lineRule="auto"/>
        <w:tabs>
          <w:tab w:leader="none" w:pos="204" w:val="left"/>
        </w:tabs>
        <w:numPr>
          <w:ilvl w:val="0"/>
          <w:numId w:val="27"/>
        </w:numPr>
        <w:rPr>
          <w:rFonts w:ascii="Arial" w:cs="Arial" w:eastAsia="Arial" w:hAnsi="Arial"/>
          <w:sz w:val="17"/>
          <w:szCs w:val="17"/>
          <w:color w:val="064A75"/>
        </w:rPr>
      </w:pPr>
      <w:r>
        <w:rPr>
          <w:rFonts w:ascii="Arial" w:cs="Arial" w:eastAsia="Arial" w:hAnsi="Arial"/>
          <w:sz w:val="17"/>
          <w:szCs w:val="17"/>
          <w:color w:val="auto"/>
        </w:rPr>
        <w:t>We are holding ourselves accountable to achieving our Racial Equity Commitment. We have established a robust reporting and governance process for tracking our commitment and plan to publicly share our progress annually in the Firm's ESG reports.</w:t>
      </w:r>
    </w:p>
    <w:p>
      <w:pPr>
        <w:ind w:left="200" w:right="120" w:hanging="192"/>
        <w:spacing w:after="0" w:line="271" w:lineRule="auto"/>
        <w:tabs>
          <w:tab w:leader="none" w:pos="204" w:val="left"/>
        </w:tabs>
        <w:numPr>
          <w:ilvl w:val="0"/>
          <w:numId w:val="27"/>
        </w:numPr>
        <w:rPr>
          <w:rFonts w:ascii="Arial" w:cs="Arial" w:eastAsia="Arial" w:hAnsi="Arial"/>
          <w:sz w:val="18"/>
          <w:szCs w:val="18"/>
          <w:color w:val="064A75"/>
        </w:rPr>
      </w:pPr>
      <w:r>
        <w:rPr>
          <w:rFonts w:ascii="Arial" w:cs="Arial" w:eastAsia="Arial" w:hAnsi="Arial"/>
          <w:sz w:val="18"/>
          <w:szCs w:val="18"/>
          <w:color w:val="auto"/>
        </w:rPr>
        <w:t>To further transparency, the Board of Directors will oversee an audit, conducted by a third party firm of independent auditors, of the Firm's activities related to our Racial Equity Commitment, and the publication of a report in the fourth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Supporting employees during the COVID-19 pandemic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Throughout 2021, the Firm continued to support employees through various efforts in response to the COVID-19 pandemic.</w:t>
      </w:r>
    </w:p>
    <w:p>
      <w:pPr>
        <w:spacing w:after="0" w:line="32" w:lineRule="exact"/>
        <w:rPr>
          <w:sz w:val="20"/>
          <w:szCs w:val="20"/>
          <w:color w:val="auto"/>
        </w:rPr>
      </w:pPr>
    </w:p>
    <w:p>
      <w:pPr>
        <w:ind w:left="200" w:right="20" w:hanging="192"/>
        <w:spacing w:after="0" w:line="246" w:lineRule="auto"/>
        <w:tabs>
          <w:tab w:leader="none" w:pos="204" w:val="left"/>
        </w:tabs>
        <w:numPr>
          <w:ilvl w:val="0"/>
          <w:numId w:val="28"/>
        </w:numPr>
        <w:rPr>
          <w:rFonts w:ascii="Arial" w:cs="Arial" w:eastAsia="Arial" w:hAnsi="Arial"/>
          <w:sz w:val="18"/>
          <w:szCs w:val="18"/>
          <w:color w:val="064A75"/>
        </w:rPr>
      </w:pPr>
      <w:r>
        <w:rPr>
          <w:rFonts w:ascii="Arial" w:cs="Arial" w:eastAsia="Arial" w:hAnsi="Arial"/>
          <w:sz w:val="18"/>
          <w:szCs w:val="18"/>
          <w:color w:val="auto"/>
        </w:rPr>
        <w:t>We continued to update and enhance safety protocols and support based on evolving practices and employee needs. For the second year in a row, the Firm was awarded the "WELL Health-Safety Rating" for all our approximately 6,200 locations globally based on our operational policies, maintenance protocols, stakeholder engagement and emergency plans to address a COVID-19 environment.</w:t>
      </w:r>
    </w:p>
    <w:p>
      <w:pPr>
        <w:spacing w:after="0" w:line="2" w:lineRule="exact"/>
        <w:rPr>
          <w:rFonts w:ascii="Arial" w:cs="Arial" w:eastAsia="Arial" w:hAnsi="Arial"/>
          <w:sz w:val="18"/>
          <w:szCs w:val="18"/>
          <w:color w:val="064A75"/>
        </w:rPr>
      </w:pPr>
    </w:p>
    <w:p>
      <w:pPr>
        <w:ind w:left="200" w:right="80" w:hanging="192"/>
        <w:spacing w:after="0" w:line="246" w:lineRule="auto"/>
        <w:tabs>
          <w:tab w:leader="none" w:pos="204" w:val="left"/>
        </w:tabs>
        <w:numPr>
          <w:ilvl w:val="0"/>
          <w:numId w:val="28"/>
        </w:numPr>
        <w:rPr>
          <w:rFonts w:ascii="Arial" w:cs="Arial" w:eastAsia="Arial" w:hAnsi="Arial"/>
          <w:sz w:val="18"/>
          <w:szCs w:val="18"/>
          <w:color w:val="064A75"/>
        </w:rPr>
      </w:pPr>
      <w:r>
        <w:rPr>
          <w:rFonts w:ascii="Arial" w:cs="Arial" w:eastAsia="Arial" w:hAnsi="Arial"/>
          <w:sz w:val="18"/>
          <w:szCs w:val="18"/>
          <w:color w:val="auto"/>
        </w:rPr>
        <w:t>A key area of focus was supporting employees in getting vaccinated. Since 2021, we have facilitated the delivery of over 70,000 vaccine and/or booster doses to employees and their families globally. To further support employees in getting vaccinated, we provided paid time off for employees to get initial vaccines and vaccine booster shots. We also ran an educational campaign featuring 15 events with over 30 medical doctors and industry experts who discussed the importance of vaccines and addressed employee questions.</w:t>
      </w:r>
    </w:p>
    <w:p>
      <w:pPr>
        <w:spacing w:after="0" w:line="1" w:lineRule="exact"/>
        <w:rPr>
          <w:rFonts w:ascii="Arial" w:cs="Arial" w:eastAsia="Arial" w:hAnsi="Arial"/>
          <w:sz w:val="18"/>
          <w:szCs w:val="18"/>
          <w:color w:val="064A75"/>
        </w:rPr>
      </w:pPr>
    </w:p>
    <w:p>
      <w:pPr>
        <w:ind w:left="200" w:right="200" w:hanging="192"/>
        <w:spacing w:after="0" w:line="248" w:lineRule="auto"/>
        <w:tabs>
          <w:tab w:leader="none" w:pos="204" w:val="left"/>
        </w:tabs>
        <w:numPr>
          <w:ilvl w:val="0"/>
          <w:numId w:val="28"/>
        </w:numPr>
        <w:rPr>
          <w:rFonts w:ascii="Arial" w:cs="Arial" w:eastAsia="Arial" w:hAnsi="Arial"/>
          <w:sz w:val="18"/>
          <w:szCs w:val="18"/>
          <w:color w:val="064A75"/>
        </w:rPr>
      </w:pPr>
      <w:r>
        <w:rPr>
          <w:rFonts w:ascii="Arial" w:cs="Arial" w:eastAsia="Arial" w:hAnsi="Arial"/>
          <w:sz w:val="18"/>
          <w:szCs w:val="18"/>
          <w:color w:val="auto"/>
        </w:rPr>
        <w:t>We enhanced our paid time off policies for our employees who contract or are exposed to COVID-19. In addition, to support employees and their families, we provided additional days of backup childcare in the U.S. and U.K., discounts for virtual tutoring and subsidized full-service childcare at our 13 U.S. onsite childcare centers.</w:t>
      </w:r>
    </w:p>
    <w:p>
      <w:pPr>
        <w:spacing w:after="0" w:line="2" w:lineRule="exact"/>
        <w:rPr>
          <w:rFonts w:ascii="Arial" w:cs="Arial" w:eastAsia="Arial" w:hAnsi="Arial"/>
          <w:sz w:val="18"/>
          <w:szCs w:val="18"/>
          <w:color w:val="064A75"/>
        </w:rPr>
      </w:pPr>
    </w:p>
    <w:p>
      <w:pPr>
        <w:ind w:left="200" w:right="160" w:hanging="192"/>
        <w:spacing w:after="0" w:line="260" w:lineRule="auto"/>
        <w:tabs>
          <w:tab w:leader="none" w:pos="204" w:val="left"/>
        </w:tabs>
        <w:numPr>
          <w:ilvl w:val="0"/>
          <w:numId w:val="28"/>
        </w:numPr>
        <w:rPr>
          <w:rFonts w:ascii="Arial" w:cs="Arial" w:eastAsia="Arial" w:hAnsi="Arial"/>
          <w:sz w:val="18"/>
          <w:szCs w:val="18"/>
          <w:color w:val="064A75"/>
        </w:rPr>
      </w:pPr>
      <w:r>
        <w:rPr>
          <w:rFonts w:ascii="Arial" w:cs="Arial" w:eastAsia="Arial" w:hAnsi="Arial"/>
          <w:sz w:val="18"/>
          <w:szCs w:val="18"/>
          <w:color w:val="auto"/>
        </w:rPr>
        <w:t>We continued to adapt and expand mental health and well-being support for employees in response to the increased stresses caused by the pandemic, including hosting virtual forums with mental health clinicians.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201295</wp:posOffset>
            </wp:positionV>
            <wp:extent cx="274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  </w:t>
      </w:r>
      <w:r>
        <w:rPr>
          <w:sz w:val="1"/>
          <w:szCs w:val="1"/>
          <w:color w:val="auto"/>
        </w:rPr>
        <w:drawing>
          <wp:inline distT="0" distB="0" distL="0" distR="0">
            <wp:extent cx="2203450" cy="1543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346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1: Election of Directors – page 10</w:t>
      </w:r>
    </w:p>
    <w:p>
      <w:pPr>
        <w:spacing w:after="0" w:line="337"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Board of Directors has nominated the 10 individuals listed below. All are independent other than our CEO. If elected at our annual meeting, all nominees are expected to serve until next year’s annual meeting.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ind w:left="860"/>
              <w:spacing w:after="0"/>
              <w:rPr>
                <w:sz w:val="20"/>
                <w:szCs w:val="20"/>
                <w:color w:val="auto"/>
              </w:rPr>
            </w:pPr>
            <w:r>
              <w:rPr>
                <w:rFonts w:ascii="Arial" w:cs="Arial" w:eastAsia="Arial" w:hAnsi="Arial"/>
                <w:sz w:val="16"/>
                <w:szCs w:val="16"/>
                <w:color w:val="074A75"/>
              </w:rPr>
              <w:t>Nominee/Director of</w:t>
            </w:r>
          </w:p>
        </w:tc>
        <w:tc>
          <w:tcPr>
            <w:tcW w:w="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074A75"/>
                <w:w w:val="99"/>
              </w:rPr>
              <w:t>Other Public</w:t>
            </w: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160" w:type="dxa"/>
            <w:vAlign w:val="bottom"/>
          </w:tcPr>
          <w:p>
            <w:pPr>
              <w:ind w:left="700"/>
              <w:spacing w:after="0"/>
              <w:rPr>
                <w:sz w:val="20"/>
                <w:szCs w:val="20"/>
                <w:color w:val="auto"/>
              </w:rPr>
            </w:pPr>
            <w:r>
              <w:rPr>
                <w:rFonts w:ascii="Arial" w:cs="Arial" w:eastAsia="Arial" w:hAnsi="Arial"/>
                <w:sz w:val="16"/>
                <w:szCs w:val="16"/>
                <w:color w:val="074A75"/>
              </w:rPr>
              <w:t>JPMorgan Chase since</w:t>
            </w:r>
            <w:r>
              <w:rPr>
                <w:rFonts w:ascii="Arial" w:cs="Arial" w:eastAsia="Arial" w:hAnsi="Arial"/>
                <w:sz w:val="21"/>
                <w:szCs w:val="21"/>
                <w:color w:val="074A75"/>
                <w:vertAlign w:val="superscript"/>
              </w:rPr>
              <w:t>1</w:t>
            </w:r>
          </w:p>
        </w:tc>
        <w:tc>
          <w:tcPr>
            <w:tcW w:w="640" w:type="dxa"/>
            <w:vAlign w:val="bottom"/>
          </w:tcPr>
          <w:p>
            <w:pPr>
              <w:jc w:val="center"/>
              <w:spacing w:after="0"/>
              <w:rPr>
                <w:sz w:val="20"/>
                <w:szCs w:val="20"/>
                <w:color w:val="auto"/>
              </w:rPr>
            </w:pPr>
            <w:r>
              <w:rPr>
                <w:rFonts w:ascii="Arial" w:cs="Arial" w:eastAsia="Arial" w:hAnsi="Arial"/>
                <w:sz w:val="16"/>
                <w:szCs w:val="16"/>
                <w:color w:val="074A75"/>
                <w:w w:val="98"/>
              </w:rPr>
              <w:t>Age</w:t>
            </w:r>
          </w:p>
        </w:tc>
        <w:tc>
          <w:tcPr>
            <w:tcW w:w="2520" w:type="dxa"/>
            <w:vAlign w:val="bottom"/>
          </w:tcPr>
          <w:p>
            <w:pPr>
              <w:ind w:left="500"/>
              <w:spacing w:after="0"/>
              <w:rPr>
                <w:sz w:val="20"/>
                <w:szCs w:val="20"/>
                <w:color w:val="auto"/>
              </w:rPr>
            </w:pPr>
            <w:r>
              <w:rPr>
                <w:rFonts w:ascii="Arial" w:cs="Arial" w:eastAsia="Arial" w:hAnsi="Arial"/>
                <w:sz w:val="16"/>
                <w:szCs w:val="16"/>
                <w:color w:val="074A75"/>
              </w:rPr>
              <w:t>Principal Occupation</w:t>
            </w:r>
          </w:p>
        </w:tc>
        <w:tc>
          <w:tcPr>
            <w:tcW w:w="1920" w:type="dxa"/>
            <w:vAlign w:val="bottom"/>
          </w:tcPr>
          <w:p>
            <w:pPr>
              <w:jc w:val="center"/>
              <w:spacing w:after="0"/>
              <w:rPr>
                <w:sz w:val="20"/>
                <w:szCs w:val="20"/>
                <w:color w:val="auto"/>
              </w:rPr>
            </w:pPr>
            <w:r>
              <w:rPr>
                <w:rFonts w:ascii="Arial" w:cs="Arial" w:eastAsia="Arial" w:hAnsi="Arial"/>
                <w:sz w:val="16"/>
                <w:szCs w:val="16"/>
                <w:color w:val="074A75"/>
              </w:rPr>
              <w:t>Company Boards (#)</w:t>
            </w:r>
          </w:p>
        </w:tc>
        <w:tc>
          <w:tcPr>
            <w:tcW w:w="3000" w:type="dxa"/>
            <w:vAlign w:val="bottom"/>
          </w:tcPr>
          <w:p>
            <w:pPr>
              <w:ind w:left="600"/>
              <w:spacing w:after="0"/>
              <w:rPr>
                <w:sz w:val="20"/>
                <w:szCs w:val="20"/>
                <w:color w:val="auto"/>
              </w:rPr>
            </w:pPr>
            <w:r>
              <w:rPr>
                <w:rFonts w:ascii="Arial" w:cs="Arial" w:eastAsia="Arial" w:hAnsi="Arial"/>
                <w:sz w:val="16"/>
                <w:szCs w:val="16"/>
                <w:color w:val="074A75"/>
              </w:rPr>
              <w:t>Committee Membership</w:t>
            </w:r>
            <w:r>
              <w:rPr>
                <w:rFonts w:ascii="Arial" w:cs="Arial" w:eastAsia="Arial" w:hAnsi="Arial"/>
                <w:sz w:val="21"/>
                <w:szCs w:val="21"/>
                <w:color w:val="074A75"/>
                <w:vertAlign w:val="superscript"/>
              </w:rPr>
              <w:t>2</w:t>
            </w:r>
          </w:p>
        </w:tc>
        <w:tc>
          <w:tcPr>
            <w:tcW w:w="0" w:type="dxa"/>
            <w:vAlign w:val="bottom"/>
          </w:tcPr>
          <w:p>
            <w:pPr>
              <w:spacing w:after="0"/>
              <w:rPr>
                <w:sz w:val="1"/>
                <w:szCs w:val="1"/>
                <w:color w:val="auto"/>
              </w:rPr>
            </w:pPr>
          </w:p>
        </w:tc>
      </w:tr>
      <w:tr>
        <w:trPr>
          <w:trHeight w:val="192"/>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Stephen B. Burke</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63</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Chairman and Chief</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2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Executive Officer of NBCUniversal,</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Development (Chair);</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Lead Independent Director</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LLC</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Corporate Governance &amp;</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160" w:type="dxa"/>
            <w:vAlign w:val="bottom"/>
            <w:tcBorders>
              <w:right w:val="single" w:sz="8" w:color="454545"/>
            </w:tcBorders>
            <w:vMerge w:val="continue"/>
          </w:tcPr>
          <w:p>
            <w:pPr>
              <w:spacing w:after="0"/>
              <w:rPr>
                <w:sz w:val="11"/>
                <w:szCs w:val="11"/>
                <w:color w:val="auto"/>
              </w:rPr>
            </w:pPr>
          </w:p>
        </w:tc>
        <w:tc>
          <w:tcPr>
            <w:tcW w:w="640" w:type="dxa"/>
            <w:vAlign w:val="bottom"/>
            <w:tcBorders>
              <w:right w:val="single" w:sz="8" w:color="454545"/>
            </w:tcBorders>
          </w:tcPr>
          <w:p>
            <w:pPr>
              <w:spacing w:after="0"/>
              <w:rPr>
                <w:sz w:val="11"/>
                <w:szCs w:val="11"/>
                <w:color w:val="auto"/>
              </w:rPr>
            </w:pPr>
          </w:p>
        </w:tc>
        <w:tc>
          <w:tcPr>
            <w:tcW w:w="2520" w:type="dxa"/>
            <w:vAlign w:val="bottom"/>
            <w:tcBorders>
              <w:right w:val="single" w:sz="8" w:color="454545"/>
            </w:tcBorders>
          </w:tcPr>
          <w:p>
            <w:pPr>
              <w:spacing w:after="0"/>
              <w:rPr>
                <w:sz w:val="11"/>
                <w:szCs w:val="11"/>
                <w:color w:val="auto"/>
              </w:rPr>
            </w:pPr>
          </w:p>
        </w:tc>
        <w:tc>
          <w:tcPr>
            <w:tcW w:w="1920" w:type="dxa"/>
            <w:vAlign w:val="bottom"/>
            <w:tcBorders>
              <w:right w:val="single" w:sz="8" w:color="454545"/>
            </w:tcBorders>
          </w:tcPr>
          <w:p>
            <w:pPr>
              <w:spacing w:after="0"/>
              <w:rPr>
                <w:sz w:val="11"/>
                <w:szCs w:val="11"/>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Nominating</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160" w:type="dxa"/>
            <w:vAlign w:val="bottom"/>
            <w:tcBorders>
              <w:bottom w:val="single" w:sz="8" w:color="454545"/>
              <w:right w:val="single" w:sz="8" w:color="454545"/>
            </w:tcBorders>
          </w:tcPr>
          <w:p>
            <w:pPr>
              <w:spacing w:after="0"/>
              <w:rPr>
                <w:sz w:val="10"/>
                <w:szCs w:val="10"/>
                <w:color w:val="auto"/>
              </w:rPr>
            </w:pPr>
          </w:p>
        </w:tc>
        <w:tc>
          <w:tcPr>
            <w:tcW w:w="640" w:type="dxa"/>
            <w:vAlign w:val="bottom"/>
            <w:tcBorders>
              <w:bottom w:val="single" w:sz="8" w:color="454545"/>
              <w:right w:val="single" w:sz="8" w:color="454545"/>
            </w:tcBorders>
          </w:tcPr>
          <w:p>
            <w:pPr>
              <w:spacing w:after="0"/>
              <w:rPr>
                <w:sz w:val="10"/>
                <w:szCs w:val="10"/>
                <w:color w:val="auto"/>
              </w:rPr>
            </w:pPr>
          </w:p>
        </w:tc>
        <w:tc>
          <w:tcPr>
            <w:tcW w:w="2520" w:type="dxa"/>
            <w:vAlign w:val="bottom"/>
            <w:tcBorders>
              <w:bottom w:val="single" w:sz="8" w:color="454545"/>
              <w:right w:val="single" w:sz="8" w:color="454545"/>
            </w:tcBorders>
          </w:tcPr>
          <w:p>
            <w:pPr>
              <w:spacing w:after="0"/>
              <w:rPr>
                <w:sz w:val="10"/>
                <w:szCs w:val="10"/>
                <w:color w:val="auto"/>
              </w:rPr>
            </w:pPr>
          </w:p>
        </w:tc>
        <w:tc>
          <w:tcPr>
            <w:tcW w:w="1920" w:type="dxa"/>
            <w:vAlign w:val="bottom"/>
            <w:tcBorders>
              <w:bottom w:val="single" w:sz="8" w:color="454545"/>
              <w:right w:val="single" w:sz="8" w:color="454545"/>
            </w:tcBorders>
          </w:tcPr>
          <w:p>
            <w:pPr>
              <w:spacing w:after="0"/>
              <w:rPr>
                <w:sz w:val="10"/>
                <w:szCs w:val="10"/>
                <w:color w:val="auto"/>
              </w:rPr>
            </w:pPr>
          </w:p>
        </w:tc>
        <w:tc>
          <w:tcPr>
            <w:tcW w:w="3000" w:type="dxa"/>
            <w:vAlign w:val="bottom"/>
            <w:tcBorders>
              <w:bottom w:val="single" w:sz="8" w:color="454545"/>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Linda B. Bammann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66</w:t>
            </w: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Retired Deputy Head of Risk</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20"/>
              <w:spacing w:after="0"/>
              <w:rPr>
                <w:sz w:val="20"/>
                <w:szCs w:val="20"/>
                <w:color w:val="auto"/>
              </w:rPr>
            </w:pPr>
            <w:r>
              <w:rPr>
                <w:rFonts w:ascii="Arial" w:cs="Arial" w:eastAsia="Arial" w:hAnsi="Arial"/>
                <w:sz w:val="14"/>
                <w:szCs w:val="14"/>
                <w:color w:val="auto"/>
              </w:rPr>
              <w:t>Risk (Chair);</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2013</w:t>
            </w: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continue"/>
          </w:tcPr>
          <w:p>
            <w:pPr>
              <w:spacing w:after="0"/>
              <w:rPr>
                <w:sz w:val="9"/>
                <w:szCs w:val="9"/>
                <w:color w:val="auto"/>
              </w:rPr>
            </w:pP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continue"/>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restart"/>
          </w:tcPr>
          <w:p>
            <w:pPr>
              <w:ind w:left="80"/>
              <w:spacing w:after="0" w:line="159" w:lineRule="exact"/>
              <w:rPr>
                <w:sz w:val="20"/>
                <w:szCs w:val="20"/>
                <w:color w:val="auto"/>
              </w:rPr>
            </w:pPr>
            <w:r>
              <w:rPr>
                <w:rFonts w:ascii="Arial" w:cs="Arial" w:eastAsia="Arial" w:hAnsi="Arial"/>
                <w:sz w:val="14"/>
                <w:szCs w:val="14"/>
                <w:color w:val="auto"/>
              </w:rPr>
              <w:t>Management of JPMorgan Chase &amp;</w:t>
            </w: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3160" w:type="dxa"/>
            <w:vAlign w:val="bottom"/>
            <w:tcBorders>
              <w:right w:val="single" w:sz="8" w:color="454545"/>
            </w:tcBorders>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continue"/>
          </w:tcPr>
          <w:p>
            <w:pPr>
              <w:spacing w:after="0"/>
              <w:rPr>
                <w:sz w:val="9"/>
                <w:szCs w:val="9"/>
                <w:color w:val="auto"/>
              </w:rPr>
            </w:pP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85"/>
        </w:trPr>
        <w:tc>
          <w:tcPr>
            <w:tcW w:w="3160" w:type="dxa"/>
            <w:vAlign w:val="bottom"/>
            <w:tcBorders>
              <w:right w:val="single" w:sz="8" w:color="454545"/>
            </w:tcBorders>
          </w:tcPr>
          <w:p>
            <w:pPr>
              <w:spacing w:after="0"/>
              <w:rPr>
                <w:sz w:val="7"/>
                <w:szCs w:val="7"/>
                <w:color w:val="auto"/>
              </w:rPr>
            </w:pPr>
          </w:p>
        </w:tc>
        <w:tc>
          <w:tcPr>
            <w:tcW w:w="640" w:type="dxa"/>
            <w:vAlign w:val="bottom"/>
            <w:tcBorders>
              <w:right w:val="single" w:sz="8" w:color="454545"/>
            </w:tcBorders>
          </w:tcPr>
          <w:p>
            <w:pPr>
              <w:spacing w:after="0"/>
              <w:rPr>
                <w:sz w:val="7"/>
                <w:szCs w:val="7"/>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Co.</w:t>
            </w:r>
            <w:r>
              <w:rPr>
                <w:rFonts w:ascii="Arial" w:cs="Arial" w:eastAsia="Arial" w:hAnsi="Arial"/>
                <w:sz w:val="18"/>
                <w:szCs w:val="18"/>
                <w:color w:val="auto"/>
                <w:vertAlign w:val="superscript"/>
              </w:rPr>
              <w:t>3</w:t>
            </w:r>
          </w:p>
        </w:tc>
        <w:tc>
          <w:tcPr>
            <w:tcW w:w="1920" w:type="dxa"/>
            <w:vAlign w:val="bottom"/>
            <w:tcBorders>
              <w:right w:val="single" w:sz="8" w:color="454545"/>
            </w:tcBorders>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160" w:type="dxa"/>
            <w:vAlign w:val="bottom"/>
            <w:tcBorders>
              <w:right w:val="single" w:sz="8" w:color="454545"/>
            </w:tcBorders>
          </w:tcPr>
          <w:p>
            <w:pPr>
              <w:spacing w:after="0"/>
              <w:rPr>
                <w:sz w:val="14"/>
                <w:szCs w:val="14"/>
                <w:color w:val="auto"/>
              </w:rPr>
            </w:pPr>
          </w:p>
        </w:tc>
        <w:tc>
          <w:tcPr>
            <w:tcW w:w="640" w:type="dxa"/>
            <w:vAlign w:val="bottom"/>
            <w:tcBorders>
              <w:right w:val="single" w:sz="8" w:color="454545"/>
            </w:tcBorders>
          </w:tcPr>
          <w:p>
            <w:pPr>
              <w:spacing w:after="0"/>
              <w:rPr>
                <w:sz w:val="14"/>
                <w:szCs w:val="14"/>
                <w:color w:val="auto"/>
              </w:rPr>
            </w:pPr>
          </w:p>
        </w:tc>
        <w:tc>
          <w:tcPr>
            <w:tcW w:w="2520" w:type="dxa"/>
            <w:vAlign w:val="bottom"/>
            <w:tcBorders>
              <w:right w:val="single" w:sz="8" w:color="454545"/>
            </w:tcBorders>
            <w:vMerge w:val="continue"/>
          </w:tcPr>
          <w:p>
            <w:pPr>
              <w:spacing w:after="0"/>
              <w:rPr>
                <w:sz w:val="14"/>
                <w:szCs w:val="14"/>
                <w:color w:val="auto"/>
              </w:rPr>
            </w:pPr>
          </w:p>
        </w:tc>
        <w:tc>
          <w:tcPr>
            <w:tcW w:w="1920" w:type="dxa"/>
            <w:vAlign w:val="bottom"/>
            <w:tcBorders>
              <w:right w:val="single" w:sz="8" w:color="454545"/>
            </w:tcBorders>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60" w:type="dxa"/>
            <w:vAlign w:val="bottom"/>
            <w:tcBorders>
              <w:bottom w:val="single" w:sz="8" w:color="454545"/>
              <w:right w:val="single" w:sz="8" w:color="454545"/>
            </w:tcBorders>
          </w:tcPr>
          <w:p>
            <w:pPr>
              <w:spacing w:after="0"/>
              <w:rPr>
                <w:sz w:val="13"/>
                <w:szCs w:val="13"/>
                <w:color w:val="auto"/>
              </w:rPr>
            </w:pPr>
          </w:p>
        </w:tc>
        <w:tc>
          <w:tcPr>
            <w:tcW w:w="640" w:type="dxa"/>
            <w:vAlign w:val="bottom"/>
            <w:tcBorders>
              <w:bottom w:val="single" w:sz="8" w:color="454545"/>
              <w:right w:val="single" w:sz="8" w:color="454545"/>
            </w:tcBorders>
          </w:tcPr>
          <w:p>
            <w:pPr>
              <w:spacing w:after="0"/>
              <w:rPr>
                <w:sz w:val="13"/>
                <w:szCs w:val="13"/>
                <w:color w:val="auto"/>
              </w:rPr>
            </w:pPr>
          </w:p>
        </w:tc>
        <w:tc>
          <w:tcPr>
            <w:tcW w:w="2520" w:type="dxa"/>
            <w:vAlign w:val="bottom"/>
            <w:tcBorders>
              <w:bottom w:val="single" w:sz="8" w:color="454545"/>
              <w:right w:val="single" w:sz="8" w:color="454545"/>
            </w:tcBorders>
          </w:tcPr>
          <w:p>
            <w:pPr>
              <w:spacing w:after="0"/>
              <w:rPr>
                <w:sz w:val="13"/>
                <w:szCs w:val="13"/>
                <w:color w:val="auto"/>
              </w:rPr>
            </w:pPr>
          </w:p>
        </w:tc>
        <w:tc>
          <w:tcPr>
            <w:tcW w:w="1920" w:type="dxa"/>
            <w:vAlign w:val="bottom"/>
            <w:tcBorders>
              <w:bottom w:val="single" w:sz="8" w:color="454545"/>
              <w:right w:val="single" w:sz="8" w:color="454545"/>
            </w:tcBorders>
          </w:tcPr>
          <w:p>
            <w:pPr>
              <w:spacing w:after="0"/>
              <w:rPr>
                <w:sz w:val="13"/>
                <w:szCs w:val="13"/>
                <w:color w:val="auto"/>
              </w:rPr>
            </w:pPr>
          </w:p>
        </w:tc>
        <w:tc>
          <w:tcPr>
            <w:tcW w:w="3000" w:type="dxa"/>
            <w:vAlign w:val="bottom"/>
            <w:tcBorders>
              <w:bottom w:val="single" w:sz="8" w:color="454545"/>
            </w:tcBorders>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Todd A. Combs</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51</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Investment Officer at Berkshire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20"/>
              <w:spacing w:after="0"/>
              <w:rPr>
                <w:sz w:val="20"/>
                <w:szCs w:val="20"/>
                <w:color w:val="auto"/>
              </w:rPr>
            </w:pPr>
            <w:r>
              <w:rPr>
                <w:rFonts w:ascii="Arial" w:cs="Arial" w:eastAsia="Arial" w:hAnsi="Arial"/>
                <w:sz w:val="14"/>
                <w:szCs w:val="14"/>
                <w:color w:val="auto"/>
              </w:rPr>
              <w:t>Corporate Governance &amp;</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Hathaway Inc.</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Nominating (Chair);</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2016</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160" w:type="dxa"/>
            <w:vAlign w:val="bottom"/>
            <w:tcBorders>
              <w:right w:val="single" w:sz="8" w:color="454545"/>
            </w:tcBorders>
            <w:vMerge w:val="continue"/>
          </w:tcPr>
          <w:p>
            <w:pPr>
              <w:spacing w:after="0"/>
              <w:rPr>
                <w:sz w:val="11"/>
                <w:szCs w:val="11"/>
                <w:color w:val="auto"/>
              </w:rPr>
            </w:pPr>
          </w:p>
        </w:tc>
        <w:tc>
          <w:tcPr>
            <w:tcW w:w="640" w:type="dxa"/>
            <w:vAlign w:val="bottom"/>
            <w:tcBorders>
              <w:right w:val="single" w:sz="8" w:color="454545"/>
            </w:tcBorders>
          </w:tcPr>
          <w:p>
            <w:pPr>
              <w:spacing w:after="0"/>
              <w:rPr>
                <w:sz w:val="11"/>
                <w:szCs w:val="11"/>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President and CEO of GEICO</w:t>
            </w:r>
          </w:p>
        </w:tc>
        <w:tc>
          <w:tcPr>
            <w:tcW w:w="1920" w:type="dxa"/>
            <w:vAlign w:val="bottom"/>
            <w:tcBorders>
              <w:right w:val="single" w:sz="8" w:color="454545"/>
            </w:tcBorders>
          </w:tcPr>
          <w:p>
            <w:pPr>
              <w:spacing w:after="0"/>
              <w:rPr>
                <w:sz w:val="11"/>
                <w:szCs w:val="11"/>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Compensation &amp; Management Development</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454545"/>
              <w:right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spacing w:after="0"/>
              <w:rPr>
                <w:sz w:val="20"/>
                <w:szCs w:val="20"/>
                <w:color w:val="auto"/>
              </w:rPr>
            </w:pPr>
          </w:p>
        </w:tc>
        <w:tc>
          <w:tcPr>
            <w:tcW w:w="2520" w:type="dxa"/>
            <w:vAlign w:val="bottom"/>
            <w:tcBorders>
              <w:bottom w:val="single" w:sz="8" w:color="454545"/>
              <w:right w:val="single" w:sz="8" w:color="454545"/>
            </w:tcBorders>
          </w:tcPr>
          <w:p>
            <w:pPr>
              <w:spacing w:after="0"/>
              <w:rPr>
                <w:sz w:val="20"/>
                <w:szCs w:val="20"/>
                <w:color w:val="auto"/>
              </w:rPr>
            </w:pPr>
          </w:p>
        </w:tc>
        <w:tc>
          <w:tcPr>
            <w:tcW w:w="1920" w:type="dxa"/>
            <w:vAlign w:val="bottom"/>
            <w:tcBorders>
              <w:bottom w:val="single" w:sz="8" w:color="454545"/>
              <w:right w:val="single" w:sz="8" w:color="454545"/>
            </w:tcBorders>
          </w:tcPr>
          <w:p>
            <w:pPr>
              <w:spacing w:after="0"/>
              <w:rPr>
                <w:sz w:val="20"/>
                <w:szCs w:val="20"/>
                <w:color w:val="auto"/>
              </w:rPr>
            </w:pPr>
          </w:p>
        </w:tc>
        <w:tc>
          <w:tcPr>
            <w:tcW w:w="3000" w:type="dxa"/>
            <w:vAlign w:val="bottom"/>
            <w:tcBorders>
              <w:bottom w:val="single" w:sz="8" w:color="454545"/>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James S. Crown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68</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20"/>
              <w:spacing w:after="0"/>
              <w:rPr>
                <w:sz w:val="20"/>
                <w:szCs w:val="20"/>
                <w:color w:val="auto"/>
              </w:rPr>
            </w:pPr>
            <w:r>
              <w:rPr>
                <w:rFonts w:ascii="Arial" w:cs="Arial" w:eastAsia="Arial" w:hAnsi="Arial"/>
                <w:sz w:val="14"/>
                <w:szCs w:val="14"/>
                <w:color w:val="auto"/>
              </w:rPr>
              <w:t>Public Responsibility (Chair);</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Officer of Henry Crown and Company</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82"/>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7"/>
                <w:szCs w:val="7"/>
                <w:color w:val="auto"/>
              </w:rPr>
            </w:pPr>
          </w:p>
        </w:tc>
        <w:tc>
          <w:tcPr>
            <w:tcW w:w="2520" w:type="dxa"/>
            <w:vAlign w:val="bottom"/>
            <w:tcBorders>
              <w:right w:val="single" w:sz="8" w:color="454545"/>
            </w:tcBorders>
            <w:vMerge w:val="continue"/>
          </w:tcPr>
          <w:p>
            <w:pPr>
              <w:spacing w:after="0"/>
              <w:rPr>
                <w:sz w:val="7"/>
                <w:szCs w:val="7"/>
                <w:color w:val="auto"/>
              </w:rPr>
            </w:pPr>
          </w:p>
        </w:tc>
        <w:tc>
          <w:tcPr>
            <w:tcW w:w="1920" w:type="dxa"/>
            <w:vAlign w:val="bottom"/>
            <w:tcBorders>
              <w:right w:val="single" w:sz="8" w:color="454545"/>
            </w:tcBorders>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tcPr>
          <w:p>
            <w:pPr>
              <w:spacing w:after="0"/>
              <w:rPr>
                <w:sz w:val="9"/>
                <w:szCs w:val="9"/>
                <w:color w:val="auto"/>
              </w:rPr>
            </w:pP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60" w:type="dxa"/>
            <w:vAlign w:val="bottom"/>
            <w:tcBorders>
              <w:right w:val="single" w:sz="8" w:color="454545"/>
            </w:tcBorders>
            <w:vMerge w:val="restart"/>
          </w:tcPr>
          <w:p>
            <w:pPr>
              <w:ind w:left="920"/>
              <w:spacing w:after="0"/>
              <w:rPr>
                <w:sz w:val="20"/>
                <w:szCs w:val="20"/>
                <w:color w:val="auto"/>
              </w:rPr>
            </w:pPr>
            <w:r>
              <w:rPr>
                <w:rFonts w:ascii="Arial" w:cs="Arial" w:eastAsia="Arial" w:hAnsi="Arial"/>
                <w:sz w:val="14"/>
                <w:szCs w:val="14"/>
                <w:b w:val="1"/>
                <w:bCs w:val="1"/>
                <w:color w:val="auto"/>
              </w:rPr>
              <w:t>James Dimon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66</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Officer of JPMorgan Chase &amp; Co.</w:t>
            </w: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160" w:type="dxa"/>
            <w:vAlign w:val="bottom"/>
            <w:tcBorders>
              <w:right w:val="single" w:sz="8" w:color="454545"/>
            </w:tcBorders>
            <w:vMerge w:val="restart"/>
          </w:tcPr>
          <w:p>
            <w:pPr>
              <w:ind w:left="92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7"/>
                <w:szCs w:val="7"/>
                <w:color w:val="auto"/>
              </w:rPr>
            </w:pPr>
          </w:p>
        </w:tc>
        <w:tc>
          <w:tcPr>
            <w:tcW w:w="2520" w:type="dxa"/>
            <w:vAlign w:val="bottom"/>
            <w:tcBorders>
              <w:right w:val="single" w:sz="8" w:color="454545"/>
            </w:tcBorders>
            <w:vMerge w:val="continue"/>
          </w:tcPr>
          <w:p>
            <w:pPr>
              <w:spacing w:after="0"/>
              <w:rPr>
                <w:sz w:val="7"/>
                <w:szCs w:val="7"/>
                <w:color w:val="auto"/>
              </w:rPr>
            </w:pPr>
          </w:p>
        </w:tc>
        <w:tc>
          <w:tcPr>
            <w:tcW w:w="1920" w:type="dxa"/>
            <w:vAlign w:val="bottom"/>
            <w:tcBorders>
              <w:right w:val="single" w:sz="8" w:color="454545"/>
            </w:tcBorders>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tcPr>
          <w:p>
            <w:pPr>
              <w:spacing w:after="0"/>
              <w:rPr>
                <w:sz w:val="9"/>
                <w:szCs w:val="9"/>
                <w:color w:val="auto"/>
              </w:rPr>
            </w:pP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Timothy P. Flynn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65</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Chairman and Chief</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2</w:t>
            </w:r>
          </w:p>
        </w:tc>
        <w:tc>
          <w:tcPr>
            <w:tcW w:w="3000" w:type="dxa"/>
            <w:vAlign w:val="bottom"/>
          </w:tcPr>
          <w:p>
            <w:pPr>
              <w:ind w:left="20"/>
              <w:spacing w:after="0"/>
              <w:rPr>
                <w:sz w:val="20"/>
                <w:szCs w:val="20"/>
                <w:color w:val="auto"/>
              </w:rPr>
            </w:pPr>
            <w:r>
              <w:rPr>
                <w:rFonts w:ascii="Arial" w:cs="Arial" w:eastAsia="Arial" w:hAnsi="Arial"/>
                <w:sz w:val="14"/>
                <w:szCs w:val="14"/>
                <w:color w:val="auto"/>
              </w:rPr>
              <w:t>Audit (Chair)</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Executive Officer of KPMG</w:t>
            </w: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2012</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160" w:type="dxa"/>
            <w:vAlign w:val="bottom"/>
            <w:tcBorders>
              <w:right w:val="single" w:sz="8" w:color="454545"/>
            </w:tcBorders>
            <w:vMerge w:val="continue"/>
          </w:tcPr>
          <w:p>
            <w:pPr>
              <w:spacing w:after="0"/>
              <w:rPr>
                <w:sz w:val="11"/>
                <w:szCs w:val="11"/>
                <w:color w:val="auto"/>
              </w:rPr>
            </w:pPr>
          </w:p>
        </w:tc>
        <w:tc>
          <w:tcPr>
            <w:tcW w:w="640" w:type="dxa"/>
            <w:vAlign w:val="bottom"/>
            <w:tcBorders>
              <w:right w:val="single" w:sz="8" w:color="454545"/>
            </w:tcBorders>
          </w:tcPr>
          <w:p>
            <w:pPr>
              <w:spacing w:after="0"/>
              <w:rPr>
                <w:sz w:val="11"/>
                <w:szCs w:val="11"/>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International</w:t>
            </w:r>
          </w:p>
        </w:tc>
        <w:tc>
          <w:tcPr>
            <w:tcW w:w="1920" w:type="dxa"/>
            <w:vAlign w:val="bottom"/>
            <w:tcBorders>
              <w:right w:val="single" w:sz="8" w:color="454545"/>
            </w:tcBorders>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Mellody Hobson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53</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Co-Chief Executive Officer and</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20"/>
              <w:spacing w:after="0"/>
              <w:rPr>
                <w:sz w:val="20"/>
                <w:szCs w:val="20"/>
                <w:color w:val="auto"/>
              </w:rPr>
            </w:pPr>
            <w:r>
              <w:rPr>
                <w:rFonts w:ascii="Arial" w:cs="Arial" w:eastAsia="Arial" w:hAnsi="Arial"/>
                <w:sz w:val="14"/>
                <w:szCs w:val="14"/>
                <w:color w:val="auto"/>
              </w:rPr>
              <w:t>Public Responsibility;</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President of Ariel Investments, LLC</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82"/>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2018</w:t>
            </w:r>
          </w:p>
        </w:tc>
        <w:tc>
          <w:tcPr>
            <w:tcW w:w="640" w:type="dxa"/>
            <w:vAlign w:val="bottom"/>
            <w:tcBorders>
              <w:right w:val="single" w:sz="8" w:color="454545"/>
            </w:tcBorders>
          </w:tcPr>
          <w:p>
            <w:pPr>
              <w:spacing w:after="0"/>
              <w:rPr>
                <w:sz w:val="7"/>
                <w:szCs w:val="7"/>
                <w:color w:val="auto"/>
              </w:rPr>
            </w:pPr>
          </w:p>
        </w:tc>
        <w:tc>
          <w:tcPr>
            <w:tcW w:w="2520" w:type="dxa"/>
            <w:vAlign w:val="bottom"/>
            <w:tcBorders>
              <w:right w:val="single" w:sz="8" w:color="454545"/>
            </w:tcBorders>
            <w:vMerge w:val="continue"/>
          </w:tcPr>
          <w:p>
            <w:pPr>
              <w:spacing w:after="0"/>
              <w:rPr>
                <w:sz w:val="7"/>
                <w:szCs w:val="7"/>
                <w:color w:val="auto"/>
              </w:rPr>
            </w:pPr>
          </w:p>
        </w:tc>
        <w:tc>
          <w:tcPr>
            <w:tcW w:w="1920" w:type="dxa"/>
            <w:vAlign w:val="bottom"/>
            <w:tcBorders>
              <w:right w:val="single" w:sz="8" w:color="454545"/>
            </w:tcBorders>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tcPr>
          <w:p>
            <w:pPr>
              <w:spacing w:after="0"/>
              <w:rPr>
                <w:sz w:val="9"/>
                <w:szCs w:val="9"/>
                <w:color w:val="auto"/>
              </w:rPr>
            </w:pP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Michael A. Neal</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69</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Vice Chairman of General</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2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Electric Company and Retired</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Public Responsibility</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2014</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160" w:type="dxa"/>
            <w:vAlign w:val="bottom"/>
            <w:tcBorders>
              <w:right w:val="single" w:sz="8" w:color="454545"/>
            </w:tcBorders>
            <w:vMerge w:val="continue"/>
          </w:tcPr>
          <w:p>
            <w:pPr>
              <w:spacing w:after="0"/>
              <w:rPr>
                <w:sz w:val="14"/>
                <w:szCs w:val="14"/>
                <w:color w:val="auto"/>
              </w:rPr>
            </w:pPr>
          </w:p>
        </w:tc>
        <w:tc>
          <w:tcPr>
            <w:tcW w:w="640" w:type="dxa"/>
            <w:vAlign w:val="bottom"/>
            <w:tcBorders>
              <w:right w:val="single" w:sz="8" w:color="454545"/>
            </w:tcBorders>
          </w:tcPr>
          <w:p>
            <w:pPr>
              <w:spacing w:after="0"/>
              <w:rPr>
                <w:sz w:val="14"/>
                <w:szCs w:val="14"/>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6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Officer of GE Capital</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3160" w:type="dxa"/>
            <w:vAlign w:val="bottom"/>
            <w:tcBorders>
              <w:bottom w:val="single" w:sz="8" w:color="454545"/>
              <w:right w:val="single" w:sz="8" w:color="454545"/>
            </w:tcBorders>
          </w:tcPr>
          <w:p>
            <w:pPr>
              <w:spacing w:after="0"/>
              <w:rPr>
                <w:sz w:val="7"/>
                <w:szCs w:val="7"/>
                <w:color w:val="auto"/>
              </w:rPr>
            </w:pPr>
          </w:p>
        </w:tc>
        <w:tc>
          <w:tcPr>
            <w:tcW w:w="640" w:type="dxa"/>
            <w:vAlign w:val="bottom"/>
            <w:tcBorders>
              <w:bottom w:val="single" w:sz="8" w:color="454545"/>
              <w:right w:val="single" w:sz="8" w:color="454545"/>
            </w:tcBorders>
          </w:tcPr>
          <w:p>
            <w:pPr>
              <w:spacing w:after="0"/>
              <w:rPr>
                <w:sz w:val="7"/>
                <w:szCs w:val="7"/>
                <w:color w:val="auto"/>
              </w:rPr>
            </w:pPr>
          </w:p>
        </w:tc>
        <w:tc>
          <w:tcPr>
            <w:tcW w:w="2520" w:type="dxa"/>
            <w:vAlign w:val="bottom"/>
            <w:tcBorders>
              <w:bottom w:val="single" w:sz="8" w:color="454545"/>
              <w:right w:val="single" w:sz="8" w:color="454545"/>
            </w:tcBorders>
          </w:tcPr>
          <w:p>
            <w:pPr>
              <w:spacing w:after="0"/>
              <w:rPr>
                <w:sz w:val="7"/>
                <w:szCs w:val="7"/>
                <w:color w:val="auto"/>
              </w:rPr>
            </w:pPr>
          </w:p>
        </w:tc>
        <w:tc>
          <w:tcPr>
            <w:tcW w:w="1920" w:type="dxa"/>
            <w:vAlign w:val="bottom"/>
            <w:tcBorders>
              <w:bottom w:val="single" w:sz="8" w:color="454545"/>
              <w:right w:val="single" w:sz="8" w:color="454545"/>
            </w:tcBorders>
          </w:tcPr>
          <w:p>
            <w:pPr>
              <w:spacing w:after="0"/>
              <w:rPr>
                <w:sz w:val="7"/>
                <w:szCs w:val="7"/>
                <w:color w:val="auto"/>
              </w:rPr>
            </w:pPr>
          </w:p>
        </w:tc>
        <w:tc>
          <w:tcPr>
            <w:tcW w:w="3000" w:type="dxa"/>
            <w:vAlign w:val="bottom"/>
            <w:tcBorders>
              <w:bottom w:val="single" w:sz="8" w:color="454545"/>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Phebe N. Novakovic</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64</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2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Officer of General Dynamics</w:t>
            </w: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2020</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160" w:type="dxa"/>
            <w:vAlign w:val="bottom"/>
            <w:tcBorders>
              <w:right w:val="single" w:sz="8" w:color="454545"/>
            </w:tcBorders>
            <w:vMerge w:val="continue"/>
          </w:tcPr>
          <w:p>
            <w:pPr>
              <w:spacing w:after="0"/>
              <w:rPr>
                <w:sz w:val="11"/>
                <w:szCs w:val="11"/>
                <w:color w:val="auto"/>
              </w:rPr>
            </w:pPr>
          </w:p>
        </w:tc>
        <w:tc>
          <w:tcPr>
            <w:tcW w:w="640" w:type="dxa"/>
            <w:vAlign w:val="bottom"/>
            <w:tcBorders>
              <w:right w:val="single" w:sz="8" w:color="454545"/>
            </w:tcBorders>
          </w:tcPr>
          <w:p>
            <w:pPr>
              <w:spacing w:after="0"/>
              <w:rPr>
                <w:sz w:val="11"/>
                <w:szCs w:val="11"/>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Corporation</w:t>
            </w:r>
          </w:p>
        </w:tc>
        <w:tc>
          <w:tcPr>
            <w:tcW w:w="1920" w:type="dxa"/>
            <w:vAlign w:val="bottom"/>
            <w:tcBorders>
              <w:right w:val="single" w:sz="8" w:color="454545"/>
            </w:tcBorders>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454545"/>
              <w:right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spacing w:after="0"/>
              <w:rPr>
                <w:sz w:val="20"/>
                <w:szCs w:val="20"/>
                <w:color w:val="auto"/>
              </w:rPr>
            </w:pPr>
          </w:p>
        </w:tc>
        <w:tc>
          <w:tcPr>
            <w:tcW w:w="2520" w:type="dxa"/>
            <w:vAlign w:val="bottom"/>
            <w:tcBorders>
              <w:bottom w:val="single" w:sz="8" w:color="454545"/>
              <w:right w:val="single" w:sz="8" w:color="454545"/>
            </w:tcBorders>
          </w:tcPr>
          <w:p>
            <w:pPr>
              <w:spacing w:after="0"/>
              <w:rPr>
                <w:sz w:val="20"/>
                <w:szCs w:val="20"/>
                <w:color w:val="auto"/>
              </w:rPr>
            </w:pPr>
          </w:p>
        </w:tc>
        <w:tc>
          <w:tcPr>
            <w:tcW w:w="1920" w:type="dxa"/>
            <w:vAlign w:val="bottom"/>
            <w:tcBorders>
              <w:bottom w:val="single" w:sz="8" w:color="454545"/>
              <w:right w:val="single" w:sz="8" w:color="454545"/>
            </w:tcBorders>
          </w:tcPr>
          <w:p>
            <w:pPr>
              <w:spacing w:after="0"/>
              <w:rPr>
                <w:sz w:val="20"/>
                <w:szCs w:val="20"/>
                <w:color w:val="auto"/>
              </w:rPr>
            </w:pPr>
          </w:p>
        </w:tc>
        <w:tc>
          <w:tcPr>
            <w:tcW w:w="3000" w:type="dxa"/>
            <w:vAlign w:val="bottom"/>
            <w:tcBorders>
              <w:bottom w:val="single" w:sz="8" w:color="454545"/>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Virginia M. Rometty</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64</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Executive Chairman,</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20"/>
              <w:spacing w:after="0"/>
              <w:rPr>
                <w:sz w:val="20"/>
                <w:szCs w:val="20"/>
                <w:color w:val="auto"/>
              </w:rPr>
            </w:pPr>
            <w:r>
              <w:rPr>
                <w:rFonts w:ascii="Arial" w:cs="Arial" w:eastAsia="Arial" w:hAnsi="Arial"/>
                <w:sz w:val="14"/>
                <w:szCs w:val="14"/>
                <w:color w:val="auto"/>
              </w:rPr>
              <w:t>Compensation &amp; Management Development;</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President and Chief Executive Officer</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Corporate Governance &amp; Nominating</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2020</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160" w:type="dxa"/>
            <w:vAlign w:val="bottom"/>
            <w:tcBorders>
              <w:right w:val="single" w:sz="8" w:color="454545"/>
            </w:tcBorders>
            <w:vMerge w:val="continue"/>
          </w:tcPr>
          <w:p>
            <w:pPr>
              <w:spacing w:after="0"/>
              <w:rPr>
                <w:sz w:val="14"/>
                <w:szCs w:val="14"/>
                <w:color w:val="auto"/>
              </w:rPr>
            </w:pPr>
          </w:p>
        </w:tc>
        <w:tc>
          <w:tcPr>
            <w:tcW w:w="640" w:type="dxa"/>
            <w:vAlign w:val="bottom"/>
            <w:tcBorders>
              <w:right w:val="single" w:sz="8" w:color="454545"/>
            </w:tcBorders>
          </w:tcPr>
          <w:p>
            <w:pPr>
              <w:spacing w:after="0"/>
              <w:rPr>
                <w:sz w:val="14"/>
                <w:szCs w:val="14"/>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 International Business Machines</w:t>
            </w:r>
          </w:p>
        </w:tc>
        <w:tc>
          <w:tcPr>
            <w:tcW w:w="1920" w:type="dxa"/>
            <w:vAlign w:val="bottom"/>
            <w:tcBorders>
              <w:right w:val="single" w:sz="8" w:color="454545"/>
            </w:tcBorders>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60" w:type="dxa"/>
            <w:vAlign w:val="bottom"/>
            <w:tcBorders>
              <w:right w:val="single" w:sz="8" w:color="454545"/>
            </w:tcBorders>
          </w:tcPr>
          <w:p>
            <w:pPr>
              <w:spacing w:after="0"/>
              <w:rPr>
                <w:sz w:val="16"/>
                <w:szCs w:val="16"/>
                <w:color w:val="auto"/>
              </w:rPr>
            </w:pPr>
          </w:p>
        </w:tc>
        <w:tc>
          <w:tcPr>
            <w:tcW w:w="640" w:type="dxa"/>
            <w:vAlign w:val="bottom"/>
            <w:tcBorders>
              <w:right w:val="single" w:sz="8" w:color="454545"/>
            </w:tcBorders>
          </w:tcPr>
          <w:p>
            <w:pPr>
              <w:spacing w:after="0"/>
              <w:rPr>
                <w:sz w:val="16"/>
                <w:szCs w:val="16"/>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Corporation</w:t>
            </w:r>
          </w:p>
        </w:tc>
        <w:tc>
          <w:tcPr>
            <w:tcW w:w="1920" w:type="dxa"/>
            <w:vAlign w:val="bottom"/>
            <w:tcBorders>
              <w:right w:val="single" w:sz="8" w:color="454545"/>
            </w:tcBorders>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160" w:type="dxa"/>
            <w:vAlign w:val="bottom"/>
            <w:tcBorders>
              <w:bottom w:val="single" w:sz="8" w:color="454545"/>
              <w:right w:val="single" w:sz="8" w:color="454545"/>
            </w:tcBorders>
          </w:tcPr>
          <w:p>
            <w:pPr>
              <w:spacing w:after="0"/>
              <w:rPr>
                <w:sz w:val="10"/>
                <w:szCs w:val="10"/>
                <w:color w:val="auto"/>
              </w:rPr>
            </w:pPr>
          </w:p>
        </w:tc>
        <w:tc>
          <w:tcPr>
            <w:tcW w:w="640" w:type="dxa"/>
            <w:vAlign w:val="bottom"/>
            <w:tcBorders>
              <w:bottom w:val="single" w:sz="8" w:color="454545"/>
              <w:right w:val="single" w:sz="8" w:color="454545"/>
            </w:tcBorders>
          </w:tcPr>
          <w:p>
            <w:pPr>
              <w:spacing w:after="0"/>
              <w:rPr>
                <w:sz w:val="10"/>
                <w:szCs w:val="10"/>
                <w:color w:val="auto"/>
              </w:rPr>
            </w:pPr>
          </w:p>
        </w:tc>
        <w:tc>
          <w:tcPr>
            <w:tcW w:w="2520" w:type="dxa"/>
            <w:vAlign w:val="bottom"/>
            <w:tcBorders>
              <w:bottom w:val="single" w:sz="8" w:color="454545"/>
              <w:right w:val="single" w:sz="8" w:color="454545"/>
            </w:tcBorders>
          </w:tcPr>
          <w:p>
            <w:pPr>
              <w:spacing w:after="0"/>
              <w:rPr>
                <w:sz w:val="10"/>
                <w:szCs w:val="10"/>
                <w:color w:val="auto"/>
              </w:rPr>
            </w:pPr>
          </w:p>
        </w:tc>
        <w:tc>
          <w:tcPr>
            <w:tcW w:w="1920" w:type="dxa"/>
            <w:vAlign w:val="bottom"/>
            <w:tcBorders>
              <w:bottom w:val="single" w:sz="8" w:color="454545"/>
              <w:right w:val="single" w:sz="8" w:color="454545"/>
            </w:tcBorders>
          </w:tcPr>
          <w:p>
            <w:pPr>
              <w:spacing w:after="0"/>
              <w:rPr>
                <w:sz w:val="10"/>
                <w:szCs w:val="10"/>
                <w:color w:val="auto"/>
              </w:rPr>
            </w:pPr>
          </w:p>
        </w:tc>
        <w:tc>
          <w:tcPr>
            <w:tcW w:w="3000" w:type="dxa"/>
            <w:vAlign w:val="bottom"/>
            <w:tcBorders>
              <w:bottom w:val="single" w:sz="8" w:color="454545"/>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-5666105</wp:posOffset>
            </wp:positionV>
            <wp:extent cx="325755" cy="402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-5083175</wp:posOffset>
            </wp:positionV>
            <wp:extent cx="325755" cy="403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755" cy="403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-4483100</wp:posOffset>
            </wp:positionV>
            <wp:extent cx="325755" cy="394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-3959860</wp:posOffset>
            </wp:positionV>
            <wp:extent cx="325755" cy="403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403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-3368675</wp:posOffset>
            </wp:positionV>
            <wp:extent cx="325755" cy="394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-2785745</wp:posOffset>
            </wp:positionV>
            <wp:extent cx="325755" cy="402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-2193925</wp:posOffset>
            </wp:positionV>
            <wp:extent cx="325755" cy="394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-1610995</wp:posOffset>
            </wp:positionV>
            <wp:extent cx="325755" cy="403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755" cy="403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-1079500</wp:posOffset>
            </wp:positionV>
            <wp:extent cx="325755"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-522605</wp:posOffset>
            </wp:positionV>
            <wp:extent cx="325755" cy="394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755" cy="394335"/>
                    </a:xfrm>
                    <a:prstGeom prst="rect">
                      <a:avLst/>
                    </a:prstGeom>
                    <a:noFill/>
                  </pic:spPr>
                </pic:pic>
              </a:graphicData>
            </a:graphic>
          </wp:anchor>
        </w:drawing>
      </w:r>
    </w:p>
    <w:p>
      <w:pPr>
        <w:spacing w:after="0" w:line="70" w:lineRule="exact"/>
        <w:rPr>
          <w:sz w:val="20"/>
          <w:szCs w:val="20"/>
          <w:color w:val="auto"/>
        </w:rPr>
      </w:pPr>
    </w:p>
    <w:p>
      <w:pPr>
        <w:ind w:left="200" w:right="100" w:hanging="192"/>
        <w:spacing w:after="0" w:line="212" w:lineRule="auto"/>
        <w:tabs>
          <w:tab w:leader="none" w:pos="20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Director of a heritage company of the Firm as follows: Bank One Corporation: Mr. Burke (2003–2004), Mr. Crown (1996–2004), Mr. Dimon, Chairman of the Board (2000–2004); First Chicago Corp.: Mr. Crown (1991–1996).</w:t>
      </w:r>
    </w:p>
    <w:p>
      <w:pPr>
        <w:ind w:left="200" w:hanging="192"/>
        <w:spacing w:after="0" w:line="194" w:lineRule="auto"/>
        <w:tabs>
          <w:tab w:leader="none" w:pos="200"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Principal standing committee</w:t>
      </w:r>
    </w:p>
    <w:p>
      <w:pPr>
        <w:ind w:left="200" w:hanging="192"/>
        <w:spacing w:after="0" w:line="219" w:lineRule="auto"/>
        <w:tabs>
          <w:tab w:leader="none" w:pos="20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Retired from JPMorgan Chase &amp; Co. in 2005</w:t>
      </w: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auto"/>
              </w:rPr>
              <w:t>2022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7</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6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2: Advisory resolution to approve executive compensation – page 37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submitting an advisory resolution to approve the compensation of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074A75"/>
        </w:rPr>
        <w:t>We believe shareholders should consider three key factors in their evaluation of this year’s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74A75"/>
        </w:rPr>
        <w:t>1. How we think about pay decisions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Firm’s How We Do Business Principles ("Business Principles") and strategic framework form the basis of our Operating Committee ("OC") members’ strategic priorities. The Compensation &amp; Management Development Committee ("CMDC") references those strategic priorities and the Firm’s compensation philosophy to assess OC members’ performance and to determine their respective total compensation levels and pay mix.</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074A75"/>
        </w:rPr>
        <w:t>2. How we performed against our business strategy</w:t>
      </w:r>
    </w:p>
    <w:p>
      <w:pPr>
        <w:spacing w:after="0" w:line="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continued to deliver strong multi-year financial performance, invest in our future, strengthen our risk and control environment, and reinforce our culture and values, including our long-standing commitment to serve our customers, employees and communities, and conduct business in a responsible way to drive inclusive growth.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074A75"/>
        </w:rPr>
        <w:t>3. How performance determined pay in 2021</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determining OC member pay, the CMDC took into account performance across four broad performance dimensions: Business Results; Risk, Controls &amp; Conduct; Client/Customer/Stakeholder; and Teamwork &amp; Leadership. CEO pay is strongly aligned to the Firm’s short-, medium- and long-term performance, with approximately 85% of the CEO’s variable pay deferred into equity, of which 100% is in at-risk performance share units ("PSUs"). Other NEO pay is also strongly aligned to Firm and line of business ("LOB") performance, with a majority of variable pay deferred into equity, of which 50% is in at-risk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74A75"/>
        </w:rPr>
        <w:t>Disciplined performance assessment process to determine pay</w:t>
      </w:r>
    </w:p>
    <w:p>
      <w:pPr>
        <w:spacing w:after="0" w:line="2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CMDC uses a balanced discretionary approach to determine annual compensation, which includes a disciplined assessment of performance against the aforementioned four broad dimensions over a sustained period of time. For 2021, compensation awarded to the OC members also represents a balance between the outstanding efforts and performance of the Firm with the continued impact of the COVID-19 pandemic on the Firm's other stakeholders.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salary and incentive compensation awarded to our NEOs for 2021 performance.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Borders>
              <w:bottom w:val="single" w:sz="8" w:color="494949"/>
            </w:tcBorders>
          </w:tcPr>
          <w:p>
            <w:pPr>
              <w:spacing w:after="0"/>
              <w:rPr>
                <w:sz w:val="16"/>
                <w:szCs w:val="16"/>
                <w:color w:val="auto"/>
              </w:rPr>
            </w:pPr>
          </w:p>
        </w:tc>
        <w:tc>
          <w:tcPr>
            <w:tcW w:w="3140" w:type="dxa"/>
            <w:vAlign w:val="bottom"/>
            <w:tcBorders>
              <w:bottom w:val="single" w:sz="8" w:color="494949"/>
            </w:tcBorders>
            <w:gridSpan w:val="4"/>
          </w:tcPr>
          <w:p>
            <w:pPr>
              <w:jc w:val="right"/>
              <w:ind w:right="848"/>
              <w:spacing w:after="0"/>
              <w:rPr>
                <w:sz w:val="20"/>
                <w:szCs w:val="20"/>
                <w:color w:val="auto"/>
              </w:rPr>
            </w:pPr>
            <w:r>
              <w:rPr>
                <w:rFonts w:ascii="Arial" w:cs="Arial" w:eastAsia="Arial" w:hAnsi="Arial"/>
                <w:sz w:val="14"/>
                <w:szCs w:val="14"/>
                <w:color w:val="auto"/>
              </w:rPr>
              <w:t>Incentive Compensation</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4"/>
                <w:szCs w:val="14"/>
                <w:color w:val="074A75"/>
              </w:rPr>
              <w:t>Restricted</w:t>
            </w:r>
          </w:p>
        </w:tc>
        <w:tc>
          <w:tcPr>
            <w:tcW w:w="1060" w:type="dxa"/>
            <w:vAlign w:val="bottom"/>
          </w:tcPr>
          <w:p>
            <w:pPr>
              <w:jc w:val="right"/>
              <w:ind w:right="148"/>
              <w:spacing w:after="0"/>
              <w:rPr>
                <w:sz w:val="20"/>
                <w:szCs w:val="20"/>
                <w:color w:val="auto"/>
              </w:rPr>
            </w:pPr>
            <w:r>
              <w:rPr>
                <w:rFonts w:ascii="Arial" w:cs="Arial" w:eastAsia="Arial" w:hAnsi="Arial"/>
                <w:sz w:val="14"/>
                <w:szCs w:val="14"/>
                <w:color w:val="074A75"/>
              </w:rPr>
              <w:t>Performance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20" w:type="dxa"/>
            <w:vAlign w:val="bottom"/>
            <w:tcBorders>
              <w:bottom w:val="single" w:sz="8" w:color="494949"/>
            </w:tcBorders>
          </w:tcPr>
          <w:p>
            <w:pPr>
              <w:ind w:left="20"/>
              <w:spacing w:after="0"/>
              <w:rPr>
                <w:sz w:val="20"/>
                <w:szCs w:val="20"/>
                <w:color w:val="auto"/>
              </w:rPr>
            </w:pPr>
            <w:r>
              <w:rPr>
                <w:rFonts w:ascii="Arial" w:cs="Arial" w:eastAsia="Arial" w:hAnsi="Arial"/>
                <w:sz w:val="14"/>
                <w:szCs w:val="14"/>
                <w:color w:val="074A75"/>
              </w:rPr>
              <w:t>Name and principal position</w:t>
            </w:r>
          </w:p>
        </w:tc>
        <w:tc>
          <w:tcPr>
            <w:tcW w:w="320" w:type="dxa"/>
            <w:vAlign w:val="bottom"/>
            <w:tcBorders>
              <w:bottom w:val="single" w:sz="8" w:color="494949"/>
            </w:tcBorders>
          </w:tcPr>
          <w:p>
            <w:pPr>
              <w:spacing w:after="0"/>
              <w:rPr>
                <w:sz w:val="16"/>
                <w:szCs w:val="16"/>
                <w:color w:val="auto"/>
              </w:rPr>
            </w:pPr>
          </w:p>
        </w:tc>
        <w:tc>
          <w:tcPr>
            <w:tcW w:w="860" w:type="dxa"/>
            <w:vAlign w:val="bottom"/>
            <w:tcBorders>
              <w:bottom w:val="single" w:sz="8" w:color="494949"/>
            </w:tcBorders>
          </w:tcPr>
          <w:p>
            <w:pPr>
              <w:jc w:val="right"/>
              <w:ind w:right="267"/>
              <w:spacing w:after="0"/>
              <w:rPr>
                <w:sz w:val="20"/>
                <w:szCs w:val="20"/>
                <w:color w:val="auto"/>
              </w:rPr>
            </w:pPr>
            <w:r>
              <w:rPr>
                <w:rFonts w:ascii="Arial" w:cs="Arial" w:eastAsia="Arial" w:hAnsi="Arial"/>
                <w:sz w:val="14"/>
                <w:szCs w:val="14"/>
                <w:color w:val="074A75"/>
              </w:rPr>
              <w:t>Salary</w:t>
            </w:r>
          </w:p>
        </w:tc>
        <w:tc>
          <w:tcPr>
            <w:tcW w:w="240" w:type="dxa"/>
            <w:vAlign w:val="bottom"/>
            <w:tcBorders>
              <w:bottom w:val="single" w:sz="8" w:color="494949"/>
            </w:tcBorders>
          </w:tcPr>
          <w:p>
            <w:pPr>
              <w:spacing w:after="0"/>
              <w:rPr>
                <w:sz w:val="16"/>
                <w:szCs w:val="16"/>
                <w:color w:val="auto"/>
              </w:rPr>
            </w:pPr>
          </w:p>
        </w:tc>
        <w:tc>
          <w:tcPr>
            <w:tcW w:w="860" w:type="dxa"/>
            <w:vAlign w:val="bottom"/>
            <w:tcBorders>
              <w:bottom w:val="single" w:sz="8" w:color="494949"/>
            </w:tcBorders>
          </w:tcPr>
          <w:p>
            <w:pPr>
              <w:jc w:val="right"/>
              <w:ind w:right="308"/>
              <w:spacing w:after="0"/>
              <w:rPr>
                <w:sz w:val="20"/>
                <w:szCs w:val="20"/>
                <w:color w:val="auto"/>
              </w:rPr>
            </w:pPr>
            <w:r>
              <w:rPr>
                <w:rFonts w:ascii="Arial" w:cs="Arial" w:eastAsia="Arial" w:hAnsi="Arial"/>
                <w:sz w:val="14"/>
                <w:szCs w:val="14"/>
                <w:color w:val="074A75"/>
              </w:rPr>
              <w:t>Cash</w:t>
            </w:r>
          </w:p>
        </w:tc>
        <w:tc>
          <w:tcPr>
            <w:tcW w:w="160" w:type="dxa"/>
            <w:vAlign w:val="bottom"/>
            <w:tcBorders>
              <w:bottom w:val="single" w:sz="8" w:color="494949"/>
            </w:tcBorders>
          </w:tcPr>
          <w:p>
            <w:pPr>
              <w:spacing w:after="0"/>
              <w:rPr>
                <w:sz w:val="16"/>
                <w:szCs w:val="16"/>
                <w:color w:val="auto"/>
              </w:rPr>
            </w:pPr>
          </w:p>
        </w:tc>
        <w:tc>
          <w:tcPr>
            <w:tcW w:w="1060" w:type="dxa"/>
            <w:vAlign w:val="bottom"/>
            <w:tcBorders>
              <w:bottom w:val="single" w:sz="8" w:color="494949"/>
            </w:tcBorders>
          </w:tcPr>
          <w:p>
            <w:pPr>
              <w:ind w:left="40"/>
              <w:spacing w:after="0"/>
              <w:rPr>
                <w:sz w:val="20"/>
                <w:szCs w:val="20"/>
                <w:color w:val="auto"/>
              </w:rPr>
            </w:pPr>
            <w:r>
              <w:rPr>
                <w:rFonts w:ascii="Arial" w:cs="Arial" w:eastAsia="Arial" w:hAnsi="Arial"/>
                <w:sz w:val="14"/>
                <w:szCs w:val="14"/>
                <w:color w:val="074A75"/>
              </w:rPr>
              <w:t>stock units</w:t>
            </w:r>
          </w:p>
        </w:tc>
        <w:tc>
          <w:tcPr>
            <w:tcW w:w="1060" w:type="dxa"/>
            <w:vAlign w:val="bottom"/>
            <w:tcBorders>
              <w:bottom w:val="single" w:sz="8" w:color="494949"/>
            </w:tcBorders>
          </w:tcPr>
          <w:p>
            <w:pPr>
              <w:jc w:val="right"/>
              <w:ind w:right="188"/>
              <w:spacing w:after="0"/>
              <w:rPr>
                <w:sz w:val="20"/>
                <w:szCs w:val="20"/>
                <w:color w:val="auto"/>
              </w:rPr>
            </w:pPr>
            <w:r>
              <w:rPr>
                <w:rFonts w:ascii="Arial" w:cs="Arial" w:eastAsia="Arial" w:hAnsi="Arial"/>
                <w:sz w:val="14"/>
                <w:szCs w:val="14"/>
                <w:color w:val="074A75"/>
              </w:rPr>
              <w:t>share units</w:t>
            </w:r>
          </w:p>
        </w:tc>
        <w:tc>
          <w:tcPr>
            <w:tcW w:w="240" w:type="dxa"/>
            <w:vAlign w:val="bottom"/>
            <w:tcBorders>
              <w:bottom w:val="single" w:sz="8" w:color="494949"/>
            </w:tcBorders>
          </w:tcPr>
          <w:p>
            <w:pPr>
              <w:spacing w:after="0"/>
              <w:rPr>
                <w:sz w:val="16"/>
                <w:szCs w:val="16"/>
                <w:color w:val="auto"/>
              </w:rPr>
            </w:pPr>
          </w:p>
        </w:tc>
        <w:tc>
          <w:tcPr>
            <w:tcW w:w="1020" w:type="dxa"/>
            <w:vAlign w:val="bottom"/>
            <w:tcBorders>
              <w:bottom w:val="single" w:sz="8" w:color="494949"/>
            </w:tcBorders>
          </w:tcPr>
          <w:p>
            <w:pPr>
              <w:jc w:val="right"/>
              <w:ind w:right="448"/>
              <w:spacing w:after="0"/>
              <w:rPr>
                <w:sz w:val="20"/>
                <w:szCs w:val="20"/>
                <w:color w:val="auto"/>
              </w:rPr>
            </w:pPr>
            <w:r>
              <w:rPr>
                <w:rFonts w:ascii="Arial" w:cs="Arial" w:eastAsia="Arial" w:hAnsi="Arial"/>
                <w:sz w:val="14"/>
                <w:szCs w:val="14"/>
                <w:color w:val="074A75"/>
              </w:rPr>
              <w:t>Total</w:t>
            </w:r>
          </w:p>
        </w:tc>
        <w:tc>
          <w:tcPr>
            <w:tcW w:w="0" w:type="dxa"/>
            <w:vAlign w:val="bottom"/>
          </w:tcPr>
          <w:p>
            <w:pPr>
              <w:spacing w:after="0"/>
              <w:rPr>
                <w:sz w:val="1"/>
                <w:szCs w:val="1"/>
                <w:color w:val="auto"/>
              </w:rPr>
            </w:pPr>
          </w:p>
        </w:tc>
      </w:tr>
      <w:tr>
        <w:trPr>
          <w:trHeight w:val="335"/>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James Dimon</w:t>
            </w:r>
            <w:r>
              <w:rPr>
                <w:rFonts w:ascii="Arial" w:cs="Arial" w:eastAsia="Arial" w:hAnsi="Arial"/>
                <w:sz w:val="18"/>
                <w:szCs w:val="18"/>
                <w:b w:val="1"/>
                <w:bCs w:val="1"/>
                <w:color w:val="auto"/>
                <w:vertAlign w:val="superscript"/>
              </w:rPr>
              <w:t>1</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1,500,000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5,000,000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28,000,000</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34,500,000</w:t>
            </w:r>
          </w:p>
        </w:tc>
        <w:tc>
          <w:tcPr>
            <w:tcW w:w="0" w:type="dxa"/>
            <w:vAlign w:val="bottom"/>
          </w:tcPr>
          <w:p>
            <w:pPr>
              <w:spacing w:after="0"/>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4"/>
                <w:szCs w:val="14"/>
                <w:color w:val="auto"/>
              </w:rPr>
              <w:t>Chairman and CEO</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20" w:type="dxa"/>
            <w:vAlign w:val="bottom"/>
            <w:tcBorders>
              <w:bottom w:val="single" w:sz="8" w:color="494949"/>
            </w:tcBorders>
          </w:tcPr>
          <w:p>
            <w:pPr>
              <w:spacing w:after="0"/>
              <w:rPr>
                <w:sz w:val="4"/>
                <w:szCs w:val="4"/>
                <w:color w:val="auto"/>
              </w:rPr>
            </w:pPr>
          </w:p>
        </w:tc>
        <w:tc>
          <w:tcPr>
            <w:tcW w:w="320" w:type="dxa"/>
            <w:vAlign w:val="bottom"/>
            <w:tcBorders>
              <w:bottom w:val="single" w:sz="8" w:color="494949"/>
            </w:tcBorders>
          </w:tcPr>
          <w:p>
            <w:pPr>
              <w:spacing w:after="0"/>
              <w:rPr>
                <w:sz w:val="4"/>
                <w:szCs w:val="4"/>
                <w:color w:val="auto"/>
              </w:rPr>
            </w:pPr>
          </w:p>
        </w:tc>
        <w:tc>
          <w:tcPr>
            <w:tcW w:w="860" w:type="dxa"/>
            <w:vAlign w:val="bottom"/>
            <w:tcBorders>
              <w:bottom w:val="single" w:sz="8" w:color="494949"/>
            </w:tcBorders>
          </w:tcPr>
          <w:p>
            <w:pPr>
              <w:spacing w:after="0"/>
              <w:rPr>
                <w:sz w:val="4"/>
                <w:szCs w:val="4"/>
                <w:color w:val="auto"/>
              </w:rPr>
            </w:pPr>
          </w:p>
        </w:tc>
        <w:tc>
          <w:tcPr>
            <w:tcW w:w="240" w:type="dxa"/>
            <w:vAlign w:val="bottom"/>
            <w:tcBorders>
              <w:bottom w:val="single" w:sz="8" w:color="494949"/>
            </w:tcBorders>
          </w:tcPr>
          <w:p>
            <w:pPr>
              <w:spacing w:after="0"/>
              <w:rPr>
                <w:sz w:val="4"/>
                <w:szCs w:val="4"/>
                <w:color w:val="auto"/>
              </w:rPr>
            </w:pPr>
          </w:p>
        </w:tc>
        <w:tc>
          <w:tcPr>
            <w:tcW w:w="860" w:type="dxa"/>
            <w:vAlign w:val="bottom"/>
            <w:tcBorders>
              <w:bottom w:val="single" w:sz="8" w:color="494949"/>
            </w:tcBorders>
          </w:tcPr>
          <w:p>
            <w:pPr>
              <w:spacing w:after="0"/>
              <w:rPr>
                <w:sz w:val="4"/>
                <w:szCs w:val="4"/>
                <w:color w:val="auto"/>
              </w:rPr>
            </w:pPr>
          </w:p>
        </w:tc>
        <w:tc>
          <w:tcPr>
            <w:tcW w:w="160" w:type="dxa"/>
            <w:vAlign w:val="bottom"/>
            <w:tcBorders>
              <w:bottom w:val="single" w:sz="8" w:color="494949"/>
            </w:tcBorders>
          </w:tcPr>
          <w:p>
            <w:pPr>
              <w:spacing w:after="0"/>
              <w:rPr>
                <w:sz w:val="4"/>
                <w:szCs w:val="4"/>
                <w:color w:val="auto"/>
              </w:rPr>
            </w:pPr>
          </w:p>
        </w:tc>
        <w:tc>
          <w:tcPr>
            <w:tcW w:w="1060" w:type="dxa"/>
            <w:vAlign w:val="bottom"/>
            <w:tcBorders>
              <w:bottom w:val="single" w:sz="8" w:color="494949"/>
            </w:tcBorders>
          </w:tcPr>
          <w:p>
            <w:pPr>
              <w:spacing w:after="0"/>
              <w:rPr>
                <w:sz w:val="4"/>
                <w:szCs w:val="4"/>
                <w:color w:val="auto"/>
              </w:rPr>
            </w:pPr>
          </w:p>
        </w:tc>
        <w:tc>
          <w:tcPr>
            <w:tcW w:w="1060" w:type="dxa"/>
            <w:vAlign w:val="bottom"/>
            <w:tcBorders>
              <w:bottom w:val="single" w:sz="8" w:color="494949"/>
            </w:tcBorders>
          </w:tcPr>
          <w:p>
            <w:pPr>
              <w:spacing w:after="0"/>
              <w:rPr>
                <w:sz w:val="4"/>
                <w:szCs w:val="4"/>
                <w:color w:val="auto"/>
              </w:rPr>
            </w:pPr>
          </w:p>
        </w:tc>
        <w:tc>
          <w:tcPr>
            <w:tcW w:w="240" w:type="dxa"/>
            <w:vAlign w:val="bottom"/>
            <w:tcBorders>
              <w:bottom w:val="single" w:sz="8" w:color="494949"/>
            </w:tcBorders>
          </w:tcPr>
          <w:p>
            <w:pPr>
              <w:spacing w:after="0"/>
              <w:rPr>
                <w:sz w:val="4"/>
                <w:szCs w:val="4"/>
                <w:color w:val="auto"/>
              </w:rPr>
            </w:pPr>
          </w:p>
        </w:tc>
        <w:tc>
          <w:tcPr>
            <w:tcW w:w="102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470"/>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Daniel Pinto</w:t>
            </w:r>
            <w:r>
              <w:rPr>
                <w:rFonts w:ascii="Arial" w:cs="Arial" w:eastAsia="Arial" w:hAnsi="Arial"/>
                <w:sz w:val="9"/>
                <w:szCs w:val="9"/>
                <w:b w:val="1"/>
                <w:bCs w:val="1"/>
                <w:color w:val="auto"/>
              </w:rPr>
              <w:t>1,2</w:t>
            </w:r>
          </w:p>
        </w:tc>
        <w:tc>
          <w:tcPr>
            <w:tcW w:w="3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9,055,948</w:t>
            </w:r>
          </w:p>
        </w:tc>
        <w:tc>
          <w:tcPr>
            <w:tcW w:w="2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9,722,026</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9,722,026</w:t>
            </w:r>
          </w:p>
        </w:tc>
        <w:tc>
          <w:tcPr>
            <w:tcW w:w="240" w:type="dxa"/>
            <w:vAlign w:val="bottom"/>
          </w:tcPr>
          <w:p>
            <w:pPr>
              <w:spacing w:after="0"/>
              <w:rPr>
                <w:sz w:val="24"/>
                <w:szCs w:val="24"/>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28,500,000</w:t>
            </w:r>
          </w:p>
        </w:tc>
        <w:tc>
          <w:tcPr>
            <w:tcW w:w="0" w:type="dxa"/>
            <w:vAlign w:val="bottom"/>
          </w:tcPr>
          <w:p>
            <w:pPr>
              <w:spacing w:after="0"/>
              <w:rPr>
                <w:sz w:val="1"/>
                <w:szCs w:val="1"/>
                <w:color w:val="auto"/>
              </w:rPr>
            </w:pPr>
          </w:p>
        </w:tc>
      </w:tr>
      <w:tr>
        <w:trPr>
          <w:trHeight w:val="96"/>
        </w:trPr>
        <w:tc>
          <w:tcPr>
            <w:tcW w:w="5420" w:type="dxa"/>
            <w:vAlign w:val="bottom"/>
            <w:vMerge w:val="restart"/>
          </w:tcPr>
          <w:p>
            <w:pPr>
              <w:ind w:left="20"/>
              <w:spacing w:after="0"/>
              <w:rPr>
                <w:sz w:val="20"/>
                <w:szCs w:val="20"/>
                <w:color w:val="auto"/>
              </w:rPr>
            </w:pPr>
            <w:r>
              <w:rPr>
                <w:rFonts w:ascii="Arial" w:cs="Arial" w:eastAsia="Arial" w:hAnsi="Arial"/>
                <w:sz w:val="14"/>
                <w:szCs w:val="14"/>
                <w:color w:val="auto"/>
              </w:rPr>
              <w:t>Co-President &amp; Co-Chief Operating Officer; CEO Corporate &amp; Investment Bank</w:t>
            </w:r>
          </w:p>
        </w:tc>
        <w:tc>
          <w:tcPr>
            <w:tcW w:w="3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4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5420" w:type="dxa"/>
            <w:vAlign w:val="bottom"/>
            <w:tcBorders>
              <w:bottom w:val="single" w:sz="8" w:color="494949"/>
            </w:tcBorders>
          </w:tcPr>
          <w:p>
            <w:pPr>
              <w:spacing w:after="0"/>
              <w:rPr>
                <w:sz w:val="5"/>
                <w:szCs w:val="5"/>
                <w:color w:val="auto"/>
              </w:rPr>
            </w:pPr>
          </w:p>
        </w:tc>
        <w:tc>
          <w:tcPr>
            <w:tcW w:w="320" w:type="dxa"/>
            <w:vAlign w:val="bottom"/>
            <w:tcBorders>
              <w:bottom w:val="single" w:sz="8" w:color="494949"/>
            </w:tcBorders>
          </w:tcPr>
          <w:p>
            <w:pPr>
              <w:spacing w:after="0"/>
              <w:rPr>
                <w:sz w:val="5"/>
                <w:szCs w:val="5"/>
                <w:color w:val="auto"/>
              </w:rPr>
            </w:pPr>
          </w:p>
        </w:tc>
        <w:tc>
          <w:tcPr>
            <w:tcW w:w="860" w:type="dxa"/>
            <w:vAlign w:val="bottom"/>
            <w:tcBorders>
              <w:bottom w:val="single" w:sz="8" w:color="494949"/>
            </w:tcBorders>
          </w:tcPr>
          <w:p>
            <w:pPr>
              <w:spacing w:after="0"/>
              <w:rPr>
                <w:sz w:val="5"/>
                <w:szCs w:val="5"/>
                <w:color w:val="auto"/>
              </w:rPr>
            </w:pPr>
          </w:p>
        </w:tc>
        <w:tc>
          <w:tcPr>
            <w:tcW w:w="240" w:type="dxa"/>
            <w:vAlign w:val="bottom"/>
            <w:tcBorders>
              <w:bottom w:val="single" w:sz="8" w:color="494949"/>
            </w:tcBorders>
          </w:tcPr>
          <w:p>
            <w:pPr>
              <w:spacing w:after="0"/>
              <w:rPr>
                <w:sz w:val="5"/>
                <w:szCs w:val="5"/>
                <w:color w:val="auto"/>
              </w:rPr>
            </w:pPr>
          </w:p>
        </w:tc>
        <w:tc>
          <w:tcPr>
            <w:tcW w:w="860" w:type="dxa"/>
            <w:vAlign w:val="bottom"/>
            <w:tcBorders>
              <w:bottom w:val="single" w:sz="8" w:color="494949"/>
            </w:tcBorders>
          </w:tcPr>
          <w:p>
            <w:pPr>
              <w:spacing w:after="0"/>
              <w:rPr>
                <w:sz w:val="5"/>
                <w:szCs w:val="5"/>
                <w:color w:val="auto"/>
              </w:rPr>
            </w:pPr>
          </w:p>
        </w:tc>
        <w:tc>
          <w:tcPr>
            <w:tcW w:w="160" w:type="dxa"/>
            <w:vAlign w:val="bottom"/>
            <w:tcBorders>
              <w:bottom w:val="single" w:sz="8" w:color="494949"/>
            </w:tcBorders>
          </w:tcPr>
          <w:p>
            <w:pPr>
              <w:spacing w:after="0"/>
              <w:rPr>
                <w:sz w:val="5"/>
                <w:szCs w:val="5"/>
                <w:color w:val="auto"/>
              </w:rPr>
            </w:pPr>
          </w:p>
        </w:tc>
        <w:tc>
          <w:tcPr>
            <w:tcW w:w="1060" w:type="dxa"/>
            <w:vAlign w:val="bottom"/>
            <w:tcBorders>
              <w:bottom w:val="single" w:sz="8" w:color="494949"/>
            </w:tcBorders>
          </w:tcPr>
          <w:p>
            <w:pPr>
              <w:spacing w:after="0"/>
              <w:rPr>
                <w:sz w:val="5"/>
                <w:szCs w:val="5"/>
                <w:color w:val="auto"/>
              </w:rPr>
            </w:pPr>
          </w:p>
        </w:tc>
        <w:tc>
          <w:tcPr>
            <w:tcW w:w="1060" w:type="dxa"/>
            <w:vAlign w:val="bottom"/>
            <w:tcBorders>
              <w:bottom w:val="single" w:sz="8" w:color="494949"/>
            </w:tcBorders>
          </w:tcPr>
          <w:p>
            <w:pPr>
              <w:spacing w:after="0"/>
              <w:rPr>
                <w:sz w:val="5"/>
                <w:szCs w:val="5"/>
                <w:color w:val="auto"/>
              </w:rPr>
            </w:pPr>
          </w:p>
        </w:tc>
        <w:tc>
          <w:tcPr>
            <w:tcW w:w="240" w:type="dxa"/>
            <w:vAlign w:val="bottom"/>
            <w:tcBorders>
              <w:bottom w:val="single" w:sz="8" w:color="494949"/>
            </w:tcBorders>
          </w:tcPr>
          <w:p>
            <w:pPr>
              <w:spacing w:after="0"/>
              <w:rPr>
                <w:sz w:val="5"/>
                <w:szCs w:val="5"/>
                <w:color w:val="auto"/>
              </w:rPr>
            </w:pPr>
          </w:p>
        </w:tc>
        <w:tc>
          <w:tcPr>
            <w:tcW w:w="1020" w:type="dxa"/>
            <w:vAlign w:val="bottom"/>
            <w:tcBorders>
              <w:bottom w:val="single" w:sz="8" w:color="494949"/>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Gordon Smith</w:t>
            </w:r>
          </w:p>
        </w:tc>
        <w:tc>
          <w:tcPr>
            <w:tcW w:w="3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8,700,000</w:t>
            </w:r>
          </w:p>
        </w:tc>
        <w:tc>
          <w:tcPr>
            <w:tcW w:w="160" w:type="dxa"/>
            <w:vAlign w:val="bottom"/>
          </w:tcPr>
          <w:p>
            <w:pPr>
              <w:spacing w:after="0"/>
              <w:rPr>
                <w:sz w:val="18"/>
                <w:szCs w:val="18"/>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6,525,000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6,525,000</w:t>
            </w:r>
          </w:p>
        </w:tc>
        <w:tc>
          <w:tcPr>
            <w:tcW w:w="240" w:type="dxa"/>
            <w:vAlign w:val="bottom"/>
          </w:tcPr>
          <w:p>
            <w:pPr>
              <w:spacing w:after="0"/>
              <w:rPr>
                <w:sz w:val="18"/>
                <w:szCs w:val="18"/>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109"/>
        </w:trPr>
        <w:tc>
          <w:tcPr>
            <w:tcW w:w="5420" w:type="dxa"/>
            <w:vAlign w:val="bottom"/>
            <w:vMerge w:val="restart"/>
          </w:tcPr>
          <w:p>
            <w:pPr>
              <w:ind w:left="20"/>
              <w:spacing w:after="0"/>
              <w:rPr>
                <w:sz w:val="20"/>
                <w:szCs w:val="20"/>
                <w:color w:val="auto"/>
              </w:rPr>
            </w:pPr>
            <w:r>
              <w:rPr>
                <w:rFonts w:ascii="Arial" w:cs="Arial" w:eastAsia="Arial" w:hAnsi="Arial"/>
                <w:sz w:val="14"/>
                <w:szCs w:val="14"/>
                <w:color w:val="auto"/>
              </w:rPr>
              <w:t>Co-President &amp; Co-Chief Operating Officer; CEO Consumer &amp; Community Banking</w:t>
            </w:r>
          </w:p>
        </w:tc>
        <w:tc>
          <w:tcPr>
            <w:tcW w:w="3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420" w:type="dxa"/>
            <w:vAlign w:val="bottom"/>
            <w:tcBorders>
              <w:bottom w:val="single" w:sz="8" w:color="494949"/>
            </w:tcBorders>
          </w:tcPr>
          <w:p>
            <w:pPr>
              <w:spacing w:after="0"/>
              <w:rPr>
                <w:sz w:val="5"/>
                <w:szCs w:val="5"/>
                <w:color w:val="auto"/>
              </w:rPr>
            </w:pPr>
          </w:p>
        </w:tc>
        <w:tc>
          <w:tcPr>
            <w:tcW w:w="320" w:type="dxa"/>
            <w:vAlign w:val="bottom"/>
            <w:tcBorders>
              <w:bottom w:val="single" w:sz="8" w:color="494949"/>
            </w:tcBorders>
          </w:tcPr>
          <w:p>
            <w:pPr>
              <w:spacing w:after="0"/>
              <w:rPr>
                <w:sz w:val="5"/>
                <w:szCs w:val="5"/>
                <w:color w:val="auto"/>
              </w:rPr>
            </w:pPr>
          </w:p>
        </w:tc>
        <w:tc>
          <w:tcPr>
            <w:tcW w:w="860" w:type="dxa"/>
            <w:vAlign w:val="bottom"/>
            <w:tcBorders>
              <w:bottom w:val="single" w:sz="8" w:color="494949"/>
            </w:tcBorders>
          </w:tcPr>
          <w:p>
            <w:pPr>
              <w:spacing w:after="0"/>
              <w:rPr>
                <w:sz w:val="5"/>
                <w:szCs w:val="5"/>
                <w:color w:val="auto"/>
              </w:rPr>
            </w:pPr>
          </w:p>
        </w:tc>
        <w:tc>
          <w:tcPr>
            <w:tcW w:w="240" w:type="dxa"/>
            <w:vAlign w:val="bottom"/>
            <w:tcBorders>
              <w:bottom w:val="single" w:sz="8" w:color="494949"/>
            </w:tcBorders>
          </w:tcPr>
          <w:p>
            <w:pPr>
              <w:spacing w:after="0"/>
              <w:rPr>
                <w:sz w:val="5"/>
                <w:szCs w:val="5"/>
                <w:color w:val="auto"/>
              </w:rPr>
            </w:pPr>
          </w:p>
        </w:tc>
        <w:tc>
          <w:tcPr>
            <w:tcW w:w="860" w:type="dxa"/>
            <w:vAlign w:val="bottom"/>
            <w:tcBorders>
              <w:bottom w:val="single" w:sz="8" w:color="494949"/>
            </w:tcBorders>
          </w:tcPr>
          <w:p>
            <w:pPr>
              <w:spacing w:after="0"/>
              <w:rPr>
                <w:sz w:val="5"/>
                <w:szCs w:val="5"/>
                <w:color w:val="auto"/>
              </w:rPr>
            </w:pPr>
          </w:p>
        </w:tc>
        <w:tc>
          <w:tcPr>
            <w:tcW w:w="160" w:type="dxa"/>
            <w:vAlign w:val="bottom"/>
            <w:tcBorders>
              <w:bottom w:val="single" w:sz="8" w:color="494949"/>
            </w:tcBorders>
          </w:tcPr>
          <w:p>
            <w:pPr>
              <w:spacing w:after="0"/>
              <w:rPr>
                <w:sz w:val="5"/>
                <w:szCs w:val="5"/>
                <w:color w:val="auto"/>
              </w:rPr>
            </w:pPr>
          </w:p>
        </w:tc>
        <w:tc>
          <w:tcPr>
            <w:tcW w:w="1060" w:type="dxa"/>
            <w:vAlign w:val="bottom"/>
            <w:tcBorders>
              <w:bottom w:val="single" w:sz="8" w:color="494949"/>
            </w:tcBorders>
          </w:tcPr>
          <w:p>
            <w:pPr>
              <w:spacing w:after="0"/>
              <w:rPr>
                <w:sz w:val="5"/>
                <w:szCs w:val="5"/>
                <w:color w:val="auto"/>
              </w:rPr>
            </w:pPr>
          </w:p>
        </w:tc>
        <w:tc>
          <w:tcPr>
            <w:tcW w:w="1060" w:type="dxa"/>
            <w:vAlign w:val="bottom"/>
            <w:tcBorders>
              <w:bottom w:val="single" w:sz="8" w:color="494949"/>
            </w:tcBorders>
          </w:tcPr>
          <w:p>
            <w:pPr>
              <w:spacing w:after="0"/>
              <w:rPr>
                <w:sz w:val="5"/>
                <w:szCs w:val="5"/>
                <w:color w:val="auto"/>
              </w:rPr>
            </w:pPr>
          </w:p>
        </w:tc>
        <w:tc>
          <w:tcPr>
            <w:tcW w:w="240" w:type="dxa"/>
            <w:vAlign w:val="bottom"/>
            <w:tcBorders>
              <w:bottom w:val="single" w:sz="8" w:color="494949"/>
            </w:tcBorders>
          </w:tcPr>
          <w:p>
            <w:pPr>
              <w:spacing w:after="0"/>
              <w:rPr>
                <w:sz w:val="5"/>
                <w:szCs w:val="5"/>
                <w:color w:val="auto"/>
              </w:rPr>
            </w:pPr>
          </w:p>
        </w:tc>
        <w:tc>
          <w:tcPr>
            <w:tcW w:w="1020" w:type="dxa"/>
            <w:vAlign w:val="bottom"/>
            <w:tcBorders>
              <w:bottom w:val="single" w:sz="8" w:color="494949"/>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Mary Callahan Erdoes</w:t>
            </w:r>
          </w:p>
        </w:tc>
        <w:tc>
          <w:tcPr>
            <w:tcW w:w="3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7,900,000</w:t>
            </w:r>
          </w:p>
        </w:tc>
        <w:tc>
          <w:tcPr>
            <w:tcW w:w="160" w:type="dxa"/>
            <w:vAlign w:val="bottom"/>
          </w:tcPr>
          <w:p>
            <w:pPr>
              <w:spacing w:after="0"/>
              <w:rPr>
                <w:sz w:val="18"/>
                <w:szCs w:val="18"/>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5,925,000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5,925,000</w:t>
            </w:r>
          </w:p>
        </w:tc>
        <w:tc>
          <w:tcPr>
            <w:tcW w:w="240" w:type="dxa"/>
            <w:vAlign w:val="bottom"/>
          </w:tcPr>
          <w:p>
            <w:pPr>
              <w:spacing w:after="0"/>
              <w:rPr>
                <w:sz w:val="18"/>
                <w:szCs w:val="18"/>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20,500,000</w:t>
            </w:r>
          </w:p>
        </w:tc>
        <w:tc>
          <w:tcPr>
            <w:tcW w:w="0" w:type="dxa"/>
            <w:vAlign w:val="bottom"/>
          </w:tcPr>
          <w:p>
            <w:pPr>
              <w:spacing w:after="0"/>
              <w:rPr>
                <w:sz w:val="1"/>
                <w:szCs w:val="1"/>
                <w:color w:val="auto"/>
              </w:rPr>
            </w:pPr>
          </w:p>
        </w:tc>
      </w:tr>
      <w:tr>
        <w:trPr>
          <w:trHeight w:val="109"/>
        </w:trPr>
        <w:tc>
          <w:tcPr>
            <w:tcW w:w="5420" w:type="dxa"/>
            <w:vAlign w:val="bottom"/>
            <w:vMerge w:val="restart"/>
          </w:tcPr>
          <w:p>
            <w:pPr>
              <w:ind w:left="20"/>
              <w:spacing w:after="0"/>
              <w:rPr>
                <w:sz w:val="20"/>
                <w:szCs w:val="20"/>
                <w:color w:val="auto"/>
              </w:rPr>
            </w:pPr>
            <w:r>
              <w:rPr>
                <w:rFonts w:ascii="Arial" w:cs="Arial" w:eastAsia="Arial" w:hAnsi="Arial"/>
                <w:sz w:val="14"/>
                <w:szCs w:val="14"/>
                <w:color w:val="auto"/>
              </w:rPr>
              <w:t>CEO Asset &amp; Wealth Management</w:t>
            </w:r>
          </w:p>
        </w:tc>
        <w:tc>
          <w:tcPr>
            <w:tcW w:w="3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420" w:type="dxa"/>
            <w:vAlign w:val="bottom"/>
            <w:tcBorders>
              <w:bottom w:val="single" w:sz="8" w:color="494949"/>
            </w:tcBorders>
          </w:tcPr>
          <w:p>
            <w:pPr>
              <w:spacing w:after="0"/>
              <w:rPr>
                <w:sz w:val="5"/>
                <w:szCs w:val="5"/>
                <w:color w:val="auto"/>
              </w:rPr>
            </w:pPr>
          </w:p>
        </w:tc>
        <w:tc>
          <w:tcPr>
            <w:tcW w:w="320" w:type="dxa"/>
            <w:vAlign w:val="bottom"/>
            <w:tcBorders>
              <w:bottom w:val="single" w:sz="8" w:color="494949"/>
            </w:tcBorders>
          </w:tcPr>
          <w:p>
            <w:pPr>
              <w:spacing w:after="0"/>
              <w:rPr>
                <w:sz w:val="5"/>
                <w:szCs w:val="5"/>
                <w:color w:val="auto"/>
              </w:rPr>
            </w:pPr>
          </w:p>
        </w:tc>
        <w:tc>
          <w:tcPr>
            <w:tcW w:w="860" w:type="dxa"/>
            <w:vAlign w:val="bottom"/>
            <w:tcBorders>
              <w:bottom w:val="single" w:sz="8" w:color="494949"/>
            </w:tcBorders>
          </w:tcPr>
          <w:p>
            <w:pPr>
              <w:spacing w:after="0"/>
              <w:rPr>
                <w:sz w:val="5"/>
                <w:szCs w:val="5"/>
                <w:color w:val="auto"/>
              </w:rPr>
            </w:pPr>
          </w:p>
        </w:tc>
        <w:tc>
          <w:tcPr>
            <w:tcW w:w="240" w:type="dxa"/>
            <w:vAlign w:val="bottom"/>
            <w:tcBorders>
              <w:bottom w:val="single" w:sz="8" w:color="494949"/>
            </w:tcBorders>
          </w:tcPr>
          <w:p>
            <w:pPr>
              <w:spacing w:after="0"/>
              <w:rPr>
                <w:sz w:val="5"/>
                <w:szCs w:val="5"/>
                <w:color w:val="auto"/>
              </w:rPr>
            </w:pPr>
          </w:p>
        </w:tc>
        <w:tc>
          <w:tcPr>
            <w:tcW w:w="860" w:type="dxa"/>
            <w:vAlign w:val="bottom"/>
            <w:tcBorders>
              <w:bottom w:val="single" w:sz="8" w:color="494949"/>
            </w:tcBorders>
          </w:tcPr>
          <w:p>
            <w:pPr>
              <w:spacing w:after="0"/>
              <w:rPr>
                <w:sz w:val="5"/>
                <w:szCs w:val="5"/>
                <w:color w:val="auto"/>
              </w:rPr>
            </w:pPr>
          </w:p>
        </w:tc>
        <w:tc>
          <w:tcPr>
            <w:tcW w:w="160" w:type="dxa"/>
            <w:vAlign w:val="bottom"/>
            <w:tcBorders>
              <w:bottom w:val="single" w:sz="8" w:color="494949"/>
            </w:tcBorders>
          </w:tcPr>
          <w:p>
            <w:pPr>
              <w:spacing w:after="0"/>
              <w:rPr>
                <w:sz w:val="5"/>
                <w:szCs w:val="5"/>
                <w:color w:val="auto"/>
              </w:rPr>
            </w:pPr>
          </w:p>
        </w:tc>
        <w:tc>
          <w:tcPr>
            <w:tcW w:w="1060" w:type="dxa"/>
            <w:vAlign w:val="bottom"/>
            <w:tcBorders>
              <w:bottom w:val="single" w:sz="8" w:color="494949"/>
            </w:tcBorders>
          </w:tcPr>
          <w:p>
            <w:pPr>
              <w:spacing w:after="0"/>
              <w:rPr>
                <w:sz w:val="5"/>
                <w:szCs w:val="5"/>
                <w:color w:val="auto"/>
              </w:rPr>
            </w:pPr>
          </w:p>
        </w:tc>
        <w:tc>
          <w:tcPr>
            <w:tcW w:w="1060" w:type="dxa"/>
            <w:vAlign w:val="bottom"/>
            <w:tcBorders>
              <w:bottom w:val="single" w:sz="8" w:color="494949"/>
            </w:tcBorders>
          </w:tcPr>
          <w:p>
            <w:pPr>
              <w:spacing w:after="0"/>
              <w:rPr>
                <w:sz w:val="5"/>
                <w:szCs w:val="5"/>
                <w:color w:val="auto"/>
              </w:rPr>
            </w:pPr>
          </w:p>
        </w:tc>
        <w:tc>
          <w:tcPr>
            <w:tcW w:w="240" w:type="dxa"/>
            <w:vAlign w:val="bottom"/>
            <w:tcBorders>
              <w:bottom w:val="single" w:sz="8" w:color="494949"/>
            </w:tcBorders>
          </w:tcPr>
          <w:p>
            <w:pPr>
              <w:spacing w:after="0"/>
              <w:rPr>
                <w:sz w:val="5"/>
                <w:szCs w:val="5"/>
                <w:color w:val="auto"/>
              </w:rPr>
            </w:pPr>
          </w:p>
        </w:tc>
        <w:tc>
          <w:tcPr>
            <w:tcW w:w="1020" w:type="dxa"/>
            <w:vAlign w:val="bottom"/>
            <w:tcBorders>
              <w:bottom w:val="single" w:sz="8" w:color="494949"/>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p>
        </w:tc>
        <w:tc>
          <w:tcPr>
            <w:tcW w:w="3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6,300,000</w:t>
            </w:r>
          </w:p>
        </w:tc>
        <w:tc>
          <w:tcPr>
            <w:tcW w:w="160" w:type="dxa"/>
            <w:vAlign w:val="bottom"/>
          </w:tcPr>
          <w:p>
            <w:pPr>
              <w:spacing w:after="0"/>
              <w:rPr>
                <w:sz w:val="18"/>
                <w:szCs w:val="18"/>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4,725,000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4,725,000</w:t>
            </w:r>
          </w:p>
        </w:tc>
        <w:tc>
          <w:tcPr>
            <w:tcW w:w="240" w:type="dxa"/>
            <w:vAlign w:val="bottom"/>
          </w:tcPr>
          <w:p>
            <w:pPr>
              <w:spacing w:after="0"/>
              <w:rPr>
                <w:sz w:val="18"/>
                <w:szCs w:val="18"/>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16,500,000</w:t>
            </w:r>
          </w:p>
        </w:tc>
        <w:tc>
          <w:tcPr>
            <w:tcW w:w="0" w:type="dxa"/>
            <w:vAlign w:val="bottom"/>
          </w:tcPr>
          <w:p>
            <w:pPr>
              <w:spacing w:after="0"/>
              <w:rPr>
                <w:sz w:val="1"/>
                <w:szCs w:val="1"/>
                <w:color w:val="auto"/>
              </w:rPr>
            </w:pPr>
          </w:p>
        </w:tc>
      </w:tr>
      <w:tr>
        <w:trPr>
          <w:trHeight w:val="109"/>
        </w:trPr>
        <w:tc>
          <w:tcPr>
            <w:tcW w:w="5420" w:type="dxa"/>
            <w:vAlign w:val="bottom"/>
            <w:vMerge w:val="restart"/>
          </w:tcPr>
          <w:p>
            <w:pPr>
              <w:ind w:left="20"/>
              <w:spacing w:after="0"/>
              <w:rPr>
                <w:sz w:val="20"/>
                <w:szCs w:val="20"/>
                <w:color w:val="auto"/>
              </w:rPr>
            </w:pPr>
            <w:r>
              <w:rPr>
                <w:rFonts w:ascii="Arial" w:cs="Arial" w:eastAsia="Arial" w:hAnsi="Arial"/>
                <w:sz w:val="14"/>
                <w:szCs w:val="14"/>
                <w:color w:val="auto"/>
              </w:rPr>
              <w:t>Co-CEO Consumer &amp; Community Banking; Former Chief Financial Officer</w:t>
            </w:r>
          </w:p>
        </w:tc>
        <w:tc>
          <w:tcPr>
            <w:tcW w:w="3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420" w:type="dxa"/>
            <w:vAlign w:val="bottom"/>
            <w:tcBorders>
              <w:bottom w:val="single" w:sz="8" w:color="494949"/>
            </w:tcBorders>
          </w:tcPr>
          <w:p>
            <w:pPr>
              <w:spacing w:after="0"/>
              <w:rPr>
                <w:sz w:val="5"/>
                <w:szCs w:val="5"/>
                <w:color w:val="auto"/>
              </w:rPr>
            </w:pPr>
          </w:p>
        </w:tc>
        <w:tc>
          <w:tcPr>
            <w:tcW w:w="320" w:type="dxa"/>
            <w:vAlign w:val="bottom"/>
            <w:tcBorders>
              <w:bottom w:val="single" w:sz="8" w:color="494949"/>
            </w:tcBorders>
          </w:tcPr>
          <w:p>
            <w:pPr>
              <w:spacing w:after="0"/>
              <w:rPr>
                <w:sz w:val="5"/>
                <w:szCs w:val="5"/>
                <w:color w:val="auto"/>
              </w:rPr>
            </w:pPr>
          </w:p>
        </w:tc>
        <w:tc>
          <w:tcPr>
            <w:tcW w:w="860" w:type="dxa"/>
            <w:vAlign w:val="bottom"/>
            <w:tcBorders>
              <w:bottom w:val="single" w:sz="8" w:color="494949"/>
            </w:tcBorders>
          </w:tcPr>
          <w:p>
            <w:pPr>
              <w:spacing w:after="0"/>
              <w:rPr>
                <w:sz w:val="5"/>
                <w:szCs w:val="5"/>
                <w:color w:val="auto"/>
              </w:rPr>
            </w:pPr>
          </w:p>
        </w:tc>
        <w:tc>
          <w:tcPr>
            <w:tcW w:w="240" w:type="dxa"/>
            <w:vAlign w:val="bottom"/>
            <w:tcBorders>
              <w:bottom w:val="single" w:sz="8" w:color="494949"/>
            </w:tcBorders>
          </w:tcPr>
          <w:p>
            <w:pPr>
              <w:spacing w:after="0"/>
              <w:rPr>
                <w:sz w:val="5"/>
                <w:szCs w:val="5"/>
                <w:color w:val="auto"/>
              </w:rPr>
            </w:pPr>
          </w:p>
        </w:tc>
        <w:tc>
          <w:tcPr>
            <w:tcW w:w="860" w:type="dxa"/>
            <w:vAlign w:val="bottom"/>
            <w:tcBorders>
              <w:bottom w:val="single" w:sz="8" w:color="494949"/>
            </w:tcBorders>
          </w:tcPr>
          <w:p>
            <w:pPr>
              <w:spacing w:after="0"/>
              <w:rPr>
                <w:sz w:val="5"/>
                <w:szCs w:val="5"/>
                <w:color w:val="auto"/>
              </w:rPr>
            </w:pPr>
          </w:p>
        </w:tc>
        <w:tc>
          <w:tcPr>
            <w:tcW w:w="160" w:type="dxa"/>
            <w:vAlign w:val="bottom"/>
            <w:tcBorders>
              <w:bottom w:val="single" w:sz="8" w:color="494949"/>
            </w:tcBorders>
          </w:tcPr>
          <w:p>
            <w:pPr>
              <w:spacing w:after="0"/>
              <w:rPr>
                <w:sz w:val="5"/>
                <w:szCs w:val="5"/>
                <w:color w:val="auto"/>
              </w:rPr>
            </w:pPr>
          </w:p>
        </w:tc>
        <w:tc>
          <w:tcPr>
            <w:tcW w:w="1060" w:type="dxa"/>
            <w:vAlign w:val="bottom"/>
            <w:tcBorders>
              <w:bottom w:val="single" w:sz="8" w:color="494949"/>
            </w:tcBorders>
          </w:tcPr>
          <w:p>
            <w:pPr>
              <w:spacing w:after="0"/>
              <w:rPr>
                <w:sz w:val="5"/>
                <w:szCs w:val="5"/>
                <w:color w:val="auto"/>
              </w:rPr>
            </w:pPr>
          </w:p>
        </w:tc>
        <w:tc>
          <w:tcPr>
            <w:tcW w:w="1060" w:type="dxa"/>
            <w:vAlign w:val="bottom"/>
            <w:tcBorders>
              <w:bottom w:val="single" w:sz="8" w:color="494949"/>
            </w:tcBorders>
          </w:tcPr>
          <w:p>
            <w:pPr>
              <w:spacing w:after="0"/>
              <w:rPr>
                <w:sz w:val="5"/>
                <w:szCs w:val="5"/>
                <w:color w:val="auto"/>
              </w:rPr>
            </w:pPr>
          </w:p>
        </w:tc>
        <w:tc>
          <w:tcPr>
            <w:tcW w:w="240" w:type="dxa"/>
            <w:vAlign w:val="bottom"/>
            <w:tcBorders>
              <w:bottom w:val="single" w:sz="8" w:color="494949"/>
            </w:tcBorders>
          </w:tcPr>
          <w:p>
            <w:pPr>
              <w:spacing w:after="0"/>
              <w:rPr>
                <w:sz w:val="5"/>
                <w:szCs w:val="5"/>
                <w:color w:val="auto"/>
              </w:rPr>
            </w:pPr>
          </w:p>
        </w:tc>
        <w:tc>
          <w:tcPr>
            <w:tcW w:w="1020" w:type="dxa"/>
            <w:vAlign w:val="bottom"/>
            <w:tcBorders>
              <w:bottom w:val="single" w:sz="8" w:color="494949"/>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Jeremy Barnum</w:t>
            </w:r>
          </w:p>
        </w:tc>
        <w:tc>
          <w:tcPr>
            <w:tcW w:w="3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693,750</w:t>
            </w:r>
          </w:p>
        </w:tc>
        <w:tc>
          <w:tcPr>
            <w:tcW w:w="2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3,722,500</w:t>
            </w:r>
          </w:p>
        </w:tc>
        <w:tc>
          <w:tcPr>
            <w:tcW w:w="160" w:type="dxa"/>
            <w:vAlign w:val="bottom"/>
          </w:tcPr>
          <w:p>
            <w:pPr>
              <w:spacing w:after="0"/>
              <w:rPr>
                <w:sz w:val="18"/>
                <w:szCs w:val="18"/>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2,791,875</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2,791,875</w:t>
            </w:r>
          </w:p>
        </w:tc>
        <w:tc>
          <w:tcPr>
            <w:tcW w:w="240" w:type="dxa"/>
            <w:vAlign w:val="bottom"/>
          </w:tcPr>
          <w:p>
            <w:pPr>
              <w:spacing w:after="0"/>
              <w:rPr>
                <w:sz w:val="18"/>
                <w:szCs w:val="18"/>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109"/>
        </w:trPr>
        <w:tc>
          <w:tcPr>
            <w:tcW w:w="5420" w:type="dxa"/>
            <w:vAlign w:val="bottom"/>
            <w:vMerge w:val="restart"/>
          </w:tcPr>
          <w:p>
            <w:pPr>
              <w:ind w:left="20"/>
              <w:spacing w:after="0"/>
              <w:rPr>
                <w:sz w:val="20"/>
                <w:szCs w:val="20"/>
                <w:color w:val="auto"/>
              </w:rPr>
            </w:pPr>
            <w:r>
              <w:rPr>
                <w:rFonts w:ascii="Arial" w:cs="Arial" w:eastAsia="Arial" w:hAnsi="Arial"/>
                <w:sz w:val="14"/>
                <w:szCs w:val="14"/>
                <w:color w:val="auto"/>
              </w:rPr>
              <w:t>Chief Financial Officer</w:t>
            </w:r>
          </w:p>
        </w:tc>
        <w:tc>
          <w:tcPr>
            <w:tcW w:w="3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4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5420" w:type="dxa"/>
            <w:vAlign w:val="bottom"/>
            <w:tcBorders>
              <w:bottom w:val="single" w:sz="8" w:color="494949"/>
            </w:tcBorders>
          </w:tcPr>
          <w:p>
            <w:pPr>
              <w:spacing w:after="0"/>
              <w:rPr>
                <w:sz w:val="5"/>
                <w:szCs w:val="5"/>
                <w:color w:val="auto"/>
              </w:rPr>
            </w:pPr>
          </w:p>
        </w:tc>
        <w:tc>
          <w:tcPr>
            <w:tcW w:w="320" w:type="dxa"/>
            <w:vAlign w:val="bottom"/>
            <w:tcBorders>
              <w:bottom w:val="single" w:sz="8" w:color="494949"/>
            </w:tcBorders>
          </w:tcPr>
          <w:p>
            <w:pPr>
              <w:spacing w:after="0"/>
              <w:rPr>
                <w:sz w:val="5"/>
                <w:szCs w:val="5"/>
                <w:color w:val="auto"/>
              </w:rPr>
            </w:pPr>
          </w:p>
        </w:tc>
        <w:tc>
          <w:tcPr>
            <w:tcW w:w="5500" w:type="dxa"/>
            <w:vAlign w:val="bottom"/>
            <w:tcBorders>
              <w:bottom w:val="single" w:sz="8" w:color="494949"/>
            </w:tcBorders>
            <w:gridSpan w:val="8"/>
          </w:tcPr>
          <w:p>
            <w:pPr>
              <w:spacing w:after="0"/>
              <w:rPr>
                <w:sz w:val="5"/>
                <w:szCs w:val="5"/>
                <w:color w:val="auto"/>
              </w:rPr>
            </w:pPr>
          </w:p>
        </w:tc>
        <w:tc>
          <w:tcPr>
            <w:tcW w:w="0" w:type="dxa"/>
            <w:vAlign w:val="bottom"/>
          </w:tcPr>
          <w:p>
            <w:pPr>
              <w:spacing w:after="0"/>
              <w:rPr>
                <w:sz w:val="1"/>
                <w:szCs w:val="1"/>
                <w:color w:val="auto"/>
              </w:rPr>
            </w:pPr>
          </w:p>
        </w:tc>
      </w:tr>
      <w:tr>
        <w:trPr>
          <w:trHeight w:val="427"/>
        </w:trPr>
        <w:tc>
          <w:tcPr>
            <w:tcW w:w="5420" w:type="dxa"/>
            <w:vAlign w:val="bottom"/>
          </w:tcPr>
          <w:p>
            <w:pPr>
              <w:ind w:left="20"/>
              <w:spacing w:after="0"/>
              <w:rPr>
                <w:sz w:val="20"/>
                <w:szCs w:val="20"/>
                <w:color w:val="auto"/>
              </w:rPr>
            </w:pPr>
            <w:r>
              <w:rPr>
                <w:rFonts w:ascii="Arial" w:cs="Arial" w:eastAsia="Arial" w:hAnsi="Arial"/>
                <w:sz w:val="18"/>
                <w:szCs w:val="18"/>
                <w:color w:val="00497F"/>
              </w:rPr>
              <w:t>Consistently strong relative CEO pay-for-performance alignment</w:t>
            </w:r>
          </w:p>
        </w:tc>
        <w:tc>
          <w:tcPr>
            <w:tcW w:w="320" w:type="dxa"/>
            <w:vAlign w:val="bottom"/>
          </w:tcPr>
          <w:p>
            <w:pPr>
              <w:spacing w:after="0"/>
              <w:rPr>
                <w:sz w:val="24"/>
                <w:szCs w:val="24"/>
                <w:color w:val="auto"/>
              </w:rPr>
            </w:pPr>
          </w:p>
        </w:tc>
        <w:tc>
          <w:tcPr>
            <w:tcW w:w="5500" w:type="dxa"/>
            <w:vAlign w:val="bottom"/>
            <w:gridSpan w:val="8"/>
          </w:tcPr>
          <w:p>
            <w:pPr>
              <w:jc w:val="right"/>
              <w:ind w:right="188"/>
              <w:spacing w:after="0"/>
              <w:rPr>
                <w:sz w:val="20"/>
                <w:szCs w:val="20"/>
                <w:color w:val="auto"/>
              </w:rPr>
            </w:pPr>
            <w:r>
              <w:rPr>
                <w:rFonts w:ascii="Arial" w:cs="Arial" w:eastAsia="Arial" w:hAnsi="Arial"/>
                <w:sz w:val="16"/>
                <w:szCs w:val="16"/>
                <w:i w:val="1"/>
                <w:iCs w:val="1"/>
                <w:color w:val="00497F"/>
              </w:rPr>
              <w:t>Prior 3-Year Average % of Profits Paid to CEOs (2018-2020)</w:t>
            </w:r>
            <w:r>
              <w:rPr>
                <w:rFonts w:ascii="Arial" w:cs="Arial" w:eastAsia="Arial" w:hAnsi="Arial"/>
                <w:sz w:val="21"/>
                <w:szCs w:val="21"/>
                <w:i w:val="1"/>
                <w:iCs w:val="1"/>
                <w:color w:val="00497F"/>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0972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ind w:left="20" w:right="5160"/>
        <w:spacing w:after="0" w:line="256" w:lineRule="auto"/>
        <w:rPr>
          <w:sz w:val="20"/>
          <w:szCs w:val="20"/>
          <w:color w:val="auto"/>
        </w:rPr>
      </w:pPr>
      <w:r>
        <w:rPr>
          <w:rFonts w:ascii="Arial" w:cs="Arial" w:eastAsia="Arial" w:hAnsi="Arial"/>
          <w:sz w:val="16"/>
          <w:szCs w:val="16"/>
          <w:color w:val="auto"/>
        </w:rPr>
        <w:t>The CEO pay allocation chart alongside compares Mr. Dimon’s compensation to that of the CEOs of our six financial services peers, based on three-year average total compensation expressed as a percentage of net income.</w:t>
      </w:r>
    </w:p>
    <w:p>
      <w:pPr>
        <w:spacing w:after="0" w:line="71" w:lineRule="exact"/>
        <w:rPr>
          <w:sz w:val="20"/>
          <w:szCs w:val="20"/>
          <w:color w:val="auto"/>
        </w:rPr>
      </w:pPr>
    </w:p>
    <w:p>
      <w:pPr>
        <w:jc w:val="both"/>
        <w:ind w:left="20" w:right="5200"/>
        <w:spacing w:after="0" w:line="266" w:lineRule="auto"/>
        <w:rPr>
          <w:sz w:val="20"/>
          <w:szCs w:val="20"/>
          <w:color w:val="auto"/>
        </w:rPr>
      </w:pPr>
      <w:r>
        <w:rPr>
          <w:rFonts w:ascii="Arial" w:cs="Arial" w:eastAsia="Arial" w:hAnsi="Arial"/>
          <w:sz w:val="16"/>
          <w:szCs w:val="16"/>
          <w:color w:val="auto"/>
        </w:rPr>
        <w:t>The Firm's trailing average percentage of net income paid to Mr. Dimon continues to rank among the lowest of our peers, demonstrating our strong pay-for-performance alignment, and a more efficient CEO pay allocation ratio.</w:t>
      </w:r>
    </w:p>
    <w:p>
      <w:pPr>
        <w:spacing w:after="0" w:line="235" w:lineRule="exact"/>
        <w:rPr>
          <w:sz w:val="20"/>
          <w:szCs w:val="20"/>
          <w:color w:val="auto"/>
        </w:rPr>
      </w:pPr>
    </w:p>
    <w:p>
      <w:pPr>
        <w:ind w:left="200" w:hanging="192"/>
        <w:spacing w:after="0" w:line="226" w:lineRule="auto"/>
        <w:tabs>
          <w:tab w:leader="none" w:pos="200" w:val="left"/>
        </w:tabs>
        <w:numPr>
          <w:ilvl w:val="0"/>
          <w:numId w:val="32"/>
        </w:numPr>
        <w:rPr>
          <w:rFonts w:ascii="Arial" w:cs="Arial" w:eastAsia="Arial" w:hAnsi="Arial"/>
          <w:sz w:val="16"/>
          <w:szCs w:val="16"/>
          <w:color w:val="auto"/>
          <w:vertAlign w:val="superscript"/>
        </w:rPr>
      </w:pPr>
      <w:r>
        <w:rPr>
          <w:rFonts w:ascii="Arial" w:cs="Arial" w:eastAsia="Arial" w:hAnsi="Arial"/>
          <w:sz w:val="13"/>
          <w:szCs w:val="13"/>
          <w:color w:val="auto"/>
        </w:rPr>
        <w:t>Mr. Dimon and Mr. Pinto were granted special awards in the form of stock appreciation rights that are not part of their regular annual compensation and will not be awarded on a recurring basis. Refer to page 66 for further information.</w:t>
      </w:r>
    </w:p>
    <w:p>
      <w:pPr>
        <w:ind w:left="200" w:hanging="192"/>
        <w:spacing w:after="0" w:line="211" w:lineRule="auto"/>
        <w:tabs>
          <w:tab w:leader="none" w:pos="200" w:val="left"/>
        </w:tabs>
        <w:numPr>
          <w:ilvl w:val="0"/>
          <w:numId w:val="33"/>
        </w:numPr>
        <w:rPr>
          <w:rFonts w:ascii="Arial" w:cs="Arial" w:eastAsia="Arial" w:hAnsi="Arial"/>
          <w:sz w:val="16"/>
          <w:szCs w:val="16"/>
          <w:color w:val="auto"/>
          <w:vertAlign w:val="superscript"/>
        </w:rPr>
      </w:pPr>
      <w:r>
        <w:rPr>
          <w:rFonts w:ascii="Arial" w:cs="Arial" w:eastAsia="Arial" w:hAnsi="Arial"/>
          <w:sz w:val="13"/>
          <w:szCs w:val="13"/>
          <w:color w:val="auto"/>
        </w:rPr>
        <w:t>Mr. Pinto, who was based in the U.K. in 2021, received a fixed allowance of $8,400,000 paid in British pound sterling and a salary of £475,000.</w:t>
      </w:r>
    </w:p>
    <w:p>
      <w:pPr>
        <w:spacing w:after="0" w:line="8" w:lineRule="exact"/>
        <w:rPr>
          <w:sz w:val="20"/>
          <w:szCs w:val="20"/>
          <w:color w:val="auto"/>
        </w:rPr>
      </w:pPr>
    </w:p>
    <w:p>
      <w:pPr>
        <w:ind w:left="200" w:right="80" w:hanging="192"/>
        <w:spacing w:after="0" w:line="218" w:lineRule="auto"/>
        <w:tabs>
          <w:tab w:leader="none" w:pos="200" w:val="left"/>
        </w:tabs>
        <w:numPr>
          <w:ilvl w:val="0"/>
          <w:numId w:val="34"/>
        </w:numPr>
        <w:rPr>
          <w:rFonts w:ascii="Arial" w:cs="Arial" w:eastAsia="Arial" w:hAnsi="Arial"/>
          <w:sz w:val="16"/>
          <w:szCs w:val="16"/>
          <w:color w:val="auto"/>
          <w:vertAlign w:val="superscript"/>
        </w:rPr>
      </w:pPr>
      <w:r>
        <w:rPr>
          <w:rFonts w:ascii="Arial" w:cs="Arial" w:eastAsia="Arial" w:hAnsi="Arial"/>
          <w:sz w:val="13"/>
          <w:szCs w:val="13"/>
          <w:color w:val="auto"/>
        </w:rPr>
        <w:t>Total compensation is comprised of base salary, cash bonus paid and long-term incentive compensation (target value) in connection with the performance year, which may be different from amounts reported in the Summary Compensation Table. Refer to Note 1 on page 66 for further information</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206375</wp:posOffset>
            </wp:positionV>
            <wp:extent cx="274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  </w:t>
      </w:r>
      <w:r>
        <w:rPr>
          <w:sz w:val="1"/>
          <w:szCs w:val="1"/>
          <w:color w:val="auto"/>
        </w:rPr>
        <w:drawing>
          <wp:inline distT="0" distB="0" distL="0" distR="0">
            <wp:extent cx="2203450" cy="1543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66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81"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074A75"/>
        </w:rPr>
        <w:t>Proposal 3: Ratification of the Firm’s independent registered public accounting firm – page 85</w:t>
      </w:r>
    </w:p>
    <w:p>
      <w:pPr>
        <w:spacing w:after="0" w:line="2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Audit Committee has appointed PricewaterhouseCoopers LLP (“PwC”) as the Firm’s independent registered public accounting firm to audit the Consolidated Financial Statements of JPMorgan Chase and its subsidiaries for the year ending December 31, 2022. A resolution is being presented to our shareholders requesting ratification of PwC’s appointment.</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auto"/>
              </w:rPr>
              <w:t>2022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9</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43"/>
          <w:szCs w:val="43"/>
          <w:color w:val="074A7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color w:val="074A75"/>
        </w:rPr>
        <w:t>Proposal 1: Election of Directors</w:t>
      </w:r>
    </w:p>
    <w:p>
      <w:pPr>
        <w:spacing w:after="0" w:line="179" w:lineRule="exact"/>
        <w:rPr>
          <w:sz w:val="20"/>
          <w:szCs w:val="20"/>
          <w:color w:val="auto"/>
        </w:rPr>
      </w:pPr>
    </w:p>
    <w:p>
      <w:pPr>
        <w:ind w:left="20" w:right="960"/>
        <w:spacing w:after="0" w:line="268" w:lineRule="auto"/>
        <w:rPr>
          <w:sz w:val="20"/>
          <w:szCs w:val="20"/>
          <w:color w:val="auto"/>
        </w:rPr>
      </w:pPr>
      <w:r>
        <w:rPr>
          <w:rFonts w:ascii="Arial" w:cs="Arial" w:eastAsia="Arial" w:hAnsi="Arial"/>
          <w:sz w:val="18"/>
          <w:szCs w:val="18"/>
          <w:color w:val="auto"/>
        </w:rPr>
        <w:t>Our Board of Directors has nominated 10 directors, who, if elected by shareholders at our annual meeting, will be expected to serve until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900430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-208915</wp:posOffset>
            </wp:positionV>
            <wp:extent cx="3060065" cy="4972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60065" cy="49720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FFFFFF"/>
        </w:rPr>
        <w:t>Vote FOR all nominees</w:t>
      </w:r>
    </w:p>
    <w:p>
      <w:pPr>
        <w:spacing w:after="0" w:line="286" w:lineRule="exact"/>
        <w:rPr>
          <w:sz w:val="20"/>
          <w:szCs w:val="20"/>
          <w:color w:val="auto"/>
        </w:rPr>
      </w:pPr>
    </w:p>
    <w:p>
      <w:pPr>
        <w:sectPr>
          <w:pgSz w:w="11900" w:h="16838" w:orient="portrait"/>
          <w:cols w:equalWidth="0" w:num="2">
            <w:col w:w="6260" w:space="720"/>
            <w:col w:w="4240"/>
          </w:cols>
          <w:pgMar w:left="320" w:top="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Key factors for shareholder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820" w:right="6520" w:hanging="403"/>
        <w:spacing w:after="0" w:line="196" w:lineRule="auto"/>
        <w:tabs>
          <w:tab w:leader="none" w:pos="820" w:val="left"/>
        </w:tabs>
        <w:numPr>
          <w:ilvl w:val="0"/>
          <w:numId w:val="35"/>
        </w:numPr>
        <w:rPr>
          <w:rFonts w:ascii="Arial" w:cs="Arial" w:eastAsia="Arial" w:hAnsi="Arial"/>
          <w:sz w:val="32"/>
          <w:szCs w:val="32"/>
          <w:color w:val="074A75"/>
        </w:rPr>
      </w:pPr>
      <w:r>
        <w:rPr>
          <w:rFonts w:ascii="Arial" w:cs="Arial" w:eastAsia="Arial" w:hAnsi="Arial"/>
          <w:sz w:val="20"/>
          <w:szCs w:val="20"/>
          <w:color w:val="074A75"/>
        </w:rPr>
        <w:t>Director nominees, Director independence &amp; recruitment</w:t>
      </w:r>
    </w:p>
    <w:p>
      <w:pPr>
        <w:spacing w:after="0" w:line="86" w:lineRule="exact"/>
        <w:rPr>
          <w:rFonts w:ascii="Arial" w:cs="Arial" w:eastAsia="Arial" w:hAnsi="Arial"/>
          <w:sz w:val="32"/>
          <w:szCs w:val="32"/>
          <w:color w:val="074A75"/>
        </w:rPr>
      </w:pPr>
    </w:p>
    <w:p>
      <w:pPr>
        <w:ind w:left="1020" w:right="5640" w:hanging="192"/>
        <w:spacing w:after="0" w:line="286" w:lineRule="auto"/>
        <w:tabs>
          <w:tab w:leader="none" w:pos="1017" w:val="left"/>
        </w:tabs>
        <w:numPr>
          <w:ilvl w:val="1"/>
          <w:numId w:val="35"/>
        </w:numPr>
        <w:rPr>
          <w:rFonts w:ascii="Arial" w:cs="Arial" w:eastAsia="Arial" w:hAnsi="Arial"/>
          <w:sz w:val="16"/>
          <w:szCs w:val="16"/>
          <w:color w:val="074A75"/>
        </w:rPr>
      </w:pPr>
      <w:r>
        <w:rPr>
          <w:rFonts w:ascii="Arial" w:cs="Arial" w:eastAsia="Arial" w:hAnsi="Arial"/>
          <w:sz w:val="16"/>
          <w:szCs w:val="16"/>
          <w:color w:val="auto"/>
        </w:rPr>
        <w:t>Nominees have executive experience and skills aligned with the Firm’s business and strategy</w:t>
      </w:r>
    </w:p>
    <w:p>
      <w:pPr>
        <w:spacing w:after="0" w:line="47" w:lineRule="exact"/>
        <w:rPr>
          <w:rFonts w:ascii="Arial" w:cs="Arial" w:eastAsia="Arial" w:hAnsi="Arial"/>
          <w:sz w:val="16"/>
          <w:szCs w:val="16"/>
          <w:color w:val="074A75"/>
        </w:rPr>
      </w:pPr>
    </w:p>
    <w:p>
      <w:pPr>
        <w:ind w:left="1020" w:right="5960" w:hanging="192"/>
        <w:spacing w:after="0" w:line="286" w:lineRule="auto"/>
        <w:tabs>
          <w:tab w:leader="none" w:pos="1017" w:val="left"/>
        </w:tabs>
        <w:numPr>
          <w:ilvl w:val="1"/>
          <w:numId w:val="35"/>
        </w:numPr>
        <w:rPr>
          <w:rFonts w:ascii="Arial" w:cs="Arial" w:eastAsia="Arial" w:hAnsi="Arial"/>
          <w:sz w:val="16"/>
          <w:szCs w:val="16"/>
          <w:color w:val="074A75"/>
        </w:rPr>
      </w:pPr>
      <w:r>
        <w:rPr>
          <w:rFonts w:ascii="Arial" w:cs="Arial" w:eastAsia="Arial" w:hAnsi="Arial"/>
          <w:sz w:val="16"/>
          <w:szCs w:val="16"/>
          <w:color w:val="auto"/>
        </w:rPr>
        <w:t>Ongoing recruitment and refreshment promote a balance of experience and fresh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-1022985</wp:posOffset>
            </wp:positionV>
            <wp:extent cx="7132320" cy="27857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color w:val="074A75"/>
        </w:rPr>
        <w:t>Pages</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3"/>
          <w:szCs w:val="13"/>
          <w:color w:val="074A75"/>
        </w:rPr>
        <w:t>12-21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28575</wp:posOffset>
            </wp:positionV>
            <wp:extent cx="3402965"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2965" cy="9398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51" w:lineRule="exact"/>
        <w:rPr>
          <w:sz w:val="20"/>
          <w:szCs w:val="20"/>
          <w:color w:val="auto"/>
        </w:rPr>
      </w:pPr>
    </w:p>
    <w:p>
      <w:pPr>
        <w:ind w:left="840" w:hanging="409"/>
        <w:spacing w:after="0"/>
        <w:tabs>
          <w:tab w:leader="none" w:pos="840" w:val="left"/>
        </w:tabs>
        <w:numPr>
          <w:ilvl w:val="0"/>
          <w:numId w:val="36"/>
        </w:numPr>
        <w:rPr>
          <w:rFonts w:ascii="Arial" w:cs="Arial" w:eastAsia="Arial" w:hAnsi="Arial"/>
          <w:sz w:val="65"/>
          <w:szCs w:val="65"/>
          <w:color w:val="074A75"/>
          <w:vertAlign w:val="subscript"/>
        </w:rPr>
      </w:pPr>
      <w:r>
        <w:rPr>
          <w:rFonts w:ascii="Arial" w:cs="Arial" w:eastAsia="Arial" w:hAnsi="Arial"/>
          <w:sz w:val="20"/>
          <w:szCs w:val="20"/>
          <w:color w:val="074A75"/>
        </w:rPr>
        <w:t>Board Governance</w:t>
      </w:r>
    </w:p>
    <w:p>
      <w:pPr>
        <w:spacing w:after="0" w:line="218" w:lineRule="exact"/>
        <w:rPr>
          <w:rFonts w:ascii="Arial" w:cs="Arial" w:eastAsia="Arial" w:hAnsi="Arial"/>
          <w:sz w:val="65"/>
          <w:szCs w:val="65"/>
          <w:color w:val="074A75"/>
          <w:vertAlign w:val="subscript"/>
        </w:rPr>
      </w:pPr>
    </w:p>
    <w:p>
      <w:pPr>
        <w:ind w:left="1040" w:hanging="199"/>
        <w:spacing w:after="0" w:line="286" w:lineRule="auto"/>
        <w:tabs>
          <w:tab w:leader="none" w:pos="1037" w:val="left"/>
        </w:tabs>
        <w:numPr>
          <w:ilvl w:val="1"/>
          <w:numId w:val="36"/>
        </w:numPr>
        <w:rPr>
          <w:rFonts w:ascii="Arial" w:cs="Arial" w:eastAsia="Arial" w:hAnsi="Arial"/>
          <w:sz w:val="16"/>
          <w:szCs w:val="16"/>
          <w:color w:val="074A75"/>
        </w:rPr>
      </w:pPr>
      <w:r>
        <w:rPr>
          <w:rFonts w:ascii="Arial" w:cs="Arial" w:eastAsia="Arial" w:hAnsi="Arial"/>
          <w:sz w:val="16"/>
          <w:szCs w:val="16"/>
          <w:color w:val="auto"/>
        </w:rPr>
        <w:t>Lead Independent Director facilitates independent oversight of management</w:t>
      </w:r>
    </w:p>
    <w:p>
      <w:pPr>
        <w:spacing w:after="0" w:line="47" w:lineRule="exact"/>
        <w:rPr>
          <w:rFonts w:ascii="Arial" w:cs="Arial" w:eastAsia="Arial" w:hAnsi="Arial"/>
          <w:sz w:val="16"/>
          <w:szCs w:val="16"/>
          <w:color w:val="074A75"/>
        </w:rPr>
      </w:pPr>
    </w:p>
    <w:p>
      <w:pPr>
        <w:ind w:left="1040" w:hanging="199"/>
        <w:spacing w:after="0"/>
        <w:tabs>
          <w:tab w:leader="none" w:pos="1040" w:val="left"/>
        </w:tabs>
        <w:numPr>
          <w:ilvl w:val="1"/>
          <w:numId w:val="36"/>
        </w:numPr>
        <w:rPr>
          <w:rFonts w:ascii="Arial" w:cs="Arial" w:eastAsia="Arial" w:hAnsi="Arial"/>
          <w:sz w:val="16"/>
          <w:szCs w:val="16"/>
          <w:color w:val="074A75"/>
        </w:rPr>
      </w:pPr>
      <w:r>
        <w:rPr>
          <w:rFonts w:ascii="Arial" w:cs="Arial" w:eastAsia="Arial" w:hAnsi="Arial"/>
          <w:sz w:val="16"/>
          <w:szCs w:val="16"/>
          <w:color w:val="auto"/>
        </w:rPr>
        <w:t>Board conducts an annual self-assessment and review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-801370</wp:posOffset>
            </wp:positionV>
            <wp:extent cx="713232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394335" cy="4800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4335" cy="480060"/>
                    </a:xfrm>
                    <a:prstGeom prst="rect">
                      <a:avLst/>
                    </a:prstGeom>
                    <a:noFill/>
                  </pic:spPr>
                </pic:pic>
              </a:graphicData>
            </a:graphic>
          </wp:anchor>
        </w:drawing>
      </w:r>
    </w:p>
    <w:p>
      <w:pPr>
        <w:ind w:left="1040"/>
        <w:spacing w:after="0" w:line="221" w:lineRule="auto"/>
        <w:rPr>
          <w:sz w:val="20"/>
          <w:szCs w:val="20"/>
          <w:color w:val="auto"/>
        </w:rPr>
      </w:pPr>
      <w:r>
        <w:rPr>
          <w:rFonts w:ascii="Arial" w:cs="Arial" w:eastAsia="Arial" w:hAnsi="Arial"/>
          <w:sz w:val="16"/>
          <w:szCs w:val="16"/>
          <w:color w:val="auto"/>
        </w:rPr>
        <w:t>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8890" cy="386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386080"/>
                    </a:xfrm>
                    <a:prstGeom prst="rect">
                      <a:avLst/>
                    </a:prstGeom>
                    <a:noFill/>
                  </pic:spPr>
                </pic:pic>
              </a:graphicData>
            </a:graphic>
          </wp:anchor>
        </w:drawing>
      </w:r>
    </w:p>
    <w:p>
      <w:pPr>
        <w:ind w:left="160"/>
        <w:spacing w:after="0" w:line="236" w:lineRule="auto"/>
        <w:rPr>
          <w:sz w:val="20"/>
          <w:szCs w:val="20"/>
          <w:color w:val="auto"/>
        </w:rPr>
      </w:pPr>
      <w:r>
        <w:rPr>
          <w:rFonts w:ascii="Arial" w:cs="Arial" w:eastAsia="Arial" w:hAnsi="Arial"/>
          <w:sz w:val="16"/>
          <w:szCs w:val="16"/>
          <w:color w:val="074A75"/>
        </w:rPr>
        <w:t>Pages</w:t>
      </w:r>
    </w:p>
    <w:p>
      <w:pPr>
        <w:ind w:left="280"/>
        <w:spacing w:after="0"/>
        <w:rPr>
          <w:sz w:val="20"/>
          <w:szCs w:val="20"/>
          <w:color w:val="auto"/>
        </w:rPr>
      </w:pPr>
      <w:r>
        <w:rPr>
          <w:rFonts w:ascii="Arial" w:cs="Arial" w:eastAsia="Arial" w:hAnsi="Arial"/>
          <w:sz w:val="13"/>
          <w:szCs w:val="13"/>
          <w:color w:val="074A75"/>
        </w:rPr>
        <w:t>22-27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9433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433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202" w:right="280" w:hanging="202"/>
        <w:spacing w:after="0" w:line="266" w:lineRule="auto"/>
        <w:tabs>
          <w:tab w:leader="none" w:pos="199" w:val="left"/>
        </w:tabs>
        <w:numPr>
          <w:ilvl w:val="0"/>
          <w:numId w:val="37"/>
        </w:numPr>
        <w:rPr>
          <w:rFonts w:ascii="Arial" w:cs="Arial" w:eastAsia="Arial" w:hAnsi="Arial"/>
          <w:sz w:val="16"/>
          <w:szCs w:val="16"/>
          <w:color w:val="074A75"/>
        </w:rPr>
      </w:pPr>
      <w:r>
        <w:rPr>
          <w:rFonts w:ascii="Arial" w:cs="Arial" w:eastAsia="Arial" w:hAnsi="Arial"/>
          <w:sz w:val="16"/>
          <w:szCs w:val="16"/>
          <w:color w:val="auto"/>
        </w:rPr>
        <w:t>Board carries out a significant portion of its oversight responsibilities through its committees, allowing more in-depth attention devoted to overseeing key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-695960</wp:posOffset>
            </wp:positionV>
            <wp:extent cx="6737985" cy="129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7985" cy="1294765"/>
                    </a:xfrm>
                    <a:prstGeom prst="rect">
                      <a:avLst/>
                    </a:prstGeom>
                    <a:noFill/>
                  </pic:spPr>
                </pic:pic>
              </a:graphicData>
            </a:graphic>
          </wp:anchor>
        </w:drawing>
      </w:r>
    </w:p>
    <w:p>
      <w:pPr>
        <w:spacing w:after="0" w:line="758" w:lineRule="exact"/>
        <w:rPr>
          <w:sz w:val="20"/>
          <w:szCs w:val="20"/>
          <w:color w:val="auto"/>
        </w:rPr>
      </w:pPr>
    </w:p>
    <w:p>
      <w:pPr>
        <w:sectPr>
          <w:pgSz w:w="11900" w:h="16838" w:orient="portrait"/>
          <w:cols w:equalWidth="0" w:num="2">
            <w:col w:w="5500" w:space="398"/>
            <w:col w:w="5342"/>
          </w:cols>
          <w:pgMar w:left="320" w:top="157" w:right="339" w:bottom="1440" w:gutter="0" w:footer="0" w:header="0"/>
          <w:type w:val="continuous"/>
        </w:sectPr>
      </w:pPr>
    </w:p>
    <w:p>
      <w:pPr>
        <w:spacing w:after="0" w:line="10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64"/>
          <w:szCs w:val="64"/>
          <w:color w:val="074A75"/>
          <w:vertAlign w:val="subscript"/>
        </w:rPr>
        <w:t>3</w:t>
      </w:r>
      <w:r>
        <w:rPr>
          <w:sz w:val="20"/>
          <w:szCs w:val="20"/>
          <w:color w:val="auto"/>
        </w:rPr>
        <w:tab/>
      </w:r>
      <w:r>
        <w:rPr>
          <w:rFonts w:ascii="Arial" w:cs="Arial" w:eastAsia="Arial" w:hAnsi="Arial"/>
          <w:sz w:val="19"/>
          <w:szCs w:val="19"/>
          <w:color w:val="074A75"/>
        </w:rPr>
        <w:t>Board oversight of the business and affairs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543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0"/>
                    </a:xfrm>
                    <a:prstGeom prst="rect">
                      <a:avLst/>
                    </a:prstGeom>
                    <a:noFill/>
                  </pic:spPr>
                </pic:pic>
              </a:graphicData>
            </a:graphic>
          </wp:anchor>
        </w:drawing>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620" w:type="dxa"/>
            <w:vAlign w:val="bottom"/>
            <w:tcBorders>
              <w:left w:val="single" w:sz="8" w:color="EEEFEF"/>
            </w:tcBorders>
            <w:shd w:val="clear" w:color="auto" w:fill="EEEFEF"/>
          </w:tcPr>
          <w:p>
            <w:pPr>
              <w:spacing w:after="0"/>
              <w:rPr>
                <w:sz w:val="24"/>
                <w:szCs w:val="24"/>
                <w:color w:val="auto"/>
              </w:rPr>
            </w:pPr>
          </w:p>
        </w:tc>
        <w:tc>
          <w:tcPr>
            <w:tcW w:w="5260" w:type="dxa"/>
            <w:vAlign w:val="bottom"/>
            <w:shd w:val="clear" w:color="auto" w:fill="EEEFEF"/>
          </w:tcPr>
          <w:p>
            <w:pPr>
              <w:ind w:left="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sets the cultural “tone at the top”</w:t>
            </w:r>
          </w:p>
        </w:tc>
        <w:tc>
          <w:tcPr>
            <w:tcW w:w="5360" w:type="dxa"/>
            <w:vAlign w:val="bottom"/>
          </w:tcPr>
          <w:p>
            <w:pP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oversees the Firm’s financial performance and condition</w:t>
            </w:r>
          </w:p>
        </w:tc>
        <w:tc>
          <w:tcPr>
            <w:tcW w:w="0" w:type="dxa"/>
            <w:vAlign w:val="bottom"/>
          </w:tcPr>
          <w:p>
            <w:pPr>
              <w:spacing w:after="0"/>
              <w:rPr>
                <w:sz w:val="1"/>
                <w:szCs w:val="1"/>
                <w:color w:val="auto"/>
              </w:rPr>
            </w:pPr>
          </w:p>
        </w:tc>
      </w:tr>
      <w:tr>
        <w:trPr>
          <w:trHeight w:val="271"/>
        </w:trPr>
        <w:tc>
          <w:tcPr>
            <w:tcW w:w="620" w:type="dxa"/>
            <w:vAlign w:val="bottom"/>
            <w:tcBorders>
              <w:left w:val="single" w:sz="8" w:color="EEEFEF"/>
            </w:tcBorders>
            <w:shd w:val="clear" w:color="auto" w:fill="EEEFEF"/>
          </w:tcPr>
          <w:p>
            <w:pPr>
              <w:spacing w:after="0"/>
              <w:rPr>
                <w:sz w:val="23"/>
                <w:szCs w:val="23"/>
                <w:color w:val="auto"/>
              </w:rPr>
            </w:pPr>
          </w:p>
        </w:tc>
        <w:tc>
          <w:tcPr>
            <w:tcW w:w="5260" w:type="dxa"/>
            <w:vAlign w:val="bottom"/>
            <w:shd w:val="clear" w:color="auto" w:fill="EEEFEF"/>
          </w:tcPr>
          <w:p>
            <w:pPr>
              <w:ind w:left="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actively oversees the business and affairs of the Firm</w:t>
            </w:r>
          </w:p>
        </w:tc>
        <w:tc>
          <w:tcPr>
            <w:tcW w:w="5360" w:type="dxa"/>
            <w:vAlign w:val="bottom"/>
          </w:tcPr>
          <w:p>
            <w:pP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oversees the Firm’s risk management and internal control</w:t>
            </w:r>
          </w:p>
        </w:tc>
        <w:tc>
          <w:tcPr>
            <w:tcW w:w="0" w:type="dxa"/>
            <w:vAlign w:val="bottom"/>
          </w:tcPr>
          <w:p>
            <w:pPr>
              <w:spacing w:after="0"/>
              <w:rPr>
                <w:sz w:val="1"/>
                <w:szCs w:val="1"/>
                <w:color w:val="auto"/>
              </w:rPr>
            </w:pPr>
          </w:p>
        </w:tc>
      </w:tr>
      <w:tr>
        <w:trPr>
          <w:trHeight w:val="189"/>
        </w:trPr>
        <w:tc>
          <w:tcPr>
            <w:tcW w:w="620" w:type="dxa"/>
            <w:vAlign w:val="bottom"/>
            <w:tcBorders>
              <w:left w:val="single" w:sz="8" w:color="EEEFEF"/>
            </w:tcBorders>
            <w:shd w:val="clear" w:color="auto" w:fill="EEEFEF"/>
          </w:tcPr>
          <w:p>
            <w:pPr>
              <w:spacing w:after="0"/>
              <w:rPr>
                <w:sz w:val="16"/>
                <w:szCs w:val="16"/>
                <w:color w:val="auto"/>
              </w:rPr>
            </w:pPr>
          </w:p>
        </w:tc>
        <w:tc>
          <w:tcPr>
            <w:tcW w:w="5260" w:type="dxa"/>
            <w:vAlign w:val="bottom"/>
            <w:shd w:val="clear" w:color="auto" w:fill="EEEFEF"/>
          </w:tcPr>
          <w:p>
            <w:pPr>
              <w:ind w:left="420"/>
              <w:spacing w:after="0"/>
              <w:rPr>
                <w:sz w:val="20"/>
                <w:szCs w:val="20"/>
                <w:color w:val="auto"/>
              </w:rPr>
            </w:pPr>
            <w:r>
              <w:rPr>
                <w:rFonts w:ascii="Arial" w:cs="Arial" w:eastAsia="Arial" w:hAnsi="Arial"/>
                <w:sz w:val="16"/>
                <w:szCs w:val="16"/>
                <w:color w:val="auto"/>
              </w:rPr>
              <w:t>based on sound governance practices and effective leadership</w:t>
            </w:r>
          </w:p>
        </w:tc>
        <w:tc>
          <w:tcPr>
            <w:tcW w:w="5360" w:type="dxa"/>
            <w:vAlign w:val="bottom"/>
          </w:tcPr>
          <w:p>
            <w:pPr>
              <w:ind w:left="220"/>
              <w:spacing w:after="0"/>
              <w:rPr>
                <w:sz w:val="20"/>
                <w:szCs w:val="20"/>
                <w:color w:val="auto"/>
              </w:rPr>
            </w:pPr>
            <w:r>
              <w:rPr>
                <w:rFonts w:ascii="Arial" w:cs="Arial" w:eastAsia="Arial" w:hAnsi="Arial"/>
                <w:sz w:val="16"/>
                <w:szCs w:val="16"/>
                <w:color w:val="auto"/>
              </w:rPr>
              <w:t>frameworks</w:t>
            </w:r>
          </w:p>
        </w:tc>
        <w:tc>
          <w:tcPr>
            <w:tcW w:w="0" w:type="dxa"/>
            <w:vAlign w:val="bottom"/>
          </w:tcPr>
          <w:p>
            <w:pPr>
              <w:spacing w:after="0"/>
              <w:rPr>
                <w:sz w:val="1"/>
                <w:szCs w:val="1"/>
                <w:color w:val="auto"/>
              </w:rPr>
            </w:pPr>
          </w:p>
        </w:tc>
      </w:tr>
      <w:tr>
        <w:trPr>
          <w:trHeight w:val="215"/>
        </w:trPr>
        <w:tc>
          <w:tcPr>
            <w:tcW w:w="620" w:type="dxa"/>
            <w:vAlign w:val="bottom"/>
            <w:tcBorders>
              <w:left w:val="single" w:sz="8" w:color="EEEFEF"/>
            </w:tcBorders>
            <w:shd w:val="clear" w:color="auto" w:fill="EEEFEF"/>
          </w:tcPr>
          <w:p>
            <w:pPr>
              <w:spacing w:after="0"/>
              <w:rPr>
                <w:sz w:val="18"/>
                <w:szCs w:val="18"/>
                <w:color w:val="auto"/>
              </w:rPr>
            </w:pPr>
          </w:p>
        </w:tc>
        <w:tc>
          <w:tcPr>
            <w:tcW w:w="5260" w:type="dxa"/>
            <w:vAlign w:val="bottom"/>
            <w:shd w:val="clear" w:color="auto" w:fill="EEEFEF"/>
          </w:tcPr>
          <w:p>
            <w:pPr>
              <w:ind w:left="420"/>
              <w:spacing w:after="0"/>
              <w:rPr>
                <w:sz w:val="20"/>
                <w:szCs w:val="20"/>
                <w:color w:val="auto"/>
              </w:rPr>
            </w:pPr>
            <w:r>
              <w:rPr>
                <w:rFonts w:ascii="Arial" w:cs="Arial" w:eastAsia="Arial" w:hAnsi="Arial"/>
                <w:sz w:val="16"/>
                <w:szCs w:val="16"/>
                <w:color w:val="auto"/>
              </w:rPr>
              <w:t>structure</w:t>
            </w:r>
          </w:p>
        </w:tc>
        <w:tc>
          <w:tcPr>
            <w:tcW w:w="5360" w:type="dxa"/>
            <w:vAlign w:val="bottom"/>
            <w:vMerge w:val="restart"/>
          </w:tcPr>
          <w:p>
            <w:pP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evaluates CEO performance and compensation, reviews</w:t>
            </w:r>
          </w:p>
        </w:tc>
        <w:tc>
          <w:tcPr>
            <w:tcW w:w="0" w:type="dxa"/>
            <w:vAlign w:val="bottom"/>
          </w:tcPr>
          <w:p>
            <w:pPr>
              <w:spacing w:after="0"/>
              <w:rPr>
                <w:sz w:val="1"/>
                <w:szCs w:val="1"/>
                <w:color w:val="auto"/>
              </w:rPr>
            </w:pPr>
          </w:p>
        </w:tc>
      </w:tr>
      <w:tr>
        <w:trPr>
          <w:trHeight w:val="82"/>
        </w:trPr>
        <w:tc>
          <w:tcPr>
            <w:tcW w:w="620" w:type="dxa"/>
            <w:vAlign w:val="bottom"/>
            <w:tcBorders>
              <w:left w:val="single" w:sz="8" w:color="EEEFEF"/>
            </w:tcBorders>
            <w:shd w:val="clear" w:color="auto" w:fill="EEEFEF"/>
          </w:tcPr>
          <w:p>
            <w:pPr>
              <w:spacing w:after="0"/>
              <w:rPr>
                <w:sz w:val="7"/>
                <w:szCs w:val="7"/>
                <w:color w:val="auto"/>
              </w:rPr>
            </w:pPr>
          </w:p>
        </w:tc>
        <w:tc>
          <w:tcPr>
            <w:tcW w:w="5260" w:type="dxa"/>
            <w:vAlign w:val="bottom"/>
            <w:shd w:val="clear" w:color="auto" w:fill="EEEFEF"/>
          </w:tcPr>
          <w:p>
            <w:pPr>
              <w:spacing w:after="0"/>
              <w:rPr>
                <w:sz w:val="7"/>
                <w:szCs w:val="7"/>
                <w:color w:val="auto"/>
              </w:rPr>
            </w:pPr>
          </w:p>
        </w:tc>
        <w:tc>
          <w:tcPr>
            <w:tcW w:w="5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20" w:type="dxa"/>
            <w:vAlign w:val="bottom"/>
            <w:tcBorders>
              <w:left w:val="single" w:sz="8" w:color="EEEFEF"/>
            </w:tcBorders>
            <w:shd w:val="clear" w:color="auto" w:fill="EEEFEF"/>
          </w:tcPr>
          <w:p>
            <w:pPr>
              <w:spacing w:after="0"/>
              <w:rPr>
                <w:sz w:val="12"/>
                <w:szCs w:val="12"/>
                <w:color w:val="auto"/>
              </w:rPr>
            </w:pPr>
          </w:p>
        </w:tc>
        <w:tc>
          <w:tcPr>
            <w:tcW w:w="5260" w:type="dxa"/>
            <w:vAlign w:val="bottom"/>
            <w:vMerge w:val="restart"/>
            <w:shd w:val="clear" w:color="auto" w:fill="EEEFEF"/>
          </w:tcPr>
          <w:p>
            <w:pPr>
              <w:ind w:left="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reviews and approves the Firm's annual strategic plan,</w:t>
            </w:r>
          </w:p>
        </w:tc>
        <w:tc>
          <w:tcPr>
            <w:tcW w:w="5360" w:type="dxa"/>
            <w:vAlign w:val="bottom"/>
            <w:vMerge w:val="restart"/>
          </w:tcPr>
          <w:p>
            <w:pPr>
              <w:ind w:left="220"/>
              <w:spacing w:after="0"/>
              <w:rPr>
                <w:sz w:val="20"/>
                <w:szCs w:val="20"/>
                <w:color w:val="auto"/>
              </w:rPr>
            </w:pPr>
            <w:r>
              <w:rPr>
                <w:rFonts w:ascii="Arial" w:cs="Arial" w:eastAsia="Arial" w:hAnsi="Arial"/>
                <w:sz w:val="16"/>
                <w:szCs w:val="16"/>
                <w:color w:val="auto"/>
              </w:rPr>
              <w:t>succession plans for the CEO and oversees talent management for</w:t>
            </w:r>
          </w:p>
        </w:tc>
        <w:tc>
          <w:tcPr>
            <w:tcW w:w="0" w:type="dxa"/>
            <w:vAlign w:val="bottom"/>
          </w:tcPr>
          <w:p>
            <w:pPr>
              <w:spacing w:after="0"/>
              <w:rPr>
                <w:sz w:val="1"/>
                <w:szCs w:val="1"/>
                <w:color w:val="auto"/>
              </w:rPr>
            </w:pPr>
          </w:p>
        </w:tc>
      </w:tr>
      <w:tr>
        <w:trPr>
          <w:trHeight w:val="40"/>
        </w:trPr>
        <w:tc>
          <w:tcPr>
            <w:tcW w:w="620" w:type="dxa"/>
            <w:vAlign w:val="bottom"/>
            <w:tcBorders>
              <w:left w:val="single" w:sz="8" w:color="EEEFEF"/>
            </w:tcBorders>
          </w:tcPr>
          <w:p>
            <w:pPr>
              <w:spacing w:after="0"/>
              <w:rPr>
                <w:sz w:val="3"/>
                <w:szCs w:val="3"/>
                <w:color w:val="auto"/>
              </w:rPr>
            </w:pPr>
          </w:p>
        </w:tc>
        <w:tc>
          <w:tcPr>
            <w:tcW w:w="5260" w:type="dxa"/>
            <w:vAlign w:val="bottom"/>
            <w:vMerge w:val="continue"/>
            <w:shd w:val="clear" w:color="auto" w:fill="EEEFEF"/>
          </w:tcPr>
          <w:p>
            <w:pPr>
              <w:spacing w:after="0"/>
              <w:rPr>
                <w:sz w:val="3"/>
                <w:szCs w:val="3"/>
                <w:color w:val="auto"/>
              </w:rPr>
            </w:pPr>
          </w:p>
        </w:tc>
        <w:tc>
          <w:tcPr>
            <w:tcW w:w="53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620" w:type="dxa"/>
            <w:vAlign w:val="bottom"/>
            <w:tcBorders>
              <w:left w:val="single" w:sz="8" w:color="EEEFEF"/>
            </w:tcBorders>
            <w:vMerge w:val="restart"/>
          </w:tcPr>
          <w:p>
            <w:pPr>
              <w:jc w:val="right"/>
              <w:spacing w:after="0"/>
              <w:rPr>
                <w:sz w:val="20"/>
                <w:szCs w:val="20"/>
                <w:color w:val="auto"/>
              </w:rPr>
            </w:pPr>
            <w:r>
              <w:rPr>
                <w:rFonts w:ascii="Arial" w:cs="Arial" w:eastAsia="Arial" w:hAnsi="Arial"/>
                <w:sz w:val="16"/>
                <w:szCs w:val="16"/>
                <w:color w:val="074A75"/>
              </w:rPr>
              <w:t>Pages</w:t>
            </w:r>
          </w:p>
        </w:tc>
        <w:tc>
          <w:tcPr>
            <w:tcW w:w="5260" w:type="dxa"/>
            <w:vAlign w:val="bottom"/>
            <w:shd w:val="clear" w:color="auto" w:fill="EEEFEF"/>
          </w:tcPr>
          <w:p>
            <w:pPr>
              <w:ind w:left="420"/>
              <w:spacing w:after="0"/>
              <w:rPr>
                <w:sz w:val="20"/>
                <w:szCs w:val="20"/>
                <w:color w:val="auto"/>
              </w:rPr>
            </w:pPr>
            <w:r>
              <w:rPr>
                <w:rFonts w:ascii="Arial" w:cs="Arial" w:eastAsia="Arial" w:hAnsi="Arial"/>
                <w:sz w:val="16"/>
                <w:szCs w:val="16"/>
                <w:color w:val="auto"/>
              </w:rPr>
              <w:t>and oversees strategic objectives including ESG-related matters</w:t>
            </w:r>
          </w:p>
        </w:tc>
        <w:tc>
          <w:tcPr>
            <w:tcW w:w="5360" w:type="dxa"/>
            <w:vAlign w:val="bottom"/>
          </w:tcPr>
          <w:p>
            <w:pPr>
              <w:ind w:left="220"/>
              <w:spacing w:after="0"/>
              <w:rPr>
                <w:sz w:val="20"/>
                <w:szCs w:val="20"/>
                <w:color w:val="auto"/>
              </w:rPr>
            </w:pPr>
            <w:r>
              <w:rPr>
                <w:rFonts w:ascii="Arial" w:cs="Arial" w:eastAsia="Arial" w:hAnsi="Arial"/>
                <w:sz w:val="16"/>
                <w:szCs w:val="16"/>
                <w:color w:val="auto"/>
              </w:rPr>
              <w:t>other senior executives</w:t>
            </w:r>
          </w:p>
        </w:tc>
        <w:tc>
          <w:tcPr>
            <w:tcW w:w="0" w:type="dxa"/>
            <w:vAlign w:val="bottom"/>
          </w:tcPr>
          <w:p>
            <w:pPr>
              <w:spacing w:after="0"/>
              <w:rPr>
                <w:sz w:val="1"/>
                <w:szCs w:val="1"/>
                <w:color w:val="auto"/>
              </w:rPr>
            </w:pPr>
          </w:p>
        </w:tc>
      </w:tr>
      <w:tr>
        <w:trPr>
          <w:trHeight w:val="52"/>
        </w:trPr>
        <w:tc>
          <w:tcPr>
            <w:tcW w:w="620" w:type="dxa"/>
            <w:vAlign w:val="bottom"/>
            <w:tcBorders>
              <w:left w:val="single" w:sz="8" w:color="EEEFEF"/>
            </w:tcBorders>
            <w:vMerge w:val="continue"/>
          </w:tcPr>
          <w:p>
            <w:pPr>
              <w:spacing w:after="0"/>
              <w:rPr>
                <w:sz w:val="4"/>
                <w:szCs w:val="4"/>
                <w:color w:val="auto"/>
              </w:rPr>
            </w:pPr>
          </w:p>
        </w:tc>
        <w:tc>
          <w:tcPr>
            <w:tcW w:w="5260" w:type="dxa"/>
            <w:vAlign w:val="bottom"/>
            <w:shd w:val="clear" w:color="auto" w:fill="EEEFEF"/>
          </w:tcPr>
          <w:p>
            <w:pPr>
              <w:spacing w:after="0"/>
              <w:rPr>
                <w:sz w:val="4"/>
                <w:szCs w:val="4"/>
                <w:color w:val="auto"/>
              </w:rPr>
            </w:pPr>
          </w:p>
        </w:tc>
        <w:tc>
          <w:tcPr>
            <w:tcW w:w="5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620" w:type="dxa"/>
            <w:vAlign w:val="bottom"/>
            <w:tcBorders>
              <w:left w:val="single" w:sz="8" w:color="EEEFEF"/>
            </w:tcBorders>
          </w:tcPr>
          <w:p>
            <w:pPr>
              <w:jc w:val="right"/>
              <w:spacing w:after="0"/>
              <w:rPr>
                <w:sz w:val="20"/>
                <w:szCs w:val="20"/>
                <w:color w:val="auto"/>
              </w:rPr>
            </w:pPr>
            <w:r>
              <w:rPr>
                <w:rFonts w:ascii="Arial" w:cs="Arial" w:eastAsia="Arial" w:hAnsi="Arial"/>
                <w:sz w:val="13"/>
                <w:szCs w:val="13"/>
                <w:color w:val="074A75"/>
              </w:rPr>
              <w:t>28-29</w:t>
            </w:r>
          </w:p>
        </w:tc>
        <w:tc>
          <w:tcPr>
            <w:tcW w:w="5260" w:type="dxa"/>
            <w:vAlign w:val="bottom"/>
            <w:shd w:val="clear" w:color="auto" w:fill="EEEFEF"/>
          </w:tcPr>
          <w:p>
            <w:pPr>
              <w:spacing w:after="0"/>
              <w:rPr>
                <w:sz w:val="14"/>
                <w:szCs w:val="14"/>
                <w:color w:val="auto"/>
              </w:rPr>
            </w:pPr>
          </w:p>
        </w:tc>
        <w:tc>
          <w:tcPr>
            <w:tcW w:w="5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Borders>
              <w:left w:val="single" w:sz="8" w:color="EEEFEF"/>
              <w:bottom w:val="single" w:sz="8" w:color="EEEFEF"/>
            </w:tcBorders>
          </w:tcPr>
          <w:p>
            <w:pPr>
              <w:spacing w:after="0"/>
              <w:rPr>
                <w:sz w:val="14"/>
                <w:szCs w:val="14"/>
                <w:color w:val="auto"/>
              </w:rPr>
            </w:pPr>
          </w:p>
        </w:tc>
        <w:tc>
          <w:tcPr>
            <w:tcW w:w="5260" w:type="dxa"/>
            <w:vAlign w:val="bottom"/>
            <w:tcBorders>
              <w:bottom w:val="single" w:sz="8" w:color="EEEFEF"/>
            </w:tcBorders>
            <w:shd w:val="clear" w:color="auto" w:fill="EEEFEF"/>
          </w:tcPr>
          <w:p>
            <w:pPr>
              <w:spacing w:after="0"/>
              <w:rPr>
                <w:sz w:val="14"/>
                <w:szCs w:val="14"/>
                <w:color w:val="auto"/>
              </w:rPr>
            </w:pPr>
          </w:p>
        </w:tc>
        <w:tc>
          <w:tcPr>
            <w:tcW w:w="5360" w:type="dxa"/>
            <w:vAlign w:val="bottom"/>
            <w:tcBorders>
              <w:bottom w:val="single" w:sz="8" w:color="EEEFEF"/>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20" w:type="dxa"/>
            <w:vAlign w:val="bottom"/>
            <w:tcBorders>
              <w:left w:val="single" w:sz="8" w:color="EEEFEF"/>
            </w:tcBorders>
            <w:shd w:val="clear" w:color="auto" w:fill="EEEFEF"/>
          </w:tcPr>
          <w:p>
            <w:pPr>
              <w:spacing w:after="0"/>
              <w:rPr>
                <w:sz w:val="12"/>
                <w:szCs w:val="12"/>
                <w:color w:val="auto"/>
              </w:rPr>
            </w:pPr>
          </w:p>
        </w:tc>
        <w:tc>
          <w:tcPr>
            <w:tcW w:w="5260" w:type="dxa"/>
            <w:vAlign w:val="bottom"/>
            <w:shd w:val="clear" w:color="auto" w:fill="EEEFEF"/>
          </w:tcPr>
          <w:p>
            <w:pPr>
              <w:spacing w:after="0"/>
              <w:rPr>
                <w:sz w:val="12"/>
                <w:szCs w:val="12"/>
                <w:color w:val="auto"/>
              </w:rPr>
            </w:pPr>
          </w:p>
        </w:tc>
        <w:tc>
          <w:tcPr>
            <w:tcW w:w="5360" w:type="dxa"/>
            <w:vAlign w:val="bottom"/>
            <w:shd w:val="clear" w:color="auto" w:fill="EEEFE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05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p>
      <w:pPr>
        <w:ind w:left="440"/>
        <w:spacing w:after="0"/>
        <w:rPr>
          <w:sz w:val="20"/>
          <w:szCs w:val="20"/>
          <w:color w:val="auto"/>
        </w:rPr>
      </w:pPr>
      <w:r>
        <w:rPr>
          <w:rFonts w:ascii="Arial" w:cs="Arial" w:eastAsia="Arial" w:hAnsi="Arial"/>
          <w:sz w:val="32"/>
          <w:szCs w:val="32"/>
          <w:color w:val="074A75"/>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Pages</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074A75"/>
        </w:rPr>
        <w:t>30-31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074A75"/>
        </w:rPr>
        <w:t>Board engagement with the Firm’s stakeholders</w:t>
      </w:r>
    </w:p>
    <w:p>
      <w:pPr>
        <w:spacing w:after="0" w:line="318" w:lineRule="exact"/>
        <w:rPr>
          <w:sz w:val="20"/>
          <w:szCs w:val="20"/>
          <w:color w:val="auto"/>
        </w:rPr>
      </w:pPr>
    </w:p>
    <w:p>
      <w:pPr>
        <w:ind w:left="200" w:right="220" w:hanging="199"/>
        <w:spacing w:after="0" w:line="257" w:lineRule="auto"/>
        <w:tabs>
          <w:tab w:leader="none" w:pos="197" w:val="left"/>
        </w:tabs>
        <w:numPr>
          <w:ilvl w:val="0"/>
          <w:numId w:val="38"/>
        </w:numPr>
        <w:rPr>
          <w:rFonts w:ascii="Arial" w:cs="Arial" w:eastAsia="Arial" w:hAnsi="Arial"/>
          <w:sz w:val="16"/>
          <w:szCs w:val="16"/>
          <w:color w:val="074A75"/>
        </w:rPr>
      </w:pPr>
      <w:r>
        <w:rPr>
          <w:rFonts w:ascii="Arial" w:cs="Arial" w:eastAsia="Arial" w:hAnsi="Arial"/>
          <w:sz w:val="16"/>
          <w:szCs w:val="16"/>
          <w:color w:val="auto"/>
        </w:rPr>
        <w:t>We reached out to over 150 of our largest shareholders, representing over 50% of the Firm’s outstanding common stock, and proxy advisory firms. We received feedback through approximately 90 engagements with nearly 70 shareholders representing approximately 46% of the Firm’s outstanding common stock, focused on strategy, financial and operating performance, executive compensation, and ESG-related matters, among other matters. Directors, including our Lead Independent Director, participated in discussions with several large shareholders</w:t>
      </w:r>
    </w:p>
    <w:p>
      <w:pPr>
        <w:spacing w:after="0" w:line="264" w:lineRule="exact"/>
        <w:rPr>
          <w:rFonts w:ascii="Arial" w:cs="Arial" w:eastAsia="Arial" w:hAnsi="Arial"/>
          <w:sz w:val="16"/>
          <w:szCs w:val="16"/>
          <w:color w:val="074A75"/>
        </w:rPr>
      </w:pPr>
    </w:p>
    <w:p>
      <w:pPr>
        <w:ind w:left="200" w:right="320" w:hanging="199"/>
        <w:spacing w:after="0" w:line="286" w:lineRule="auto"/>
        <w:tabs>
          <w:tab w:leader="none" w:pos="197" w:val="left"/>
        </w:tabs>
        <w:numPr>
          <w:ilvl w:val="0"/>
          <w:numId w:val="38"/>
        </w:numPr>
        <w:rPr>
          <w:rFonts w:ascii="Arial" w:cs="Arial" w:eastAsia="Arial" w:hAnsi="Arial"/>
          <w:sz w:val="16"/>
          <w:szCs w:val="16"/>
          <w:color w:val="074A75"/>
        </w:rPr>
      </w:pPr>
      <w:r>
        <w:rPr>
          <w:rFonts w:ascii="Arial" w:cs="Arial" w:eastAsia="Arial" w:hAnsi="Arial"/>
          <w:sz w:val="16"/>
          <w:szCs w:val="16"/>
          <w:color w:val="auto"/>
        </w:rPr>
        <w:t>The Board also engages with, and reviews feedback from, our stakeholders, including shareholders, employees, customers, suppliers and communities in which we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365125</wp:posOffset>
            </wp:positionV>
            <wp:extent cx="274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220"/>
            <w:col w:w="10400"/>
          </w:cols>
          <w:pgMar w:left="320" w:top="157" w:right="339" w:bottom="1440" w:gutter="0" w:footer="0" w:header="0"/>
          <w:type w:val="continuous"/>
        </w:sect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  </w:t>
      </w:r>
      <w:r>
        <w:rPr>
          <w:sz w:val="1"/>
          <w:szCs w:val="1"/>
          <w:color w:val="auto"/>
        </w:rPr>
        <w:drawing>
          <wp:inline distT="0" distB="0" distL="0" distR="0">
            <wp:extent cx="2203450" cy="1543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43"/>
          <w:szCs w:val="43"/>
          <w:color w:val="074A75"/>
        </w:rPr>
        <w:t>1. Director nominees</w:t>
      </w:r>
    </w:p>
    <w:p>
      <w:pPr>
        <w:spacing w:after="0" w:line="42" w:lineRule="exact"/>
        <w:rPr>
          <w:sz w:val="20"/>
          <w:szCs w:val="20"/>
          <w:color w:val="auto"/>
        </w:rPr>
      </w:pPr>
    </w:p>
    <w:p>
      <w:pPr>
        <w:spacing w:after="0"/>
        <w:rPr>
          <w:sz w:val="20"/>
          <w:szCs w:val="20"/>
          <w:color w:val="auto"/>
        </w:rPr>
      </w:pPr>
      <w:r>
        <w:rPr>
          <w:rFonts w:ascii="Arial" w:cs="Arial" w:eastAsia="Arial" w:hAnsi="Arial"/>
          <w:sz w:val="29"/>
          <w:szCs w:val="29"/>
          <w:color w:val="074A75"/>
        </w:rPr>
        <w:t>Our Directors</w:t>
      </w:r>
    </w:p>
    <w:p>
      <w:pPr>
        <w:spacing w:after="0" w:line="11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Board is responsible for overseeing management and promoting sound corporate governance on behalf of shareholders. JPMorgan Chase seeks director candidates who uphold the highest standards, are committed to the Firm’s values and are strong independent stewards of the long-term interests of shareholders, employees, customers, suppliers and communities in which we work. The Board, including the Corporate Governance &amp; Nominating Committee (“Governance Committee”), considers Board composition holistically, with a focus on recruiting directors who have the qualities required to effectively oversee the Firm, including its present and future strategy. The Board seeks directors with expertise in executive fields who will bring experienced and fresh perspectives and insight, and come together to effectively challenge and provide independent oversight of management. The Board looks for candidates with a diversity of experience, perspectives and viewpoints, as well as diversity with respect to gender, race, ethnicity and nationality.</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individuals presented on the following pages have been nominated for election because they possess the skills, experience, personal attributes and tenure needed to guide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Firm’s strategy, and to effectively oversee the Firm’s risk management and internal control framework, and management’s execution of its responsibilities.</w:t>
      </w:r>
    </w:p>
    <w:p>
      <w:pPr>
        <w:spacing w:after="0" w:line="5" w:lineRule="exact"/>
        <w:rPr>
          <w:sz w:val="20"/>
          <w:szCs w:val="20"/>
          <w:color w:val="auto"/>
        </w:rPr>
      </w:pPr>
    </w:p>
    <w:p>
      <w:pPr>
        <w:ind w:right="360"/>
        <w:spacing w:after="0" w:line="224" w:lineRule="auto"/>
        <w:rPr>
          <w:sz w:val="20"/>
          <w:szCs w:val="20"/>
          <w:color w:val="auto"/>
        </w:rPr>
      </w:pPr>
      <w:r>
        <w:rPr>
          <w:rFonts w:ascii="Arial" w:cs="Arial" w:eastAsia="Arial" w:hAnsi="Arial"/>
          <w:sz w:val="18"/>
          <w:szCs w:val="18"/>
          <w:color w:val="auto"/>
        </w:rPr>
        <w:t>In the biographical information about our director nominees that follows, the ages indicated are as of May 17, 2022, and the other information is as of the date of this proxy statement. The information in the Board Diversity and Experience Matrix was provided by the nominees. The race and ethnicity information is based on U.S. Equal Employment Opportunity race/ethnicity categories. There are no family relationships among the director nominees or between any director nominee and any executive officer. Unless otherwise stated, all nominees have been continuously employed by their present employers for more than five years.</w:t>
      </w:r>
    </w:p>
    <w:p>
      <w:pPr>
        <w:spacing w:after="0" w:line="21" w:lineRule="exact"/>
        <w:rPr>
          <w:sz w:val="20"/>
          <w:szCs w:val="20"/>
          <w:color w:val="auto"/>
        </w:rPr>
      </w:pPr>
    </w:p>
    <w:p>
      <w:pPr>
        <w:ind w:right="440"/>
        <w:spacing w:after="0" w:line="233" w:lineRule="auto"/>
        <w:rPr>
          <w:sz w:val="20"/>
          <w:szCs w:val="20"/>
          <w:color w:val="auto"/>
        </w:rPr>
      </w:pPr>
      <w:r>
        <w:rPr>
          <w:rFonts w:ascii="Arial" w:cs="Arial" w:eastAsia="Arial" w:hAnsi="Arial"/>
          <w:sz w:val="18"/>
          <w:szCs w:val="18"/>
          <w:color w:val="auto"/>
        </w:rPr>
        <w:t>All of the nominees are currently directors of the Firm. Each nominee has agreed to be named in this proxy statement and, if elected, to serve a one-year term expiring at our 2023 annual meeting.</w:t>
      </w:r>
    </w:p>
    <w:p>
      <w:pPr>
        <w:spacing w:after="0" w:line="20"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Directors are expected to attend our annual shareholder meetings. All 10 directors serving on our Board at the time of the 2021 annual meeting attended the meeting.</w:t>
      </w:r>
    </w:p>
    <w:p>
      <w:pPr>
        <w:spacing w:after="0" w:line="83"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rPr>
          <w:sz w:val="20"/>
          <w:szCs w:val="20"/>
          <w:color w:val="auto"/>
        </w:rPr>
      </w:pPr>
      <w:r>
        <w:rPr>
          <w:rFonts w:ascii="Arial" w:cs="Arial" w:eastAsia="Arial" w:hAnsi="Arial"/>
          <w:sz w:val="20"/>
          <w:szCs w:val="20"/>
          <w:color w:val="074A75"/>
        </w:rPr>
        <w:t>ATTRIBUTES AND SKILLS OF THE NOMINEES</w:t>
      </w:r>
    </w:p>
    <w:p>
      <w:pPr>
        <w:spacing w:after="0" w:line="5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When selecting and recruiting candidates, the Board considers a wide range of attributes, executive experience and skills. The following are brief summaries of complex and dynamic skills and experience found among our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 w:lineRule="exact"/>
        <w:rPr>
          <w:sz w:val="20"/>
          <w:szCs w:val="20"/>
          <w:color w:val="auto"/>
        </w:rPr>
      </w:pPr>
    </w:p>
    <w:p>
      <w:pPr>
        <w:jc w:val="center"/>
        <w:ind w:right="20"/>
        <w:spacing w:after="0" w:line="287" w:lineRule="auto"/>
        <w:rPr>
          <w:sz w:val="20"/>
          <w:szCs w:val="20"/>
          <w:color w:val="auto"/>
        </w:rPr>
      </w:pPr>
      <w:r>
        <w:rPr>
          <w:rFonts w:ascii="Arial" w:cs="Arial" w:eastAsia="Arial" w:hAnsi="Arial"/>
          <w:sz w:val="18"/>
          <w:szCs w:val="18"/>
          <w:color w:val="FFFFFF"/>
        </w:rPr>
        <w:t>All of our nominees possess: independent perspective, integrity, judgment, strong work ethic, strength of conviction, collaborative approach to engagement, inquisitiveness and willingness to appropriately challenge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3180" cy="13544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13544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vMerge w:val="restart"/>
            <w:shd w:val="clear" w:color="auto" w:fill="3E693D"/>
          </w:tcPr>
          <w:p>
            <w:pPr>
              <w:jc w:val="right"/>
              <w:ind w:right="59"/>
              <w:spacing w:after="0"/>
              <w:rPr>
                <w:sz w:val="20"/>
                <w:szCs w:val="20"/>
                <w:color w:val="auto"/>
              </w:rPr>
            </w:pPr>
            <w:r>
              <w:rPr>
                <w:rFonts w:ascii="Arial" w:cs="Arial" w:eastAsia="Arial" w:hAnsi="Arial"/>
                <w:sz w:val="16"/>
                <w:szCs w:val="16"/>
                <w:color w:val="FFFFFF"/>
              </w:rPr>
              <w:t>Finance and</w:t>
            </w:r>
          </w:p>
        </w:tc>
        <w:tc>
          <w:tcPr>
            <w:tcW w:w="88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Knowledge of or experience in accounting, financial reporting or auditing processes and standards is important to</w:t>
            </w:r>
          </w:p>
        </w:tc>
        <w:tc>
          <w:tcPr>
            <w:tcW w:w="0" w:type="dxa"/>
            <w:vAlign w:val="bottom"/>
          </w:tcPr>
          <w:p>
            <w:pPr>
              <w:spacing w:after="0"/>
              <w:rPr>
                <w:sz w:val="1"/>
                <w:szCs w:val="1"/>
                <w:color w:val="auto"/>
              </w:rPr>
            </w:pPr>
          </w:p>
        </w:tc>
      </w:tr>
      <w:tr>
        <w:trPr>
          <w:trHeight w:val="81"/>
        </w:trPr>
        <w:tc>
          <w:tcPr>
            <w:tcW w:w="2380" w:type="dxa"/>
            <w:vAlign w:val="bottom"/>
            <w:vMerge w:val="continue"/>
            <w:shd w:val="clear" w:color="auto" w:fill="3E693D"/>
          </w:tcPr>
          <w:p>
            <w:pPr>
              <w:spacing w:after="0"/>
              <w:rPr>
                <w:sz w:val="7"/>
                <w:szCs w:val="7"/>
                <w:color w:val="auto"/>
              </w:rPr>
            </w:pPr>
          </w:p>
        </w:tc>
        <w:tc>
          <w:tcPr>
            <w:tcW w:w="8860" w:type="dxa"/>
            <w:vAlign w:val="bottom"/>
            <w:vMerge w:val="restart"/>
            <w:shd w:val="clear" w:color="auto" w:fill="E7E7E8"/>
          </w:tcPr>
          <w:p>
            <w:pPr>
              <w:ind w:left="140"/>
              <w:spacing w:after="0" w:line="175" w:lineRule="exact"/>
              <w:rPr>
                <w:sz w:val="20"/>
                <w:szCs w:val="20"/>
                <w:color w:val="auto"/>
              </w:rPr>
            </w:pPr>
            <w:r>
              <w:rPr>
                <w:rFonts w:ascii="Arial" w:cs="Arial" w:eastAsia="Arial" w:hAnsi="Arial"/>
                <w:sz w:val="16"/>
                <w:szCs w:val="16"/>
                <w:color w:val="auto"/>
              </w:rPr>
              <w:t>effectively oversee the Firm’s financial position and condition and the accurate reporting thereof, and to assess the Firm’s</w:t>
            </w:r>
          </w:p>
        </w:tc>
        <w:tc>
          <w:tcPr>
            <w:tcW w:w="0" w:type="dxa"/>
            <w:vAlign w:val="bottom"/>
          </w:tcPr>
          <w:p>
            <w:pPr>
              <w:spacing w:after="0"/>
              <w:rPr>
                <w:sz w:val="1"/>
                <w:szCs w:val="1"/>
                <w:color w:val="auto"/>
              </w:rPr>
            </w:pPr>
          </w:p>
        </w:tc>
      </w:tr>
      <w:tr>
        <w:trPr>
          <w:trHeight w:val="95"/>
        </w:trPr>
        <w:tc>
          <w:tcPr>
            <w:tcW w:w="2380" w:type="dxa"/>
            <w:vAlign w:val="bottom"/>
            <w:vMerge w:val="restart"/>
            <w:shd w:val="clear" w:color="auto" w:fill="3E693D"/>
          </w:tcPr>
          <w:p>
            <w:pPr>
              <w:jc w:val="right"/>
              <w:ind w:right="59"/>
              <w:spacing w:after="0"/>
              <w:rPr>
                <w:sz w:val="20"/>
                <w:szCs w:val="20"/>
                <w:color w:val="auto"/>
              </w:rPr>
            </w:pPr>
            <w:r>
              <w:rPr>
                <w:rFonts w:ascii="Arial" w:cs="Arial" w:eastAsia="Arial" w:hAnsi="Arial"/>
                <w:sz w:val="16"/>
                <w:szCs w:val="16"/>
                <w:color w:val="FFFFFF"/>
              </w:rPr>
              <w:t>Accounting</w:t>
            </w:r>
          </w:p>
        </w:tc>
        <w:tc>
          <w:tcPr>
            <w:tcW w:w="886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380" w:type="dxa"/>
            <w:vAlign w:val="bottom"/>
            <w:vMerge w:val="continue"/>
            <w:shd w:val="clear" w:color="auto" w:fill="3E693D"/>
          </w:tcPr>
          <w:p>
            <w:pPr>
              <w:spacing w:after="0"/>
              <w:rPr>
                <w:sz w:val="10"/>
                <w:szCs w:val="10"/>
                <w:color w:val="auto"/>
              </w:rPr>
            </w:pPr>
          </w:p>
        </w:tc>
        <w:tc>
          <w:tcPr>
            <w:tcW w:w="8860" w:type="dxa"/>
            <w:vAlign w:val="bottom"/>
            <w:vMerge w:val="restart"/>
            <w:shd w:val="clear" w:color="auto" w:fill="E7E7E8"/>
          </w:tcPr>
          <w:p>
            <w:pPr>
              <w:ind w:left="140"/>
              <w:spacing w:after="0"/>
              <w:rPr>
                <w:sz w:val="20"/>
                <w:szCs w:val="20"/>
                <w:color w:val="auto"/>
              </w:rPr>
            </w:pPr>
            <w:r>
              <w:rPr>
                <w:rFonts w:ascii="Arial" w:cs="Arial" w:eastAsia="Arial" w:hAnsi="Arial"/>
                <w:sz w:val="16"/>
                <w:szCs w:val="16"/>
                <w:color w:val="auto"/>
              </w:rPr>
              <w:t>strategic objectives from a financial perspective</w:t>
            </w:r>
          </w:p>
        </w:tc>
        <w:tc>
          <w:tcPr>
            <w:tcW w:w="0" w:type="dxa"/>
            <w:vAlign w:val="bottom"/>
          </w:tcPr>
          <w:p>
            <w:pPr>
              <w:spacing w:after="0"/>
              <w:rPr>
                <w:sz w:val="1"/>
                <w:szCs w:val="1"/>
                <w:color w:val="auto"/>
              </w:rPr>
            </w:pPr>
          </w:p>
        </w:tc>
      </w:tr>
      <w:tr>
        <w:trPr>
          <w:trHeight w:val="110"/>
        </w:trPr>
        <w:tc>
          <w:tcPr>
            <w:tcW w:w="2380" w:type="dxa"/>
            <w:vAlign w:val="bottom"/>
            <w:shd w:val="clear" w:color="auto" w:fill="3E693D"/>
          </w:tcPr>
          <w:p>
            <w:pPr>
              <w:spacing w:after="0"/>
              <w:rPr>
                <w:sz w:val="9"/>
                <w:szCs w:val="9"/>
                <w:color w:val="auto"/>
              </w:rPr>
            </w:pPr>
          </w:p>
        </w:tc>
        <w:tc>
          <w:tcPr>
            <w:tcW w:w="8860" w:type="dxa"/>
            <w:vAlign w:val="bottom"/>
            <w:vMerge w:val="continue"/>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3E693D"/>
          </w:tcPr>
          <w:p>
            <w:pPr>
              <w:spacing w:after="0"/>
              <w:rPr>
                <w:sz w:val="15"/>
                <w:szCs w:val="15"/>
                <w:color w:val="auto"/>
              </w:rPr>
            </w:pP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Experience in or with the financial services industry, including investment banking, global financial markets or consumer</w:t>
            </w:r>
          </w:p>
        </w:tc>
        <w:tc>
          <w:tcPr>
            <w:tcW w:w="0" w:type="dxa"/>
            <w:vAlign w:val="bottom"/>
          </w:tcPr>
          <w:p>
            <w:pPr>
              <w:spacing w:after="0"/>
              <w:rPr>
                <w:sz w:val="1"/>
                <w:szCs w:val="1"/>
                <w:color w:val="auto"/>
              </w:rPr>
            </w:pPr>
          </w:p>
        </w:tc>
      </w:tr>
      <w:tr>
        <w:trPr>
          <w:trHeight w:val="176"/>
        </w:trPr>
        <w:tc>
          <w:tcPr>
            <w:tcW w:w="2380" w:type="dxa"/>
            <w:vAlign w:val="bottom"/>
            <w:shd w:val="clear" w:color="auto" w:fill="3E693D"/>
          </w:tcPr>
          <w:p>
            <w:pPr>
              <w:jc w:val="right"/>
              <w:ind w:right="59"/>
              <w:spacing w:after="0" w:line="175" w:lineRule="exact"/>
              <w:rPr>
                <w:sz w:val="20"/>
                <w:szCs w:val="20"/>
                <w:color w:val="auto"/>
              </w:rPr>
            </w:pPr>
            <w:r>
              <w:rPr>
                <w:rFonts w:ascii="Arial" w:cs="Arial" w:eastAsia="Arial" w:hAnsi="Arial"/>
                <w:sz w:val="16"/>
                <w:szCs w:val="16"/>
                <w:color w:val="FFFFFF"/>
              </w:rPr>
              <w:t>Financial Services</w:t>
            </w: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products and services, allows Board members to evaluate the Firm’s business model, strategies and the industry in which</w:t>
            </w:r>
          </w:p>
        </w:tc>
        <w:tc>
          <w:tcPr>
            <w:tcW w:w="0" w:type="dxa"/>
            <w:vAlign w:val="bottom"/>
          </w:tcPr>
          <w:p>
            <w:pPr>
              <w:spacing w:after="0"/>
              <w:rPr>
                <w:sz w:val="1"/>
                <w:szCs w:val="1"/>
                <w:color w:val="auto"/>
              </w:rPr>
            </w:pPr>
          </w:p>
        </w:tc>
      </w:tr>
      <w:tr>
        <w:trPr>
          <w:trHeight w:val="230"/>
        </w:trPr>
        <w:tc>
          <w:tcPr>
            <w:tcW w:w="2380" w:type="dxa"/>
            <w:vAlign w:val="bottom"/>
            <w:shd w:val="clear" w:color="auto" w:fill="3E693D"/>
          </w:tcPr>
          <w:p>
            <w:pPr>
              <w:spacing w:after="0"/>
              <w:rPr>
                <w:sz w:val="20"/>
                <w:szCs w:val="20"/>
                <w:color w:val="auto"/>
              </w:rPr>
            </w:pPr>
          </w:p>
        </w:tc>
        <w:tc>
          <w:tcPr>
            <w:tcW w:w="88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we compete</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3E693D"/>
          </w:tcPr>
          <w:p>
            <w:pPr>
              <w:jc w:val="right"/>
              <w:ind w:right="59"/>
              <w:spacing w:after="0" w:line="175" w:lineRule="exact"/>
              <w:rPr>
                <w:sz w:val="20"/>
                <w:szCs w:val="20"/>
                <w:color w:val="auto"/>
              </w:rPr>
            </w:pPr>
            <w:r>
              <w:rPr>
                <w:rFonts w:ascii="Arial" w:cs="Arial" w:eastAsia="Arial" w:hAnsi="Arial"/>
                <w:sz w:val="16"/>
                <w:szCs w:val="16"/>
                <w:color w:val="FFFFFF"/>
              </w:rPr>
              <w:t>International Business</w:t>
            </w: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Experience in diverse geographic, political and regulatory environments enables the Board to effectively oversee the Firm</w:t>
            </w:r>
          </w:p>
        </w:tc>
        <w:tc>
          <w:tcPr>
            <w:tcW w:w="0" w:type="dxa"/>
            <w:vAlign w:val="bottom"/>
          </w:tcPr>
          <w:p>
            <w:pPr>
              <w:spacing w:after="0"/>
              <w:rPr>
                <w:sz w:val="1"/>
                <w:szCs w:val="1"/>
                <w:color w:val="auto"/>
              </w:rPr>
            </w:pPr>
          </w:p>
        </w:tc>
      </w:tr>
      <w:tr>
        <w:trPr>
          <w:trHeight w:val="230"/>
        </w:trPr>
        <w:tc>
          <w:tcPr>
            <w:tcW w:w="2380" w:type="dxa"/>
            <w:vAlign w:val="bottom"/>
            <w:shd w:val="clear" w:color="auto" w:fill="3E693D"/>
          </w:tcPr>
          <w:p>
            <w:pPr>
              <w:jc w:val="right"/>
              <w:ind w:right="59"/>
              <w:spacing w:after="0"/>
              <w:rPr>
                <w:sz w:val="20"/>
                <w:szCs w:val="20"/>
                <w:color w:val="auto"/>
              </w:rPr>
            </w:pPr>
            <w:r>
              <w:rPr>
                <w:rFonts w:ascii="Arial" w:cs="Arial" w:eastAsia="Arial" w:hAnsi="Arial"/>
                <w:sz w:val="16"/>
                <w:szCs w:val="16"/>
                <w:color w:val="FFFFFF"/>
              </w:rPr>
              <w:t>Operations</w:t>
            </w:r>
          </w:p>
        </w:tc>
        <w:tc>
          <w:tcPr>
            <w:tcW w:w="88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as it serves customers and clients across the globe</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3E693D"/>
          </w:tcPr>
          <w:p>
            <w:pPr>
              <w:jc w:val="right"/>
              <w:ind w:right="59"/>
              <w:spacing w:after="0" w:line="175" w:lineRule="exact"/>
              <w:rPr>
                <w:sz w:val="20"/>
                <w:szCs w:val="20"/>
                <w:color w:val="auto"/>
              </w:rPr>
            </w:pPr>
            <w:r>
              <w:rPr>
                <w:rFonts w:ascii="Arial" w:cs="Arial" w:eastAsia="Arial" w:hAnsi="Arial"/>
                <w:sz w:val="16"/>
                <w:szCs w:val="16"/>
                <w:color w:val="FFFFFF"/>
              </w:rPr>
              <w:t>Leadership of a Large,</w:t>
            </w: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Executive experience managing business operations and strategic planning allows Board members to effectively oversee</w:t>
            </w:r>
          </w:p>
        </w:tc>
        <w:tc>
          <w:tcPr>
            <w:tcW w:w="0" w:type="dxa"/>
            <w:vAlign w:val="bottom"/>
          </w:tcPr>
          <w:p>
            <w:pPr>
              <w:spacing w:after="0"/>
              <w:rPr>
                <w:sz w:val="1"/>
                <w:szCs w:val="1"/>
                <w:color w:val="auto"/>
              </w:rPr>
            </w:pPr>
          </w:p>
        </w:tc>
      </w:tr>
      <w:tr>
        <w:trPr>
          <w:trHeight w:val="230"/>
        </w:trPr>
        <w:tc>
          <w:tcPr>
            <w:tcW w:w="2380" w:type="dxa"/>
            <w:vAlign w:val="bottom"/>
            <w:shd w:val="clear" w:color="auto" w:fill="3E693D"/>
          </w:tcPr>
          <w:p>
            <w:pPr>
              <w:jc w:val="right"/>
              <w:ind w:right="59"/>
              <w:spacing w:after="0"/>
              <w:rPr>
                <w:sz w:val="20"/>
                <w:szCs w:val="20"/>
                <w:color w:val="auto"/>
              </w:rPr>
            </w:pPr>
            <w:r>
              <w:rPr>
                <w:rFonts w:ascii="Arial" w:cs="Arial" w:eastAsia="Arial" w:hAnsi="Arial"/>
                <w:sz w:val="16"/>
                <w:szCs w:val="16"/>
                <w:color w:val="FFFFFF"/>
              </w:rPr>
              <w:t>Complex Organization</w:t>
            </w:r>
          </w:p>
        </w:tc>
        <w:tc>
          <w:tcPr>
            <w:tcW w:w="88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the Firm’s complex worldwide operations</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3E693D"/>
          </w:tcPr>
          <w:p>
            <w:pPr>
              <w:jc w:val="right"/>
              <w:ind w:right="59"/>
              <w:spacing w:after="0" w:line="175" w:lineRule="exact"/>
              <w:rPr>
                <w:sz w:val="20"/>
                <w:szCs w:val="20"/>
                <w:color w:val="auto"/>
              </w:rPr>
            </w:pPr>
            <w:r>
              <w:rPr>
                <w:rFonts w:ascii="Arial" w:cs="Arial" w:eastAsia="Arial" w:hAnsi="Arial"/>
                <w:sz w:val="16"/>
                <w:szCs w:val="16"/>
                <w:color w:val="FFFFFF"/>
              </w:rPr>
              <w:t>Management Development,</w:t>
            </w: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Experience in senior executive development, succession planning and compensation matters helps the Board to</w:t>
            </w:r>
          </w:p>
        </w:tc>
        <w:tc>
          <w:tcPr>
            <w:tcW w:w="0" w:type="dxa"/>
            <w:vAlign w:val="bottom"/>
          </w:tcPr>
          <w:p>
            <w:pPr>
              <w:spacing w:after="0"/>
              <w:rPr>
                <w:sz w:val="1"/>
                <w:szCs w:val="1"/>
                <w:color w:val="auto"/>
              </w:rPr>
            </w:pPr>
          </w:p>
        </w:tc>
      </w:tr>
      <w:tr>
        <w:trPr>
          <w:trHeight w:val="175"/>
        </w:trPr>
        <w:tc>
          <w:tcPr>
            <w:tcW w:w="2380" w:type="dxa"/>
            <w:vAlign w:val="bottom"/>
            <w:shd w:val="clear" w:color="auto" w:fill="3E693D"/>
          </w:tcPr>
          <w:p>
            <w:pPr>
              <w:jc w:val="right"/>
              <w:ind w:right="59"/>
              <w:spacing w:after="0" w:line="175" w:lineRule="exact"/>
              <w:rPr>
                <w:sz w:val="20"/>
                <w:szCs w:val="20"/>
                <w:color w:val="auto"/>
              </w:rPr>
            </w:pPr>
            <w:r>
              <w:rPr>
                <w:rFonts w:ascii="Arial" w:cs="Arial" w:eastAsia="Arial" w:hAnsi="Arial"/>
                <w:sz w:val="16"/>
                <w:szCs w:val="16"/>
                <w:color w:val="FFFFFF"/>
              </w:rPr>
              <w:t>Succession Planning and</w:t>
            </w: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effectively oversee the Firm’s efforts to recruit, retain and develop key talent and provide valuable insight in determining</w:t>
            </w:r>
          </w:p>
        </w:tc>
        <w:tc>
          <w:tcPr>
            <w:tcW w:w="0" w:type="dxa"/>
            <w:vAlign w:val="bottom"/>
          </w:tcPr>
          <w:p>
            <w:pPr>
              <w:spacing w:after="0"/>
              <w:rPr>
                <w:sz w:val="1"/>
                <w:szCs w:val="1"/>
                <w:color w:val="auto"/>
              </w:rPr>
            </w:pPr>
          </w:p>
        </w:tc>
      </w:tr>
      <w:tr>
        <w:trPr>
          <w:trHeight w:val="230"/>
        </w:trPr>
        <w:tc>
          <w:tcPr>
            <w:tcW w:w="2380" w:type="dxa"/>
            <w:vAlign w:val="bottom"/>
            <w:shd w:val="clear" w:color="auto" w:fill="3E693D"/>
          </w:tcPr>
          <w:p>
            <w:pPr>
              <w:jc w:val="right"/>
              <w:ind w:right="59"/>
              <w:spacing w:after="0"/>
              <w:rPr>
                <w:sz w:val="20"/>
                <w:szCs w:val="20"/>
                <w:color w:val="auto"/>
              </w:rPr>
            </w:pPr>
            <w:r>
              <w:rPr>
                <w:rFonts w:ascii="Arial" w:cs="Arial" w:eastAsia="Arial" w:hAnsi="Arial"/>
                <w:sz w:val="16"/>
                <w:szCs w:val="16"/>
                <w:color w:val="FFFFFF"/>
              </w:rPr>
              <w:t>Compensation</w:t>
            </w:r>
          </w:p>
        </w:tc>
        <w:tc>
          <w:tcPr>
            <w:tcW w:w="88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compensation of the CEO and other executive officers</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3E693D"/>
          </w:tcPr>
          <w:p>
            <w:pPr>
              <w:spacing w:after="0"/>
              <w:rPr>
                <w:sz w:val="15"/>
                <w:szCs w:val="15"/>
                <w:color w:val="auto"/>
              </w:rPr>
            </w:pP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Knowledge of public company governance matters, policies and best practices assists the Board in considering and</w:t>
            </w:r>
          </w:p>
        </w:tc>
        <w:tc>
          <w:tcPr>
            <w:tcW w:w="0" w:type="dxa"/>
            <w:vAlign w:val="bottom"/>
          </w:tcPr>
          <w:p>
            <w:pPr>
              <w:spacing w:after="0"/>
              <w:rPr>
                <w:sz w:val="1"/>
                <w:szCs w:val="1"/>
                <w:color w:val="auto"/>
              </w:rPr>
            </w:pPr>
          </w:p>
        </w:tc>
      </w:tr>
      <w:tr>
        <w:trPr>
          <w:trHeight w:val="175"/>
        </w:trPr>
        <w:tc>
          <w:tcPr>
            <w:tcW w:w="2380" w:type="dxa"/>
            <w:vAlign w:val="bottom"/>
            <w:shd w:val="clear" w:color="auto" w:fill="3E693D"/>
          </w:tcPr>
          <w:p>
            <w:pPr>
              <w:jc w:val="right"/>
              <w:ind w:right="59"/>
              <w:spacing w:after="0" w:line="175" w:lineRule="exact"/>
              <w:rPr>
                <w:sz w:val="20"/>
                <w:szCs w:val="20"/>
                <w:color w:val="auto"/>
              </w:rPr>
            </w:pPr>
            <w:r>
              <w:rPr>
                <w:rFonts w:ascii="Arial" w:cs="Arial" w:eastAsia="Arial" w:hAnsi="Arial"/>
                <w:sz w:val="16"/>
                <w:szCs w:val="16"/>
                <w:color w:val="FFFFFF"/>
              </w:rPr>
              <w:t>Public Company Governance</w:t>
            </w: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adopting applicable corporate governance practices, interacting with stakeholders and understanding the impact of</w:t>
            </w:r>
          </w:p>
        </w:tc>
        <w:tc>
          <w:tcPr>
            <w:tcW w:w="0" w:type="dxa"/>
            <w:vAlign w:val="bottom"/>
          </w:tcPr>
          <w:p>
            <w:pPr>
              <w:spacing w:after="0"/>
              <w:rPr>
                <w:sz w:val="1"/>
                <w:szCs w:val="1"/>
                <w:color w:val="auto"/>
              </w:rPr>
            </w:pPr>
          </w:p>
        </w:tc>
      </w:tr>
      <w:tr>
        <w:trPr>
          <w:trHeight w:val="230"/>
        </w:trPr>
        <w:tc>
          <w:tcPr>
            <w:tcW w:w="2380" w:type="dxa"/>
            <w:vAlign w:val="bottom"/>
            <w:shd w:val="clear" w:color="auto" w:fill="3E693D"/>
          </w:tcPr>
          <w:p>
            <w:pPr>
              <w:spacing w:after="0"/>
              <w:rPr>
                <w:sz w:val="20"/>
                <w:szCs w:val="20"/>
                <w:color w:val="auto"/>
              </w:rPr>
            </w:pPr>
          </w:p>
        </w:tc>
        <w:tc>
          <w:tcPr>
            <w:tcW w:w="88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various policies on the Firm’s functions</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3E693D"/>
          </w:tcPr>
          <w:p>
            <w:pPr>
              <w:spacing w:after="0"/>
              <w:rPr>
                <w:sz w:val="15"/>
                <w:szCs w:val="15"/>
                <w:color w:val="auto"/>
              </w:rPr>
            </w:pP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Experience with or oversight of innovative technology, cybersecurity, information systems/data management, fintech or</w:t>
            </w:r>
          </w:p>
        </w:tc>
        <w:tc>
          <w:tcPr>
            <w:tcW w:w="0" w:type="dxa"/>
            <w:vAlign w:val="bottom"/>
          </w:tcPr>
          <w:p>
            <w:pPr>
              <w:spacing w:after="0"/>
              <w:rPr>
                <w:sz w:val="1"/>
                <w:szCs w:val="1"/>
                <w:color w:val="auto"/>
              </w:rPr>
            </w:pPr>
          </w:p>
        </w:tc>
      </w:tr>
      <w:tr>
        <w:trPr>
          <w:trHeight w:val="175"/>
        </w:trPr>
        <w:tc>
          <w:tcPr>
            <w:tcW w:w="2380" w:type="dxa"/>
            <w:vAlign w:val="bottom"/>
            <w:shd w:val="clear" w:color="auto" w:fill="3E693D"/>
          </w:tcPr>
          <w:p>
            <w:pPr>
              <w:jc w:val="right"/>
              <w:ind w:right="59"/>
              <w:spacing w:after="0" w:line="175" w:lineRule="exact"/>
              <w:rPr>
                <w:sz w:val="20"/>
                <w:szCs w:val="20"/>
                <w:color w:val="auto"/>
              </w:rPr>
            </w:pPr>
            <w:r>
              <w:rPr>
                <w:rFonts w:ascii="Arial" w:cs="Arial" w:eastAsia="Arial" w:hAnsi="Arial"/>
                <w:sz w:val="16"/>
                <w:szCs w:val="16"/>
                <w:color w:val="FFFFFF"/>
              </w:rPr>
              <w:t>Technology</w:t>
            </w:r>
          </w:p>
        </w:tc>
        <w:tc>
          <w:tcPr>
            <w:tcW w:w="8860" w:type="dxa"/>
            <w:vAlign w:val="bottom"/>
            <w:shd w:val="clear" w:color="auto" w:fill="E7E7E8"/>
          </w:tcPr>
          <w:p>
            <w:pPr>
              <w:ind w:left="140"/>
              <w:spacing w:after="0" w:line="175" w:lineRule="exact"/>
              <w:rPr>
                <w:sz w:val="20"/>
                <w:szCs w:val="20"/>
                <w:color w:val="auto"/>
              </w:rPr>
            </w:pPr>
            <w:r>
              <w:rPr>
                <w:rFonts w:ascii="Arial" w:cs="Arial" w:eastAsia="Arial" w:hAnsi="Arial"/>
                <w:sz w:val="16"/>
                <w:szCs w:val="16"/>
                <w:color w:val="auto"/>
              </w:rPr>
              <w:t>privacy is important in overseeing the security of the Firm’s operations, assets and systems as well as the Firm’s ongoing</w:t>
            </w:r>
          </w:p>
        </w:tc>
        <w:tc>
          <w:tcPr>
            <w:tcW w:w="0" w:type="dxa"/>
            <w:vAlign w:val="bottom"/>
          </w:tcPr>
          <w:p>
            <w:pPr>
              <w:spacing w:after="0"/>
              <w:rPr>
                <w:sz w:val="1"/>
                <w:szCs w:val="1"/>
                <w:color w:val="auto"/>
              </w:rPr>
            </w:pPr>
          </w:p>
        </w:tc>
      </w:tr>
      <w:tr>
        <w:trPr>
          <w:trHeight w:val="230"/>
        </w:trPr>
        <w:tc>
          <w:tcPr>
            <w:tcW w:w="2380" w:type="dxa"/>
            <w:vAlign w:val="bottom"/>
            <w:shd w:val="clear" w:color="auto" w:fill="3E693D"/>
          </w:tcPr>
          <w:p>
            <w:pPr>
              <w:spacing w:after="0"/>
              <w:rPr>
                <w:sz w:val="20"/>
                <w:szCs w:val="20"/>
                <w:color w:val="auto"/>
              </w:rPr>
            </w:pPr>
          </w:p>
        </w:tc>
        <w:tc>
          <w:tcPr>
            <w:tcW w:w="8860" w:type="dxa"/>
            <w:vAlign w:val="bottom"/>
            <w:shd w:val="clear" w:color="auto" w:fill="E7E7E8"/>
          </w:tcPr>
          <w:p>
            <w:pPr>
              <w:ind w:left="140"/>
              <w:spacing w:after="0"/>
              <w:rPr>
                <w:sz w:val="20"/>
                <w:szCs w:val="20"/>
                <w:color w:val="auto"/>
              </w:rPr>
            </w:pPr>
            <w:r>
              <w:rPr>
                <w:rFonts w:ascii="Arial" w:cs="Arial" w:eastAsia="Arial" w:hAnsi="Arial"/>
                <w:sz w:val="16"/>
                <w:szCs w:val="16"/>
                <w:color w:val="auto"/>
              </w:rPr>
              <w:t>investment in and development of innovative technology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-1173480</wp:posOffset>
            </wp:positionV>
            <wp:extent cx="43180" cy="1174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117411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color w:val="FFFFFF"/>
        </w:rPr>
        <w:t>Regulated Industries</w:t>
      </w:r>
    </w:p>
    <w:p>
      <w:pPr>
        <w:spacing w:after="0" w:line="194" w:lineRule="exact"/>
        <w:rPr>
          <w:sz w:val="20"/>
          <w:szCs w:val="20"/>
          <w:color w:val="auto"/>
        </w:rPr>
      </w:pPr>
    </w:p>
    <w:p>
      <w:pPr>
        <w:jc w:val="right"/>
        <w:ind w:left="620"/>
        <w:spacing w:after="0" w:line="268" w:lineRule="auto"/>
        <w:rPr>
          <w:sz w:val="20"/>
          <w:szCs w:val="20"/>
          <w:color w:val="auto"/>
        </w:rPr>
      </w:pPr>
      <w:r>
        <w:rPr>
          <w:rFonts w:ascii="Arial" w:cs="Arial" w:eastAsia="Arial" w:hAnsi="Arial"/>
          <w:sz w:val="16"/>
          <w:szCs w:val="16"/>
          <w:color w:val="FFFFFF"/>
        </w:rPr>
        <w:t>Risk Management and Controls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FFFFFF"/>
        </w:rPr>
        <w:t>ESG Matters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500"/>
        <w:spacing w:after="0" w:line="268" w:lineRule="auto"/>
        <w:rPr>
          <w:sz w:val="20"/>
          <w:szCs w:val="20"/>
          <w:color w:val="auto"/>
        </w:rPr>
      </w:pPr>
      <w:r>
        <w:rPr>
          <w:rFonts w:ascii="Arial" w:cs="Arial" w:eastAsia="Arial" w:hAnsi="Arial"/>
          <w:sz w:val="16"/>
          <w:szCs w:val="16"/>
          <w:color w:val="auto"/>
        </w:rPr>
        <w:t>Experience with regulated businesses, regulatory requirements and relationships with global regulators is important because the Firm operates in a heavily regulated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-259715</wp:posOffset>
            </wp:positionV>
            <wp:extent cx="7132320" cy="257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Skills and experience in assessment and management of business and financial risk factors allow the Board to effectively oversee risk management and understand the most significant risks facing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-259715</wp:posOffset>
            </wp:positionV>
            <wp:extent cx="7132320"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8"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Experience with ESG matters allows the Board to provide effective oversight of efforts to assess and manage potential risks and anticipate emerging ESG-related matters that may impact the business, employees, customers and stakeholders, as well as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-361315</wp:posOffset>
            </wp:positionV>
            <wp:extent cx="7132320" cy="3683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280"/>
            <w:col w:w="8740"/>
          </w:cols>
          <w:pgMar w:left="320" w:top="157" w:right="319" w:bottom="1440" w:gutter="0" w:footer="0" w:header="0"/>
          <w:type w:val="continuous"/>
        </w:sectPr>
      </w:pP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074A75"/>
        </w:rPr>
        <w:t>Board Diversity and Experience Matrix</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40" w:type="dxa"/>
            <w:vAlign w:val="bottom"/>
            <w:gridSpan w:val="2"/>
          </w:tcPr>
          <w:p>
            <w:pPr>
              <w:ind w:left="20"/>
              <w:spacing w:after="0"/>
              <w:rPr>
                <w:sz w:val="20"/>
                <w:szCs w:val="20"/>
                <w:color w:val="auto"/>
              </w:rPr>
            </w:pPr>
            <w:r>
              <w:rPr>
                <w:rFonts w:ascii="Arial" w:cs="Arial" w:eastAsia="Arial" w:hAnsi="Arial"/>
                <w:sz w:val="14"/>
                <w:szCs w:val="14"/>
                <w:b w:val="1"/>
                <w:bCs w:val="1"/>
                <w:color w:val="auto"/>
              </w:rPr>
              <w:t>10 Director Nominees: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Burke</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Bammann</w:t>
            </w: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Combs</w:t>
            </w:r>
          </w:p>
        </w:tc>
        <w:tc>
          <w:tcPr>
            <w:tcW w:w="860" w:type="dxa"/>
            <w:vAlign w:val="bottom"/>
            <w:gridSpan w:val="3"/>
          </w:tcPr>
          <w:p>
            <w:pPr>
              <w:ind w:left="180"/>
              <w:spacing w:after="0"/>
              <w:rPr>
                <w:sz w:val="20"/>
                <w:szCs w:val="20"/>
                <w:color w:val="auto"/>
              </w:rPr>
            </w:pPr>
            <w:r>
              <w:rPr>
                <w:rFonts w:ascii="Arial" w:cs="Arial" w:eastAsia="Arial" w:hAnsi="Arial"/>
                <w:sz w:val="14"/>
                <w:szCs w:val="14"/>
                <w:b w:val="1"/>
                <w:bCs w:val="1"/>
                <w:color w:val="auto"/>
              </w:rPr>
              <w:t>Crown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Dimon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Flynn</w:t>
            </w: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Hobson</w:t>
            </w:r>
          </w:p>
        </w:tc>
        <w:tc>
          <w:tcPr>
            <w:tcW w:w="640" w:type="dxa"/>
            <w:vAlign w:val="bottom"/>
          </w:tcPr>
          <w:p>
            <w:pPr>
              <w:ind w:left="260"/>
              <w:spacing w:after="0"/>
              <w:rPr>
                <w:sz w:val="20"/>
                <w:szCs w:val="20"/>
                <w:color w:val="auto"/>
              </w:rPr>
            </w:pPr>
            <w:r>
              <w:rPr>
                <w:rFonts w:ascii="Arial" w:cs="Arial" w:eastAsia="Arial" w:hAnsi="Arial"/>
                <w:sz w:val="14"/>
                <w:szCs w:val="14"/>
                <w:b w:val="1"/>
                <w:bCs w:val="1"/>
                <w:color w:val="auto"/>
              </w:rPr>
              <w:t>Neal</w:t>
            </w:r>
          </w:p>
        </w:tc>
        <w:tc>
          <w:tcPr>
            <w:tcW w:w="240" w:type="dxa"/>
            <w:vAlign w:val="bottom"/>
          </w:tcPr>
          <w:p>
            <w:pPr>
              <w:spacing w:after="0"/>
              <w:rPr>
                <w:sz w:val="17"/>
                <w:szCs w:val="17"/>
                <w:color w:val="auto"/>
              </w:rPr>
            </w:pP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Novakovic</w:t>
            </w:r>
          </w:p>
        </w:tc>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Rometty</w:t>
            </w:r>
          </w:p>
        </w:tc>
        <w:tc>
          <w:tcPr>
            <w:tcW w:w="0" w:type="dxa"/>
            <w:vAlign w:val="bottom"/>
          </w:tcPr>
          <w:p>
            <w:pPr>
              <w:spacing w:after="0"/>
              <w:rPr>
                <w:sz w:val="1"/>
                <w:szCs w:val="1"/>
                <w:color w:val="auto"/>
              </w:rPr>
            </w:pPr>
          </w:p>
        </w:tc>
      </w:tr>
      <w:tr>
        <w:trPr>
          <w:trHeight w:val="217"/>
        </w:trPr>
        <w:tc>
          <w:tcPr>
            <w:tcW w:w="2640" w:type="dxa"/>
            <w:vAlign w:val="bottom"/>
            <w:tcBorders>
              <w:right w:val="single" w:sz="8" w:color="074A75"/>
            </w:tcBorders>
            <w:gridSpan w:val="2"/>
            <w:shd w:val="clear" w:color="auto" w:fill="074A75"/>
          </w:tcPr>
          <w:p>
            <w:pPr>
              <w:ind w:left="20"/>
              <w:spacing w:after="0"/>
              <w:rPr>
                <w:sz w:val="20"/>
                <w:szCs w:val="20"/>
                <w:color w:val="auto"/>
              </w:rPr>
            </w:pPr>
            <w:r>
              <w:rPr>
                <w:rFonts w:ascii="Arial" w:cs="Arial" w:eastAsia="Arial" w:hAnsi="Arial"/>
                <w:sz w:val="14"/>
                <w:szCs w:val="14"/>
                <w:b w:val="1"/>
                <w:bCs w:val="1"/>
                <w:color w:val="FFFFFF"/>
              </w:rPr>
              <w:t>Experience and Skills</w:t>
            </w:r>
          </w:p>
        </w:tc>
        <w:tc>
          <w:tcPr>
            <w:tcW w:w="84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880" w:type="dxa"/>
            <w:vAlign w:val="bottom"/>
            <w:tcBorders>
              <w:right w:val="single" w:sz="8" w:color="074A75"/>
            </w:tcBorders>
            <w:shd w:val="clear" w:color="auto" w:fill="074A75"/>
          </w:tcPr>
          <w:p>
            <w:pPr>
              <w:spacing w:after="0"/>
              <w:rPr>
                <w:sz w:val="18"/>
                <w:szCs w:val="18"/>
                <w:color w:val="auto"/>
              </w:rPr>
            </w:pPr>
          </w:p>
        </w:tc>
        <w:tc>
          <w:tcPr>
            <w:tcW w:w="200" w:type="dxa"/>
            <w:vAlign w:val="bottom"/>
            <w:tcBorders>
              <w:right w:val="single" w:sz="8" w:color="074A75"/>
            </w:tcBorders>
            <w:shd w:val="clear" w:color="auto" w:fill="074A75"/>
          </w:tcPr>
          <w:p>
            <w:pPr>
              <w:spacing w:after="0"/>
              <w:rPr>
                <w:sz w:val="18"/>
                <w:szCs w:val="18"/>
                <w:color w:val="auto"/>
              </w:rPr>
            </w:pPr>
          </w:p>
        </w:tc>
        <w:tc>
          <w:tcPr>
            <w:tcW w:w="420" w:type="dxa"/>
            <w:vAlign w:val="bottom"/>
            <w:tcBorders>
              <w:right w:val="single" w:sz="8" w:color="074A75"/>
            </w:tcBorders>
            <w:shd w:val="clear" w:color="auto" w:fill="074A75"/>
          </w:tcPr>
          <w:p>
            <w:pPr>
              <w:spacing w:after="0"/>
              <w:rPr>
                <w:sz w:val="18"/>
                <w:szCs w:val="18"/>
                <w:color w:val="auto"/>
              </w:rPr>
            </w:pPr>
          </w:p>
        </w:tc>
        <w:tc>
          <w:tcPr>
            <w:tcW w:w="24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640" w:type="dxa"/>
            <w:vAlign w:val="bottom"/>
            <w:shd w:val="clear" w:color="auto" w:fill="074A75"/>
          </w:tcPr>
          <w:p>
            <w:pPr>
              <w:spacing w:after="0"/>
              <w:rPr>
                <w:sz w:val="18"/>
                <w:szCs w:val="18"/>
                <w:color w:val="auto"/>
              </w:rPr>
            </w:pPr>
          </w:p>
        </w:tc>
        <w:tc>
          <w:tcPr>
            <w:tcW w:w="24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840" w:type="dxa"/>
            <w:vAlign w:val="bottom"/>
            <w:shd w:val="clear" w:color="auto" w:fill="074A7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Finance and Accounting</w:t>
            </w: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Financial Services</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International Business Operations</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Leadership of a Large,</w:t>
            </w:r>
          </w:p>
        </w:tc>
        <w:tc>
          <w:tcPr>
            <w:tcW w:w="8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Complex Organization</w:t>
            </w:r>
          </w:p>
        </w:tc>
        <w:tc>
          <w:tcPr>
            <w:tcW w:w="8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Management Development, Succession</w:t>
            </w:r>
          </w:p>
        </w:tc>
        <w:tc>
          <w:tcPr>
            <w:tcW w:w="8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Planning and Compensation</w:t>
            </w:r>
          </w:p>
        </w:tc>
        <w:tc>
          <w:tcPr>
            <w:tcW w:w="8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Public Company Governance</w:t>
            </w: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Technology</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Regulated Industries</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Risk Management and Controls</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ESG Matters</w:t>
            </w:r>
          </w:p>
        </w:tc>
        <w:tc>
          <w:tcPr>
            <w:tcW w:w="84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074A75"/>
            </w:tcBorders>
            <w:gridSpan w:val="2"/>
            <w:shd w:val="clear" w:color="auto" w:fill="074A75"/>
          </w:tcPr>
          <w:p>
            <w:pPr>
              <w:ind w:left="20"/>
              <w:spacing w:after="0"/>
              <w:rPr>
                <w:sz w:val="20"/>
                <w:szCs w:val="20"/>
                <w:color w:val="auto"/>
              </w:rPr>
            </w:pPr>
            <w:r>
              <w:rPr>
                <w:rFonts w:ascii="Arial" w:cs="Arial" w:eastAsia="Arial" w:hAnsi="Arial"/>
                <w:sz w:val="14"/>
                <w:szCs w:val="14"/>
                <w:b w:val="1"/>
                <w:bCs w:val="1"/>
                <w:color w:val="FFFFFF"/>
              </w:rPr>
              <w:t>Background</w:t>
            </w:r>
          </w:p>
        </w:tc>
        <w:tc>
          <w:tcPr>
            <w:tcW w:w="84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880" w:type="dxa"/>
            <w:vAlign w:val="bottom"/>
            <w:tcBorders>
              <w:right w:val="single" w:sz="8" w:color="074A75"/>
            </w:tcBorders>
            <w:shd w:val="clear" w:color="auto" w:fill="074A75"/>
          </w:tcPr>
          <w:p>
            <w:pPr>
              <w:spacing w:after="0"/>
              <w:rPr>
                <w:sz w:val="18"/>
                <w:szCs w:val="18"/>
                <w:color w:val="auto"/>
              </w:rPr>
            </w:pPr>
          </w:p>
        </w:tc>
        <w:tc>
          <w:tcPr>
            <w:tcW w:w="200" w:type="dxa"/>
            <w:vAlign w:val="bottom"/>
            <w:tcBorders>
              <w:right w:val="single" w:sz="8" w:color="074A75"/>
            </w:tcBorders>
            <w:shd w:val="clear" w:color="auto" w:fill="074A75"/>
          </w:tcPr>
          <w:p>
            <w:pPr>
              <w:spacing w:after="0"/>
              <w:rPr>
                <w:sz w:val="18"/>
                <w:szCs w:val="18"/>
                <w:color w:val="auto"/>
              </w:rPr>
            </w:pPr>
          </w:p>
        </w:tc>
        <w:tc>
          <w:tcPr>
            <w:tcW w:w="420" w:type="dxa"/>
            <w:vAlign w:val="bottom"/>
            <w:tcBorders>
              <w:right w:val="single" w:sz="8" w:color="074A75"/>
            </w:tcBorders>
            <w:shd w:val="clear" w:color="auto" w:fill="074A75"/>
          </w:tcPr>
          <w:p>
            <w:pPr>
              <w:spacing w:after="0"/>
              <w:rPr>
                <w:sz w:val="18"/>
                <w:szCs w:val="18"/>
                <w:color w:val="auto"/>
              </w:rPr>
            </w:pPr>
          </w:p>
        </w:tc>
        <w:tc>
          <w:tcPr>
            <w:tcW w:w="24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640" w:type="dxa"/>
            <w:vAlign w:val="bottom"/>
            <w:shd w:val="clear" w:color="auto" w:fill="074A75"/>
          </w:tcPr>
          <w:p>
            <w:pPr>
              <w:spacing w:after="0"/>
              <w:rPr>
                <w:sz w:val="18"/>
                <w:szCs w:val="18"/>
                <w:color w:val="auto"/>
              </w:rPr>
            </w:pPr>
          </w:p>
        </w:tc>
        <w:tc>
          <w:tcPr>
            <w:tcW w:w="240" w:type="dxa"/>
            <w:vAlign w:val="bottom"/>
            <w:tcBorders>
              <w:right w:val="single" w:sz="8" w:color="074A75"/>
            </w:tcBorders>
            <w:shd w:val="clear" w:color="auto" w:fill="074A75"/>
          </w:tcPr>
          <w:p>
            <w:pPr>
              <w:spacing w:after="0"/>
              <w:rPr>
                <w:sz w:val="18"/>
                <w:szCs w:val="18"/>
                <w:color w:val="auto"/>
              </w:rPr>
            </w:pPr>
          </w:p>
        </w:tc>
        <w:tc>
          <w:tcPr>
            <w:tcW w:w="860" w:type="dxa"/>
            <w:vAlign w:val="bottom"/>
            <w:tcBorders>
              <w:right w:val="single" w:sz="8" w:color="074A75"/>
            </w:tcBorders>
            <w:shd w:val="clear" w:color="auto" w:fill="074A75"/>
          </w:tcPr>
          <w:p>
            <w:pPr>
              <w:spacing w:after="0"/>
              <w:rPr>
                <w:sz w:val="18"/>
                <w:szCs w:val="18"/>
                <w:color w:val="auto"/>
              </w:rPr>
            </w:pPr>
          </w:p>
        </w:tc>
        <w:tc>
          <w:tcPr>
            <w:tcW w:w="840" w:type="dxa"/>
            <w:vAlign w:val="bottom"/>
            <w:shd w:val="clear" w:color="auto" w:fill="074A7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40" w:type="dxa"/>
            <w:vAlign w:val="bottom"/>
            <w:tcBorders>
              <w:bottom w:val="single" w:sz="8" w:color="auto"/>
              <w:right w:val="single" w:sz="8" w:color="E7E7E8"/>
            </w:tcBorders>
            <w:gridSpan w:val="2"/>
            <w:shd w:val="clear" w:color="auto" w:fill="E7E7E8"/>
          </w:tcPr>
          <w:p>
            <w:pPr>
              <w:ind w:left="20"/>
              <w:spacing w:after="0"/>
              <w:rPr>
                <w:sz w:val="20"/>
                <w:szCs w:val="20"/>
                <w:color w:val="auto"/>
              </w:rPr>
            </w:pPr>
            <w:r>
              <w:rPr>
                <w:rFonts w:ascii="Arial" w:cs="Arial" w:eastAsia="Arial" w:hAnsi="Arial"/>
                <w:sz w:val="14"/>
                <w:szCs w:val="14"/>
                <w:b w:val="1"/>
                <w:bCs w:val="1"/>
                <w:color w:val="auto"/>
              </w:rPr>
              <w:t>Gender</w:t>
            </w:r>
          </w:p>
        </w:tc>
        <w:tc>
          <w:tcPr>
            <w:tcW w:w="8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80" w:type="dxa"/>
            <w:vAlign w:val="bottom"/>
            <w:tcBorders>
              <w:bottom w:val="single" w:sz="8" w:color="auto"/>
              <w:right w:val="single" w:sz="8" w:color="E7E7E8"/>
            </w:tcBorders>
            <w:shd w:val="clear" w:color="auto" w:fill="E7E7E8"/>
          </w:tcPr>
          <w:p>
            <w:pPr>
              <w:spacing w:after="0"/>
              <w:rPr>
                <w:sz w:val="18"/>
                <w:szCs w:val="18"/>
                <w:color w:val="auto"/>
              </w:rPr>
            </w:pPr>
          </w:p>
        </w:tc>
        <w:tc>
          <w:tcPr>
            <w:tcW w:w="200" w:type="dxa"/>
            <w:vAlign w:val="bottom"/>
            <w:tcBorders>
              <w:bottom w:val="single" w:sz="8" w:color="auto"/>
              <w:right w:val="single" w:sz="8" w:color="E7E7E8"/>
            </w:tcBorders>
            <w:shd w:val="clear" w:color="auto" w:fill="E7E7E8"/>
          </w:tcPr>
          <w:p>
            <w:pPr>
              <w:spacing w:after="0"/>
              <w:rPr>
                <w:sz w:val="18"/>
                <w:szCs w:val="18"/>
                <w:color w:val="auto"/>
              </w:rPr>
            </w:pPr>
          </w:p>
        </w:tc>
        <w:tc>
          <w:tcPr>
            <w:tcW w:w="420" w:type="dxa"/>
            <w:vAlign w:val="bottom"/>
            <w:tcBorders>
              <w:bottom w:val="single" w:sz="8" w:color="auto"/>
              <w:right w:val="single" w:sz="8" w:color="E7E7E8"/>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640" w:type="dxa"/>
            <w:vAlign w:val="bottom"/>
            <w:tcBorders>
              <w:bottom w:val="single" w:sz="8" w:color="auto"/>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4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Male</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Female</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Non-binary</w:t>
            </w:r>
          </w:p>
        </w:tc>
        <w:tc>
          <w:tcPr>
            <w:tcW w:w="8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40" w:type="dxa"/>
            <w:vAlign w:val="bottom"/>
            <w:tcBorders>
              <w:bottom w:val="single" w:sz="8" w:color="auto"/>
              <w:right w:val="single" w:sz="8" w:color="E7E7E8"/>
            </w:tcBorders>
            <w:gridSpan w:val="2"/>
            <w:shd w:val="clear" w:color="auto" w:fill="E7E7E8"/>
          </w:tcPr>
          <w:p>
            <w:pPr>
              <w:ind w:left="20"/>
              <w:spacing w:after="0"/>
              <w:rPr>
                <w:sz w:val="20"/>
                <w:szCs w:val="20"/>
                <w:color w:val="auto"/>
              </w:rPr>
            </w:pPr>
            <w:r>
              <w:rPr>
                <w:rFonts w:ascii="Arial" w:cs="Arial" w:eastAsia="Arial" w:hAnsi="Arial"/>
                <w:sz w:val="14"/>
                <w:szCs w:val="14"/>
                <w:b w:val="1"/>
                <w:bCs w:val="1"/>
                <w:color w:val="auto"/>
              </w:rPr>
              <w:t>Race</w:t>
            </w:r>
          </w:p>
        </w:tc>
        <w:tc>
          <w:tcPr>
            <w:tcW w:w="8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80" w:type="dxa"/>
            <w:vAlign w:val="bottom"/>
            <w:tcBorders>
              <w:bottom w:val="single" w:sz="8" w:color="auto"/>
              <w:right w:val="single" w:sz="8" w:color="E7E7E8"/>
            </w:tcBorders>
            <w:shd w:val="clear" w:color="auto" w:fill="E7E7E8"/>
          </w:tcPr>
          <w:p>
            <w:pPr>
              <w:spacing w:after="0"/>
              <w:rPr>
                <w:sz w:val="18"/>
                <w:szCs w:val="18"/>
                <w:color w:val="auto"/>
              </w:rPr>
            </w:pPr>
          </w:p>
        </w:tc>
        <w:tc>
          <w:tcPr>
            <w:tcW w:w="200" w:type="dxa"/>
            <w:vAlign w:val="bottom"/>
            <w:tcBorders>
              <w:bottom w:val="single" w:sz="8" w:color="auto"/>
              <w:right w:val="single" w:sz="8" w:color="E7E7E8"/>
            </w:tcBorders>
            <w:shd w:val="clear" w:color="auto" w:fill="E7E7E8"/>
          </w:tcPr>
          <w:p>
            <w:pPr>
              <w:spacing w:after="0"/>
              <w:rPr>
                <w:sz w:val="18"/>
                <w:szCs w:val="18"/>
                <w:color w:val="auto"/>
              </w:rPr>
            </w:pPr>
          </w:p>
        </w:tc>
        <w:tc>
          <w:tcPr>
            <w:tcW w:w="420" w:type="dxa"/>
            <w:vAlign w:val="bottom"/>
            <w:tcBorders>
              <w:bottom w:val="single" w:sz="8" w:color="auto"/>
              <w:right w:val="single" w:sz="8" w:color="E7E7E8"/>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640" w:type="dxa"/>
            <w:vAlign w:val="bottom"/>
            <w:tcBorders>
              <w:bottom w:val="single" w:sz="8" w:color="auto"/>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4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American Indian or Alaska Native</w:t>
            </w:r>
          </w:p>
        </w:tc>
        <w:tc>
          <w:tcPr>
            <w:tcW w:w="8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Asian</w:t>
            </w:r>
          </w:p>
        </w:tc>
        <w:tc>
          <w:tcPr>
            <w:tcW w:w="8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Black or African American</w:t>
            </w: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Hispanic or Latino</w:t>
            </w:r>
          </w:p>
        </w:tc>
        <w:tc>
          <w:tcPr>
            <w:tcW w:w="8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Native Hawaiian or other Pacific</w:t>
            </w:r>
          </w:p>
        </w:tc>
        <w:tc>
          <w:tcPr>
            <w:tcW w:w="8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Islander</w:t>
            </w:r>
          </w:p>
        </w:tc>
        <w:tc>
          <w:tcPr>
            <w:tcW w:w="8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White</w:t>
            </w:r>
          </w:p>
        </w:tc>
        <w:tc>
          <w:tcPr>
            <w:tcW w:w="8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Two or more races or ethnicities</w:t>
            </w:r>
          </w:p>
        </w:tc>
        <w:tc>
          <w:tcPr>
            <w:tcW w:w="8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40" w:type="dxa"/>
            <w:vAlign w:val="bottom"/>
            <w:tcBorders>
              <w:bottom w:val="single" w:sz="8" w:color="auto"/>
              <w:right w:val="single" w:sz="8" w:color="E7E7E8"/>
            </w:tcBorders>
            <w:gridSpan w:val="2"/>
            <w:shd w:val="clear" w:color="auto" w:fill="E7E7E8"/>
          </w:tcPr>
          <w:p>
            <w:pPr>
              <w:ind w:left="20"/>
              <w:spacing w:after="0"/>
              <w:rPr>
                <w:sz w:val="20"/>
                <w:szCs w:val="20"/>
                <w:color w:val="auto"/>
              </w:rPr>
            </w:pPr>
            <w:r>
              <w:rPr>
                <w:rFonts w:ascii="Arial" w:cs="Arial" w:eastAsia="Arial" w:hAnsi="Arial"/>
                <w:sz w:val="14"/>
                <w:szCs w:val="14"/>
                <w:b w:val="1"/>
                <w:bCs w:val="1"/>
                <w:color w:val="auto"/>
              </w:rPr>
              <w:t>LGBTQ+</w:t>
            </w:r>
          </w:p>
        </w:tc>
        <w:tc>
          <w:tcPr>
            <w:tcW w:w="8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80" w:type="dxa"/>
            <w:vAlign w:val="bottom"/>
            <w:tcBorders>
              <w:bottom w:val="single" w:sz="8" w:color="auto"/>
              <w:right w:val="single" w:sz="8" w:color="E7E7E8"/>
            </w:tcBorders>
            <w:shd w:val="clear" w:color="auto" w:fill="E7E7E8"/>
          </w:tcPr>
          <w:p>
            <w:pPr>
              <w:spacing w:after="0"/>
              <w:rPr>
                <w:sz w:val="18"/>
                <w:szCs w:val="18"/>
                <w:color w:val="auto"/>
              </w:rPr>
            </w:pPr>
          </w:p>
        </w:tc>
        <w:tc>
          <w:tcPr>
            <w:tcW w:w="200" w:type="dxa"/>
            <w:vAlign w:val="bottom"/>
            <w:tcBorders>
              <w:bottom w:val="single" w:sz="8" w:color="auto"/>
              <w:right w:val="single" w:sz="8" w:color="E7E7E8"/>
            </w:tcBorders>
            <w:shd w:val="clear" w:color="auto" w:fill="E7E7E8"/>
          </w:tcPr>
          <w:p>
            <w:pPr>
              <w:spacing w:after="0"/>
              <w:rPr>
                <w:sz w:val="18"/>
                <w:szCs w:val="18"/>
                <w:color w:val="auto"/>
              </w:rPr>
            </w:pPr>
          </w:p>
        </w:tc>
        <w:tc>
          <w:tcPr>
            <w:tcW w:w="420" w:type="dxa"/>
            <w:vAlign w:val="bottom"/>
            <w:tcBorders>
              <w:bottom w:val="single" w:sz="8" w:color="auto"/>
              <w:right w:val="single" w:sz="8" w:color="E7E7E8"/>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640" w:type="dxa"/>
            <w:vAlign w:val="bottom"/>
            <w:tcBorders>
              <w:bottom w:val="single" w:sz="8" w:color="auto"/>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4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Heterosexual</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LGBT+</w:t>
            </w:r>
          </w:p>
        </w:tc>
        <w:tc>
          <w:tcPr>
            <w:tcW w:w="8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40" w:type="dxa"/>
            <w:vAlign w:val="bottom"/>
            <w:tcBorders>
              <w:bottom w:val="single" w:sz="8" w:color="auto"/>
              <w:right w:val="single" w:sz="8" w:color="E7E7E8"/>
            </w:tcBorders>
            <w:gridSpan w:val="2"/>
            <w:shd w:val="clear" w:color="auto" w:fill="E7E7E8"/>
          </w:tcPr>
          <w:p>
            <w:pPr>
              <w:ind w:left="20"/>
              <w:spacing w:after="0"/>
              <w:rPr>
                <w:sz w:val="20"/>
                <w:szCs w:val="20"/>
                <w:color w:val="auto"/>
              </w:rPr>
            </w:pPr>
            <w:r>
              <w:rPr>
                <w:rFonts w:ascii="Arial" w:cs="Arial" w:eastAsia="Arial" w:hAnsi="Arial"/>
                <w:sz w:val="14"/>
                <w:szCs w:val="14"/>
                <w:b w:val="1"/>
                <w:bCs w:val="1"/>
                <w:color w:val="auto"/>
              </w:rPr>
              <w:t>Military Status</w:t>
            </w:r>
          </w:p>
        </w:tc>
        <w:tc>
          <w:tcPr>
            <w:tcW w:w="8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80" w:type="dxa"/>
            <w:vAlign w:val="bottom"/>
            <w:tcBorders>
              <w:bottom w:val="single" w:sz="8" w:color="auto"/>
              <w:right w:val="single" w:sz="8" w:color="E7E7E8"/>
            </w:tcBorders>
            <w:shd w:val="clear" w:color="auto" w:fill="E7E7E8"/>
          </w:tcPr>
          <w:p>
            <w:pPr>
              <w:spacing w:after="0"/>
              <w:rPr>
                <w:sz w:val="18"/>
                <w:szCs w:val="18"/>
                <w:color w:val="auto"/>
              </w:rPr>
            </w:pPr>
          </w:p>
        </w:tc>
        <w:tc>
          <w:tcPr>
            <w:tcW w:w="200" w:type="dxa"/>
            <w:vAlign w:val="bottom"/>
            <w:tcBorders>
              <w:bottom w:val="single" w:sz="8" w:color="auto"/>
              <w:right w:val="single" w:sz="8" w:color="E7E7E8"/>
            </w:tcBorders>
            <w:shd w:val="clear" w:color="auto" w:fill="E7E7E8"/>
          </w:tcPr>
          <w:p>
            <w:pPr>
              <w:spacing w:after="0"/>
              <w:rPr>
                <w:sz w:val="18"/>
                <w:szCs w:val="18"/>
                <w:color w:val="auto"/>
              </w:rPr>
            </w:pPr>
          </w:p>
        </w:tc>
        <w:tc>
          <w:tcPr>
            <w:tcW w:w="420" w:type="dxa"/>
            <w:vAlign w:val="bottom"/>
            <w:tcBorders>
              <w:bottom w:val="single" w:sz="8" w:color="auto"/>
              <w:right w:val="single" w:sz="8" w:color="E7E7E8"/>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640" w:type="dxa"/>
            <w:vAlign w:val="bottom"/>
            <w:tcBorders>
              <w:bottom w:val="single" w:sz="8" w:color="auto"/>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4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Not a Veteran</w:t>
            </w:r>
          </w:p>
        </w:tc>
        <w:tc>
          <w:tcPr>
            <w:tcW w:w="8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94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Reservist and/or National Guard</w:t>
            </w:r>
          </w:p>
        </w:tc>
        <w:tc>
          <w:tcPr>
            <w:tcW w:w="8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Veteran/Prior Military Service</w:t>
            </w:r>
          </w:p>
        </w:tc>
        <w:tc>
          <w:tcPr>
            <w:tcW w:w="8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Borders>
              <w:bottom w:val="single" w:sz="8" w:color="auto"/>
              <w:right w:val="single" w:sz="8" w:color="E7E7E8"/>
            </w:tcBorders>
            <w:gridSpan w:val="2"/>
            <w:shd w:val="clear" w:color="auto" w:fill="E7E7E8"/>
          </w:tcPr>
          <w:p>
            <w:pPr>
              <w:ind w:left="20"/>
              <w:spacing w:after="0"/>
              <w:rPr>
                <w:sz w:val="20"/>
                <w:szCs w:val="20"/>
                <w:color w:val="auto"/>
              </w:rPr>
            </w:pPr>
            <w:r>
              <w:rPr>
                <w:rFonts w:ascii="Arial" w:cs="Arial" w:eastAsia="Arial" w:hAnsi="Arial"/>
                <w:sz w:val="14"/>
                <w:szCs w:val="14"/>
                <w:b w:val="1"/>
                <w:bCs w:val="1"/>
                <w:color w:val="auto"/>
              </w:rPr>
              <w:t>Age/Tenure</w:t>
            </w:r>
          </w:p>
        </w:tc>
        <w:tc>
          <w:tcPr>
            <w:tcW w:w="8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80" w:type="dxa"/>
            <w:vAlign w:val="bottom"/>
            <w:tcBorders>
              <w:bottom w:val="single" w:sz="8" w:color="auto"/>
              <w:right w:val="single" w:sz="8" w:color="E7E7E8"/>
            </w:tcBorders>
            <w:shd w:val="clear" w:color="auto" w:fill="E7E7E8"/>
          </w:tcPr>
          <w:p>
            <w:pPr>
              <w:spacing w:after="0"/>
              <w:rPr>
                <w:sz w:val="18"/>
                <w:szCs w:val="18"/>
                <w:color w:val="auto"/>
              </w:rPr>
            </w:pPr>
          </w:p>
        </w:tc>
        <w:tc>
          <w:tcPr>
            <w:tcW w:w="200" w:type="dxa"/>
            <w:vAlign w:val="bottom"/>
            <w:tcBorders>
              <w:bottom w:val="single" w:sz="8" w:color="auto"/>
              <w:right w:val="single" w:sz="8" w:color="E7E7E8"/>
            </w:tcBorders>
            <w:shd w:val="clear" w:color="auto" w:fill="E7E7E8"/>
          </w:tcPr>
          <w:p>
            <w:pPr>
              <w:spacing w:after="0"/>
              <w:rPr>
                <w:sz w:val="18"/>
                <w:szCs w:val="18"/>
                <w:color w:val="auto"/>
              </w:rPr>
            </w:pPr>
          </w:p>
        </w:tc>
        <w:tc>
          <w:tcPr>
            <w:tcW w:w="420" w:type="dxa"/>
            <w:vAlign w:val="bottom"/>
            <w:tcBorders>
              <w:bottom w:val="single" w:sz="8" w:color="auto"/>
              <w:right w:val="single" w:sz="8" w:color="E7E7E8"/>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640" w:type="dxa"/>
            <w:vAlign w:val="bottom"/>
            <w:tcBorders>
              <w:bottom w:val="single" w:sz="8" w:color="auto"/>
            </w:tcBorders>
            <w:shd w:val="clear" w:color="auto" w:fill="E7E7E8"/>
          </w:tcPr>
          <w:p>
            <w:pPr>
              <w:spacing w:after="0"/>
              <w:rPr>
                <w:sz w:val="18"/>
                <w:szCs w:val="18"/>
                <w:color w:val="auto"/>
              </w:rPr>
            </w:pPr>
          </w:p>
        </w:tc>
        <w:tc>
          <w:tcPr>
            <w:tcW w:w="240" w:type="dxa"/>
            <w:vAlign w:val="bottom"/>
            <w:tcBorders>
              <w:bottom w:val="single" w:sz="8" w:color="auto"/>
              <w:right w:val="single" w:sz="8" w:color="E7E7E8"/>
            </w:tcBorders>
            <w:shd w:val="clear" w:color="auto" w:fill="E7E7E8"/>
          </w:tcPr>
          <w:p>
            <w:pPr>
              <w:spacing w:after="0"/>
              <w:rPr>
                <w:sz w:val="18"/>
                <w:szCs w:val="18"/>
                <w:color w:val="auto"/>
              </w:rPr>
            </w:pPr>
          </w:p>
        </w:tc>
        <w:tc>
          <w:tcPr>
            <w:tcW w:w="860" w:type="dxa"/>
            <w:vAlign w:val="bottom"/>
            <w:tcBorders>
              <w:bottom w:val="single" w:sz="8" w:color="auto"/>
              <w:right w:val="single" w:sz="8" w:color="E7E7E8"/>
            </w:tcBorders>
            <w:shd w:val="clear" w:color="auto" w:fill="E7E7E8"/>
          </w:tcPr>
          <w:p>
            <w:pPr>
              <w:spacing w:after="0"/>
              <w:rPr>
                <w:sz w:val="18"/>
                <w:szCs w:val="18"/>
                <w:color w:val="auto"/>
              </w:rPr>
            </w:pPr>
          </w:p>
        </w:tc>
        <w:tc>
          <w:tcPr>
            <w:tcW w:w="840" w:type="dxa"/>
            <w:vAlign w:val="bottom"/>
            <w:tcBorders>
              <w:bottom w:val="single" w:sz="8" w:color="auto"/>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Age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63</w:t>
            </w:r>
          </w:p>
        </w:tc>
        <w:tc>
          <w:tcPr>
            <w:tcW w:w="86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66</w:t>
            </w:r>
          </w:p>
        </w:tc>
        <w:tc>
          <w:tcPr>
            <w:tcW w:w="88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color w:val="auto"/>
              </w:rPr>
              <w:t>51</w:t>
            </w:r>
          </w:p>
        </w:tc>
        <w:tc>
          <w:tcPr>
            <w:tcW w:w="6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68</w:t>
            </w: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66</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86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53</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w:t>
            </w:r>
          </w:p>
        </w:tc>
        <w:tc>
          <w:tcPr>
            <w:tcW w:w="2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64</w:t>
            </w: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Years on the Board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8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9</w:t>
            </w:r>
          </w:p>
        </w:tc>
        <w:tc>
          <w:tcPr>
            <w:tcW w:w="8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6</w:t>
            </w:r>
          </w:p>
        </w:tc>
        <w:tc>
          <w:tcPr>
            <w:tcW w:w="6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8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4</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2</w:t>
            </w: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70"/>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2022 PROXY STATEMENT</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gridSpan w:val="3"/>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88"/>
        </w:trPr>
        <w:tc>
          <w:tcPr>
            <w:tcW w:w="1940" w:type="dxa"/>
            <w:vAlign w:val="bottom"/>
            <w:vMerge w:val="continue"/>
          </w:tcPr>
          <w:p>
            <w:pPr>
              <w:spacing w:after="0"/>
              <w:rPr>
                <w:sz w:val="7"/>
                <w:szCs w:val="7"/>
                <w:color w:val="auto"/>
              </w:rPr>
            </w:pPr>
          </w:p>
        </w:tc>
        <w:tc>
          <w:tcPr>
            <w:tcW w:w="700" w:type="dxa"/>
            <w:vAlign w:val="bottom"/>
            <w:tcBorders>
              <w:bottom w:val="single" w:sz="8" w:color="8A8C8F"/>
            </w:tcBorders>
          </w:tcPr>
          <w:p>
            <w:pPr>
              <w:spacing w:after="0"/>
              <w:rPr>
                <w:sz w:val="7"/>
                <w:szCs w:val="7"/>
                <w:color w:val="auto"/>
              </w:rPr>
            </w:pPr>
          </w:p>
        </w:tc>
        <w:tc>
          <w:tcPr>
            <w:tcW w:w="840" w:type="dxa"/>
            <w:vAlign w:val="bottom"/>
            <w:tcBorders>
              <w:bottom w:val="single" w:sz="8" w:color="8A8C8F"/>
            </w:tcBorders>
          </w:tcPr>
          <w:p>
            <w:pPr>
              <w:spacing w:after="0"/>
              <w:rPr>
                <w:sz w:val="7"/>
                <w:szCs w:val="7"/>
                <w:color w:val="auto"/>
              </w:rPr>
            </w:pPr>
          </w:p>
        </w:tc>
        <w:tc>
          <w:tcPr>
            <w:tcW w:w="860" w:type="dxa"/>
            <w:vAlign w:val="bottom"/>
            <w:tcBorders>
              <w:bottom w:val="single" w:sz="8" w:color="8A8C8F"/>
            </w:tcBorders>
          </w:tcPr>
          <w:p>
            <w:pPr>
              <w:spacing w:after="0"/>
              <w:rPr>
                <w:sz w:val="7"/>
                <w:szCs w:val="7"/>
                <w:color w:val="auto"/>
              </w:rPr>
            </w:pPr>
          </w:p>
        </w:tc>
        <w:tc>
          <w:tcPr>
            <w:tcW w:w="880" w:type="dxa"/>
            <w:vAlign w:val="bottom"/>
            <w:tcBorders>
              <w:bottom w:val="single" w:sz="8" w:color="8A8C8F"/>
            </w:tcBorders>
          </w:tcPr>
          <w:p>
            <w:pPr>
              <w:spacing w:after="0"/>
              <w:rPr>
                <w:sz w:val="7"/>
                <w:szCs w:val="7"/>
                <w:color w:val="auto"/>
              </w:rPr>
            </w:pPr>
          </w:p>
        </w:tc>
        <w:tc>
          <w:tcPr>
            <w:tcW w:w="200" w:type="dxa"/>
            <w:vAlign w:val="bottom"/>
            <w:tcBorders>
              <w:bottom w:val="single" w:sz="8" w:color="8A8C8F"/>
              <w:right w:val="single" w:sz="8" w:color="8A8C8F"/>
            </w:tcBorders>
          </w:tcPr>
          <w:p>
            <w:pPr>
              <w:spacing w:after="0"/>
              <w:rPr>
                <w:sz w:val="7"/>
                <w:szCs w:val="7"/>
                <w:color w:val="auto"/>
              </w:rPr>
            </w:pPr>
          </w:p>
        </w:tc>
        <w:tc>
          <w:tcPr>
            <w:tcW w:w="420" w:type="dxa"/>
            <w:vAlign w:val="bottom"/>
            <w:tcBorders>
              <w:top w:val="single" w:sz="8" w:color="8A8C8F"/>
              <w:bottom w:val="single" w:sz="8" w:color="8A8C8F"/>
              <w:right w:val="single" w:sz="8" w:color="8A8C8F"/>
            </w:tcBorders>
            <w:vMerge w:val="restart"/>
          </w:tcPr>
          <w:p>
            <w:pPr>
              <w:ind w:left="120"/>
              <w:spacing w:after="0"/>
              <w:rPr>
                <w:sz w:val="20"/>
                <w:szCs w:val="20"/>
                <w:color w:val="auto"/>
              </w:rPr>
            </w:pPr>
            <w:r>
              <w:rPr>
                <w:rFonts w:ascii="Arial" w:cs="Arial" w:eastAsia="Arial" w:hAnsi="Arial"/>
                <w:sz w:val="13"/>
                <w:szCs w:val="13"/>
                <w:b w:val="1"/>
                <w:bCs w:val="1"/>
                <w:color w:val="074A75"/>
              </w:rPr>
              <w:t>13</w:t>
            </w:r>
          </w:p>
        </w:tc>
        <w:tc>
          <w:tcPr>
            <w:tcW w:w="240" w:type="dxa"/>
            <w:vAlign w:val="bottom"/>
            <w:tcBorders>
              <w:bottom w:val="single" w:sz="8" w:color="8A8C8F"/>
            </w:tcBorders>
          </w:tcPr>
          <w:p>
            <w:pPr>
              <w:spacing w:after="0"/>
              <w:rPr>
                <w:sz w:val="7"/>
                <w:szCs w:val="7"/>
                <w:color w:val="auto"/>
              </w:rPr>
            </w:pPr>
          </w:p>
        </w:tc>
        <w:tc>
          <w:tcPr>
            <w:tcW w:w="860" w:type="dxa"/>
            <w:vAlign w:val="bottom"/>
            <w:tcBorders>
              <w:bottom w:val="single" w:sz="8" w:color="8A8C8F"/>
            </w:tcBorders>
          </w:tcPr>
          <w:p>
            <w:pPr>
              <w:spacing w:after="0"/>
              <w:rPr>
                <w:sz w:val="7"/>
                <w:szCs w:val="7"/>
                <w:color w:val="auto"/>
              </w:rPr>
            </w:pPr>
          </w:p>
        </w:tc>
        <w:tc>
          <w:tcPr>
            <w:tcW w:w="860" w:type="dxa"/>
            <w:vAlign w:val="bottom"/>
            <w:tcBorders>
              <w:bottom w:val="single" w:sz="8" w:color="8A8C8F"/>
            </w:tcBorders>
          </w:tcPr>
          <w:p>
            <w:pPr>
              <w:spacing w:after="0"/>
              <w:rPr>
                <w:sz w:val="7"/>
                <w:szCs w:val="7"/>
                <w:color w:val="auto"/>
              </w:rPr>
            </w:pPr>
          </w:p>
        </w:tc>
        <w:tc>
          <w:tcPr>
            <w:tcW w:w="860" w:type="dxa"/>
            <w:vAlign w:val="bottom"/>
            <w:tcBorders>
              <w:bottom w:val="single" w:sz="8" w:color="8A8C8F"/>
            </w:tcBorders>
          </w:tcPr>
          <w:p>
            <w:pPr>
              <w:spacing w:after="0"/>
              <w:rPr>
                <w:sz w:val="7"/>
                <w:szCs w:val="7"/>
                <w:color w:val="auto"/>
              </w:rPr>
            </w:pPr>
          </w:p>
        </w:tc>
        <w:tc>
          <w:tcPr>
            <w:tcW w:w="640" w:type="dxa"/>
            <w:vAlign w:val="bottom"/>
            <w:tcBorders>
              <w:bottom w:val="single" w:sz="8" w:color="8A8C8F"/>
            </w:tcBorders>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-5914390</wp:posOffset>
            </wp:positionV>
            <wp:extent cx="10287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-5914390</wp:posOffset>
            </wp:positionV>
            <wp:extent cx="102870"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-5914390</wp:posOffset>
            </wp:positionV>
            <wp:extent cx="10287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-5914390</wp:posOffset>
            </wp:positionV>
            <wp:extent cx="10287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-5914390</wp:posOffset>
            </wp:positionV>
            <wp:extent cx="10287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-5914390</wp:posOffset>
            </wp:positionV>
            <wp:extent cx="102870"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-5914390</wp:posOffset>
            </wp:positionV>
            <wp:extent cx="102870"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-5914390</wp:posOffset>
            </wp:positionV>
            <wp:extent cx="102870"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-5914390</wp:posOffset>
            </wp:positionV>
            <wp:extent cx="102870"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-5914390</wp:posOffset>
            </wp:positionV>
            <wp:extent cx="10287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-5742940</wp:posOffset>
            </wp:positionV>
            <wp:extent cx="10287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-5742940</wp:posOffset>
            </wp:positionV>
            <wp:extent cx="10287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-5742940</wp:posOffset>
            </wp:positionV>
            <wp:extent cx="10287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-5742940</wp:posOffset>
            </wp:positionV>
            <wp:extent cx="102870"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-5742940</wp:posOffset>
            </wp:positionV>
            <wp:extent cx="102870" cy="1028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-5742940</wp:posOffset>
            </wp:positionV>
            <wp:extent cx="10287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-5742940</wp:posOffset>
            </wp:positionV>
            <wp:extent cx="102870"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-5571490</wp:posOffset>
            </wp:positionV>
            <wp:extent cx="102870"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-5571490</wp:posOffset>
            </wp:positionV>
            <wp:extent cx="102870" cy="102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-5571490</wp:posOffset>
            </wp:positionV>
            <wp:extent cx="102870"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-5571490</wp:posOffset>
            </wp:positionV>
            <wp:extent cx="102870" cy="1028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-5571490</wp:posOffset>
            </wp:positionV>
            <wp:extent cx="102870"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-5571490</wp:posOffset>
            </wp:positionV>
            <wp:extent cx="102870"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-5571490</wp:posOffset>
            </wp:positionV>
            <wp:extent cx="10287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-5571490</wp:posOffset>
            </wp:positionV>
            <wp:extent cx="102870" cy="1028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-5571490</wp:posOffset>
            </wp:positionV>
            <wp:extent cx="102870" cy="1028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-5365750</wp:posOffset>
            </wp:positionV>
            <wp:extent cx="102870" cy="1028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-5365750</wp:posOffset>
            </wp:positionV>
            <wp:extent cx="102870" cy="1028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-5365750</wp:posOffset>
            </wp:positionV>
            <wp:extent cx="102870" cy="102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-5365750</wp:posOffset>
            </wp:positionV>
            <wp:extent cx="102870" cy="1028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-5365750</wp:posOffset>
            </wp:positionV>
            <wp:extent cx="102870"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-5365750</wp:posOffset>
            </wp:positionV>
            <wp:extent cx="102870" cy="102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-5365750</wp:posOffset>
            </wp:positionV>
            <wp:extent cx="102870" cy="102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-5365750</wp:posOffset>
            </wp:positionV>
            <wp:extent cx="10287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-5365750</wp:posOffset>
            </wp:positionV>
            <wp:extent cx="102870" cy="1028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-5365750</wp:posOffset>
            </wp:positionV>
            <wp:extent cx="102870" cy="1028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-5116830</wp:posOffset>
            </wp:positionV>
            <wp:extent cx="102870"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-5116830</wp:posOffset>
            </wp:positionV>
            <wp:extent cx="102870" cy="102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-5116830</wp:posOffset>
            </wp:positionV>
            <wp:extent cx="102870" cy="1028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-5116830</wp:posOffset>
            </wp:positionV>
            <wp:extent cx="10287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-5116830</wp:posOffset>
            </wp:positionV>
            <wp:extent cx="102870"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-5116830</wp:posOffset>
            </wp:positionV>
            <wp:extent cx="10287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-5116830</wp:posOffset>
            </wp:positionV>
            <wp:extent cx="10287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-5116830</wp:posOffset>
            </wp:positionV>
            <wp:extent cx="102870" cy="102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-5116830</wp:posOffset>
            </wp:positionV>
            <wp:extent cx="10287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-5116830</wp:posOffset>
            </wp:positionV>
            <wp:extent cx="10287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-4902835</wp:posOffset>
            </wp:positionV>
            <wp:extent cx="10287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-4902835</wp:posOffset>
            </wp:positionV>
            <wp:extent cx="10287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-4902835</wp:posOffset>
            </wp:positionV>
            <wp:extent cx="102870"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-4902835</wp:posOffset>
            </wp:positionV>
            <wp:extent cx="102870" cy="102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-4902835</wp:posOffset>
            </wp:positionV>
            <wp:extent cx="102870" cy="102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-4902835</wp:posOffset>
            </wp:positionV>
            <wp:extent cx="102870"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-4902835</wp:posOffset>
            </wp:positionV>
            <wp:extent cx="102870"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-4902835</wp:posOffset>
            </wp:positionV>
            <wp:extent cx="10287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-4902835</wp:posOffset>
            </wp:positionV>
            <wp:extent cx="10287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-4902835</wp:posOffset>
            </wp:positionV>
            <wp:extent cx="10287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-4731385</wp:posOffset>
            </wp:positionV>
            <wp:extent cx="102870" cy="1028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-4731385</wp:posOffset>
            </wp:positionV>
            <wp:extent cx="10287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-4731385</wp:posOffset>
            </wp:positionV>
            <wp:extent cx="10287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-4731385</wp:posOffset>
            </wp:positionV>
            <wp:extent cx="10287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-4731385</wp:posOffset>
            </wp:positionV>
            <wp:extent cx="10287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-4731385</wp:posOffset>
            </wp:positionV>
            <wp:extent cx="10287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-4731385</wp:posOffset>
            </wp:positionV>
            <wp:extent cx="10287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-4731385</wp:posOffset>
            </wp:positionV>
            <wp:extent cx="10287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-4559935</wp:posOffset>
            </wp:positionV>
            <wp:extent cx="10287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-4559935</wp:posOffset>
            </wp:positionV>
            <wp:extent cx="10287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-4559935</wp:posOffset>
            </wp:positionV>
            <wp:extent cx="102870"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-4559935</wp:posOffset>
            </wp:positionV>
            <wp:extent cx="102870"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-4559935</wp:posOffset>
            </wp:positionV>
            <wp:extent cx="102870"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-4559935</wp:posOffset>
            </wp:positionV>
            <wp:extent cx="102870"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-4559935</wp:posOffset>
            </wp:positionV>
            <wp:extent cx="10287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-4559935</wp:posOffset>
            </wp:positionV>
            <wp:extent cx="10287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-4559935</wp:posOffset>
            </wp:positionV>
            <wp:extent cx="10287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-4559935</wp:posOffset>
            </wp:positionV>
            <wp:extent cx="102870"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-4388485</wp:posOffset>
            </wp:positionV>
            <wp:extent cx="102870" cy="102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-4388485</wp:posOffset>
            </wp:positionV>
            <wp:extent cx="102870" cy="102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-4388485</wp:posOffset>
            </wp:positionV>
            <wp:extent cx="102870" cy="1028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-4388485</wp:posOffset>
            </wp:positionV>
            <wp:extent cx="102870" cy="1028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-4388485</wp:posOffset>
            </wp:positionV>
            <wp:extent cx="102870" cy="1028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-4388485</wp:posOffset>
            </wp:positionV>
            <wp:extent cx="102870" cy="1028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-4388485</wp:posOffset>
            </wp:positionV>
            <wp:extent cx="102870" cy="1028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-4388485</wp:posOffset>
            </wp:positionV>
            <wp:extent cx="102870" cy="1028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-4388485</wp:posOffset>
            </wp:positionV>
            <wp:extent cx="102870" cy="1028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-4388485</wp:posOffset>
            </wp:positionV>
            <wp:extent cx="102870"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-4217035</wp:posOffset>
            </wp:positionV>
            <wp:extent cx="102870" cy="1028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-4217035</wp:posOffset>
            </wp:positionV>
            <wp:extent cx="102870"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-4217035</wp:posOffset>
            </wp:positionV>
            <wp:extent cx="102870" cy="1028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-4217035</wp:posOffset>
            </wp:positionV>
            <wp:extent cx="102870" cy="1028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-4217035</wp:posOffset>
            </wp:positionV>
            <wp:extent cx="102870" cy="1028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-4217035</wp:posOffset>
            </wp:positionV>
            <wp:extent cx="102870"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-4217035</wp:posOffset>
            </wp:positionV>
            <wp:extent cx="102870" cy="1028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-3771265</wp:posOffset>
            </wp:positionV>
            <wp:extent cx="102870" cy="1028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-3771265</wp:posOffset>
            </wp:positionV>
            <wp:extent cx="102870" cy="102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-3771265</wp:posOffset>
            </wp:positionV>
            <wp:extent cx="102870" cy="1028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-3771265</wp:posOffset>
            </wp:positionV>
            <wp:extent cx="102870" cy="102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-3771265</wp:posOffset>
            </wp:positionV>
            <wp:extent cx="102870" cy="1028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-3771265</wp:posOffset>
            </wp:positionV>
            <wp:extent cx="102870"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-3599815</wp:posOffset>
            </wp:positionV>
            <wp:extent cx="102870" cy="1028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-3599815</wp:posOffset>
            </wp:positionV>
            <wp:extent cx="102870" cy="1028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-3599815</wp:posOffset>
            </wp:positionV>
            <wp:extent cx="102870" cy="1028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-3599815</wp:posOffset>
            </wp:positionV>
            <wp:extent cx="102870" cy="1028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-2845435</wp:posOffset>
            </wp:positionV>
            <wp:extent cx="102870" cy="1028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-2279650</wp:posOffset>
            </wp:positionV>
            <wp:extent cx="102870"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-2279650</wp:posOffset>
            </wp:positionV>
            <wp:extent cx="102870" cy="1028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-2279650</wp:posOffset>
            </wp:positionV>
            <wp:extent cx="102870"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-2279650</wp:posOffset>
            </wp:positionV>
            <wp:extent cx="102870" cy="1028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-2279650</wp:posOffset>
            </wp:positionV>
            <wp:extent cx="102870" cy="1028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-2279650</wp:posOffset>
            </wp:positionV>
            <wp:extent cx="102870" cy="10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-2279650</wp:posOffset>
            </wp:positionV>
            <wp:extent cx="10287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-2279650</wp:posOffset>
            </wp:positionV>
            <wp:extent cx="10287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-2279650</wp:posOffset>
            </wp:positionV>
            <wp:extent cx="10287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-1816735</wp:posOffset>
            </wp:positionV>
            <wp:extent cx="102870" cy="1028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-1816735</wp:posOffset>
            </wp:positionV>
            <wp:extent cx="102870" cy="102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-1816735</wp:posOffset>
            </wp:positionV>
            <wp:extent cx="102870"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-1816735</wp:posOffset>
            </wp:positionV>
            <wp:extent cx="102870" cy="102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-1816735</wp:posOffset>
            </wp:positionV>
            <wp:extent cx="102870" cy="1028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-1816735</wp:posOffset>
            </wp:positionV>
            <wp:extent cx="102870" cy="1028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-1816735</wp:posOffset>
            </wp:positionV>
            <wp:extent cx="10287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-1816735</wp:posOffset>
            </wp:positionV>
            <wp:extent cx="102870" cy="102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-1816735</wp:posOffset>
            </wp:positionV>
            <wp:extent cx="102870" cy="1028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-1816735</wp:posOffset>
            </wp:positionV>
            <wp:extent cx="102870" cy="1028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-1353820</wp:posOffset>
            </wp:positionV>
            <wp:extent cx="102870"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-1353820</wp:posOffset>
            </wp:positionV>
            <wp:extent cx="102870"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-1353820</wp:posOffset>
            </wp:positionV>
            <wp:extent cx="102870" cy="102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-1353820</wp:posOffset>
            </wp:positionV>
            <wp:extent cx="102870"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-1353820</wp:posOffset>
            </wp:positionV>
            <wp:extent cx="102870"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-1353820</wp:posOffset>
            </wp:positionV>
            <wp:extent cx="102870" cy="102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-1353820</wp:posOffset>
            </wp:positionV>
            <wp:extent cx="10287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-1353820</wp:posOffset>
            </wp:positionV>
            <wp:extent cx="10287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-1353820</wp:posOffset>
            </wp:positionV>
            <wp:extent cx="102870" cy="102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-1353820</wp:posOffset>
            </wp:positionV>
            <wp:extent cx="10287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269240</wp:posOffset>
            </wp:positionV>
            <wp:extent cx="76835"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269240</wp:posOffset>
            </wp:positionV>
            <wp:extent cx="77470" cy="145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269240</wp:posOffset>
            </wp:positionV>
            <wp:extent cx="76835"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137160</wp:posOffset>
            </wp:positionV>
            <wp:extent cx="8890" cy="41573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41573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37235" cy="900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7235" cy="90043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63</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2004</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Compensation &amp;</w:t>
      </w:r>
    </w:p>
    <w:p>
      <w:pPr>
        <w:spacing w:after="0" w:line="5" w:lineRule="exact"/>
        <w:rPr>
          <w:sz w:val="20"/>
          <w:szCs w:val="20"/>
          <w:color w:val="auto"/>
        </w:rPr>
      </w:pPr>
    </w:p>
    <w:p>
      <w:pPr>
        <w:ind w:left="180"/>
        <w:spacing w:after="0" w:line="246" w:lineRule="auto"/>
        <w:rPr>
          <w:sz w:val="20"/>
          <w:szCs w:val="20"/>
          <w:color w:val="auto"/>
        </w:rPr>
      </w:pPr>
      <w:r>
        <w:rPr>
          <w:rFonts w:ascii="Arial" w:cs="Arial" w:eastAsia="Arial" w:hAnsi="Arial"/>
          <w:sz w:val="16"/>
          <w:szCs w:val="16"/>
          <w:color w:val="auto"/>
        </w:rPr>
        <w:t>Management Development Committee (Chair)</w:t>
      </w:r>
    </w:p>
    <w:p>
      <w:pPr>
        <w:ind w:left="20"/>
        <w:spacing w:after="0" w:line="182" w:lineRule="auto"/>
        <w:rPr>
          <w:sz w:val="20"/>
          <w:szCs w:val="20"/>
          <w:color w:val="auto"/>
        </w:rPr>
      </w:pPr>
      <w:r>
        <w:rPr>
          <w:rFonts w:ascii="Arial" w:cs="Arial" w:eastAsia="Arial" w:hAnsi="Arial"/>
          <w:sz w:val="14"/>
          <w:szCs w:val="14"/>
          <w:color w:val="074A75"/>
        </w:rPr>
        <w:t xml:space="preserve">• </w:t>
      </w:r>
      <w:r>
        <w:rPr>
          <w:rFonts w:ascii="Arial" w:cs="Arial" w:eastAsia="Arial" w:hAnsi="Arial"/>
          <w:sz w:val="14"/>
          <w:szCs w:val="14"/>
          <w:color w:val="000000"/>
        </w:rPr>
        <w:t>Corporate Governance &amp;</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43"/>
          <w:szCs w:val="43"/>
          <w:color w:val="074A75"/>
        </w:rPr>
        <w:t>Stephen B. Burke</w:t>
      </w:r>
    </w:p>
    <w:p>
      <w:pPr>
        <w:spacing w:after="0" w:line="53" w:lineRule="exact"/>
        <w:rPr>
          <w:sz w:val="20"/>
          <w:szCs w:val="20"/>
          <w:color w:val="auto"/>
        </w:rPr>
      </w:pPr>
    </w:p>
    <w:p>
      <w:pPr>
        <w:spacing w:after="0"/>
        <w:rPr>
          <w:sz w:val="20"/>
          <w:szCs w:val="20"/>
          <w:color w:val="auto"/>
        </w:rPr>
      </w:pPr>
      <w:r>
        <w:rPr>
          <w:rFonts w:ascii="Arial" w:cs="Arial" w:eastAsia="Arial" w:hAnsi="Arial"/>
          <w:sz w:val="31"/>
          <w:szCs w:val="31"/>
          <w:color w:val="074A75"/>
        </w:rPr>
        <w:t>Lead Independent Director since 2021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Retired Chairman and Chief Executive Officer of NBCUniversal, LLC</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Mr. Burke’s roles at Comcast Corporation and his prior work at other large global media corporations have given him broad exposure to the challenges associated with managing large and diverse businesses. In these roles, he has dealt with a variety of issues including audit and financial reporting, risk management, executive compensation, sales and marketing, technology and operations. These experiences have also provided Mr. Burke a background in regulated industries and international business.</w:t>
      </w:r>
    </w:p>
    <w:p>
      <w:pPr>
        <w:spacing w:after="0" w:line="72"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Mr. Burke has served as the Lead Independent Director since 2021. More information regarding the duties and responsibilities of the Lead Independent Director can be found on page 23.</w:t>
      </w:r>
    </w:p>
    <w:p>
      <w:pPr>
        <w:spacing w:after="0" w:line="266" w:lineRule="exact"/>
        <w:rPr>
          <w:sz w:val="20"/>
          <w:szCs w:val="20"/>
          <w:color w:val="auto"/>
        </w:rPr>
      </w:pPr>
    </w:p>
    <w:p>
      <w:pPr>
        <w:sectPr>
          <w:pgSz w:w="11900" w:h="16838" w:orient="portrait"/>
          <w:cols w:equalWidth="0" w:num="2">
            <w:col w:w="2140" w:space="540"/>
            <w:col w:w="8580"/>
          </w:cols>
          <w:pgMar w:left="320" w:top="157" w:right="319" w:bottom="1440" w:gutter="0" w:footer="0" w:header="0"/>
          <w:type w:val="continuous"/>
        </w:sectPr>
      </w:pPr>
    </w:p>
    <w:p>
      <w:pPr>
        <w:spacing w:after="0" w:line="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2232660</wp:posOffset>
            </wp:positionV>
            <wp:extent cx="737235" cy="900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7235" cy="900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5" w:lineRule="exact"/>
        <w:rPr>
          <w:sz w:val="20"/>
          <w:szCs w:val="20"/>
          <w:color w:val="auto"/>
        </w:rPr>
      </w:pPr>
    </w:p>
    <w:p>
      <w:pPr>
        <w:ind w:right="540"/>
        <w:spacing w:after="0" w:line="256" w:lineRule="auto"/>
        <w:rPr>
          <w:sz w:val="20"/>
          <w:szCs w:val="20"/>
          <w:color w:val="auto"/>
        </w:rPr>
      </w:pPr>
      <w:r>
        <w:rPr>
          <w:rFonts w:ascii="Arial" w:cs="Arial" w:eastAsia="Arial" w:hAnsi="Arial"/>
          <w:sz w:val="16"/>
          <w:szCs w:val="16"/>
          <w:color w:val="auto"/>
        </w:rPr>
        <w:t>Comcast Corporation/NBCUniversal, LLC, leading providers of entertainment, information and communication products and services</w:t>
      </w:r>
    </w:p>
    <w:p>
      <w:pPr>
        <w:spacing w:after="0" w:line="70" w:lineRule="exact"/>
        <w:rPr>
          <w:sz w:val="20"/>
          <w:szCs w:val="20"/>
          <w:color w:val="auto"/>
        </w:rPr>
      </w:pPr>
    </w:p>
    <w:p>
      <w:pPr>
        <w:ind w:left="200" w:hanging="195"/>
        <w:spacing w:after="0"/>
        <w:tabs>
          <w:tab w:leader="none" w:pos="200" w:val="left"/>
        </w:tabs>
        <w:numPr>
          <w:ilvl w:val="0"/>
          <w:numId w:val="39"/>
        </w:numPr>
        <w:rPr>
          <w:rFonts w:ascii="Arial" w:cs="Arial" w:eastAsia="Arial" w:hAnsi="Arial"/>
          <w:sz w:val="16"/>
          <w:szCs w:val="16"/>
          <w:color w:val="074A75"/>
        </w:rPr>
      </w:pPr>
      <w:r>
        <w:rPr>
          <w:rFonts w:ascii="Arial" w:cs="Arial" w:eastAsia="Arial" w:hAnsi="Arial"/>
          <w:sz w:val="16"/>
          <w:szCs w:val="16"/>
          <w:color w:val="auto"/>
        </w:rPr>
        <w:t>Senior Advisor, Comcast Corporation (since 2021)</w:t>
      </w:r>
    </w:p>
    <w:p>
      <w:pPr>
        <w:spacing w:after="0" w:line="72" w:lineRule="exact"/>
        <w:rPr>
          <w:rFonts w:ascii="Arial" w:cs="Arial" w:eastAsia="Arial" w:hAnsi="Arial"/>
          <w:sz w:val="16"/>
          <w:szCs w:val="16"/>
          <w:color w:val="074A75"/>
        </w:rPr>
      </w:pPr>
    </w:p>
    <w:p>
      <w:pPr>
        <w:ind w:left="200" w:right="240" w:hanging="195"/>
        <w:spacing w:after="0" w:line="286" w:lineRule="auto"/>
        <w:tabs>
          <w:tab w:leader="none" w:pos="197" w:val="left"/>
        </w:tabs>
        <w:numPr>
          <w:ilvl w:val="0"/>
          <w:numId w:val="39"/>
        </w:numPr>
        <w:rPr>
          <w:rFonts w:ascii="Arial" w:cs="Arial" w:eastAsia="Arial" w:hAnsi="Arial"/>
          <w:sz w:val="16"/>
          <w:szCs w:val="16"/>
          <w:color w:val="074A75"/>
        </w:rPr>
      </w:pPr>
      <w:r>
        <w:rPr>
          <w:rFonts w:ascii="Arial" w:cs="Arial" w:eastAsia="Arial" w:hAnsi="Arial"/>
          <w:sz w:val="16"/>
          <w:szCs w:val="16"/>
          <w:color w:val="auto"/>
        </w:rPr>
        <w:t>Chairman of NBCUniversal, LLC and NBCUniversal Media, LLC (2020)</w:t>
      </w:r>
    </w:p>
    <w:p>
      <w:pPr>
        <w:spacing w:after="0" w:line="7" w:lineRule="exact"/>
        <w:rPr>
          <w:rFonts w:ascii="Arial" w:cs="Arial" w:eastAsia="Arial" w:hAnsi="Arial"/>
          <w:sz w:val="16"/>
          <w:szCs w:val="16"/>
          <w:color w:val="074A75"/>
        </w:rPr>
      </w:pPr>
    </w:p>
    <w:p>
      <w:pPr>
        <w:ind w:left="200" w:hanging="195"/>
        <w:spacing w:after="0" w:line="286" w:lineRule="auto"/>
        <w:tabs>
          <w:tab w:leader="none" w:pos="197" w:val="left"/>
        </w:tabs>
        <w:numPr>
          <w:ilvl w:val="0"/>
          <w:numId w:val="39"/>
        </w:numPr>
        <w:rPr>
          <w:rFonts w:ascii="Arial" w:cs="Arial" w:eastAsia="Arial" w:hAnsi="Arial"/>
          <w:sz w:val="16"/>
          <w:szCs w:val="16"/>
          <w:color w:val="074A75"/>
        </w:rPr>
      </w:pPr>
      <w:r>
        <w:rPr>
          <w:rFonts w:ascii="Arial" w:cs="Arial" w:eastAsia="Arial" w:hAnsi="Arial"/>
          <w:sz w:val="16"/>
          <w:szCs w:val="16"/>
          <w:color w:val="auto"/>
        </w:rPr>
        <w:t>Senior executive officer of Comcast Corporation (2011-2020)</w:t>
      </w:r>
    </w:p>
    <w:p>
      <w:pPr>
        <w:spacing w:after="0" w:line="20" w:lineRule="exact"/>
        <w:rPr>
          <w:rFonts w:ascii="Arial" w:cs="Arial" w:eastAsia="Arial" w:hAnsi="Arial"/>
          <w:sz w:val="16"/>
          <w:szCs w:val="16"/>
          <w:color w:val="074A75"/>
        </w:rPr>
      </w:pPr>
    </w:p>
    <w:p>
      <w:pPr>
        <w:ind w:left="200" w:right="280" w:hanging="195"/>
        <w:spacing w:after="0" w:line="266" w:lineRule="auto"/>
        <w:tabs>
          <w:tab w:leader="none" w:pos="197" w:val="left"/>
        </w:tabs>
        <w:numPr>
          <w:ilvl w:val="0"/>
          <w:numId w:val="39"/>
        </w:numPr>
        <w:rPr>
          <w:rFonts w:ascii="Arial" w:cs="Arial" w:eastAsia="Arial" w:hAnsi="Arial"/>
          <w:sz w:val="16"/>
          <w:szCs w:val="16"/>
          <w:color w:val="074A75"/>
        </w:rPr>
      </w:pPr>
      <w:r>
        <w:rPr>
          <w:rFonts w:ascii="Arial" w:cs="Arial" w:eastAsia="Arial" w:hAnsi="Arial"/>
          <w:sz w:val="16"/>
          <w:szCs w:val="16"/>
          <w:color w:val="auto"/>
        </w:rPr>
        <w:t>Chief Executive Officer and President of NBCUniversal, LLC and NBCUniversal Media, LLC (2011-2019)</w:t>
      </w:r>
    </w:p>
    <w:p>
      <w:pPr>
        <w:spacing w:after="0" w:line="22" w:lineRule="exact"/>
        <w:rPr>
          <w:rFonts w:ascii="Arial" w:cs="Arial" w:eastAsia="Arial" w:hAnsi="Arial"/>
          <w:sz w:val="16"/>
          <w:szCs w:val="16"/>
          <w:color w:val="074A75"/>
        </w:rPr>
      </w:pPr>
    </w:p>
    <w:p>
      <w:pPr>
        <w:ind w:left="200" w:hanging="195"/>
        <w:spacing w:after="0"/>
        <w:tabs>
          <w:tab w:leader="none" w:pos="200" w:val="left"/>
        </w:tabs>
        <w:numPr>
          <w:ilvl w:val="0"/>
          <w:numId w:val="39"/>
        </w:numPr>
        <w:rPr>
          <w:rFonts w:ascii="Arial" w:cs="Arial" w:eastAsia="Arial" w:hAnsi="Arial"/>
          <w:sz w:val="16"/>
          <w:szCs w:val="16"/>
          <w:color w:val="074A75"/>
        </w:rPr>
      </w:pPr>
      <w:r>
        <w:rPr>
          <w:rFonts w:ascii="Arial" w:cs="Arial" w:eastAsia="Arial" w:hAnsi="Arial"/>
          <w:sz w:val="16"/>
          <w:szCs w:val="16"/>
          <w:color w:val="auto"/>
        </w:rPr>
        <w:t>Chief Operating Officer, Comcast (2004–2011)</w:t>
      </w:r>
    </w:p>
    <w:p>
      <w:pPr>
        <w:spacing w:after="0" w:line="72" w:lineRule="exact"/>
        <w:rPr>
          <w:rFonts w:ascii="Arial" w:cs="Arial" w:eastAsia="Arial" w:hAnsi="Arial"/>
          <w:sz w:val="16"/>
          <w:szCs w:val="16"/>
          <w:color w:val="074A75"/>
        </w:rPr>
      </w:pPr>
    </w:p>
    <w:p>
      <w:pPr>
        <w:ind w:left="200" w:right="500" w:hanging="195"/>
        <w:spacing w:after="0" w:line="286" w:lineRule="auto"/>
        <w:tabs>
          <w:tab w:leader="none" w:pos="197" w:val="left"/>
        </w:tabs>
        <w:numPr>
          <w:ilvl w:val="0"/>
          <w:numId w:val="39"/>
        </w:numPr>
        <w:rPr>
          <w:rFonts w:ascii="Arial" w:cs="Arial" w:eastAsia="Arial" w:hAnsi="Arial"/>
          <w:sz w:val="16"/>
          <w:szCs w:val="16"/>
          <w:color w:val="074A75"/>
        </w:rPr>
      </w:pPr>
      <w:r>
        <w:rPr>
          <w:rFonts w:ascii="Arial" w:cs="Arial" w:eastAsia="Arial" w:hAnsi="Arial"/>
          <w:sz w:val="16"/>
          <w:szCs w:val="16"/>
          <w:color w:val="auto"/>
        </w:rPr>
        <w:t>President, Comcast Cable Communications Inc. (1998–2010)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245110</wp:posOffset>
            </wp:positionV>
            <wp:extent cx="8890" cy="32918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3291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140"/>
        <w:spacing w:after="0" w:line="24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40"/>
        </w:numPr>
        <w:rPr>
          <w:rFonts w:ascii="Arial" w:cs="Arial" w:eastAsia="Arial" w:hAnsi="Arial"/>
          <w:sz w:val="16"/>
          <w:szCs w:val="16"/>
          <w:color w:val="074A75"/>
        </w:rPr>
      </w:pPr>
      <w:r>
        <w:rPr>
          <w:rFonts w:ascii="Arial" w:cs="Arial" w:eastAsia="Arial" w:hAnsi="Arial"/>
          <w:sz w:val="16"/>
          <w:szCs w:val="16"/>
          <w:color w:val="auto"/>
        </w:rPr>
        <w:t>Berkshire Hathaway Inc. (since 2009)</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41"/>
        </w:numPr>
        <w:rPr>
          <w:rFonts w:ascii="Arial" w:cs="Arial" w:eastAsia="Arial" w:hAnsi="Arial"/>
          <w:sz w:val="16"/>
          <w:szCs w:val="16"/>
          <w:color w:val="074A75"/>
        </w:rPr>
      </w:pPr>
      <w:r>
        <w:rPr>
          <w:rFonts w:ascii="Arial" w:cs="Arial" w:eastAsia="Arial" w:hAnsi="Arial"/>
          <w:sz w:val="16"/>
          <w:szCs w:val="16"/>
          <w:color w:val="auto"/>
        </w:rPr>
        <w:t>Chairman, Children's Hospital of Philadelphia</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42"/>
        </w:numPr>
        <w:rPr>
          <w:rFonts w:ascii="Arial" w:cs="Arial" w:eastAsia="Arial" w:hAnsi="Arial"/>
          <w:sz w:val="16"/>
          <w:szCs w:val="16"/>
          <w:color w:val="074A75"/>
        </w:rPr>
      </w:pPr>
      <w:r>
        <w:rPr>
          <w:rFonts w:ascii="Arial" w:cs="Arial" w:eastAsia="Arial" w:hAnsi="Arial"/>
          <w:sz w:val="16"/>
          <w:szCs w:val="16"/>
          <w:color w:val="auto"/>
        </w:rPr>
        <w:t>Graduate of Colgate University</w:t>
      </w:r>
    </w:p>
    <w:p>
      <w:pPr>
        <w:spacing w:after="0" w:line="56" w:lineRule="exact"/>
        <w:rPr>
          <w:rFonts w:ascii="Arial" w:cs="Arial" w:eastAsia="Arial" w:hAnsi="Arial"/>
          <w:sz w:val="16"/>
          <w:szCs w:val="16"/>
          <w:color w:val="074A75"/>
        </w:rPr>
      </w:pPr>
    </w:p>
    <w:p>
      <w:pPr>
        <w:ind w:left="187" w:hanging="187"/>
        <w:spacing w:after="0"/>
        <w:tabs>
          <w:tab w:leader="none" w:pos="187" w:val="left"/>
        </w:tabs>
        <w:numPr>
          <w:ilvl w:val="0"/>
          <w:numId w:val="42"/>
        </w:numPr>
        <w:rPr>
          <w:rFonts w:ascii="Arial" w:cs="Arial" w:eastAsia="Arial" w:hAnsi="Arial"/>
          <w:sz w:val="16"/>
          <w:szCs w:val="16"/>
          <w:color w:val="074A75"/>
        </w:rPr>
      </w:pPr>
      <w:r>
        <w:rPr>
          <w:rFonts w:ascii="Arial" w:cs="Arial" w:eastAsia="Arial" w:hAnsi="Arial"/>
          <w:sz w:val="16"/>
          <w:szCs w:val="16"/>
          <w:color w:val="auto"/>
        </w:rPr>
        <w:t>M.B.A., Harvard Business School</w:t>
      </w:r>
    </w:p>
    <w:p>
      <w:pPr>
        <w:spacing w:after="0" w:line="1764" w:lineRule="exact"/>
        <w:rPr>
          <w:sz w:val="20"/>
          <w:szCs w:val="20"/>
          <w:color w:val="auto"/>
        </w:rPr>
      </w:pPr>
    </w:p>
    <w:p>
      <w:pPr>
        <w:sectPr>
          <w:pgSz w:w="11900" w:h="16838" w:orient="portrait"/>
          <w:cols w:equalWidth="0" w:num="3">
            <w:col w:w="1960" w:space="720"/>
            <w:col w:w="4140" w:space="25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Age</w:t>
      </w:r>
      <w:r>
        <w:rPr>
          <w:rFonts w:ascii="Arial" w:cs="Arial" w:eastAsia="Arial" w:hAnsi="Arial"/>
          <w:sz w:val="16"/>
          <w:szCs w:val="16"/>
          <w:color w:val="000000"/>
        </w:rPr>
        <w:t>: 66</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Director since</w:t>
      </w:r>
      <w:r>
        <w:rPr>
          <w:rFonts w:ascii="Arial" w:cs="Arial" w:eastAsia="Arial" w:hAnsi="Arial"/>
          <w:sz w:val="16"/>
          <w:szCs w:val="16"/>
          <w:color w:val="000000"/>
        </w:rPr>
        <w:t>: 2013</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43"/>
          <w:szCs w:val="43"/>
          <w:color w:val="074A75"/>
        </w:rPr>
        <w:t>Linda B. Bammann</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Retired Deputy Head of Risk Management of JPMorgan Chase &amp; Co.</w:t>
      </w:r>
    </w:p>
    <w:p>
      <w:pPr>
        <w:spacing w:after="0" w:line="266"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Through her service on other boards, including as Chair of the Business and Risk Committee of the Federal Home Loan Mortgage Corporation and her management tenure at JPMorgan Chase and Bank One Corporation, Ms. Bammann has developed insight and wide-ranging experience in financial services and extensive expertise in risk management and regulatory matters.</w:t>
      </w:r>
    </w:p>
    <w:p>
      <w:pPr>
        <w:spacing w:after="0" w:line="301"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ind w:left="200" w:hanging="174"/>
        <w:spacing w:after="0"/>
        <w:tabs>
          <w:tab w:leader="none" w:pos="200" w:val="left"/>
        </w:tabs>
        <w:numPr>
          <w:ilvl w:val="0"/>
          <w:numId w:val="43"/>
        </w:numPr>
        <w:rPr>
          <w:rFonts w:ascii="Arial" w:cs="Arial" w:eastAsia="Arial" w:hAnsi="Arial"/>
          <w:sz w:val="16"/>
          <w:szCs w:val="16"/>
          <w:color w:val="074A75"/>
        </w:rPr>
      </w:pPr>
      <w:r>
        <w:rPr>
          <w:rFonts w:ascii="Arial" w:cs="Arial" w:eastAsia="Arial" w:hAnsi="Arial"/>
          <w:sz w:val="16"/>
          <w:szCs w:val="16"/>
          <w:color w:val="auto"/>
        </w:rPr>
        <w:t>Risk Committee (Chair)</w:t>
      </w:r>
    </w:p>
    <w:p>
      <w:pPr>
        <w:spacing w:after="0" w:line="5" w:lineRule="exact"/>
        <w:rPr>
          <w:rFonts w:ascii="Arial" w:cs="Arial" w:eastAsia="Arial" w:hAnsi="Arial"/>
          <w:sz w:val="16"/>
          <w:szCs w:val="16"/>
          <w:color w:val="074A75"/>
        </w:rPr>
      </w:pPr>
    </w:p>
    <w:p>
      <w:pPr>
        <w:ind w:left="180" w:hanging="154"/>
        <w:spacing w:after="0" w:line="256" w:lineRule="auto"/>
        <w:tabs>
          <w:tab w:leader="none" w:pos="182" w:val="left"/>
        </w:tabs>
        <w:numPr>
          <w:ilvl w:val="0"/>
          <w:numId w:val="43"/>
        </w:numPr>
        <w:rPr>
          <w:rFonts w:ascii="Arial" w:cs="Arial" w:eastAsia="Arial" w:hAnsi="Arial"/>
          <w:sz w:val="16"/>
          <w:szCs w:val="16"/>
          <w:color w:val="074A75"/>
        </w:rPr>
      </w:pPr>
      <w:r>
        <w:rPr>
          <w:rFonts w:ascii="Arial" w:cs="Arial" w:eastAsia="Arial" w:hAnsi="Arial"/>
          <w:sz w:val="16"/>
          <w:szCs w:val="16"/>
          <w:color w:val="auto"/>
        </w:rPr>
        <w:t>Compensation &amp; Management Development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JPMorgan Chase &amp; Co., a financial services company (merged with Bank One Corporation in July 2004)</w:t>
      </w:r>
    </w:p>
    <w:p>
      <w:pPr>
        <w:spacing w:after="0" w:line="37" w:lineRule="exact"/>
        <w:rPr>
          <w:sz w:val="20"/>
          <w:szCs w:val="20"/>
          <w:color w:val="auto"/>
        </w:rPr>
      </w:pPr>
    </w:p>
    <w:p>
      <w:pPr>
        <w:ind w:left="200" w:hanging="195"/>
        <w:spacing w:after="0"/>
        <w:tabs>
          <w:tab w:leader="none" w:pos="200" w:val="left"/>
        </w:tabs>
        <w:numPr>
          <w:ilvl w:val="0"/>
          <w:numId w:val="44"/>
        </w:numPr>
        <w:rPr>
          <w:rFonts w:ascii="Arial" w:cs="Arial" w:eastAsia="Arial" w:hAnsi="Arial"/>
          <w:sz w:val="16"/>
          <w:szCs w:val="16"/>
          <w:color w:val="074A75"/>
        </w:rPr>
      </w:pPr>
      <w:r>
        <w:rPr>
          <w:rFonts w:ascii="Arial" w:cs="Arial" w:eastAsia="Arial" w:hAnsi="Arial"/>
          <w:sz w:val="16"/>
          <w:szCs w:val="16"/>
          <w:color w:val="auto"/>
        </w:rPr>
        <w:t>Deputy Head of Risk Management (2004–2005)</w:t>
      </w:r>
    </w:p>
    <w:p>
      <w:pPr>
        <w:spacing w:after="0" w:line="72" w:lineRule="exact"/>
        <w:rPr>
          <w:rFonts w:ascii="Arial" w:cs="Arial" w:eastAsia="Arial" w:hAnsi="Arial"/>
          <w:sz w:val="16"/>
          <w:szCs w:val="16"/>
          <w:color w:val="074A75"/>
        </w:rPr>
      </w:pPr>
    </w:p>
    <w:p>
      <w:pPr>
        <w:ind w:left="200" w:right="140" w:hanging="195"/>
        <w:spacing w:after="0" w:line="286" w:lineRule="auto"/>
        <w:tabs>
          <w:tab w:leader="none" w:pos="197" w:val="left"/>
        </w:tabs>
        <w:numPr>
          <w:ilvl w:val="0"/>
          <w:numId w:val="44"/>
        </w:numPr>
        <w:rPr>
          <w:rFonts w:ascii="Arial" w:cs="Arial" w:eastAsia="Arial" w:hAnsi="Arial"/>
          <w:sz w:val="16"/>
          <w:szCs w:val="16"/>
          <w:color w:val="074A75"/>
        </w:rPr>
      </w:pPr>
      <w:r>
        <w:rPr>
          <w:rFonts w:ascii="Arial" w:cs="Arial" w:eastAsia="Arial" w:hAnsi="Arial"/>
          <w:sz w:val="16"/>
          <w:szCs w:val="16"/>
          <w:color w:val="auto"/>
        </w:rPr>
        <w:t>Chief Risk Management Officer and Executive Vice President, Bank One Corporation (2001–2004)</w:t>
      </w:r>
    </w:p>
    <w:p>
      <w:pPr>
        <w:spacing w:after="0" w:line="7" w:lineRule="exact"/>
        <w:rPr>
          <w:rFonts w:ascii="Arial" w:cs="Arial" w:eastAsia="Arial" w:hAnsi="Arial"/>
          <w:sz w:val="16"/>
          <w:szCs w:val="16"/>
          <w:color w:val="074A75"/>
        </w:rPr>
      </w:pPr>
    </w:p>
    <w:p>
      <w:pPr>
        <w:ind w:left="200" w:hanging="195"/>
        <w:spacing w:after="0" w:line="286" w:lineRule="auto"/>
        <w:tabs>
          <w:tab w:leader="none" w:pos="197" w:val="left"/>
        </w:tabs>
        <w:numPr>
          <w:ilvl w:val="0"/>
          <w:numId w:val="44"/>
        </w:numPr>
        <w:rPr>
          <w:rFonts w:ascii="Arial" w:cs="Arial" w:eastAsia="Arial" w:hAnsi="Arial"/>
          <w:sz w:val="16"/>
          <w:szCs w:val="16"/>
          <w:color w:val="074A75"/>
        </w:rPr>
      </w:pPr>
      <w:r>
        <w:rPr>
          <w:rFonts w:ascii="Arial" w:cs="Arial" w:eastAsia="Arial" w:hAnsi="Arial"/>
          <w:sz w:val="16"/>
          <w:szCs w:val="16"/>
          <w:color w:val="auto"/>
        </w:rPr>
        <w:t>Senior Managing Director, Banc One Capital Markets (2000–2001)</w:t>
      </w:r>
    </w:p>
    <w:p>
      <w:pPr>
        <w:spacing w:after="0" w:line="20" w:lineRule="exact"/>
        <w:rPr>
          <w:sz w:val="20"/>
          <w:szCs w:val="20"/>
          <w:color w:val="auto"/>
        </w:rPr>
      </w:pPr>
      <w:r>
        <w:rPr>
          <w:sz w:val="20"/>
          <w:szCs w:val="20"/>
          <w:color w:val="auto"/>
        </w:rPr>
        <w:br w:type="column"/>
      </w:r>
    </w:p>
    <w:p>
      <w:pPr>
        <w:ind w:left="7" w:right="140"/>
        <w:spacing w:after="0" w:line="25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45"/>
        </w:numPr>
        <w:rPr>
          <w:rFonts w:ascii="Arial" w:cs="Arial" w:eastAsia="Arial" w:hAnsi="Arial"/>
          <w:sz w:val="16"/>
          <w:szCs w:val="16"/>
          <w:color w:val="074A75"/>
        </w:rPr>
      </w:pPr>
      <w:r>
        <w:rPr>
          <w:rFonts w:ascii="Arial" w:cs="Arial" w:eastAsia="Arial" w:hAnsi="Arial"/>
          <w:sz w:val="16"/>
          <w:szCs w:val="16"/>
          <w:color w:val="auto"/>
        </w:rPr>
        <w:t>None</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46"/>
        </w:numPr>
        <w:rPr>
          <w:rFonts w:ascii="Arial" w:cs="Arial" w:eastAsia="Arial" w:hAnsi="Arial"/>
          <w:sz w:val="16"/>
          <w:szCs w:val="16"/>
          <w:color w:val="074A75"/>
        </w:rPr>
      </w:pPr>
      <w:r>
        <w:rPr>
          <w:rFonts w:ascii="Arial" w:cs="Arial" w:eastAsia="Arial" w:hAnsi="Arial"/>
          <w:sz w:val="16"/>
          <w:szCs w:val="16"/>
          <w:color w:val="auto"/>
        </w:rPr>
        <w:t>Former Board Member, Risk Management Association</w:t>
      </w:r>
    </w:p>
    <w:p>
      <w:pPr>
        <w:spacing w:after="0" w:line="70" w:lineRule="exact"/>
        <w:rPr>
          <w:rFonts w:ascii="Arial" w:cs="Arial" w:eastAsia="Arial" w:hAnsi="Arial"/>
          <w:sz w:val="16"/>
          <w:szCs w:val="16"/>
          <w:color w:val="074A75"/>
        </w:rPr>
      </w:pPr>
    </w:p>
    <w:p>
      <w:pPr>
        <w:ind w:left="187" w:right="740" w:hanging="187"/>
        <w:spacing w:after="0" w:line="286" w:lineRule="auto"/>
        <w:tabs>
          <w:tab w:leader="none" w:pos="184" w:val="left"/>
        </w:tabs>
        <w:numPr>
          <w:ilvl w:val="0"/>
          <w:numId w:val="46"/>
        </w:numPr>
        <w:rPr>
          <w:rFonts w:ascii="Arial" w:cs="Arial" w:eastAsia="Arial" w:hAnsi="Arial"/>
          <w:sz w:val="16"/>
          <w:szCs w:val="16"/>
          <w:color w:val="074A75"/>
        </w:rPr>
      </w:pPr>
      <w:r>
        <w:rPr>
          <w:rFonts w:ascii="Arial" w:cs="Arial" w:eastAsia="Arial" w:hAnsi="Arial"/>
          <w:sz w:val="16"/>
          <w:szCs w:val="16"/>
          <w:color w:val="auto"/>
        </w:rPr>
        <w:t>Former Chair, Loan Syndications and Trading Association</w:t>
      </w:r>
    </w:p>
    <w:p>
      <w:pPr>
        <w:spacing w:after="0" w:line="7" w:lineRule="exact"/>
        <w:rPr>
          <w:rFonts w:ascii="Arial" w:cs="Arial" w:eastAsia="Arial" w:hAnsi="Arial"/>
          <w:sz w:val="16"/>
          <w:szCs w:val="16"/>
          <w:color w:val="074A75"/>
        </w:rPr>
      </w:pPr>
    </w:p>
    <w:p>
      <w:pPr>
        <w:ind w:left="187" w:hanging="187"/>
        <w:spacing w:after="0"/>
        <w:tabs>
          <w:tab w:leader="none" w:pos="187" w:val="left"/>
        </w:tabs>
        <w:numPr>
          <w:ilvl w:val="0"/>
          <w:numId w:val="46"/>
        </w:numPr>
        <w:rPr>
          <w:rFonts w:ascii="Arial" w:cs="Arial" w:eastAsia="Arial" w:hAnsi="Arial"/>
          <w:sz w:val="16"/>
          <w:szCs w:val="16"/>
          <w:color w:val="074A75"/>
        </w:rPr>
      </w:pPr>
      <w:r>
        <w:rPr>
          <w:rFonts w:ascii="Arial" w:cs="Arial" w:eastAsia="Arial" w:hAnsi="Arial"/>
          <w:sz w:val="16"/>
          <w:szCs w:val="16"/>
          <w:color w:val="auto"/>
        </w:rPr>
        <w:t>Board Member, Travis Mills Foundation</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47"/>
        </w:numPr>
        <w:rPr>
          <w:rFonts w:ascii="Arial" w:cs="Arial" w:eastAsia="Arial" w:hAnsi="Arial"/>
          <w:sz w:val="16"/>
          <w:szCs w:val="16"/>
          <w:color w:val="074A75"/>
        </w:rPr>
      </w:pPr>
      <w:r>
        <w:rPr>
          <w:rFonts w:ascii="Arial" w:cs="Arial" w:eastAsia="Arial" w:hAnsi="Arial"/>
          <w:sz w:val="16"/>
          <w:szCs w:val="16"/>
          <w:color w:val="auto"/>
        </w:rPr>
        <w:t>Graduate of Stanford University</w:t>
      </w:r>
    </w:p>
    <w:p>
      <w:pPr>
        <w:spacing w:after="0" w:line="56" w:lineRule="exact"/>
        <w:rPr>
          <w:rFonts w:ascii="Arial" w:cs="Arial" w:eastAsia="Arial" w:hAnsi="Arial"/>
          <w:sz w:val="16"/>
          <w:szCs w:val="16"/>
          <w:color w:val="074A75"/>
        </w:rPr>
      </w:pPr>
    </w:p>
    <w:p>
      <w:pPr>
        <w:ind w:left="187" w:hanging="187"/>
        <w:spacing w:after="0"/>
        <w:tabs>
          <w:tab w:leader="none" w:pos="187" w:val="left"/>
        </w:tabs>
        <w:numPr>
          <w:ilvl w:val="0"/>
          <w:numId w:val="47"/>
        </w:numPr>
        <w:rPr>
          <w:rFonts w:ascii="Arial" w:cs="Arial" w:eastAsia="Arial" w:hAnsi="Arial"/>
          <w:sz w:val="16"/>
          <w:szCs w:val="16"/>
          <w:color w:val="074A75"/>
        </w:rPr>
      </w:pPr>
      <w:r>
        <w:rPr>
          <w:rFonts w:ascii="Arial" w:cs="Arial" w:eastAsia="Arial" w:hAnsi="Arial"/>
          <w:sz w:val="16"/>
          <w:szCs w:val="16"/>
          <w:color w:val="auto"/>
        </w:rPr>
        <w:t>M.A., Public Policy, University of Michigan</w:t>
      </w:r>
    </w:p>
    <w:p>
      <w:pPr>
        <w:spacing w:after="0" w:line="200" w:lineRule="exact"/>
        <w:rPr>
          <w:sz w:val="20"/>
          <w:szCs w:val="20"/>
          <w:color w:val="auto"/>
        </w:rPr>
      </w:pPr>
    </w:p>
    <w:p>
      <w:pPr>
        <w:sectPr>
          <w:pgSz w:w="11900" w:h="16838" w:orient="portrait"/>
          <w:cols w:equalWidth="0" w:num="3">
            <w:col w:w="2140" w:space="540"/>
            <w:col w:w="4000" w:space="393"/>
            <w:col w:w="4187"/>
          </w:cols>
          <w:pgMar w:left="320" w:top="157" w:right="31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149225</wp:posOffset>
            </wp:positionV>
            <wp:extent cx="76835"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149225</wp:posOffset>
            </wp:positionV>
            <wp:extent cx="77470" cy="145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149225</wp:posOffset>
            </wp:positionV>
            <wp:extent cx="76835" cy="145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145415</wp:posOffset>
            </wp:positionV>
            <wp:extent cx="8890" cy="32658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326580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-1144270</wp:posOffset>
            </wp:positionV>
            <wp:extent cx="737235" cy="9086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2016</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43"/>
          <w:szCs w:val="43"/>
          <w:color w:val="074A75"/>
        </w:rPr>
        <w:t>Todd A. Combs</w:t>
      </w:r>
    </w:p>
    <w:p>
      <w:pPr>
        <w:spacing w:after="0" w:line="54" w:lineRule="exact"/>
        <w:rPr>
          <w:sz w:val="20"/>
          <w:szCs w:val="20"/>
          <w:color w:val="auto"/>
        </w:rPr>
      </w:pPr>
    </w:p>
    <w:p>
      <w:pPr>
        <w:ind w:right="540"/>
        <w:spacing w:after="0" w:line="253" w:lineRule="auto"/>
        <w:rPr>
          <w:sz w:val="20"/>
          <w:szCs w:val="20"/>
          <w:color w:val="auto"/>
        </w:rPr>
      </w:pPr>
      <w:r>
        <w:rPr>
          <w:rFonts w:ascii="Arial" w:cs="Arial" w:eastAsia="Arial" w:hAnsi="Arial"/>
          <w:sz w:val="22"/>
          <w:szCs w:val="22"/>
          <w:i w:val="1"/>
          <w:iCs w:val="1"/>
          <w:color w:val="074A75"/>
        </w:rPr>
        <w:t>President and Chief Executive Officer of GEICO and Investment Officer at Berkshire Hathaway Inc.</w:t>
      </w:r>
    </w:p>
    <w:p>
      <w:pPr>
        <w:spacing w:after="0" w:line="229"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Mr. Combs’ roles have provided him with extensive experience in financial markets, risk assessment and regulatory matters. His service on three of Berkshire Hathaway’s subsidiary boards has given him expertise and insight into matters such as corporate governance, strategy, succession planning and compensation.</w:t>
      </w:r>
    </w:p>
    <w:p>
      <w:pPr>
        <w:spacing w:after="0" w:line="252"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180" w:right="140" w:hanging="154"/>
        <w:spacing w:after="0" w:line="246" w:lineRule="auto"/>
        <w:tabs>
          <w:tab w:leader="none" w:pos="182" w:val="left"/>
        </w:tabs>
        <w:numPr>
          <w:ilvl w:val="0"/>
          <w:numId w:val="48"/>
        </w:numPr>
        <w:rPr>
          <w:rFonts w:ascii="Arial" w:cs="Arial" w:eastAsia="Arial" w:hAnsi="Arial"/>
          <w:sz w:val="16"/>
          <w:szCs w:val="16"/>
          <w:color w:val="074A75"/>
        </w:rPr>
      </w:pPr>
      <w:r>
        <w:rPr>
          <w:rFonts w:ascii="Arial" w:cs="Arial" w:eastAsia="Arial" w:hAnsi="Arial"/>
          <w:sz w:val="16"/>
          <w:szCs w:val="16"/>
          <w:color w:val="auto"/>
        </w:rPr>
        <w:t>Corporate Governance &amp; Nominating Committee (Chair)</w:t>
      </w:r>
    </w:p>
    <w:p>
      <w:pPr>
        <w:spacing w:after="0" w:line="1" w:lineRule="exact"/>
        <w:rPr>
          <w:rFonts w:ascii="Arial" w:cs="Arial" w:eastAsia="Arial" w:hAnsi="Arial"/>
          <w:sz w:val="16"/>
          <w:szCs w:val="16"/>
          <w:color w:val="074A75"/>
        </w:rPr>
      </w:pPr>
    </w:p>
    <w:p>
      <w:pPr>
        <w:ind w:left="180" w:hanging="154"/>
        <w:spacing w:after="0" w:line="256" w:lineRule="auto"/>
        <w:tabs>
          <w:tab w:leader="none" w:pos="182" w:val="left"/>
        </w:tabs>
        <w:numPr>
          <w:ilvl w:val="0"/>
          <w:numId w:val="48"/>
        </w:numPr>
        <w:rPr>
          <w:rFonts w:ascii="Arial" w:cs="Arial" w:eastAsia="Arial" w:hAnsi="Arial"/>
          <w:sz w:val="16"/>
          <w:szCs w:val="16"/>
          <w:color w:val="074A75"/>
        </w:rPr>
      </w:pPr>
      <w:r>
        <w:rPr>
          <w:rFonts w:ascii="Arial" w:cs="Arial" w:eastAsia="Arial" w:hAnsi="Arial"/>
          <w:sz w:val="16"/>
          <w:szCs w:val="16"/>
          <w:color w:val="auto"/>
        </w:rPr>
        <w:t>Compensation &amp; Management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1167765</wp:posOffset>
            </wp:positionV>
            <wp:extent cx="737235" cy="9086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Berkshire Hathaway Inc., a holding company whose subsidiaries engage in a number of diverse business activities including finance, insurance and reinsurance, utilities and energy, freight rail transportation, manufacturing, retailing and other services</w:t>
      </w:r>
    </w:p>
    <w:p>
      <w:pPr>
        <w:spacing w:after="0" w:line="75" w:lineRule="exact"/>
        <w:rPr>
          <w:sz w:val="20"/>
          <w:szCs w:val="20"/>
          <w:color w:val="auto"/>
        </w:rPr>
      </w:pPr>
    </w:p>
    <w:p>
      <w:pPr>
        <w:ind w:left="200" w:right="140" w:hanging="195"/>
        <w:spacing w:after="0" w:line="286" w:lineRule="auto"/>
        <w:tabs>
          <w:tab w:leader="none" w:pos="197" w:val="left"/>
        </w:tabs>
        <w:numPr>
          <w:ilvl w:val="0"/>
          <w:numId w:val="49"/>
        </w:numPr>
        <w:rPr>
          <w:rFonts w:ascii="Arial" w:cs="Arial" w:eastAsia="Arial" w:hAnsi="Arial"/>
          <w:sz w:val="16"/>
          <w:szCs w:val="16"/>
          <w:color w:val="074A75"/>
        </w:rPr>
      </w:pPr>
      <w:r>
        <w:rPr>
          <w:rFonts w:ascii="Arial" w:cs="Arial" w:eastAsia="Arial" w:hAnsi="Arial"/>
          <w:sz w:val="16"/>
          <w:szCs w:val="16"/>
          <w:color w:val="auto"/>
        </w:rPr>
        <w:t>President and Chief Executive Officer, GEICO (since 2020)</w:t>
      </w:r>
    </w:p>
    <w:p>
      <w:pPr>
        <w:spacing w:after="0" w:line="7" w:lineRule="exact"/>
        <w:rPr>
          <w:rFonts w:ascii="Arial" w:cs="Arial" w:eastAsia="Arial" w:hAnsi="Arial"/>
          <w:sz w:val="16"/>
          <w:szCs w:val="16"/>
          <w:color w:val="074A75"/>
        </w:rPr>
      </w:pPr>
    </w:p>
    <w:p>
      <w:pPr>
        <w:ind w:left="200" w:hanging="195"/>
        <w:spacing w:after="0"/>
        <w:tabs>
          <w:tab w:leader="none" w:pos="200" w:val="left"/>
        </w:tabs>
        <w:numPr>
          <w:ilvl w:val="0"/>
          <w:numId w:val="49"/>
        </w:numPr>
        <w:rPr>
          <w:rFonts w:ascii="Arial" w:cs="Arial" w:eastAsia="Arial" w:hAnsi="Arial"/>
          <w:sz w:val="16"/>
          <w:szCs w:val="16"/>
          <w:color w:val="074A75"/>
        </w:rPr>
      </w:pPr>
      <w:r>
        <w:rPr>
          <w:rFonts w:ascii="Arial" w:cs="Arial" w:eastAsia="Arial" w:hAnsi="Arial"/>
          <w:sz w:val="16"/>
          <w:szCs w:val="16"/>
          <w:color w:val="auto"/>
        </w:rPr>
        <w:t>Investment Officer (since 2010)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Castle Point Capital Management</w:t>
      </w:r>
    </w:p>
    <w:p>
      <w:pPr>
        <w:spacing w:after="0" w:line="73" w:lineRule="exact"/>
        <w:rPr>
          <w:sz w:val="20"/>
          <w:szCs w:val="20"/>
          <w:color w:val="auto"/>
        </w:rPr>
      </w:pPr>
    </w:p>
    <w:p>
      <w:pPr>
        <w:ind w:left="200" w:hanging="195"/>
        <w:spacing w:after="0" w:line="286" w:lineRule="auto"/>
        <w:tabs>
          <w:tab w:leader="none" w:pos="197" w:val="left"/>
        </w:tabs>
        <w:numPr>
          <w:ilvl w:val="0"/>
          <w:numId w:val="50"/>
        </w:numPr>
        <w:rPr>
          <w:rFonts w:ascii="Arial" w:cs="Arial" w:eastAsia="Arial" w:hAnsi="Arial"/>
          <w:sz w:val="16"/>
          <w:szCs w:val="16"/>
          <w:color w:val="074A75"/>
        </w:rPr>
      </w:pPr>
      <w:r>
        <w:rPr>
          <w:rFonts w:ascii="Arial" w:cs="Arial" w:eastAsia="Arial" w:hAnsi="Arial"/>
          <w:sz w:val="16"/>
          <w:szCs w:val="16"/>
          <w:color w:val="auto"/>
        </w:rPr>
        <w:t>Chief Executive Officer and Managing Member (2005–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219075</wp:posOffset>
            </wp:positionV>
            <wp:extent cx="8890" cy="36772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3677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7" w:right="140"/>
        <w:spacing w:after="0" w:line="25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51"/>
        </w:numPr>
        <w:rPr>
          <w:rFonts w:ascii="Arial" w:cs="Arial" w:eastAsia="Arial" w:hAnsi="Arial"/>
          <w:sz w:val="16"/>
          <w:szCs w:val="16"/>
          <w:color w:val="074A75"/>
        </w:rPr>
      </w:pPr>
      <w:r>
        <w:rPr>
          <w:rFonts w:ascii="Arial" w:cs="Arial" w:eastAsia="Arial" w:hAnsi="Arial"/>
          <w:sz w:val="16"/>
          <w:szCs w:val="16"/>
          <w:color w:val="auto"/>
        </w:rPr>
        <w:t>None</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52"/>
        </w:numPr>
        <w:rPr>
          <w:rFonts w:ascii="Arial" w:cs="Arial" w:eastAsia="Arial" w:hAnsi="Arial"/>
          <w:sz w:val="16"/>
          <w:szCs w:val="16"/>
          <w:color w:val="074A75"/>
        </w:rPr>
      </w:pPr>
      <w:r>
        <w:rPr>
          <w:rFonts w:ascii="Arial" w:cs="Arial" w:eastAsia="Arial" w:hAnsi="Arial"/>
          <w:sz w:val="16"/>
          <w:szCs w:val="16"/>
          <w:color w:val="auto"/>
        </w:rPr>
        <w:t>Graduate of Florida State University</w:t>
      </w:r>
    </w:p>
    <w:p>
      <w:pPr>
        <w:spacing w:after="0" w:line="56" w:lineRule="exact"/>
        <w:rPr>
          <w:rFonts w:ascii="Arial" w:cs="Arial" w:eastAsia="Arial" w:hAnsi="Arial"/>
          <w:sz w:val="16"/>
          <w:szCs w:val="16"/>
          <w:color w:val="074A75"/>
        </w:rPr>
      </w:pPr>
    </w:p>
    <w:p>
      <w:pPr>
        <w:ind w:left="187" w:hanging="187"/>
        <w:spacing w:after="0"/>
        <w:tabs>
          <w:tab w:leader="none" w:pos="187" w:val="left"/>
        </w:tabs>
        <w:numPr>
          <w:ilvl w:val="0"/>
          <w:numId w:val="52"/>
        </w:numPr>
        <w:rPr>
          <w:rFonts w:ascii="Arial" w:cs="Arial" w:eastAsia="Arial" w:hAnsi="Arial"/>
          <w:sz w:val="16"/>
          <w:szCs w:val="16"/>
          <w:color w:val="074A75"/>
        </w:rPr>
      </w:pPr>
      <w:r>
        <w:rPr>
          <w:rFonts w:ascii="Arial" w:cs="Arial" w:eastAsia="Arial" w:hAnsi="Arial"/>
          <w:sz w:val="16"/>
          <w:szCs w:val="16"/>
          <w:color w:val="auto"/>
        </w:rPr>
        <w:t>M.B.A., Columbia Business School</w:t>
      </w:r>
    </w:p>
    <w:p>
      <w:pPr>
        <w:spacing w:after="0" w:line="1548" w:lineRule="exact"/>
        <w:rPr>
          <w:sz w:val="20"/>
          <w:szCs w:val="20"/>
          <w:color w:val="auto"/>
        </w:rPr>
      </w:pPr>
    </w:p>
    <w:p>
      <w:pPr>
        <w:sectPr>
          <w:pgSz w:w="11900" w:h="16838" w:orient="portrait"/>
          <w:cols w:equalWidth="0" w:num="3">
            <w:col w:w="2140" w:space="540"/>
            <w:col w:w="4100" w:space="29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68</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2004</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43"/>
          <w:szCs w:val="43"/>
          <w:color w:val="074A75"/>
        </w:rPr>
        <w:t>James S. Crown</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Chairman and Chief Executive Officer of Henry Crown and Company</w:t>
      </w:r>
    </w:p>
    <w:p>
      <w:pPr>
        <w:spacing w:after="0" w:line="37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Mr. Crown’s position with Henry Crown and Company and his service on other public company boards have given him extensive experience with risk management, audit and financial reporting, investment management, capital markets activity and executive compensation matters.</w:t>
      </w:r>
    </w:p>
    <w:p>
      <w:pPr>
        <w:spacing w:after="0" w:line="265"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180" w:right="280" w:hanging="154"/>
        <w:spacing w:after="0" w:line="246" w:lineRule="auto"/>
        <w:tabs>
          <w:tab w:leader="none" w:pos="182" w:val="left"/>
        </w:tabs>
        <w:numPr>
          <w:ilvl w:val="0"/>
          <w:numId w:val="53"/>
        </w:numPr>
        <w:rPr>
          <w:rFonts w:ascii="Arial" w:cs="Arial" w:eastAsia="Arial" w:hAnsi="Arial"/>
          <w:sz w:val="16"/>
          <w:szCs w:val="16"/>
          <w:color w:val="074A75"/>
        </w:rPr>
      </w:pPr>
      <w:r>
        <w:rPr>
          <w:rFonts w:ascii="Arial" w:cs="Arial" w:eastAsia="Arial" w:hAnsi="Arial"/>
          <w:sz w:val="16"/>
          <w:szCs w:val="16"/>
          <w:color w:val="auto"/>
        </w:rPr>
        <w:t>Public Responsibility Committee (Chair)</w:t>
      </w:r>
    </w:p>
    <w:p>
      <w:pPr>
        <w:ind w:left="200" w:hanging="174"/>
        <w:spacing w:after="0"/>
        <w:tabs>
          <w:tab w:leader="none" w:pos="200" w:val="left"/>
        </w:tabs>
        <w:numPr>
          <w:ilvl w:val="0"/>
          <w:numId w:val="53"/>
        </w:numPr>
        <w:rPr>
          <w:rFonts w:ascii="Arial" w:cs="Arial" w:eastAsia="Arial" w:hAnsi="Arial"/>
          <w:sz w:val="16"/>
          <w:szCs w:val="16"/>
          <w:color w:val="074A75"/>
        </w:rPr>
      </w:pPr>
      <w:r>
        <w:rPr>
          <w:rFonts w:ascii="Arial" w:cs="Arial" w:eastAsia="Arial" w:hAnsi="Arial"/>
          <w:sz w:val="16"/>
          <w:szCs w:val="16"/>
          <w:color w:val="auto"/>
        </w:rPr>
        <w:t>Risk Committee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Henry Crown and Company, a privately owned investment company that invests in public and private securities, real estate, and operating companies</w:t>
      </w:r>
    </w:p>
    <w:p>
      <w:pPr>
        <w:spacing w:after="0" w:line="30" w:lineRule="exact"/>
        <w:rPr>
          <w:sz w:val="20"/>
          <w:szCs w:val="20"/>
          <w:color w:val="auto"/>
        </w:rPr>
      </w:pPr>
    </w:p>
    <w:p>
      <w:pPr>
        <w:ind w:left="200" w:hanging="195"/>
        <w:spacing w:after="0"/>
        <w:tabs>
          <w:tab w:leader="none" w:pos="200" w:val="left"/>
        </w:tabs>
        <w:numPr>
          <w:ilvl w:val="0"/>
          <w:numId w:val="54"/>
        </w:numPr>
        <w:rPr>
          <w:rFonts w:ascii="Arial" w:cs="Arial" w:eastAsia="Arial" w:hAnsi="Arial"/>
          <w:sz w:val="16"/>
          <w:szCs w:val="16"/>
          <w:color w:val="074A75"/>
        </w:rPr>
      </w:pPr>
      <w:r>
        <w:rPr>
          <w:rFonts w:ascii="Arial" w:cs="Arial" w:eastAsia="Arial" w:hAnsi="Arial"/>
          <w:sz w:val="16"/>
          <w:szCs w:val="16"/>
          <w:color w:val="auto"/>
        </w:rPr>
        <w:t>Chairman and Chief Executive Officer (since 2018)</w:t>
      </w:r>
    </w:p>
    <w:p>
      <w:pPr>
        <w:spacing w:after="0" w:line="72" w:lineRule="exact"/>
        <w:rPr>
          <w:rFonts w:ascii="Arial" w:cs="Arial" w:eastAsia="Arial" w:hAnsi="Arial"/>
          <w:sz w:val="16"/>
          <w:szCs w:val="16"/>
          <w:color w:val="074A75"/>
        </w:rPr>
      </w:pPr>
    </w:p>
    <w:p>
      <w:pPr>
        <w:ind w:left="200" w:hanging="195"/>
        <w:spacing w:after="0"/>
        <w:tabs>
          <w:tab w:leader="none" w:pos="200" w:val="left"/>
        </w:tabs>
        <w:numPr>
          <w:ilvl w:val="0"/>
          <w:numId w:val="54"/>
        </w:numPr>
        <w:rPr>
          <w:rFonts w:ascii="Arial" w:cs="Arial" w:eastAsia="Arial" w:hAnsi="Arial"/>
          <w:sz w:val="16"/>
          <w:szCs w:val="16"/>
          <w:color w:val="074A75"/>
        </w:rPr>
      </w:pPr>
      <w:r>
        <w:rPr>
          <w:rFonts w:ascii="Arial" w:cs="Arial" w:eastAsia="Arial" w:hAnsi="Arial"/>
          <w:sz w:val="16"/>
          <w:szCs w:val="16"/>
          <w:color w:val="auto"/>
        </w:rPr>
        <w:t>President (2002–2017)</w:t>
      </w:r>
    </w:p>
    <w:p>
      <w:pPr>
        <w:spacing w:after="0" w:line="86" w:lineRule="exact"/>
        <w:rPr>
          <w:rFonts w:ascii="Arial" w:cs="Arial" w:eastAsia="Arial" w:hAnsi="Arial"/>
          <w:sz w:val="16"/>
          <w:szCs w:val="16"/>
          <w:color w:val="074A75"/>
        </w:rPr>
      </w:pPr>
    </w:p>
    <w:p>
      <w:pPr>
        <w:ind w:left="200" w:hanging="195"/>
        <w:spacing w:after="0"/>
        <w:tabs>
          <w:tab w:leader="none" w:pos="200" w:val="left"/>
        </w:tabs>
        <w:numPr>
          <w:ilvl w:val="0"/>
          <w:numId w:val="54"/>
        </w:numPr>
        <w:rPr>
          <w:rFonts w:ascii="Arial" w:cs="Arial" w:eastAsia="Arial" w:hAnsi="Arial"/>
          <w:sz w:val="16"/>
          <w:szCs w:val="16"/>
          <w:color w:val="074A75"/>
        </w:rPr>
      </w:pPr>
      <w:r>
        <w:rPr>
          <w:rFonts w:ascii="Arial" w:cs="Arial" w:eastAsia="Arial" w:hAnsi="Arial"/>
          <w:sz w:val="16"/>
          <w:szCs w:val="16"/>
          <w:color w:val="auto"/>
        </w:rPr>
        <w:t>Vice President (1985–2002)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1520825</wp:posOffset>
            </wp:positionV>
            <wp:extent cx="274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7" w:right="140"/>
        <w:spacing w:after="0" w:line="25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right="80" w:hanging="187"/>
        <w:spacing w:after="0" w:line="265" w:lineRule="auto"/>
        <w:tabs>
          <w:tab w:leader="none" w:pos="184" w:val="left"/>
        </w:tabs>
        <w:numPr>
          <w:ilvl w:val="0"/>
          <w:numId w:val="55"/>
        </w:numPr>
        <w:rPr>
          <w:rFonts w:ascii="Arial" w:cs="Arial" w:eastAsia="Arial" w:hAnsi="Arial"/>
          <w:sz w:val="16"/>
          <w:szCs w:val="16"/>
          <w:color w:val="074A75"/>
        </w:rPr>
      </w:pPr>
      <w:r>
        <w:rPr>
          <w:rFonts w:ascii="Arial" w:cs="Arial" w:eastAsia="Arial" w:hAnsi="Arial"/>
          <w:sz w:val="16"/>
          <w:szCs w:val="16"/>
          <w:color w:val="auto"/>
        </w:rPr>
        <w:t>General Dynamics (since 1987) — Lead Director since 2010</w:t>
      </w:r>
    </w:p>
    <w:p>
      <w:pPr>
        <w:spacing w:after="0" w:line="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Chairman of the Board of Trustees, Aspen Institute</w:t>
      </w:r>
    </w:p>
    <w:p>
      <w:pPr>
        <w:spacing w:after="0" w:line="56" w:lineRule="exact"/>
        <w:rPr>
          <w:rFonts w:ascii="Arial" w:cs="Arial" w:eastAsia="Arial" w:hAnsi="Arial"/>
          <w:sz w:val="16"/>
          <w:szCs w:val="16"/>
          <w:color w:val="074A75"/>
        </w:rPr>
      </w:pPr>
    </w:p>
    <w:p>
      <w:pPr>
        <w:ind w:left="187" w:hanging="187"/>
        <w:spacing w:after="0"/>
        <w:tabs>
          <w:tab w:leader="none" w:pos="187"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Trustee, Museum of Science and Industry</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Trustee, University of Chicago</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Member, American Academy of Arts and Sciences</w:t>
      </w:r>
    </w:p>
    <w:p>
      <w:pPr>
        <w:spacing w:after="0" w:line="72" w:lineRule="exact"/>
        <w:rPr>
          <w:rFonts w:ascii="Arial" w:cs="Arial" w:eastAsia="Arial" w:hAnsi="Arial"/>
          <w:sz w:val="16"/>
          <w:szCs w:val="16"/>
          <w:color w:val="074A75"/>
        </w:rPr>
      </w:pPr>
    </w:p>
    <w:p>
      <w:pPr>
        <w:ind w:left="187" w:right="420" w:hanging="187"/>
        <w:spacing w:after="0" w:line="286" w:lineRule="auto"/>
        <w:tabs>
          <w:tab w:leader="none" w:pos="184"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Former member, President’s Intelligence Advisory Board</w:t>
      </w:r>
    </w:p>
    <w:p>
      <w:pPr>
        <w:spacing w:after="0" w:line="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57"/>
        </w:numPr>
        <w:rPr>
          <w:rFonts w:ascii="Arial" w:cs="Arial" w:eastAsia="Arial" w:hAnsi="Arial"/>
          <w:sz w:val="16"/>
          <w:szCs w:val="16"/>
          <w:color w:val="074A75"/>
        </w:rPr>
      </w:pPr>
      <w:r>
        <w:rPr>
          <w:rFonts w:ascii="Arial" w:cs="Arial" w:eastAsia="Arial" w:hAnsi="Arial"/>
          <w:sz w:val="16"/>
          <w:szCs w:val="16"/>
          <w:color w:val="auto"/>
        </w:rPr>
        <w:t>Graduate of Hampshire College</w:t>
      </w:r>
    </w:p>
    <w:p>
      <w:pPr>
        <w:spacing w:after="0" w:line="56" w:lineRule="exact"/>
        <w:rPr>
          <w:rFonts w:ascii="Arial" w:cs="Arial" w:eastAsia="Arial" w:hAnsi="Arial"/>
          <w:sz w:val="16"/>
          <w:szCs w:val="16"/>
          <w:color w:val="074A75"/>
        </w:rPr>
      </w:pPr>
    </w:p>
    <w:p>
      <w:pPr>
        <w:ind w:left="187" w:hanging="187"/>
        <w:spacing w:after="0"/>
        <w:tabs>
          <w:tab w:leader="none" w:pos="187" w:val="left"/>
        </w:tabs>
        <w:numPr>
          <w:ilvl w:val="0"/>
          <w:numId w:val="57"/>
        </w:numPr>
        <w:rPr>
          <w:rFonts w:ascii="Arial" w:cs="Arial" w:eastAsia="Arial" w:hAnsi="Arial"/>
          <w:sz w:val="16"/>
          <w:szCs w:val="16"/>
          <w:color w:val="074A75"/>
        </w:rPr>
      </w:pPr>
      <w:r>
        <w:rPr>
          <w:rFonts w:ascii="Arial" w:cs="Arial" w:eastAsia="Arial" w:hAnsi="Arial"/>
          <w:sz w:val="16"/>
          <w:szCs w:val="16"/>
          <w:color w:val="auto"/>
        </w:rPr>
        <w:t>J.D., Stanford University Law School</w:t>
      </w:r>
    </w:p>
    <w:p>
      <w:pPr>
        <w:spacing w:after="0" w:line="200" w:lineRule="exact"/>
        <w:rPr>
          <w:sz w:val="20"/>
          <w:szCs w:val="20"/>
          <w:color w:val="auto"/>
        </w:rPr>
      </w:pPr>
    </w:p>
    <w:p>
      <w:pPr>
        <w:sectPr>
          <w:pgSz w:w="11900" w:h="16838" w:orient="portrait"/>
          <w:cols w:equalWidth="0" w:num="3">
            <w:col w:w="1960" w:space="720"/>
            <w:col w:w="3840" w:space="553"/>
            <w:col w:w="4187"/>
          </w:cols>
          <w:pgMar w:left="320" w:top="157" w:right="31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15  </w:t>
      </w:r>
      <w:r>
        <w:rPr>
          <w:sz w:val="1"/>
          <w:szCs w:val="1"/>
          <w:color w:val="auto"/>
        </w:rPr>
        <w:drawing>
          <wp:inline distT="0" distB="0" distL="0" distR="0">
            <wp:extent cx="2203450" cy="15430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269240</wp:posOffset>
            </wp:positionV>
            <wp:extent cx="76835" cy="145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269240</wp:posOffset>
            </wp:positionV>
            <wp:extent cx="77470"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269240</wp:posOffset>
            </wp:positionV>
            <wp:extent cx="76835"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137160</wp:posOffset>
            </wp:positionV>
            <wp:extent cx="8890" cy="3437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3437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205740</wp:posOffset>
            </wp:positionV>
            <wp:extent cx="737235" cy="9086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3"/>
          <w:szCs w:val="43"/>
          <w:color w:val="074A75"/>
        </w:rPr>
        <w:t>James Dimon</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Chairman and Chief Executive Officer of JPMorgan Chase &amp; Co.</w:t>
      </w:r>
    </w:p>
    <w:p>
      <w:pPr>
        <w:spacing w:after="0" w:line="374" w:lineRule="exact"/>
        <w:rPr>
          <w:sz w:val="20"/>
          <w:szCs w:val="20"/>
          <w:color w:val="auto"/>
        </w:rPr>
      </w:pPr>
    </w:p>
    <w:p>
      <w:pPr>
        <w:ind w:right="380"/>
        <w:spacing w:after="0" w:line="264" w:lineRule="auto"/>
        <w:rPr>
          <w:sz w:val="20"/>
          <w:szCs w:val="20"/>
          <w:color w:val="auto"/>
        </w:rPr>
      </w:pPr>
      <w:r>
        <w:rPr>
          <w:rFonts w:ascii="Arial" w:cs="Arial" w:eastAsia="Arial" w:hAnsi="Arial"/>
          <w:sz w:val="16"/>
          <w:szCs w:val="16"/>
          <w:color w:val="auto"/>
        </w:rPr>
        <w:t>Mr. Dimon is an experienced leader in the financial services industry and has extensive international business expertise. As CEO, he is knowledgeable about all aspects of the Firm’s business activities. His work has given him substantial insight into the regulatory process.</w:t>
      </w:r>
    </w:p>
    <w:p>
      <w:pPr>
        <w:spacing w:after="0" w:line="1"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ind w:left="20"/>
        <w:spacing w:after="0" w:line="266" w:lineRule="auto"/>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2004 and</w:t>
      </w:r>
      <w:r>
        <w:rPr>
          <w:rFonts w:ascii="Arial" w:cs="Arial" w:eastAsia="Arial" w:hAnsi="Arial"/>
          <w:sz w:val="16"/>
          <w:szCs w:val="16"/>
          <w:b w:val="1"/>
          <w:bCs w:val="1"/>
          <w:color w:val="074A75"/>
        </w:rPr>
        <w:t xml:space="preserve"> </w:t>
      </w:r>
      <w:r>
        <w:rPr>
          <w:rFonts w:ascii="Arial" w:cs="Arial" w:eastAsia="Arial" w:hAnsi="Arial"/>
          <w:sz w:val="16"/>
          <w:szCs w:val="16"/>
          <w:color w:val="000000"/>
        </w:rPr>
        <w:t>Chairman of the Board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1978025</wp:posOffset>
            </wp:positionV>
            <wp:extent cx="737235" cy="916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7235"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JPMorgan Chase &amp; Co., a financial services company (merged with Bank One Corporation in July 2004)</w:t>
      </w:r>
    </w:p>
    <w:p>
      <w:pPr>
        <w:spacing w:after="0" w:line="23" w:lineRule="exact"/>
        <w:rPr>
          <w:sz w:val="20"/>
          <w:szCs w:val="20"/>
          <w:color w:val="auto"/>
        </w:rPr>
      </w:pPr>
    </w:p>
    <w:p>
      <w:pPr>
        <w:ind w:left="200" w:right="100" w:hanging="195"/>
        <w:spacing w:after="0" w:line="286" w:lineRule="auto"/>
        <w:tabs>
          <w:tab w:leader="none" w:pos="197"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Chairman of the Board (since 2006) and Director (since 2004); Chief Executive Officer (since 2005)</w:t>
      </w:r>
    </w:p>
    <w:p>
      <w:pPr>
        <w:spacing w:after="0" w:line="7" w:lineRule="exact"/>
        <w:rPr>
          <w:rFonts w:ascii="Arial" w:cs="Arial" w:eastAsia="Arial" w:hAnsi="Arial"/>
          <w:sz w:val="16"/>
          <w:szCs w:val="16"/>
          <w:color w:val="074A75"/>
        </w:rPr>
      </w:pPr>
    </w:p>
    <w:p>
      <w:pPr>
        <w:ind w:left="200" w:hanging="195"/>
        <w:spacing w:after="0"/>
        <w:tabs>
          <w:tab w:leader="none" w:pos="200"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President (2004–2018)</w:t>
      </w:r>
    </w:p>
    <w:p>
      <w:pPr>
        <w:spacing w:after="0" w:line="86" w:lineRule="exact"/>
        <w:rPr>
          <w:rFonts w:ascii="Arial" w:cs="Arial" w:eastAsia="Arial" w:hAnsi="Arial"/>
          <w:sz w:val="16"/>
          <w:szCs w:val="16"/>
          <w:color w:val="074A75"/>
        </w:rPr>
      </w:pPr>
    </w:p>
    <w:p>
      <w:pPr>
        <w:ind w:left="200" w:hanging="195"/>
        <w:spacing w:after="0"/>
        <w:tabs>
          <w:tab w:leader="none" w:pos="200"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Chief Operating Officer (2004–2005)</w:t>
      </w:r>
    </w:p>
    <w:p>
      <w:pPr>
        <w:spacing w:after="0" w:line="72" w:lineRule="exact"/>
        <w:rPr>
          <w:rFonts w:ascii="Arial" w:cs="Arial" w:eastAsia="Arial" w:hAnsi="Arial"/>
          <w:sz w:val="16"/>
          <w:szCs w:val="16"/>
          <w:color w:val="074A75"/>
        </w:rPr>
      </w:pPr>
    </w:p>
    <w:p>
      <w:pPr>
        <w:ind w:left="200" w:right="20" w:hanging="195"/>
        <w:spacing w:after="0" w:line="286" w:lineRule="auto"/>
        <w:tabs>
          <w:tab w:leader="none" w:pos="197"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Chairman and Chief Executive Officer at Bank One Corporation (2000–2004)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776605</wp:posOffset>
            </wp:positionV>
            <wp:extent cx="8890" cy="40119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4011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7" w:right="140"/>
        <w:spacing w:after="0" w:line="25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59"/>
        </w:numPr>
        <w:rPr>
          <w:rFonts w:ascii="Arial" w:cs="Arial" w:eastAsia="Arial" w:hAnsi="Arial"/>
          <w:sz w:val="16"/>
          <w:szCs w:val="16"/>
          <w:color w:val="074A75"/>
        </w:rPr>
      </w:pPr>
      <w:r>
        <w:rPr>
          <w:rFonts w:ascii="Arial" w:cs="Arial" w:eastAsia="Arial" w:hAnsi="Arial"/>
          <w:sz w:val="16"/>
          <w:szCs w:val="16"/>
          <w:color w:val="auto"/>
        </w:rPr>
        <w:t>None</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Member of Board of Deans, Harvard Business School</w:t>
      </w:r>
    </w:p>
    <w:p>
      <w:pPr>
        <w:spacing w:after="0" w:line="56" w:lineRule="exact"/>
        <w:rPr>
          <w:rFonts w:ascii="Arial" w:cs="Arial" w:eastAsia="Arial" w:hAnsi="Arial"/>
          <w:sz w:val="16"/>
          <w:szCs w:val="16"/>
          <w:color w:val="074A75"/>
        </w:rPr>
      </w:pPr>
    </w:p>
    <w:p>
      <w:pPr>
        <w:ind w:left="187" w:hanging="187"/>
        <w:spacing w:after="0"/>
        <w:tabs>
          <w:tab w:leader="none" w:pos="187"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Director, Catalyst</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Member, Business Roundtable</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Member, Business Council</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Trustee, New York University School of Medicine</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61"/>
        </w:numPr>
        <w:rPr>
          <w:rFonts w:ascii="Arial" w:cs="Arial" w:eastAsia="Arial" w:hAnsi="Arial"/>
          <w:sz w:val="16"/>
          <w:szCs w:val="16"/>
          <w:color w:val="074A75"/>
        </w:rPr>
      </w:pPr>
      <w:r>
        <w:rPr>
          <w:rFonts w:ascii="Arial" w:cs="Arial" w:eastAsia="Arial" w:hAnsi="Arial"/>
          <w:sz w:val="16"/>
          <w:szCs w:val="16"/>
          <w:color w:val="auto"/>
        </w:rPr>
        <w:t>Graduate of Tufts University</w:t>
      </w:r>
    </w:p>
    <w:p>
      <w:pPr>
        <w:spacing w:after="0" w:line="56" w:lineRule="exact"/>
        <w:rPr>
          <w:rFonts w:ascii="Arial" w:cs="Arial" w:eastAsia="Arial" w:hAnsi="Arial"/>
          <w:sz w:val="16"/>
          <w:szCs w:val="16"/>
          <w:color w:val="074A75"/>
        </w:rPr>
      </w:pPr>
    </w:p>
    <w:p>
      <w:pPr>
        <w:ind w:left="187" w:hanging="187"/>
        <w:spacing w:after="0"/>
        <w:tabs>
          <w:tab w:leader="none" w:pos="187" w:val="left"/>
        </w:tabs>
        <w:numPr>
          <w:ilvl w:val="0"/>
          <w:numId w:val="61"/>
        </w:numPr>
        <w:rPr>
          <w:rFonts w:ascii="Arial" w:cs="Arial" w:eastAsia="Arial" w:hAnsi="Arial"/>
          <w:sz w:val="16"/>
          <w:szCs w:val="16"/>
          <w:color w:val="074A75"/>
        </w:rPr>
      </w:pPr>
      <w:r>
        <w:rPr>
          <w:rFonts w:ascii="Arial" w:cs="Arial" w:eastAsia="Arial" w:hAnsi="Arial"/>
          <w:sz w:val="16"/>
          <w:szCs w:val="16"/>
          <w:color w:val="auto"/>
        </w:rPr>
        <w:t>M.B.A., Harvard Business School</w:t>
      </w:r>
    </w:p>
    <w:p>
      <w:pPr>
        <w:spacing w:after="0" w:line="200" w:lineRule="exact"/>
        <w:rPr>
          <w:sz w:val="20"/>
          <w:szCs w:val="20"/>
          <w:color w:val="auto"/>
        </w:rPr>
      </w:pPr>
    </w:p>
    <w:p>
      <w:pPr>
        <w:sectPr>
          <w:pgSz w:w="11900" w:h="16838" w:orient="portrait"/>
          <w:cols w:equalWidth="0" w:num="3">
            <w:col w:w="2080" w:space="600"/>
            <w:col w:w="3860" w:space="53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65</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3"/>
          <w:szCs w:val="43"/>
          <w:color w:val="074A75"/>
        </w:rPr>
        <w:t>Timothy P. Flynn</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Retired Chairman and Chief Executive Officer of KPMG International</w:t>
      </w:r>
    </w:p>
    <w:p>
      <w:pPr>
        <w:spacing w:after="0" w:line="37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Through his leadership positions at KPMG, Mr. Flynn gained perspective on the evolving business and regulatory environment, expertise in many of the issues facing complex, global companies, and extensive experience in financial services, auditing matters and risk management.</w:t>
      </w:r>
    </w:p>
    <w:p>
      <w:pPr>
        <w:spacing w:after="0" w:line="266"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200" w:hanging="174"/>
        <w:spacing w:after="0"/>
        <w:tabs>
          <w:tab w:leader="none" w:pos="200" w:val="left"/>
        </w:tabs>
        <w:numPr>
          <w:ilvl w:val="0"/>
          <w:numId w:val="62"/>
        </w:numPr>
        <w:rPr>
          <w:rFonts w:ascii="Arial" w:cs="Arial" w:eastAsia="Arial" w:hAnsi="Arial"/>
          <w:sz w:val="16"/>
          <w:szCs w:val="16"/>
          <w:color w:val="074A75"/>
        </w:rPr>
      </w:pPr>
      <w:r>
        <w:rPr>
          <w:rFonts w:ascii="Arial" w:cs="Arial" w:eastAsia="Arial" w:hAnsi="Arial"/>
          <w:sz w:val="16"/>
          <w:szCs w:val="16"/>
          <w:color w:val="auto"/>
        </w:rPr>
        <w:t>Audit Committee (Chair)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KPMG International, a global professional services organization providing audit, tax and advisory services</w:t>
      </w:r>
    </w:p>
    <w:p>
      <w:pPr>
        <w:spacing w:after="0" w:line="37" w:lineRule="exact"/>
        <w:rPr>
          <w:sz w:val="20"/>
          <w:szCs w:val="20"/>
          <w:color w:val="auto"/>
        </w:rPr>
      </w:pPr>
    </w:p>
    <w:p>
      <w:pPr>
        <w:ind w:left="200" w:hanging="195"/>
        <w:spacing w:after="0"/>
        <w:tabs>
          <w:tab w:leader="none" w:pos="200"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Chairman, KPMG International (2007–2011)</w:t>
      </w:r>
    </w:p>
    <w:p>
      <w:pPr>
        <w:spacing w:after="0" w:line="72" w:lineRule="exact"/>
        <w:rPr>
          <w:rFonts w:ascii="Arial" w:cs="Arial" w:eastAsia="Arial" w:hAnsi="Arial"/>
          <w:sz w:val="16"/>
          <w:szCs w:val="16"/>
          <w:color w:val="074A75"/>
        </w:rPr>
      </w:pPr>
    </w:p>
    <w:p>
      <w:pPr>
        <w:ind w:left="200" w:hanging="195"/>
        <w:spacing w:after="0"/>
        <w:tabs>
          <w:tab w:leader="none" w:pos="200"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Chairman, KPMG LLP (2005–2010)</w:t>
      </w:r>
    </w:p>
    <w:p>
      <w:pPr>
        <w:spacing w:after="0" w:line="72" w:lineRule="exact"/>
        <w:rPr>
          <w:rFonts w:ascii="Arial" w:cs="Arial" w:eastAsia="Arial" w:hAnsi="Arial"/>
          <w:sz w:val="16"/>
          <w:szCs w:val="16"/>
          <w:color w:val="074A75"/>
        </w:rPr>
      </w:pPr>
    </w:p>
    <w:p>
      <w:pPr>
        <w:ind w:left="200" w:hanging="195"/>
        <w:spacing w:after="0"/>
        <w:tabs>
          <w:tab w:leader="none" w:pos="200"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Chief Executive Officer, KPMG LLP (2005–2008)</w:t>
      </w:r>
    </w:p>
    <w:p>
      <w:pPr>
        <w:spacing w:after="0" w:line="86" w:lineRule="exact"/>
        <w:rPr>
          <w:rFonts w:ascii="Arial" w:cs="Arial" w:eastAsia="Arial" w:hAnsi="Arial"/>
          <w:sz w:val="16"/>
          <w:szCs w:val="16"/>
          <w:color w:val="074A75"/>
        </w:rPr>
      </w:pPr>
    </w:p>
    <w:p>
      <w:pPr>
        <w:ind w:left="200" w:right="140" w:hanging="195"/>
        <w:spacing w:after="0" w:line="286" w:lineRule="auto"/>
        <w:tabs>
          <w:tab w:leader="none" w:pos="19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Vice Chairman, Audit and Risk Advisory Services, KPMG LLP (2001–2005)</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7" w:right="140"/>
        <w:spacing w:after="0" w:line="25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64"/>
        </w:numPr>
        <w:rPr>
          <w:rFonts w:ascii="Arial" w:cs="Arial" w:eastAsia="Arial" w:hAnsi="Arial"/>
          <w:sz w:val="16"/>
          <w:szCs w:val="16"/>
          <w:color w:val="074A75"/>
        </w:rPr>
      </w:pPr>
      <w:r>
        <w:rPr>
          <w:rFonts w:ascii="Arial" w:cs="Arial" w:eastAsia="Arial" w:hAnsi="Arial"/>
          <w:sz w:val="16"/>
          <w:szCs w:val="16"/>
          <w:color w:val="auto"/>
        </w:rPr>
        <w:t>UnitedHealth Group Inc. (since 2017)</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64"/>
        </w:numPr>
        <w:rPr>
          <w:rFonts w:ascii="Arial" w:cs="Arial" w:eastAsia="Arial" w:hAnsi="Arial"/>
          <w:sz w:val="16"/>
          <w:szCs w:val="16"/>
          <w:color w:val="074A75"/>
        </w:rPr>
      </w:pPr>
      <w:r>
        <w:rPr>
          <w:rFonts w:ascii="Arial" w:cs="Arial" w:eastAsia="Arial" w:hAnsi="Arial"/>
          <w:sz w:val="16"/>
          <w:szCs w:val="16"/>
          <w:color w:val="auto"/>
        </w:rPr>
        <w:t>Wal-Mart Stores, Inc. (since 2012)</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64"/>
        </w:numPr>
        <w:rPr>
          <w:rFonts w:ascii="Arial" w:cs="Arial" w:eastAsia="Arial" w:hAnsi="Arial"/>
          <w:sz w:val="16"/>
          <w:szCs w:val="16"/>
          <w:color w:val="074A75"/>
        </w:rPr>
      </w:pPr>
      <w:r>
        <w:rPr>
          <w:rFonts w:ascii="Arial" w:cs="Arial" w:eastAsia="Arial" w:hAnsi="Arial"/>
          <w:sz w:val="16"/>
          <w:szCs w:val="16"/>
          <w:color w:val="auto"/>
        </w:rPr>
        <w:t>Alcoa Corporation (2016–2021)</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right="340" w:hanging="187"/>
        <w:spacing w:after="0" w:line="265" w:lineRule="auto"/>
        <w:tabs>
          <w:tab w:leader="none" w:pos="184"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Member of Board of Trustees, The University of St. Thomas</w:t>
      </w:r>
    </w:p>
    <w:p>
      <w:pPr>
        <w:spacing w:after="0" w:line="23" w:lineRule="exact"/>
        <w:rPr>
          <w:rFonts w:ascii="Arial" w:cs="Arial" w:eastAsia="Arial" w:hAnsi="Arial"/>
          <w:sz w:val="16"/>
          <w:szCs w:val="16"/>
          <w:color w:val="074A75"/>
        </w:rPr>
      </w:pPr>
    </w:p>
    <w:p>
      <w:pPr>
        <w:ind w:left="187" w:right="520" w:hanging="187"/>
        <w:spacing w:after="0" w:line="286" w:lineRule="auto"/>
        <w:tabs>
          <w:tab w:leader="none" w:pos="184"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Former Trustee, Financial Accounting Standards Board</w:t>
      </w:r>
    </w:p>
    <w:p>
      <w:pPr>
        <w:spacing w:after="0" w:line="20" w:lineRule="exact"/>
        <w:rPr>
          <w:rFonts w:ascii="Arial" w:cs="Arial" w:eastAsia="Arial" w:hAnsi="Arial"/>
          <w:sz w:val="16"/>
          <w:szCs w:val="16"/>
          <w:color w:val="074A75"/>
        </w:rPr>
      </w:pPr>
    </w:p>
    <w:p>
      <w:pPr>
        <w:ind w:left="187" w:right="940" w:hanging="187"/>
        <w:spacing w:after="0" w:line="286" w:lineRule="auto"/>
        <w:tabs>
          <w:tab w:leader="none" w:pos="184"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Former Member, World Economic Forum’s International Business Council</w:t>
      </w:r>
    </w:p>
    <w:p>
      <w:pPr>
        <w:spacing w:after="0" w:line="7" w:lineRule="exact"/>
        <w:rPr>
          <w:rFonts w:ascii="Arial" w:cs="Arial" w:eastAsia="Arial" w:hAnsi="Arial"/>
          <w:sz w:val="16"/>
          <w:szCs w:val="16"/>
          <w:color w:val="074A75"/>
        </w:rPr>
      </w:pPr>
    </w:p>
    <w:p>
      <w:pPr>
        <w:ind w:left="187" w:right="600" w:hanging="187"/>
        <w:spacing w:after="0" w:line="286" w:lineRule="auto"/>
        <w:tabs>
          <w:tab w:leader="none" w:pos="184"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Former Board Member, International Integrated Reporting Council</w:t>
      </w:r>
    </w:p>
    <w:p>
      <w:pPr>
        <w:spacing w:after="0" w:line="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66"/>
        </w:numPr>
        <w:rPr>
          <w:rFonts w:ascii="Arial" w:cs="Arial" w:eastAsia="Arial" w:hAnsi="Arial"/>
          <w:sz w:val="16"/>
          <w:szCs w:val="16"/>
          <w:color w:val="074A75"/>
        </w:rPr>
      </w:pPr>
      <w:r>
        <w:rPr>
          <w:rFonts w:ascii="Arial" w:cs="Arial" w:eastAsia="Arial" w:hAnsi="Arial"/>
          <w:sz w:val="16"/>
          <w:szCs w:val="16"/>
          <w:color w:val="auto"/>
        </w:rPr>
        <w:t>Graduate of The University of St. Thomas</w:t>
      </w:r>
    </w:p>
    <w:p>
      <w:pPr>
        <w:spacing w:after="0" w:line="200" w:lineRule="exact"/>
        <w:rPr>
          <w:sz w:val="20"/>
          <w:szCs w:val="20"/>
          <w:color w:val="auto"/>
        </w:rPr>
      </w:pPr>
    </w:p>
    <w:p>
      <w:pPr>
        <w:sectPr>
          <w:pgSz w:w="11900" w:h="16838" w:orient="portrait"/>
          <w:cols w:equalWidth="0" w:num="3">
            <w:col w:w="1960" w:space="720"/>
            <w:col w:w="3900" w:space="49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149225</wp:posOffset>
            </wp:positionV>
            <wp:extent cx="76835" cy="145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149225</wp:posOffset>
            </wp:positionV>
            <wp:extent cx="77470" cy="1454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149225</wp:posOffset>
            </wp:positionV>
            <wp:extent cx="76835" cy="145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145415</wp:posOffset>
            </wp:positionV>
            <wp:extent cx="8890" cy="43891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438912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231140</wp:posOffset>
            </wp:positionV>
            <wp:extent cx="737235" cy="916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7235" cy="91694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53</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3"/>
          <w:szCs w:val="43"/>
          <w:color w:val="074A75"/>
        </w:rPr>
        <w:t>Mellody Hobson</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Co-Chief Executive Officer and President of Ariel Investments, LLC</w:t>
      </w:r>
    </w:p>
    <w:p>
      <w:pPr>
        <w:spacing w:after="0" w:line="37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Ms. Hobson’s roles at Ariel Investments, LLC, as well as on public company boards, have provided her with significant experience in financial services and financial markets, corporate governance, strategic planning, operations, regulatory matters and international business.</w:t>
      </w:r>
    </w:p>
    <w:p>
      <w:pPr>
        <w:spacing w:after="0" w:line="279"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1" w:lineRule="exact"/>
        <w:rPr>
          <w:sz w:val="20"/>
          <w:szCs w:val="20"/>
          <w:color w:val="auto"/>
        </w:rPr>
      </w:pPr>
    </w:p>
    <w:p>
      <w:pPr>
        <w:ind w:left="180" w:right="280" w:hanging="154"/>
        <w:spacing w:after="0" w:line="246" w:lineRule="auto"/>
        <w:tabs>
          <w:tab w:leader="none" w:pos="182" w:val="left"/>
        </w:tabs>
        <w:numPr>
          <w:ilvl w:val="0"/>
          <w:numId w:val="67"/>
        </w:numPr>
        <w:rPr>
          <w:rFonts w:ascii="Arial" w:cs="Arial" w:eastAsia="Arial" w:hAnsi="Arial"/>
          <w:sz w:val="16"/>
          <w:szCs w:val="16"/>
          <w:color w:val="074A75"/>
        </w:rPr>
      </w:pPr>
      <w:r>
        <w:rPr>
          <w:rFonts w:ascii="Arial" w:cs="Arial" w:eastAsia="Arial" w:hAnsi="Arial"/>
          <w:sz w:val="16"/>
          <w:szCs w:val="16"/>
          <w:color w:val="auto"/>
        </w:rPr>
        <w:t>Public Responsibility Committee</w:t>
      </w:r>
    </w:p>
    <w:p>
      <w:pPr>
        <w:ind w:left="200" w:hanging="174"/>
        <w:spacing w:after="0"/>
        <w:tabs>
          <w:tab w:leader="none" w:pos="200" w:val="left"/>
        </w:tabs>
        <w:numPr>
          <w:ilvl w:val="0"/>
          <w:numId w:val="67"/>
        </w:numPr>
        <w:rPr>
          <w:rFonts w:ascii="Arial" w:cs="Arial" w:eastAsia="Arial" w:hAnsi="Arial"/>
          <w:sz w:val="16"/>
          <w:szCs w:val="16"/>
          <w:color w:val="074A75"/>
        </w:rPr>
      </w:pPr>
      <w:r>
        <w:rPr>
          <w:rFonts w:ascii="Arial" w:cs="Arial" w:eastAsia="Arial" w:hAnsi="Arial"/>
          <w:sz w:val="16"/>
          <w:szCs w:val="16"/>
          <w:color w:val="auto"/>
        </w:rPr>
        <w:t>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2633980</wp:posOffset>
            </wp:positionV>
            <wp:extent cx="737235" cy="916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7235"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ind w:right="800"/>
        <w:spacing w:after="0" w:line="265" w:lineRule="auto"/>
        <w:rPr>
          <w:sz w:val="20"/>
          <w:szCs w:val="20"/>
          <w:color w:val="auto"/>
        </w:rPr>
      </w:pPr>
      <w:r>
        <w:rPr>
          <w:rFonts w:ascii="Arial" w:cs="Arial" w:eastAsia="Arial" w:hAnsi="Arial"/>
          <w:sz w:val="16"/>
          <w:szCs w:val="16"/>
          <w:color w:val="auto"/>
        </w:rPr>
        <w:t>Ariel Investments, LLC, a private global asset management firm</w:t>
      </w:r>
    </w:p>
    <w:p>
      <w:pPr>
        <w:spacing w:after="0" w:line="23" w:lineRule="exact"/>
        <w:rPr>
          <w:sz w:val="20"/>
          <w:szCs w:val="20"/>
          <w:color w:val="auto"/>
        </w:rPr>
      </w:pPr>
    </w:p>
    <w:p>
      <w:pPr>
        <w:ind w:left="200" w:hanging="195"/>
        <w:spacing w:after="0"/>
        <w:tabs>
          <w:tab w:leader="none" w:pos="200"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Co-Chief Executive Officer (since 2019)</w:t>
      </w:r>
    </w:p>
    <w:p>
      <w:pPr>
        <w:spacing w:after="0" w:line="72" w:lineRule="exact"/>
        <w:rPr>
          <w:rFonts w:ascii="Arial" w:cs="Arial" w:eastAsia="Arial" w:hAnsi="Arial"/>
          <w:sz w:val="16"/>
          <w:szCs w:val="16"/>
          <w:color w:val="074A75"/>
        </w:rPr>
      </w:pPr>
    </w:p>
    <w:p>
      <w:pPr>
        <w:ind w:left="200" w:hanging="195"/>
        <w:spacing w:after="0"/>
        <w:tabs>
          <w:tab w:leader="none" w:pos="200"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President and Director (since 2000)</w:t>
      </w:r>
    </w:p>
    <w:p>
      <w:pPr>
        <w:spacing w:after="0" w:line="86" w:lineRule="exact"/>
        <w:rPr>
          <w:rFonts w:ascii="Arial" w:cs="Arial" w:eastAsia="Arial" w:hAnsi="Arial"/>
          <w:sz w:val="16"/>
          <w:szCs w:val="16"/>
          <w:color w:val="074A75"/>
        </w:rPr>
      </w:pPr>
    </w:p>
    <w:p>
      <w:pPr>
        <w:ind w:left="200" w:hanging="195"/>
        <w:spacing w:after="0" w:line="286" w:lineRule="auto"/>
        <w:tabs>
          <w:tab w:leader="none" w:pos="197"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Chairman of the Board of Trustees of Ariel Investment Trust, a registered investment company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2053590</wp:posOffset>
            </wp:positionV>
            <wp:extent cx="8890" cy="29914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2991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140"/>
        <w:spacing w:after="0" w:line="25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right="400" w:hanging="187"/>
        <w:spacing w:after="0" w:line="265" w:lineRule="auto"/>
        <w:tabs>
          <w:tab w:leader="none" w:pos="184" w:val="left"/>
        </w:tabs>
        <w:numPr>
          <w:ilvl w:val="0"/>
          <w:numId w:val="69"/>
        </w:numPr>
        <w:rPr>
          <w:rFonts w:ascii="Arial" w:cs="Arial" w:eastAsia="Arial" w:hAnsi="Arial"/>
          <w:sz w:val="16"/>
          <w:szCs w:val="16"/>
          <w:color w:val="074A75"/>
        </w:rPr>
      </w:pPr>
      <w:r>
        <w:rPr>
          <w:rFonts w:ascii="Arial" w:cs="Arial" w:eastAsia="Arial" w:hAnsi="Arial"/>
          <w:sz w:val="16"/>
          <w:szCs w:val="16"/>
          <w:color w:val="auto"/>
        </w:rPr>
        <w:t>Starbucks Corporation — Chair (since 2021); Vice Chair (2018-2021); member (since 2005)</w:t>
      </w:r>
    </w:p>
    <w:p>
      <w:pPr>
        <w:spacing w:after="0" w:line="23" w:lineRule="exact"/>
        <w:rPr>
          <w:rFonts w:ascii="Arial" w:cs="Arial" w:eastAsia="Arial" w:hAnsi="Arial"/>
          <w:sz w:val="16"/>
          <w:szCs w:val="16"/>
          <w:color w:val="074A75"/>
        </w:rPr>
      </w:pPr>
    </w:p>
    <w:p>
      <w:pPr>
        <w:ind w:left="187" w:hanging="187"/>
        <w:spacing w:after="0"/>
        <w:tabs>
          <w:tab w:leader="none" w:pos="187" w:val="left"/>
        </w:tabs>
        <w:numPr>
          <w:ilvl w:val="0"/>
          <w:numId w:val="69"/>
        </w:numPr>
        <w:rPr>
          <w:rFonts w:ascii="Arial" w:cs="Arial" w:eastAsia="Arial" w:hAnsi="Arial"/>
          <w:sz w:val="16"/>
          <w:szCs w:val="16"/>
          <w:color w:val="074A75"/>
        </w:rPr>
      </w:pPr>
      <w:r>
        <w:rPr>
          <w:rFonts w:ascii="Arial" w:cs="Arial" w:eastAsia="Arial" w:hAnsi="Arial"/>
          <w:sz w:val="16"/>
          <w:szCs w:val="16"/>
          <w:color w:val="auto"/>
        </w:rPr>
        <w:t>The Estée Lauder Companies Inc. (2005–2018)</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hanging="187"/>
        <w:spacing w:after="0"/>
        <w:tabs>
          <w:tab w:leader="none" w:pos="187"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Chair, After School Matters</w:t>
      </w:r>
    </w:p>
    <w:p>
      <w:pPr>
        <w:spacing w:after="0" w:line="56" w:lineRule="exact"/>
        <w:rPr>
          <w:rFonts w:ascii="Arial" w:cs="Arial" w:eastAsia="Arial" w:hAnsi="Arial"/>
          <w:sz w:val="16"/>
          <w:szCs w:val="16"/>
          <w:color w:val="074A75"/>
        </w:rPr>
      </w:pPr>
    </w:p>
    <w:p>
      <w:pPr>
        <w:ind w:left="187" w:right="540" w:hanging="187"/>
        <w:spacing w:after="0" w:line="286"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Ex Officio / Former Chair, The Economic Club of Chicago</w:t>
      </w:r>
    </w:p>
    <w:p>
      <w:pPr>
        <w:spacing w:after="0" w:line="20" w:lineRule="exact"/>
        <w:rPr>
          <w:rFonts w:ascii="Arial" w:cs="Arial" w:eastAsia="Arial" w:hAnsi="Arial"/>
          <w:sz w:val="16"/>
          <w:szCs w:val="16"/>
          <w:color w:val="074A75"/>
        </w:rPr>
      </w:pPr>
    </w:p>
    <w:p>
      <w:pPr>
        <w:ind w:left="187" w:right="520" w:hanging="187"/>
        <w:spacing w:after="0" w:line="286"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Executive Committee of the Board of Governors, Investment Company Institute</w:t>
      </w:r>
    </w:p>
    <w:p>
      <w:pPr>
        <w:spacing w:after="0" w:line="7" w:lineRule="exact"/>
        <w:rPr>
          <w:rFonts w:ascii="Arial" w:cs="Arial" w:eastAsia="Arial" w:hAnsi="Arial"/>
          <w:sz w:val="16"/>
          <w:szCs w:val="16"/>
          <w:color w:val="074A75"/>
        </w:rPr>
      </w:pPr>
    </w:p>
    <w:p>
      <w:pPr>
        <w:ind w:left="187" w:hanging="187"/>
        <w:spacing w:after="0"/>
        <w:tabs>
          <w:tab w:leader="none" w:pos="187"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Vice Chair, World Business Chicago</w:t>
      </w:r>
    </w:p>
    <w:p>
      <w:pPr>
        <w:spacing w:after="0" w:line="72" w:lineRule="exact"/>
        <w:rPr>
          <w:rFonts w:ascii="Arial" w:cs="Arial" w:eastAsia="Arial" w:hAnsi="Arial"/>
          <w:sz w:val="16"/>
          <w:szCs w:val="16"/>
          <w:color w:val="074A75"/>
        </w:rPr>
      </w:pPr>
    </w:p>
    <w:p>
      <w:pPr>
        <w:ind w:left="187" w:right="140" w:hanging="187"/>
        <w:spacing w:after="0" w:line="286"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Former regular contributor and analyst on finance, the markets and economic trends for CBS news</w:t>
      </w:r>
    </w:p>
    <w:p>
      <w:pPr>
        <w:spacing w:after="0" w:line="4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right="420" w:hanging="187"/>
        <w:spacing w:after="0" w:line="265" w:lineRule="auto"/>
        <w:tabs>
          <w:tab w:leader="none" w:pos="184" w:val="left"/>
        </w:tabs>
        <w:numPr>
          <w:ilvl w:val="0"/>
          <w:numId w:val="71"/>
        </w:numPr>
        <w:rPr>
          <w:rFonts w:ascii="Arial" w:cs="Arial" w:eastAsia="Arial" w:hAnsi="Arial"/>
          <w:sz w:val="16"/>
          <w:szCs w:val="16"/>
          <w:color w:val="074A75"/>
        </w:rPr>
      </w:pPr>
      <w:r>
        <w:rPr>
          <w:rFonts w:ascii="Arial" w:cs="Arial" w:eastAsia="Arial" w:hAnsi="Arial"/>
          <w:sz w:val="16"/>
          <w:szCs w:val="16"/>
          <w:color w:val="auto"/>
        </w:rPr>
        <w:t>Graduate of the School of Public and International Affairs at Princeton University</w:t>
      </w:r>
    </w:p>
    <w:p>
      <w:pPr>
        <w:spacing w:after="0" w:line="200" w:lineRule="exact"/>
        <w:rPr>
          <w:sz w:val="20"/>
          <w:szCs w:val="20"/>
          <w:color w:val="auto"/>
        </w:rPr>
      </w:pPr>
    </w:p>
    <w:p>
      <w:pPr>
        <w:sectPr>
          <w:pgSz w:w="11900" w:h="16838" w:orient="portrait"/>
          <w:cols w:equalWidth="0" w:num="3">
            <w:col w:w="1960" w:space="720"/>
            <w:col w:w="4060" w:space="33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69</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2014</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color w:val="074A75"/>
        </w:rPr>
        <w:t>Michael A. Neal</w:t>
      </w:r>
    </w:p>
    <w:p>
      <w:pPr>
        <w:spacing w:after="0" w:line="54" w:lineRule="exact"/>
        <w:rPr>
          <w:sz w:val="20"/>
          <w:szCs w:val="20"/>
          <w:color w:val="auto"/>
        </w:rPr>
      </w:pPr>
    </w:p>
    <w:p>
      <w:pPr>
        <w:ind w:right="420"/>
        <w:spacing w:after="0" w:line="253" w:lineRule="auto"/>
        <w:rPr>
          <w:sz w:val="20"/>
          <w:szCs w:val="20"/>
          <w:color w:val="auto"/>
        </w:rPr>
      </w:pPr>
      <w:r>
        <w:rPr>
          <w:rFonts w:ascii="Arial" w:cs="Arial" w:eastAsia="Arial" w:hAnsi="Arial"/>
          <w:sz w:val="22"/>
          <w:szCs w:val="22"/>
          <w:i w:val="1"/>
          <w:iCs w:val="1"/>
          <w:color w:val="074A75"/>
        </w:rPr>
        <w:t>Retired Vice Chairman of General Electric Company and Retired Chairman and Chief Executive Officer of GE Capital</w:t>
      </w:r>
    </w:p>
    <w:p>
      <w:pPr>
        <w:spacing w:after="0" w:line="28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Mr. Neal has extensive experience managing large, complex businesses in regulated industries around the world. During his career with General Electric and GE Capital, Mr. Neal oversaw the provision of financial services and products to consumers and businesses of all sizes globally. His professional background has provided him with extensive expertise and insight in risk management, strategic planning and operations, finance and financial reporting, government and regulatory relations, and management development and succession planning.</w:t>
      </w:r>
    </w:p>
    <w:p>
      <w:pPr>
        <w:spacing w:after="0" w:line="7" w:lineRule="exact"/>
        <w:rPr>
          <w:sz w:val="20"/>
          <w:szCs w:val="20"/>
          <w:color w:val="auto"/>
        </w:rPr>
      </w:pPr>
    </w:p>
    <w:p>
      <w:pPr>
        <w:sectPr>
          <w:pgSz w:w="11900" w:h="16838" w:orient="portrait"/>
          <w:cols w:equalWidth="0" w:num="2">
            <w:col w:w="1960" w:space="720"/>
            <w:col w:w="8580"/>
          </w:cols>
          <w:pgMar w:left="320" w:top="157" w:right="319" w:bottom="1440" w:gutter="0" w:footer="0" w:header="0"/>
          <w:type w:val="continuous"/>
        </w:sectPr>
      </w:pPr>
    </w:p>
    <w:p>
      <w:pPr>
        <w:ind w:left="200" w:hanging="174"/>
        <w:spacing w:after="0"/>
        <w:tabs>
          <w:tab w:leader="none" w:pos="200" w:val="left"/>
        </w:tabs>
        <w:numPr>
          <w:ilvl w:val="0"/>
          <w:numId w:val="72"/>
        </w:numPr>
        <w:rPr>
          <w:rFonts w:ascii="Arial" w:cs="Arial" w:eastAsia="Arial" w:hAnsi="Arial"/>
          <w:sz w:val="16"/>
          <w:szCs w:val="16"/>
          <w:color w:val="074A75"/>
        </w:rPr>
      </w:pPr>
      <w:r>
        <w:rPr>
          <w:rFonts w:ascii="Arial" w:cs="Arial" w:eastAsia="Arial" w:hAnsi="Arial"/>
          <w:sz w:val="16"/>
          <w:szCs w:val="16"/>
          <w:color w:val="auto"/>
        </w:rPr>
        <w:t>Audit Committee</w:t>
      </w:r>
    </w:p>
    <w:p>
      <w:pPr>
        <w:spacing w:after="0" w:line="5" w:lineRule="exact"/>
        <w:rPr>
          <w:rFonts w:ascii="Arial" w:cs="Arial" w:eastAsia="Arial" w:hAnsi="Arial"/>
          <w:sz w:val="16"/>
          <w:szCs w:val="16"/>
          <w:color w:val="074A75"/>
        </w:rPr>
      </w:pPr>
    </w:p>
    <w:p>
      <w:pPr>
        <w:ind w:left="180" w:right="280" w:hanging="154"/>
        <w:spacing w:after="0" w:line="265" w:lineRule="auto"/>
        <w:tabs>
          <w:tab w:leader="none" w:pos="182" w:val="left"/>
        </w:tabs>
        <w:numPr>
          <w:ilvl w:val="0"/>
          <w:numId w:val="72"/>
        </w:numPr>
        <w:rPr>
          <w:rFonts w:ascii="Arial" w:cs="Arial" w:eastAsia="Arial" w:hAnsi="Arial"/>
          <w:sz w:val="16"/>
          <w:szCs w:val="16"/>
          <w:color w:val="074A75"/>
        </w:rPr>
      </w:pPr>
      <w:r>
        <w:rPr>
          <w:rFonts w:ascii="Arial" w:cs="Arial" w:eastAsia="Arial" w:hAnsi="Arial"/>
          <w:sz w:val="16"/>
          <w:szCs w:val="16"/>
          <w:color w:val="auto"/>
        </w:rPr>
        <w:t>Public Responsibility Committee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General Electric Company, a global industrial and financial services company</w:t>
      </w:r>
    </w:p>
    <w:p>
      <w:pPr>
        <w:spacing w:after="0" w:line="37" w:lineRule="exact"/>
        <w:rPr>
          <w:sz w:val="20"/>
          <w:szCs w:val="20"/>
          <w:color w:val="auto"/>
        </w:rPr>
      </w:pPr>
    </w:p>
    <w:p>
      <w:pPr>
        <w:ind w:left="200" w:hanging="195"/>
        <w:spacing w:after="0" w:line="286" w:lineRule="auto"/>
        <w:tabs>
          <w:tab w:leader="none" w:pos="197"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Vice Chairman, General Electric Company (2005– 2013)</w:t>
      </w:r>
    </w:p>
    <w:p>
      <w:pPr>
        <w:spacing w:after="0" w:line="7" w:lineRule="exact"/>
        <w:rPr>
          <w:rFonts w:ascii="Arial" w:cs="Arial" w:eastAsia="Arial" w:hAnsi="Arial"/>
          <w:sz w:val="16"/>
          <w:szCs w:val="16"/>
          <w:color w:val="074A75"/>
        </w:rPr>
      </w:pPr>
    </w:p>
    <w:p>
      <w:pPr>
        <w:ind w:left="200" w:right="20" w:hanging="195"/>
        <w:spacing w:after="0" w:line="286" w:lineRule="auto"/>
        <w:tabs>
          <w:tab w:leader="none" w:pos="197"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Chairman and Chief Executive Officer, GE Capital (2007–2013)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502285</wp:posOffset>
            </wp:positionV>
            <wp:extent cx="247777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7777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7" w:right="140"/>
        <w:spacing w:after="0" w:line="25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74"/>
        </w:numPr>
        <w:rPr>
          <w:rFonts w:ascii="Arial" w:cs="Arial" w:eastAsia="Arial" w:hAnsi="Arial"/>
          <w:sz w:val="16"/>
          <w:szCs w:val="16"/>
          <w:color w:val="074A75"/>
        </w:rPr>
      </w:pPr>
      <w:r>
        <w:rPr>
          <w:rFonts w:ascii="Arial" w:cs="Arial" w:eastAsia="Arial" w:hAnsi="Arial"/>
          <w:sz w:val="16"/>
          <w:szCs w:val="16"/>
          <w:color w:val="auto"/>
        </w:rPr>
        <w:t>None</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right="100" w:hanging="187"/>
        <w:spacing w:after="0" w:line="265" w:lineRule="auto"/>
        <w:tabs>
          <w:tab w:leader="none" w:pos="184" w:val="left"/>
        </w:tabs>
        <w:numPr>
          <w:ilvl w:val="0"/>
          <w:numId w:val="75"/>
        </w:numPr>
        <w:rPr>
          <w:rFonts w:ascii="Arial" w:cs="Arial" w:eastAsia="Arial" w:hAnsi="Arial"/>
          <w:sz w:val="16"/>
          <w:szCs w:val="16"/>
          <w:color w:val="074A75"/>
        </w:rPr>
      </w:pPr>
      <w:r>
        <w:rPr>
          <w:rFonts w:ascii="Arial" w:cs="Arial" w:eastAsia="Arial" w:hAnsi="Arial"/>
          <w:sz w:val="16"/>
          <w:szCs w:val="16"/>
          <w:color w:val="auto"/>
        </w:rPr>
        <w:t>Trustee, The GT Foundation of the Georgia Institute of Technology</w:t>
      </w:r>
    </w:p>
    <w:p>
      <w:pPr>
        <w:spacing w:after="0" w:line="6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86" w:lineRule="exact"/>
        <w:rPr>
          <w:sz w:val="20"/>
          <w:szCs w:val="20"/>
          <w:color w:val="auto"/>
        </w:rPr>
      </w:pPr>
    </w:p>
    <w:p>
      <w:pPr>
        <w:ind w:left="187" w:hanging="187"/>
        <w:spacing w:after="0"/>
        <w:tabs>
          <w:tab w:leader="none" w:pos="187" w:val="left"/>
        </w:tabs>
        <w:numPr>
          <w:ilvl w:val="0"/>
          <w:numId w:val="76"/>
        </w:numPr>
        <w:rPr>
          <w:rFonts w:ascii="Arial" w:cs="Arial" w:eastAsia="Arial" w:hAnsi="Arial"/>
          <w:sz w:val="16"/>
          <w:szCs w:val="16"/>
          <w:color w:val="074A75"/>
        </w:rPr>
      </w:pPr>
      <w:r>
        <w:rPr>
          <w:rFonts w:ascii="Arial" w:cs="Arial" w:eastAsia="Arial" w:hAnsi="Arial"/>
          <w:sz w:val="16"/>
          <w:szCs w:val="16"/>
          <w:color w:val="auto"/>
        </w:rPr>
        <w:t>Graduate of the Georgia Institute of Technology</w:t>
      </w:r>
    </w:p>
    <w:p>
      <w:pPr>
        <w:spacing w:after="0" w:line="200" w:lineRule="exact"/>
        <w:rPr>
          <w:sz w:val="20"/>
          <w:szCs w:val="20"/>
          <w:color w:val="auto"/>
        </w:rPr>
      </w:pPr>
    </w:p>
    <w:p>
      <w:pPr>
        <w:sectPr>
          <w:pgSz w:w="11900" w:h="16838" w:orient="portrait"/>
          <w:cols w:equalWidth="0" w:num="3">
            <w:col w:w="1960" w:space="720"/>
            <w:col w:w="3780" w:space="613"/>
            <w:col w:w="4187"/>
          </w:cols>
          <w:pgMar w:left="320" w:top="157" w:right="319" w:bottom="1440" w:gutter="0" w:footer="0" w:header="0"/>
          <w:type w:val="continuous"/>
        </w:sect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2022 PROXY STATEMENT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b w:val="1"/>
          <w:bCs w:val="1"/>
          <w:color w:val="074A75"/>
        </w:rPr>
        <w:t xml:space="preserve">17  </w:t>
      </w:r>
      <w:r>
        <w:rPr>
          <w:sz w:val="1"/>
          <w:szCs w:val="1"/>
          <w:color w:val="auto"/>
        </w:rPr>
        <w:drawing>
          <wp:inline distT="0" distB="0" distL="0" distR="0">
            <wp:extent cx="2203450" cy="15430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ectPr>
          <w:pgSz w:w="11900" w:h="16838" w:orient="portrait"/>
          <w:cols w:equalWidth="0" w:num="2">
            <w:col w:w="4820" w:space="720"/>
            <w:col w:w="5720"/>
          </w:cols>
          <w:pgMar w:left="320" w:top="157" w:right="31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269240</wp:posOffset>
            </wp:positionV>
            <wp:extent cx="76835"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269240</wp:posOffset>
            </wp:positionV>
            <wp:extent cx="77470" cy="145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269240</wp:posOffset>
            </wp:positionV>
            <wp:extent cx="76835" cy="145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15" w:lineRule="exact"/>
        <w:rPr>
          <w:sz w:val="20"/>
          <w:szCs w:val="20"/>
          <w:color w:val="auto"/>
        </w:rPr>
      </w:pPr>
    </w:p>
    <w:p>
      <w:pPr>
        <w:ind w:left="2680"/>
        <w:spacing w:after="0"/>
        <w:rPr>
          <w:sz w:val="20"/>
          <w:szCs w:val="20"/>
          <w:color w:val="auto"/>
        </w:rPr>
      </w:pPr>
      <w:r>
        <w:rPr>
          <w:rFonts w:ascii="Arial" w:cs="Arial" w:eastAsia="Arial" w:hAnsi="Arial"/>
          <w:sz w:val="43"/>
          <w:szCs w:val="43"/>
          <w:color w:val="074A75"/>
        </w:rPr>
        <w:t>Phebe N. Novakovic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-313055</wp:posOffset>
            </wp:positionV>
            <wp:extent cx="8890" cy="35572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35572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-295910</wp:posOffset>
            </wp:positionV>
            <wp:extent cx="762635" cy="10204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2635" cy="1020445"/>
                    </a:xfrm>
                    <a:prstGeom prst="rect">
                      <a:avLst/>
                    </a:prstGeom>
                    <a:noFill/>
                  </pic:spPr>
                </pic:pic>
              </a:graphicData>
            </a:graphic>
          </wp:anchor>
        </w:drawing>
      </w:r>
    </w:p>
    <w:p>
      <w:pPr>
        <w:spacing w:after="0" w:line="34" w:lineRule="exact"/>
        <w:rPr>
          <w:sz w:val="20"/>
          <w:szCs w:val="20"/>
          <w:color w:val="auto"/>
        </w:rPr>
      </w:pPr>
    </w:p>
    <w:p>
      <w:pPr>
        <w:ind w:left="2680"/>
        <w:spacing w:after="0"/>
        <w:rPr>
          <w:sz w:val="20"/>
          <w:szCs w:val="20"/>
          <w:color w:val="auto"/>
        </w:rPr>
      </w:pPr>
      <w:r>
        <w:rPr>
          <w:rFonts w:ascii="Arial" w:cs="Arial" w:eastAsia="Arial" w:hAnsi="Arial"/>
          <w:sz w:val="22"/>
          <w:szCs w:val="22"/>
          <w:i w:val="1"/>
          <w:iCs w:val="1"/>
          <w:color w:val="074A75"/>
        </w:rPr>
        <w:t>Chairman and Chief Executive Officer of General Dynamics</w:t>
      </w:r>
    </w:p>
    <w:p>
      <w:pPr>
        <w:spacing w:after="0" w:line="23" w:lineRule="exact"/>
        <w:rPr>
          <w:sz w:val="20"/>
          <w:szCs w:val="20"/>
          <w:color w:val="auto"/>
        </w:rPr>
      </w:pPr>
    </w:p>
    <w:p>
      <w:pPr>
        <w:ind w:left="2680" w:right="140"/>
        <w:spacing w:after="0" w:line="242" w:lineRule="auto"/>
        <w:rPr>
          <w:sz w:val="20"/>
          <w:szCs w:val="20"/>
          <w:color w:val="auto"/>
        </w:rPr>
      </w:pPr>
      <w:r>
        <w:rPr>
          <w:rFonts w:ascii="Arial" w:cs="Arial" w:eastAsia="Arial" w:hAnsi="Arial"/>
          <w:sz w:val="16"/>
          <w:szCs w:val="16"/>
          <w:color w:val="auto"/>
        </w:rPr>
        <w:t>Ms. Novakovic's leadership roles at General Dynamics, as well as her tenure with the Office of Management and Budget and as Special Assistant to the Secretary and Deputy Secretary of Defense, have provided her with significant experience in international business operations, leadership of a large complex organization, and regulated industries and regulatory matters.</w:t>
      </w:r>
    </w:p>
    <w:p>
      <w:pPr>
        <w:sectPr>
          <w:pgSz w:w="11900" w:h="16838" w:orient="portrait"/>
          <w:cols w:equalWidth="0" w:num="1">
            <w:col w:w="11260"/>
          </w:cols>
          <w:pgMar w:left="320" w:top="157" w:right="319" w:bottom="1440" w:gutter="0" w:footer="0" w:header="0"/>
        </w:sect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Age</w:t>
      </w:r>
      <w:r>
        <w:rPr>
          <w:rFonts w:ascii="Arial" w:cs="Arial" w:eastAsia="Arial" w:hAnsi="Arial"/>
          <w:sz w:val="16"/>
          <w:szCs w:val="16"/>
          <w:color w:val="000000"/>
        </w:rPr>
        <w:t>: 64</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Director since</w:t>
      </w:r>
      <w:r>
        <w:rPr>
          <w:rFonts w:ascii="Arial" w:cs="Arial" w:eastAsia="Arial" w:hAnsi="Arial"/>
          <w:sz w:val="16"/>
          <w:szCs w:val="16"/>
          <w:color w:val="000000"/>
        </w:rPr>
        <w:t>: 2020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r>
        <w:rPr>
          <w:rFonts w:ascii="Arial" w:cs="Arial" w:eastAsia="Arial" w:hAnsi="Arial"/>
          <w:sz w:val="16"/>
          <w:szCs w:val="16"/>
          <w:color w:val="000000"/>
        </w:rPr>
        <w:t>:</w:t>
      </w:r>
    </w:p>
    <w:p>
      <w:pPr>
        <w:spacing w:after="0" w:line="21" w:lineRule="exact"/>
        <w:rPr>
          <w:sz w:val="20"/>
          <w:szCs w:val="20"/>
          <w:color w:val="auto"/>
        </w:rPr>
      </w:pPr>
    </w:p>
    <w:p>
      <w:pPr>
        <w:ind w:left="200" w:hanging="174"/>
        <w:spacing w:after="0"/>
        <w:tabs>
          <w:tab w:leader="none" w:pos="200" w:val="left"/>
        </w:tabs>
        <w:numPr>
          <w:ilvl w:val="0"/>
          <w:numId w:val="77"/>
        </w:numPr>
        <w:rPr>
          <w:rFonts w:ascii="Arial" w:cs="Arial" w:eastAsia="Arial" w:hAnsi="Arial"/>
          <w:sz w:val="16"/>
          <w:szCs w:val="16"/>
          <w:color w:val="074A75"/>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1870710</wp:posOffset>
            </wp:positionV>
            <wp:extent cx="822960" cy="10198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2960" cy="101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2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General Dynamics, a global aerospace and defense company</w:t>
      </w:r>
    </w:p>
    <w:p>
      <w:pPr>
        <w:spacing w:after="0" w:line="37" w:lineRule="exact"/>
        <w:rPr>
          <w:sz w:val="20"/>
          <w:szCs w:val="20"/>
          <w:color w:val="auto"/>
        </w:rPr>
      </w:pPr>
    </w:p>
    <w:p>
      <w:pPr>
        <w:ind w:left="200" w:hanging="195"/>
        <w:spacing w:after="0"/>
        <w:tabs>
          <w:tab w:leader="none" w:pos="200" w:val="left"/>
        </w:tabs>
        <w:numPr>
          <w:ilvl w:val="0"/>
          <w:numId w:val="78"/>
        </w:numPr>
        <w:rPr>
          <w:rFonts w:ascii="Arial" w:cs="Arial" w:eastAsia="Arial" w:hAnsi="Arial"/>
          <w:sz w:val="16"/>
          <w:szCs w:val="16"/>
          <w:color w:val="074A75"/>
        </w:rPr>
      </w:pPr>
      <w:r>
        <w:rPr>
          <w:rFonts w:ascii="Arial" w:cs="Arial" w:eastAsia="Arial" w:hAnsi="Arial"/>
          <w:sz w:val="16"/>
          <w:szCs w:val="16"/>
          <w:color w:val="auto"/>
        </w:rPr>
        <w:t>Chairman and Chief Executive Officer (since 2013)</w:t>
      </w:r>
    </w:p>
    <w:p>
      <w:pPr>
        <w:spacing w:after="0" w:line="72" w:lineRule="exact"/>
        <w:rPr>
          <w:rFonts w:ascii="Arial" w:cs="Arial" w:eastAsia="Arial" w:hAnsi="Arial"/>
          <w:sz w:val="16"/>
          <w:szCs w:val="16"/>
          <w:color w:val="074A75"/>
        </w:rPr>
      </w:pPr>
    </w:p>
    <w:p>
      <w:pPr>
        <w:ind w:left="200" w:hanging="195"/>
        <w:spacing w:after="0"/>
        <w:tabs>
          <w:tab w:leader="none" w:pos="200" w:val="left"/>
        </w:tabs>
        <w:numPr>
          <w:ilvl w:val="0"/>
          <w:numId w:val="78"/>
        </w:numPr>
        <w:rPr>
          <w:rFonts w:ascii="Arial" w:cs="Arial" w:eastAsia="Arial" w:hAnsi="Arial"/>
          <w:sz w:val="16"/>
          <w:szCs w:val="16"/>
          <w:color w:val="074A75"/>
        </w:rPr>
      </w:pPr>
      <w:r>
        <w:rPr>
          <w:rFonts w:ascii="Arial" w:cs="Arial" w:eastAsia="Arial" w:hAnsi="Arial"/>
          <w:sz w:val="16"/>
          <w:szCs w:val="16"/>
          <w:color w:val="auto"/>
        </w:rPr>
        <w:t>President and Chief Operating Officer (2012)</w:t>
      </w:r>
    </w:p>
    <w:p>
      <w:pPr>
        <w:spacing w:after="0" w:line="72" w:lineRule="exact"/>
        <w:rPr>
          <w:rFonts w:ascii="Arial" w:cs="Arial" w:eastAsia="Arial" w:hAnsi="Arial"/>
          <w:sz w:val="16"/>
          <w:szCs w:val="16"/>
          <w:color w:val="074A75"/>
        </w:rPr>
      </w:pPr>
    </w:p>
    <w:p>
      <w:pPr>
        <w:ind w:left="200" w:right="80" w:hanging="195"/>
        <w:spacing w:after="0" w:line="286" w:lineRule="auto"/>
        <w:tabs>
          <w:tab w:leader="none" w:pos="197" w:val="left"/>
        </w:tabs>
        <w:numPr>
          <w:ilvl w:val="0"/>
          <w:numId w:val="78"/>
        </w:numPr>
        <w:rPr>
          <w:rFonts w:ascii="Arial" w:cs="Arial" w:eastAsia="Arial" w:hAnsi="Arial"/>
          <w:sz w:val="16"/>
          <w:szCs w:val="16"/>
          <w:color w:val="074A75"/>
        </w:rPr>
      </w:pPr>
      <w:r>
        <w:rPr>
          <w:rFonts w:ascii="Arial" w:cs="Arial" w:eastAsia="Arial" w:hAnsi="Arial"/>
          <w:sz w:val="16"/>
          <w:szCs w:val="16"/>
          <w:color w:val="auto"/>
        </w:rPr>
        <w:t>Executive Vice President, Marine Systems (2010-2012)</w:t>
      </w:r>
    </w:p>
    <w:p>
      <w:pPr>
        <w:spacing w:after="0" w:line="20" w:lineRule="exact"/>
        <w:rPr>
          <w:rFonts w:ascii="Arial" w:cs="Arial" w:eastAsia="Arial" w:hAnsi="Arial"/>
          <w:sz w:val="16"/>
          <w:szCs w:val="16"/>
          <w:color w:val="074A75"/>
        </w:rPr>
      </w:pPr>
    </w:p>
    <w:p>
      <w:pPr>
        <w:ind w:left="200" w:right="60" w:hanging="195"/>
        <w:spacing w:after="0" w:line="286" w:lineRule="auto"/>
        <w:tabs>
          <w:tab w:leader="none" w:pos="197" w:val="left"/>
        </w:tabs>
        <w:numPr>
          <w:ilvl w:val="0"/>
          <w:numId w:val="78"/>
        </w:numPr>
        <w:rPr>
          <w:rFonts w:ascii="Arial" w:cs="Arial" w:eastAsia="Arial" w:hAnsi="Arial"/>
          <w:sz w:val="16"/>
          <w:szCs w:val="16"/>
          <w:color w:val="074A75"/>
        </w:rPr>
      </w:pPr>
      <w:r>
        <w:rPr>
          <w:rFonts w:ascii="Arial" w:cs="Arial" w:eastAsia="Arial" w:hAnsi="Arial"/>
          <w:sz w:val="16"/>
          <w:szCs w:val="16"/>
          <w:color w:val="auto"/>
        </w:rPr>
        <w:t>Senior Vice President, Planning and Development (2005-2012)</w:t>
      </w:r>
    </w:p>
    <w:p>
      <w:pPr>
        <w:spacing w:after="0" w:line="7" w:lineRule="exact"/>
        <w:rPr>
          <w:rFonts w:ascii="Arial" w:cs="Arial" w:eastAsia="Arial" w:hAnsi="Arial"/>
          <w:sz w:val="16"/>
          <w:szCs w:val="16"/>
          <w:color w:val="074A75"/>
        </w:rPr>
      </w:pPr>
    </w:p>
    <w:p>
      <w:pPr>
        <w:ind w:left="200" w:hanging="195"/>
        <w:spacing w:after="0"/>
        <w:tabs>
          <w:tab w:leader="none" w:pos="200" w:val="left"/>
        </w:tabs>
        <w:numPr>
          <w:ilvl w:val="0"/>
          <w:numId w:val="78"/>
        </w:numPr>
        <w:rPr>
          <w:rFonts w:ascii="Arial" w:cs="Arial" w:eastAsia="Arial" w:hAnsi="Arial"/>
          <w:sz w:val="16"/>
          <w:szCs w:val="16"/>
          <w:color w:val="074A75"/>
        </w:rPr>
      </w:pPr>
      <w:r>
        <w:rPr>
          <w:rFonts w:ascii="Arial" w:cs="Arial" w:eastAsia="Arial" w:hAnsi="Arial"/>
          <w:sz w:val="16"/>
          <w:szCs w:val="16"/>
          <w:color w:val="auto"/>
        </w:rPr>
        <w:t>Vice President (2002-2005)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43"/>
          <w:szCs w:val="43"/>
          <w:color w:val="074A75"/>
        </w:rPr>
        <w:t>Virginia M. Rometty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-313055</wp:posOffset>
            </wp:positionV>
            <wp:extent cx="8890" cy="41230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4123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7" w:right="140"/>
        <w:spacing w:after="0" w:line="25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right="200" w:hanging="187"/>
        <w:spacing w:after="0" w:line="265" w:lineRule="auto"/>
        <w:tabs>
          <w:tab w:leader="none" w:pos="184" w:val="left"/>
        </w:tabs>
        <w:numPr>
          <w:ilvl w:val="0"/>
          <w:numId w:val="79"/>
        </w:numPr>
        <w:rPr>
          <w:rFonts w:ascii="Arial" w:cs="Arial" w:eastAsia="Arial" w:hAnsi="Arial"/>
          <w:sz w:val="16"/>
          <w:szCs w:val="16"/>
          <w:color w:val="074A75"/>
        </w:rPr>
      </w:pPr>
      <w:r>
        <w:rPr>
          <w:rFonts w:ascii="Arial" w:cs="Arial" w:eastAsia="Arial" w:hAnsi="Arial"/>
          <w:sz w:val="16"/>
          <w:szCs w:val="16"/>
          <w:color w:val="auto"/>
        </w:rPr>
        <w:t>General Dynamics — Chairman since 2013; member since 2012</w:t>
      </w:r>
    </w:p>
    <w:p>
      <w:pPr>
        <w:spacing w:after="0" w:line="36" w:lineRule="exact"/>
        <w:rPr>
          <w:rFonts w:ascii="Arial" w:cs="Arial" w:eastAsia="Arial" w:hAnsi="Arial"/>
          <w:sz w:val="16"/>
          <w:szCs w:val="16"/>
          <w:color w:val="074A75"/>
        </w:rPr>
      </w:pPr>
    </w:p>
    <w:p>
      <w:pPr>
        <w:ind w:left="187" w:hanging="187"/>
        <w:spacing w:after="0"/>
        <w:tabs>
          <w:tab w:leader="none" w:pos="187" w:val="left"/>
        </w:tabs>
        <w:numPr>
          <w:ilvl w:val="0"/>
          <w:numId w:val="79"/>
        </w:numPr>
        <w:rPr>
          <w:rFonts w:ascii="Arial" w:cs="Arial" w:eastAsia="Arial" w:hAnsi="Arial"/>
          <w:sz w:val="16"/>
          <w:szCs w:val="16"/>
          <w:color w:val="074A75"/>
        </w:rPr>
      </w:pPr>
      <w:r>
        <w:rPr>
          <w:rFonts w:ascii="Arial" w:cs="Arial" w:eastAsia="Arial" w:hAnsi="Arial"/>
          <w:sz w:val="16"/>
          <w:szCs w:val="16"/>
          <w:color w:val="auto"/>
        </w:rPr>
        <w:t>Abbott Laboratories (2010-2021)</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1" w:lineRule="exact"/>
        <w:rPr>
          <w:sz w:val="20"/>
          <w:szCs w:val="20"/>
          <w:color w:val="auto"/>
        </w:rPr>
      </w:pPr>
    </w:p>
    <w:p>
      <w:pPr>
        <w:ind w:left="187" w:right="120" w:hanging="187"/>
        <w:spacing w:after="0" w:line="265" w:lineRule="auto"/>
        <w:tabs>
          <w:tab w:leader="none" w:pos="184" w:val="left"/>
        </w:tabs>
        <w:numPr>
          <w:ilvl w:val="0"/>
          <w:numId w:val="80"/>
        </w:numPr>
        <w:rPr>
          <w:rFonts w:ascii="Arial" w:cs="Arial" w:eastAsia="Arial" w:hAnsi="Arial"/>
          <w:sz w:val="16"/>
          <w:szCs w:val="16"/>
          <w:color w:val="074A75"/>
        </w:rPr>
      </w:pPr>
      <w:r>
        <w:rPr>
          <w:rFonts w:ascii="Arial" w:cs="Arial" w:eastAsia="Arial" w:hAnsi="Arial"/>
          <w:sz w:val="16"/>
          <w:szCs w:val="16"/>
          <w:color w:val="auto"/>
        </w:rPr>
        <w:t>Chairman of the Board of Directors, Association of the United States Army</w:t>
      </w:r>
    </w:p>
    <w:p>
      <w:pPr>
        <w:spacing w:after="0" w:line="23" w:lineRule="exact"/>
        <w:rPr>
          <w:rFonts w:ascii="Arial" w:cs="Arial" w:eastAsia="Arial" w:hAnsi="Arial"/>
          <w:sz w:val="16"/>
          <w:szCs w:val="16"/>
          <w:color w:val="074A75"/>
        </w:rPr>
      </w:pPr>
    </w:p>
    <w:p>
      <w:pPr>
        <w:ind w:left="187" w:hanging="187"/>
        <w:spacing w:after="0"/>
        <w:tabs>
          <w:tab w:leader="none" w:pos="187" w:val="left"/>
        </w:tabs>
        <w:numPr>
          <w:ilvl w:val="0"/>
          <w:numId w:val="80"/>
        </w:numPr>
        <w:rPr>
          <w:rFonts w:ascii="Arial" w:cs="Arial" w:eastAsia="Arial" w:hAnsi="Arial"/>
          <w:sz w:val="16"/>
          <w:szCs w:val="16"/>
          <w:color w:val="074A75"/>
        </w:rPr>
      </w:pPr>
      <w:r>
        <w:rPr>
          <w:rFonts w:ascii="Arial" w:cs="Arial" w:eastAsia="Arial" w:hAnsi="Arial"/>
          <w:sz w:val="16"/>
          <w:szCs w:val="16"/>
          <w:color w:val="auto"/>
        </w:rPr>
        <w:t>Chairman of the Board of Trustees, Ford's Theatre</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80"/>
        </w:numPr>
        <w:rPr>
          <w:rFonts w:ascii="Arial" w:cs="Arial" w:eastAsia="Arial" w:hAnsi="Arial"/>
          <w:sz w:val="16"/>
          <w:szCs w:val="16"/>
          <w:color w:val="074A75"/>
        </w:rPr>
      </w:pPr>
      <w:r>
        <w:rPr>
          <w:rFonts w:ascii="Arial" w:cs="Arial" w:eastAsia="Arial" w:hAnsi="Arial"/>
          <w:sz w:val="16"/>
          <w:szCs w:val="16"/>
          <w:color w:val="auto"/>
        </w:rPr>
        <w:t>Trustee, Northwestern University</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80"/>
        </w:numPr>
        <w:rPr>
          <w:rFonts w:ascii="Arial" w:cs="Arial" w:eastAsia="Arial" w:hAnsi="Arial"/>
          <w:sz w:val="16"/>
          <w:szCs w:val="16"/>
          <w:color w:val="074A75"/>
        </w:rPr>
      </w:pPr>
      <w:r>
        <w:rPr>
          <w:rFonts w:ascii="Arial" w:cs="Arial" w:eastAsia="Arial" w:hAnsi="Arial"/>
          <w:sz w:val="16"/>
          <w:szCs w:val="16"/>
          <w:color w:val="auto"/>
        </w:rPr>
        <w:t>Director, Northwestern Memorial Hospital</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80"/>
        </w:numPr>
        <w:rPr>
          <w:rFonts w:ascii="Arial" w:cs="Arial" w:eastAsia="Arial" w:hAnsi="Arial"/>
          <w:sz w:val="16"/>
          <w:szCs w:val="16"/>
          <w:color w:val="074A75"/>
        </w:rPr>
      </w:pPr>
      <w:r>
        <w:rPr>
          <w:rFonts w:ascii="Arial" w:cs="Arial" w:eastAsia="Arial" w:hAnsi="Arial"/>
          <w:sz w:val="16"/>
          <w:szCs w:val="16"/>
          <w:color w:val="auto"/>
        </w:rPr>
        <w:t>Member, Business Roundtable</w:t>
      </w:r>
    </w:p>
    <w:p>
      <w:pPr>
        <w:spacing w:after="0" w:line="7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1" w:lineRule="exact"/>
        <w:rPr>
          <w:sz w:val="20"/>
          <w:szCs w:val="20"/>
          <w:color w:val="auto"/>
        </w:rPr>
      </w:pPr>
    </w:p>
    <w:p>
      <w:pPr>
        <w:ind w:left="187" w:hanging="187"/>
        <w:spacing w:after="0"/>
        <w:tabs>
          <w:tab w:leader="none" w:pos="187"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Graduate of Smith College</w:t>
      </w:r>
    </w:p>
    <w:p>
      <w:pPr>
        <w:spacing w:after="0" w:line="70" w:lineRule="exact"/>
        <w:rPr>
          <w:rFonts w:ascii="Arial" w:cs="Arial" w:eastAsia="Arial" w:hAnsi="Arial"/>
          <w:sz w:val="16"/>
          <w:szCs w:val="16"/>
          <w:color w:val="074A75"/>
        </w:rPr>
      </w:pPr>
    </w:p>
    <w:p>
      <w:pPr>
        <w:ind w:left="187" w:hanging="187"/>
        <w:spacing w:after="0"/>
        <w:tabs>
          <w:tab w:leader="none" w:pos="187"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M.B.A., University of Pennsylvania Wharton School</w:t>
      </w:r>
    </w:p>
    <w:p>
      <w:pPr>
        <w:spacing w:after="0" w:line="1133" w:lineRule="exact"/>
        <w:rPr>
          <w:sz w:val="20"/>
          <w:szCs w:val="20"/>
          <w:color w:val="auto"/>
        </w:rPr>
      </w:pPr>
    </w:p>
    <w:p>
      <w:pPr>
        <w:sectPr>
          <w:pgSz w:w="11900" w:h="16838" w:orient="portrait"/>
          <w:cols w:equalWidth="0" w:num="3">
            <w:col w:w="1960" w:space="720"/>
            <w:col w:w="3840" w:space="553"/>
            <w:col w:w="4187"/>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Age</w:t>
      </w:r>
      <w:r>
        <w:rPr>
          <w:rFonts w:ascii="Arial" w:cs="Arial" w:eastAsia="Arial" w:hAnsi="Arial"/>
          <w:sz w:val="16"/>
          <w:szCs w:val="16"/>
          <w:color w:val="000000"/>
        </w:rPr>
        <w:t>: 64</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Director since</w:t>
      </w:r>
      <w:r>
        <w:rPr>
          <w:rFonts w:ascii="Arial" w:cs="Arial" w:eastAsia="Arial" w:hAnsi="Arial"/>
          <w:sz w:val="16"/>
          <w:szCs w:val="16"/>
          <w:color w:val="000000"/>
        </w:rPr>
        <w:t>: 2020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r>
        <w:rPr>
          <w:rFonts w:ascii="Arial" w:cs="Arial" w:eastAsia="Arial" w:hAnsi="Arial"/>
          <w:sz w:val="16"/>
          <w:szCs w:val="16"/>
          <w:color w:val="000000"/>
        </w:rPr>
        <w:t>:</w:t>
      </w:r>
    </w:p>
    <w:p>
      <w:pPr>
        <w:spacing w:after="0" w:line="21" w:lineRule="exact"/>
        <w:rPr>
          <w:sz w:val="20"/>
          <w:szCs w:val="20"/>
          <w:color w:val="auto"/>
        </w:rPr>
      </w:pPr>
    </w:p>
    <w:p>
      <w:pPr>
        <w:ind w:left="180" w:right="140" w:hanging="154"/>
        <w:spacing w:after="0" w:line="246" w:lineRule="auto"/>
        <w:tabs>
          <w:tab w:leader="none" w:pos="182" w:val="left"/>
        </w:tabs>
        <w:numPr>
          <w:ilvl w:val="0"/>
          <w:numId w:val="82"/>
        </w:numPr>
        <w:rPr>
          <w:rFonts w:ascii="Arial" w:cs="Arial" w:eastAsia="Arial" w:hAnsi="Arial"/>
          <w:sz w:val="16"/>
          <w:szCs w:val="16"/>
          <w:color w:val="074A75"/>
        </w:rPr>
      </w:pPr>
      <w:r>
        <w:rPr>
          <w:rFonts w:ascii="Arial" w:cs="Arial" w:eastAsia="Arial" w:hAnsi="Arial"/>
          <w:sz w:val="16"/>
          <w:szCs w:val="16"/>
          <w:color w:val="auto"/>
        </w:rPr>
        <w:t>Corporate Governance &amp; Nominating Committee</w:t>
      </w:r>
    </w:p>
    <w:p>
      <w:pPr>
        <w:ind w:left="180" w:hanging="154"/>
        <w:spacing w:after="0" w:line="256" w:lineRule="auto"/>
        <w:tabs>
          <w:tab w:leader="none" w:pos="182" w:val="left"/>
        </w:tabs>
        <w:numPr>
          <w:ilvl w:val="0"/>
          <w:numId w:val="82"/>
        </w:numPr>
        <w:rPr>
          <w:rFonts w:ascii="Arial" w:cs="Arial" w:eastAsia="Arial" w:hAnsi="Arial"/>
          <w:sz w:val="16"/>
          <w:szCs w:val="16"/>
          <w:color w:val="074A75"/>
        </w:rPr>
      </w:pPr>
      <w:r>
        <w:rPr>
          <w:rFonts w:ascii="Arial" w:cs="Arial" w:eastAsia="Arial" w:hAnsi="Arial"/>
          <w:sz w:val="16"/>
          <w:szCs w:val="16"/>
          <w:color w:val="auto"/>
        </w:rPr>
        <w:t>Compensation &amp; Management Development Committee</w:t>
      </w:r>
    </w:p>
    <w:p>
      <w:pPr>
        <w:spacing w:after="0" w:line="20" w:lineRule="exact"/>
        <w:rPr>
          <w:sz w:val="20"/>
          <w:szCs w:val="20"/>
          <w:color w:val="auto"/>
        </w:rPr>
      </w:pPr>
      <w:r>
        <w:rPr>
          <w:sz w:val="20"/>
          <w:szCs w:val="20"/>
          <w:color w:val="auto"/>
        </w:rPr>
        <w:br w:type="column"/>
      </w:r>
    </w:p>
    <w:p>
      <w:pPr>
        <w:ind w:right="680"/>
        <w:spacing w:after="0" w:line="253" w:lineRule="auto"/>
        <w:rPr>
          <w:sz w:val="20"/>
          <w:szCs w:val="20"/>
          <w:color w:val="auto"/>
        </w:rPr>
      </w:pPr>
      <w:r>
        <w:rPr>
          <w:rFonts w:ascii="Arial" w:cs="Arial" w:eastAsia="Arial" w:hAnsi="Arial"/>
          <w:sz w:val="22"/>
          <w:szCs w:val="22"/>
          <w:i w:val="1"/>
          <w:iCs w:val="1"/>
          <w:color w:val="074A75"/>
        </w:rPr>
        <w:t>Retired Executive Chairman, President and Chief Executive Officer of International Business Machines Corporation (“IBM”)</w:t>
      </w:r>
    </w:p>
    <w:p>
      <w:pPr>
        <w:spacing w:after="0" w:line="1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During her tenure spanning four decades at IBM, Mrs. Rometty has gained extensive expertise in technology, and in all aspects of leading a complex global business, including succession planning, public company governance, as well as operational and regulatory issues.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20"/>
                <w:szCs w:val="20"/>
                <w:color w:val="auto"/>
              </w:rPr>
            </w:pPr>
            <w:r>
              <w:rPr>
                <w:rFonts w:ascii="Arial" w:cs="Arial" w:eastAsia="Arial" w:hAnsi="Arial"/>
                <w:sz w:val="16"/>
                <w:szCs w:val="16"/>
                <w:b w:val="1"/>
                <w:bCs w:val="1"/>
                <w:color w:val="074A75"/>
              </w:rPr>
              <w:t>Career Highlights</w:t>
            </w:r>
          </w:p>
        </w:tc>
        <w:tc>
          <w:tcPr>
            <w:tcW w:w="4480" w:type="dxa"/>
            <w:vAlign w:val="bottom"/>
          </w:tcPr>
          <w:p>
            <w:pPr>
              <w:ind w:left="360"/>
              <w:spacing w:after="0"/>
              <w:rPr>
                <w:sz w:val="20"/>
                <w:szCs w:val="20"/>
                <w:color w:val="auto"/>
              </w:rPr>
            </w:pPr>
            <w:r>
              <w:rPr>
                <w:rFonts w:ascii="Arial" w:cs="Arial" w:eastAsia="Arial" w:hAnsi="Arial"/>
                <w:sz w:val="16"/>
                <w:szCs w:val="16"/>
                <w:b w:val="1"/>
                <w:bCs w:val="1"/>
                <w:color w:val="074A75"/>
              </w:rPr>
              <w:t>Other Public Company Directorships Within the Past</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6"/>
                <w:szCs w:val="16"/>
                <w:color w:val="auto"/>
              </w:rPr>
              <w:t>IBM, a global information technology company</w:t>
            </w:r>
          </w:p>
        </w:tc>
        <w:tc>
          <w:tcPr>
            <w:tcW w:w="4480" w:type="dxa"/>
            <w:vAlign w:val="bottom"/>
          </w:tcPr>
          <w:p>
            <w:pPr>
              <w:ind w:left="360"/>
              <w:spacing w:after="0"/>
              <w:rPr>
                <w:sz w:val="20"/>
                <w:szCs w:val="20"/>
                <w:color w:val="auto"/>
              </w:rPr>
            </w:pPr>
            <w:r>
              <w:rPr>
                <w:rFonts w:ascii="Arial" w:cs="Arial" w:eastAsia="Arial" w:hAnsi="Arial"/>
                <w:sz w:val="16"/>
                <w:szCs w:val="16"/>
                <w:b w:val="1"/>
                <w:bCs w:val="1"/>
                <w:color w:val="074A75"/>
              </w:rPr>
              <w:t>Five Years</w:t>
            </w:r>
          </w:p>
        </w:tc>
        <w:tc>
          <w:tcPr>
            <w:tcW w:w="0" w:type="dxa"/>
            <w:vAlign w:val="bottom"/>
          </w:tcPr>
          <w:p>
            <w:pPr>
              <w:spacing w:after="0"/>
              <w:rPr>
                <w:sz w:val="1"/>
                <w:szCs w:val="1"/>
                <w:color w:val="auto"/>
              </w:rPr>
            </w:pPr>
          </w:p>
        </w:tc>
      </w:tr>
      <w:tr>
        <w:trPr>
          <w:trHeight w:val="215"/>
        </w:trPr>
        <w:tc>
          <w:tcPr>
            <w:tcW w:w="4040" w:type="dxa"/>
            <w:vAlign w:val="bottom"/>
            <w:vMerge w:val="restart"/>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Executive Chairman (2020)</w:t>
            </w: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IBM (2012-2020)</w:t>
            </w:r>
          </w:p>
        </w:tc>
        <w:tc>
          <w:tcPr>
            <w:tcW w:w="0" w:type="dxa"/>
            <w:vAlign w:val="bottom"/>
          </w:tcPr>
          <w:p>
            <w:pPr>
              <w:spacing w:after="0"/>
              <w:rPr>
                <w:sz w:val="1"/>
                <w:szCs w:val="1"/>
                <w:color w:val="auto"/>
              </w:rPr>
            </w:pPr>
          </w:p>
        </w:tc>
      </w:tr>
      <w:tr>
        <w:trPr>
          <w:trHeight w:val="68"/>
        </w:trPr>
        <w:tc>
          <w:tcPr>
            <w:tcW w:w="4040" w:type="dxa"/>
            <w:vAlign w:val="bottom"/>
            <w:vMerge w:val="continue"/>
          </w:tcPr>
          <w:p>
            <w:pPr>
              <w:spacing w:after="0"/>
              <w:rPr>
                <w:sz w:val="5"/>
                <w:szCs w:val="5"/>
                <w:color w:val="auto"/>
              </w:rPr>
            </w:pPr>
          </w:p>
        </w:tc>
        <w:tc>
          <w:tcPr>
            <w:tcW w:w="4480" w:type="dxa"/>
            <w:vAlign w:val="bottom"/>
            <w:vMerge w:val="restart"/>
          </w:tcPr>
          <w:p>
            <w:pPr>
              <w:ind w:left="360"/>
              <w:spacing w:after="0"/>
              <w:rPr>
                <w:sz w:val="20"/>
                <w:szCs w:val="20"/>
                <w:color w:val="auto"/>
              </w:rPr>
            </w:pPr>
            <w:r>
              <w:rPr>
                <w:rFonts w:ascii="Arial" w:cs="Arial" w:eastAsia="Arial" w:hAnsi="Arial"/>
                <w:sz w:val="16"/>
                <w:szCs w:val="16"/>
                <w:b w:val="1"/>
                <w:bCs w:val="1"/>
                <w:color w:val="074A75"/>
              </w:rPr>
              <w:t>Other Experience</w:t>
            </w:r>
          </w:p>
        </w:tc>
        <w:tc>
          <w:tcPr>
            <w:tcW w:w="0" w:type="dxa"/>
            <w:vAlign w:val="bottom"/>
          </w:tcPr>
          <w:p>
            <w:pPr>
              <w:spacing w:after="0"/>
              <w:rPr>
                <w:sz w:val="1"/>
                <w:szCs w:val="1"/>
                <w:color w:val="auto"/>
              </w:rPr>
            </w:pPr>
          </w:p>
        </w:tc>
      </w:tr>
      <w:tr>
        <w:trPr>
          <w:trHeight w:val="163"/>
        </w:trPr>
        <w:tc>
          <w:tcPr>
            <w:tcW w:w="4040" w:type="dxa"/>
            <w:vAlign w:val="bottom"/>
            <w:vMerge w:val="restart"/>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Chairman, President and Chief Executive Officer</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4480" w:type="dxa"/>
            <w:vAlign w:val="bottom"/>
            <w:vMerge w:val="restart"/>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Member, Mitsubishi UFJ Financial Group Advisory</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0"/>
              <w:spacing w:after="0"/>
              <w:rPr>
                <w:sz w:val="20"/>
                <w:szCs w:val="20"/>
                <w:color w:val="auto"/>
              </w:rPr>
            </w:pPr>
            <w:r>
              <w:rPr>
                <w:rFonts w:ascii="Arial" w:cs="Arial" w:eastAsia="Arial" w:hAnsi="Arial"/>
                <w:sz w:val="16"/>
                <w:szCs w:val="16"/>
                <w:color w:val="auto"/>
              </w:rPr>
              <w:t>(2012-2020)</w:t>
            </w:r>
          </w:p>
        </w:tc>
        <w:tc>
          <w:tcPr>
            <w:tcW w:w="4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40" w:type="dxa"/>
            <w:vAlign w:val="bottom"/>
            <w:vMerge w:val="continue"/>
          </w:tcPr>
          <w:p>
            <w:pPr>
              <w:spacing w:after="0"/>
              <w:rPr>
                <w:sz w:val="9"/>
                <w:szCs w:val="9"/>
                <w:color w:val="auto"/>
              </w:rPr>
            </w:pPr>
          </w:p>
        </w:tc>
        <w:tc>
          <w:tcPr>
            <w:tcW w:w="4480" w:type="dxa"/>
            <w:vAlign w:val="bottom"/>
            <w:vMerge w:val="restart"/>
          </w:tcPr>
          <w:p>
            <w:pPr>
              <w:ind w:left="540"/>
              <w:spacing w:after="0"/>
              <w:rPr>
                <w:sz w:val="20"/>
                <w:szCs w:val="20"/>
                <w:color w:val="auto"/>
              </w:rPr>
            </w:pPr>
            <w:r>
              <w:rPr>
                <w:rFonts w:ascii="Arial" w:cs="Arial" w:eastAsia="Arial" w:hAnsi="Arial"/>
                <w:sz w:val="16"/>
                <w:szCs w:val="16"/>
                <w:color w:val="auto"/>
              </w:rPr>
              <w:t>Board</w:t>
            </w:r>
          </w:p>
        </w:tc>
        <w:tc>
          <w:tcPr>
            <w:tcW w:w="0" w:type="dxa"/>
            <w:vAlign w:val="bottom"/>
          </w:tcPr>
          <w:p>
            <w:pPr>
              <w:spacing w:after="0"/>
              <w:rPr>
                <w:sz w:val="1"/>
                <w:szCs w:val="1"/>
                <w:color w:val="auto"/>
              </w:rPr>
            </w:pPr>
          </w:p>
        </w:tc>
      </w:tr>
      <w:tr>
        <w:trPr>
          <w:trHeight w:val="108"/>
        </w:trPr>
        <w:tc>
          <w:tcPr>
            <w:tcW w:w="404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and Trustee, Brookings Institution</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Member, BDT Capital Advisory Board</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Co-Chair, OneTen</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Member, Business Roundtable</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Member, Council on Foreign Relations</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Member, Peterson Institute for International Economics</w:t>
            </w: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1"/>
                <w:szCs w:val="21"/>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Vice Chairman, Board of Trustees, Northwestern</w:t>
            </w:r>
          </w:p>
        </w:tc>
        <w:tc>
          <w:tcPr>
            <w:tcW w:w="0" w:type="dxa"/>
            <w:vAlign w:val="bottom"/>
          </w:tcPr>
          <w:p>
            <w:pPr>
              <w:spacing w:after="0"/>
              <w:rPr>
                <w:sz w:val="1"/>
                <w:szCs w:val="1"/>
                <w:color w:val="auto"/>
              </w:rPr>
            </w:pPr>
          </w:p>
        </w:tc>
      </w:tr>
      <w:tr>
        <w:trPr>
          <w:trHeight w:val="215"/>
        </w:trPr>
        <w:tc>
          <w:tcPr>
            <w:tcW w:w="4040" w:type="dxa"/>
            <w:vAlign w:val="bottom"/>
          </w:tcPr>
          <w:p>
            <w:pPr>
              <w:spacing w:after="0"/>
              <w:rPr>
                <w:sz w:val="18"/>
                <w:szCs w:val="18"/>
                <w:color w:val="auto"/>
              </w:rPr>
            </w:pPr>
          </w:p>
        </w:tc>
        <w:tc>
          <w:tcPr>
            <w:tcW w:w="4480" w:type="dxa"/>
            <w:vAlign w:val="bottom"/>
          </w:tcPr>
          <w:p>
            <w:pPr>
              <w:ind w:left="540"/>
              <w:spacing w:after="0"/>
              <w:rPr>
                <w:sz w:val="20"/>
                <w:szCs w:val="20"/>
                <w:color w:val="auto"/>
              </w:rPr>
            </w:pPr>
            <w:r>
              <w:rPr>
                <w:rFonts w:ascii="Arial" w:cs="Arial" w:eastAsia="Arial" w:hAnsi="Arial"/>
                <w:sz w:val="16"/>
                <w:szCs w:val="16"/>
                <w:color w:val="auto"/>
              </w:rPr>
              <w:t>University</w:t>
            </w:r>
          </w:p>
        </w:tc>
        <w:tc>
          <w:tcPr>
            <w:tcW w:w="0" w:type="dxa"/>
            <w:vAlign w:val="bottom"/>
          </w:tcPr>
          <w:p>
            <w:pPr>
              <w:spacing w:after="0"/>
              <w:rPr>
                <w:sz w:val="1"/>
                <w:szCs w:val="1"/>
                <w:color w:val="auto"/>
              </w:rPr>
            </w:pPr>
          </w:p>
        </w:tc>
      </w:tr>
      <w:tr>
        <w:trPr>
          <w:trHeight w:val="231"/>
        </w:trPr>
        <w:tc>
          <w:tcPr>
            <w:tcW w:w="4040" w:type="dxa"/>
            <w:vAlign w:val="bottom"/>
          </w:tcPr>
          <w:p>
            <w:pPr>
              <w:spacing w:after="0"/>
              <w:rPr>
                <w:sz w:val="20"/>
                <w:szCs w:val="20"/>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of Trustees, Memorial Sloan-Kettering Cancer</w:t>
            </w:r>
          </w:p>
        </w:tc>
        <w:tc>
          <w:tcPr>
            <w:tcW w:w="0" w:type="dxa"/>
            <w:vAlign w:val="bottom"/>
          </w:tcPr>
          <w:p>
            <w:pPr>
              <w:spacing w:after="0"/>
              <w:rPr>
                <w:sz w:val="1"/>
                <w:szCs w:val="1"/>
                <w:color w:val="auto"/>
              </w:rPr>
            </w:pPr>
          </w:p>
        </w:tc>
      </w:tr>
      <w:tr>
        <w:trPr>
          <w:trHeight w:val="215"/>
        </w:trPr>
        <w:tc>
          <w:tcPr>
            <w:tcW w:w="4040" w:type="dxa"/>
            <w:vAlign w:val="bottom"/>
          </w:tcPr>
          <w:p>
            <w:pPr>
              <w:spacing w:after="0"/>
              <w:rPr>
                <w:sz w:val="18"/>
                <w:szCs w:val="18"/>
                <w:color w:val="auto"/>
              </w:rPr>
            </w:pPr>
          </w:p>
        </w:tc>
        <w:tc>
          <w:tcPr>
            <w:tcW w:w="4480" w:type="dxa"/>
            <w:vAlign w:val="bottom"/>
          </w:tcPr>
          <w:p>
            <w:pPr>
              <w:ind w:left="540"/>
              <w:spacing w:after="0"/>
              <w:rPr>
                <w:sz w:val="20"/>
                <w:szCs w:val="20"/>
                <w:color w:val="auto"/>
              </w:rPr>
            </w:pPr>
            <w:r>
              <w:rPr>
                <w:rFonts w:ascii="Arial" w:cs="Arial" w:eastAsia="Arial" w:hAnsi="Arial"/>
                <w:sz w:val="16"/>
                <w:szCs w:val="16"/>
                <w:color w:val="auto"/>
              </w:rPr>
              <w:t>Center</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Former Member, President’s Export Council</w:t>
            </w:r>
          </w:p>
        </w:tc>
        <w:tc>
          <w:tcPr>
            <w:tcW w:w="0" w:type="dxa"/>
            <w:vAlign w:val="bottom"/>
          </w:tcPr>
          <w:p>
            <w:pPr>
              <w:spacing w:after="0"/>
              <w:rPr>
                <w:sz w:val="1"/>
                <w:szCs w:val="1"/>
                <w:color w:val="auto"/>
              </w:rPr>
            </w:pPr>
          </w:p>
        </w:tc>
      </w:tr>
      <w:tr>
        <w:trPr>
          <w:trHeight w:val="271"/>
        </w:trPr>
        <w:tc>
          <w:tcPr>
            <w:tcW w:w="4040" w:type="dxa"/>
            <w:vAlign w:val="bottom"/>
          </w:tcPr>
          <w:p>
            <w:pPr>
              <w:spacing w:after="0"/>
              <w:rPr>
                <w:sz w:val="23"/>
                <w:szCs w:val="23"/>
                <w:color w:val="auto"/>
              </w:rPr>
            </w:pPr>
          </w:p>
        </w:tc>
        <w:tc>
          <w:tcPr>
            <w:tcW w:w="4480" w:type="dxa"/>
            <w:vAlign w:val="bottom"/>
          </w:tcPr>
          <w:p>
            <w:pPr>
              <w:ind w:left="360"/>
              <w:spacing w:after="0"/>
              <w:rPr>
                <w:sz w:val="20"/>
                <w:szCs w:val="20"/>
                <w:color w:val="auto"/>
              </w:rPr>
            </w:pPr>
            <w:r>
              <w:rPr>
                <w:rFonts w:ascii="Arial" w:cs="Arial" w:eastAsia="Arial" w:hAnsi="Arial"/>
                <w:sz w:val="16"/>
                <w:szCs w:val="16"/>
                <w:b w:val="1"/>
                <w:bCs w:val="1"/>
                <w:color w:val="074A75"/>
              </w:rPr>
              <w:t>Education</w:t>
            </w:r>
          </w:p>
        </w:tc>
        <w:tc>
          <w:tcPr>
            <w:tcW w:w="0" w:type="dxa"/>
            <w:vAlign w:val="bottom"/>
          </w:tcPr>
          <w:p>
            <w:pPr>
              <w:spacing w:after="0"/>
              <w:rPr>
                <w:sz w:val="1"/>
                <w:szCs w:val="1"/>
                <w:color w:val="auto"/>
              </w:rPr>
            </w:pPr>
          </w:p>
        </w:tc>
      </w:tr>
      <w:tr>
        <w:trPr>
          <w:trHeight w:val="215"/>
        </w:trPr>
        <w:tc>
          <w:tcPr>
            <w:tcW w:w="4040" w:type="dxa"/>
            <w:vAlign w:val="bottom"/>
          </w:tcPr>
          <w:p>
            <w:pPr>
              <w:spacing w:after="0"/>
              <w:rPr>
                <w:sz w:val="18"/>
                <w:szCs w:val="18"/>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Graduate of Northwestern University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40" w:space="540"/>
            <w:col w:w="8580"/>
          </w:cols>
          <w:pgMar w:left="320" w:top="157" w:right="31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149225</wp:posOffset>
            </wp:positionV>
            <wp:extent cx="76835" cy="145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149225</wp:posOffset>
            </wp:positionV>
            <wp:extent cx="77470" cy="145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149225</wp:posOffset>
            </wp:positionV>
            <wp:extent cx="76835" cy="145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Director independence</w:t>
      </w:r>
    </w:p>
    <w:p>
      <w:pPr>
        <w:sectPr>
          <w:pgSz w:w="11900" w:h="16838" w:orient="portrait"/>
          <w:cols w:equalWidth="0" w:num="1">
            <w:col w:w="11260"/>
          </w:cols>
          <w:pgMar w:left="320" w:top="157" w:right="319" w:bottom="1440" w:gutter="0" w:footer="0" w:header="0"/>
        </w:sectPr>
      </w:pPr>
    </w:p>
    <w:p>
      <w:pPr>
        <w:spacing w:after="0" w:line="23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All of the Firm’s non-management Board members are independent, under both the NYSE corporate governance listing standards and the Firm’s independence standards as set forth in its Governance Principles.</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be considered independent, a director must have no disqualifying relationships, as defined by the NYSE, and the Board must have affirmatively determined that he or she has no material relationships with JPMorgan Chase, either directly or as a partner, shareholder or officer of another organization that has a relationship with the Firm.</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assessing the materiality of relationships with the Firm, the Board considers relevant facts and circumstances. Given the nature and broad scope of the products and services provided by the Firm, there are from time to time ordinary course of business transactions between the Firm and a director, his or her immediate family members, or principal business affiliations. These may include, among other relationships: extensions of credit; provision of other financial and financial advisory products and services; business transactions for property or services; and charitable contributions made by the JPMorgan Chase Foundation or the Firm to a nonprofit organization of which a director is an officer. The Board reviews these relationships to assess their materiality and determine if any such relationship would impair the independence and judgment of the relevant director. The Board considered:</w:t>
      </w:r>
    </w:p>
    <w:p>
      <w:pPr>
        <w:spacing w:after="0" w:line="77" w:lineRule="exact"/>
        <w:rPr>
          <w:sz w:val="20"/>
          <w:szCs w:val="20"/>
          <w:color w:val="auto"/>
        </w:rPr>
      </w:pPr>
    </w:p>
    <w:p>
      <w:pPr>
        <w:jc w:val="both"/>
        <w:ind w:left="200" w:right="360" w:hanging="192"/>
        <w:spacing w:after="0" w:line="268" w:lineRule="auto"/>
        <w:tabs>
          <w:tab w:leader="none" w:pos="204" w:val="left"/>
        </w:tabs>
        <w:numPr>
          <w:ilvl w:val="0"/>
          <w:numId w:val="83"/>
        </w:numPr>
        <w:rPr>
          <w:rFonts w:ascii="Arial" w:cs="Arial" w:eastAsia="Arial" w:hAnsi="Arial"/>
          <w:sz w:val="18"/>
          <w:szCs w:val="18"/>
          <w:color w:val="074A75"/>
        </w:rPr>
      </w:pPr>
      <w:r>
        <w:rPr>
          <w:rFonts w:ascii="Arial" w:cs="Arial" w:eastAsia="Arial" w:hAnsi="Arial"/>
          <w:sz w:val="18"/>
          <w:szCs w:val="18"/>
          <w:color w:val="auto"/>
        </w:rPr>
        <w:t>Consumer credit: credit cards issued to directors Bammann, Combs, Crown, Flynn, Hobson, Neal, Novakovic and/or their immediate family members</w:t>
      </w:r>
    </w:p>
    <w:p>
      <w:pPr>
        <w:spacing w:after="0" w:line="22" w:lineRule="exact"/>
        <w:rPr>
          <w:rFonts w:ascii="Arial" w:cs="Arial" w:eastAsia="Arial" w:hAnsi="Arial"/>
          <w:sz w:val="18"/>
          <w:szCs w:val="18"/>
          <w:color w:val="074A75"/>
        </w:rPr>
      </w:pPr>
    </w:p>
    <w:p>
      <w:pPr>
        <w:ind w:left="200" w:hanging="192"/>
        <w:spacing w:after="0"/>
        <w:tabs>
          <w:tab w:leader="none" w:pos="200" w:val="left"/>
        </w:tabs>
        <w:numPr>
          <w:ilvl w:val="0"/>
          <w:numId w:val="83"/>
        </w:numPr>
        <w:rPr>
          <w:rFonts w:ascii="Arial" w:cs="Arial" w:eastAsia="Arial" w:hAnsi="Arial"/>
          <w:sz w:val="18"/>
          <w:szCs w:val="18"/>
          <w:color w:val="074A75"/>
        </w:rPr>
      </w:pPr>
      <w:r>
        <w:rPr>
          <w:rFonts w:ascii="Arial" w:cs="Arial" w:eastAsia="Arial" w:hAnsi="Arial"/>
          <w:sz w:val="18"/>
          <w:szCs w:val="18"/>
          <w:color w:val="auto"/>
        </w:rPr>
        <w:t>Wholesale credit: extensions of credit and other financial and</w:t>
      </w:r>
    </w:p>
    <w:p>
      <w:pPr>
        <w:spacing w:after="0" w:line="27" w:lineRule="exact"/>
        <w:rPr>
          <w:rFonts w:ascii="Arial" w:cs="Arial" w:eastAsia="Arial" w:hAnsi="Arial"/>
          <w:sz w:val="18"/>
          <w:szCs w:val="18"/>
          <w:color w:val="074A75"/>
        </w:rPr>
      </w:pPr>
    </w:p>
    <w:p>
      <w:pPr>
        <w:ind w:left="200"/>
        <w:spacing w:after="0" w:line="251" w:lineRule="auto"/>
        <w:rPr>
          <w:rFonts w:ascii="Arial" w:cs="Arial" w:eastAsia="Arial" w:hAnsi="Arial"/>
          <w:sz w:val="18"/>
          <w:szCs w:val="18"/>
          <w:color w:val="074A75"/>
        </w:rPr>
      </w:pPr>
      <w:r>
        <w:rPr>
          <w:rFonts w:ascii="Arial" w:cs="Arial" w:eastAsia="Arial" w:hAnsi="Arial"/>
          <w:sz w:val="18"/>
          <w:szCs w:val="18"/>
          <w:color w:val="auto"/>
        </w:rPr>
        <w:t>financial advisory products and services provided to: Berkshire Hathaway Inc., for which Mr. Combs is an Investment Officer, and its subsidiaries; Henry Crown and Company, for which Mr. Crown is Chairman and Chief Executive Officer, and other Crown family-owned entities; Ariel Investments, LLC, for which Ms. Hobson is Co-Chief Executive Officer and President, and its subsidiaries and funds; certain entities wholly-owned by Ms. Hobson’s spouse; General Dynamics Corporation, for which Ms. Novakovic is Chairman and Chief Executive Officer, and its subsidiaries; and Louis Dreyfus Company B.V., for which Mrs. Rometty's sibling serves as the Trading Operations Officer and a member of its Executive Group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right="180" w:hanging="196"/>
        <w:spacing w:after="0" w:line="254" w:lineRule="auto"/>
        <w:tabs>
          <w:tab w:leader="none" w:pos="204" w:val="left"/>
        </w:tabs>
        <w:numPr>
          <w:ilvl w:val="0"/>
          <w:numId w:val="84"/>
        </w:numPr>
        <w:rPr>
          <w:rFonts w:ascii="Arial" w:cs="Arial" w:eastAsia="Arial" w:hAnsi="Arial"/>
          <w:sz w:val="18"/>
          <w:szCs w:val="18"/>
          <w:color w:val="074A75"/>
        </w:rPr>
      </w:pPr>
      <w:r>
        <w:rPr>
          <w:rFonts w:ascii="Arial" w:cs="Arial" w:eastAsia="Arial" w:hAnsi="Arial"/>
          <w:sz w:val="18"/>
          <w:szCs w:val="18"/>
          <w:color w:val="auto"/>
        </w:rPr>
        <w:t>Goods and services: commercial office space leased by the Firm from subsidiaries of companies in which Mr. Crown and members of his immediate family have indirect ownership interests; purchases from Berkshire Hathaway subsidiaries of private aviation services, professional services related to the Firm’s corporate-owned aircraft, desktop displays and other merchandising fixtures primarily for retail branches, and modular data center buildings for installation at existing JPMorgan Chase data centers; and maintenance services and parts for corporate aircraft provided by General Dynamics subsidiaries</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Board, having reviewed the relevant relationships between the Firm and each director, determined, in accordance with the NYSE’s listing standards and the Firm’s independence standards, that each non-management director (Linda B. Bammann, Stephen B. Burke, Todd A. Combs, James S. Crown, Timothy P. Flynn, Mellody Hobson, Michael A. Neal, Phebe N. Novakovic and Virginia M. Rometty) had only immaterial relationships with JPMorgan Chase and accordingly is independent.</w:t>
      </w:r>
    </w:p>
    <w:p>
      <w:pPr>
        <w:spacing w:after="0" w:line="7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directors who served on the Audit and Compensation &amp; Management Development Committees of the Board were also determined to meet the additional independence and qualitative criteria of the NYSE listing standards applicable to directors serving on those committees. For more information about the committees of the Board, see pages 24-26.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2519045</wp:posOffset>
            </wp:positionV>
            <wp:extent cx="274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861"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19  </w:t>
      </w:r>
      <w:r>
        <w:rPr>
          <w:sz w:val="1"/>
          <w:szCs w:val="1"/>
          <w:color w:val="auto"/>
        </w:rPr>
        <w:drawing>
          <wp:inline distT="0" distB="0" distL="0" distR="0">
            <wp:extent cx="2203450" cy="15430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269240</wp:posOffset>
            </wp:positionV>
            <wp:extent cx="76835"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269240</wp:posOffset>
            </wp:positionV>
            <wp:extent cx="77470" cy="145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269240</wp:posOffset>
            </wp:positionV>
            <wp:extent cx="76835" cy="145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9"/>
          <w:szCs w:val="29"/>
          <w:color w:val="074A75"/>
        </w:rPr>
        <w:t>Director recruitment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Committee oversees the ongoing evaluation of candidates for Board membership and the candidate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103505</wp:posOffset>
            </wp:positionV>
            <wp:extent cx="3068955" cy="17830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068955" cy="178308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274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BOARD REVIEWS</w:t>
            </w:r>
          </w:p>
        </w:tc>
        <w:tc>
          <w:tcPr>
            <w:tcW w:w="460" w:type="dxa"/>
            <w:vAlign w:val="bottom"/>
          </w:tcPr>
          <w:p>
            <w:pPr>
              <w:spacing w:after="0"/>
              <w:rPr>
                <w:sz w:val="24"/>
                <w:szCs w:val="24"/>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CANDIDATE</w:t>
            </w:r>
          </w:p>
        </w:tc>
      </w:tr>
      <w:tr>
        <w:trPr>
          <w:trHeight w:val="297"/>
        </w:trPr>
        <w:tc>
          <w:tcPr>
            <w:tcW w:w="274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8"/>
              </w:rPr>
              <w:t>ITS NEEDS</w:t>
            </w:r>
          </w:p>
        </w:tc>
        <w:tc>
          <w:tcPr>
            <w:tcW w:w="460" w:type="dxa"/>
            <w:vAlign w:val="bottom"/>
          </w:tcPr>
          <w:p>
            <w:pPr>
              <w:spacing w:after="0"/>
              <w:rPr>
                <w:sz w:val="24"/>
                <w:szCs w:val="24"/>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22"/>
                <w:szCs w:val="22"/>
                <w:b w:val="1"/>
                <w:bCs w:val="1"/>
                <w:color w:val="074A75"/>
                <w:w w:val="97"/>
              </w:rPr>
              <w:t>RECOMMENDATIONS</w:t>
            </w:r>
          </w:p>
        </w:tc>
      </w:tr>
      <w:tr>
        <w:trPr>
          <w:trHeight w:val="581"/>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The Board considers its</w:t>
            </w:r>
          </w:p>
        </w:tc>
        <w:tc>
          <w:tcPr>
            <w:tcW w:w="460" w:type="dxa"/>
            <w:vAlign w:val="bottom"/>
          </w:tcPr>
          <w:p>
            <w:pPr>
              <w:spacing w:after="0"/>
              <w:rPr>
                <w:sz w:val="24"/>
                <w:szCs w:val="24"/>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The Governance Committee</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composition and needs holistically,</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solicits candidate</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determining the diversity of</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recommendations from</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experience, background and</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shareholders, directors, and</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perspective required to effectively</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management and, from time to</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oversee the Firm, including its</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time, has been assisted by a third-</w:t>
            </w:r>
          </w:p>
        </w:tc>
      </w:tr>
      <w:tr>
        <w:trPr>
          <w:trHeight w:val="189"/>
        </w:trPr>
        <w:tc>
          <w:tcPr>
            <w:tcW w:w="274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present and future strategy.</w:t>
            </w:r>
          </w:p>
        </w:tc>
        <w:tc>
          <w:tcPr>
            <w:tcW w:w="460" w:type="dxa"/>
            <w:vAlign w:val="bottom"/>
          </w:tcPr>
          <w:p>
            <w:pPr>
              <w:spacing w:after="0"/>
              <w:rPr>
                <w:sz w:val="16"/>
                <w:szCs w:val="16"/>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party advisor in identifying</w:t>
            </w:r>
          </w:p>
        </w:tc>
      </w:tr>
      <w:tr>
        <w:trPr>
          <w:trHeight w:val="215"/>
        </w:trPr>
        <w:tc>
          <w:tcPr>
            <w:tcW w:w="2740" w:type="dxa"/>
            <w:vAlign w:val="bottom"/>
            <w:shd w:val="clear" w:color="auto" w:fill="D2DBE7"/>
          </w:tcPr>
          <w:p>
            <w:pPr>
              <w:spacing w:after="0"/>
              <w:rPr>
                <w:sz w:val="18"/>
                <w:szCs w:val="18"/>
                <w:color w:val="auto"/>
              </w:rPr>
            </w:pPr>
          </w:p>
        </w:tc>
        <w:tc>
          <w:tcPr>
            <w:tcW w:w="460" w:type="dxa"/>
            <w:vAlign w:val="bottom"/>
          </w:tcPr>
          <w:p>
            <w:pPr>
              <w:spacing w:after="0"/>
              <w:rPr>
                <w:sz w:val="18"/>
                <w:szCs w:val="18"/>
                <w:color w:val="auto"/>
              </w:rPr>
            </w:pPr>
          </w:p>
        </w:tc>
        <w:tc>
          <w:tcPr>
            <w:tcW w:w="2760" w:type="dxa"/>
            <w:vAlign w:val="bottom"/>
            <w:shd w:val="clear" w:color="auto" w:fill="D2DBE7"/>
          </w:tcPr>
          <w:p>
            <w:pPr>
              <w:jc w:val="center"/>
              <w:spacing w:after="0"/>
              <w:rPr>
                <w:sz w:val="20"/>
                <w:szCs w:val="20"/>
                <w:color w:val="auto"/>
              </w:rPr>
            </w:pPr>
            <w:r>
              <w:rPr>
                <w:rFonts w:ascii="Arial" w:cs="Arial" w:eastAsia="Arial" w:hAnsi="Arial"/>
                <w:sz w:val="16"/>
                <w:szCs w:val="16"/>
                <w:color w:val="auto"/>
              </w:rPr>
              <w:t>qualified candidates.</w:t>
            </w:r>
          </w:p>
        </w:tc>
      </w:tr>
      <w:tr>
        <w:trPr>
          <w:trHeight w:val="218"/>
        </w:trPr>
        <w:tc>
          <w:tcPr>
            <w:tcW w:w="2740" w:type="dxa"/>
            <w:vAlign w:val="bottom"/>
            <w:shd w:val="clear" w:color="auto" w:fill="D2DBE7"/>
          </w:tcPr>
          <w:p>
            <w:pPr>
              <w:spacing w:after="0"/>
              <w:rPr>
                <w:sz w:val="18"/>
                <w:szCs w:val="18"/>
                <w:color w:val="auto"/>
              </w:rPr>
            </w:pPr>
          </w:p>
        </w:tc>
        <w:tc>
          <w:tcPr>
            <w:tcW w:w="460" w:type="dxa"/>
            <w:vAlign w:val="bottom"/>
          </w:tcPr>
          <w:p>
            <w:pPr>
              <w:spacing w:after="0"/>
              <w:rPr>
                <w:sz w:val="18"/>
                <w:szCs w:val="18"/>
                <w:color w:val="auto"/>
              </w:rPr>
            </w:pPr>
          </w:p>
        </w:tc>
        <w:tc>
          <w:tcPr>
            <w:tcW w:w="2760" w:type="dxa"/>
            <w:vAlign w:val="bottom"/>
            <w:shd w:val="clear" w:color="auto" w:fill="D2DBE7"/>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3977640" cy="2169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977640" cy="2169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1461"/>
        <w:spacing w:after="0"/>
        <w:rPr>
          <w:sz w:val="20"/>
          <w:szCs w:val="20"/>
          <w:color w:val="auto"/>
        </w:rPr>
      </w:pPr>
      <w:r>
        <w:rPr>
          <w:rFonts w:ascii="Arial" w:cs="Arial" w:eastAsia="Arial" w:hAnsi="Arial"/>
          <w:sz w:val="22"/>
          <w:szCs w:val="22"/>
          <w:b w:val="1"/>
          <w:bCs w:val="1"/>
          <w:color w:val="074A75"/>
        </w:rPr>
        <w:t>ASSESSMENT</w:t>
      </w:r>
    </w:p>
    <w:p>
      <w:pPr>
        <w:spacing w:after="0" w:line="200" w:lineRule="exact"/>
        <w:rPr>
          <w:sz w:val="20"/>
          <w:szCs w:val="20"/>
          <w:color w:val="auto"/>
        </w:rPr>
      </w:pPr>
    </w:p>
    <w:p>
      <w:pPr>
        <w:spacing w:after="0" w:line="26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The Governance Committee considers the following in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evaluating prospective directors, among other items:</w:t>
      </w:r>
    </w:p>
    <w:p>
      <w:pPr>
        <w:spacing w:after="0" w:line="97" w:lineRule="exact"/>
        <w:rPr>
          <w:sz w:val="20"/>
          <w:szCs w:val="20"/>
          <w:color w:val="auto"/>
        </w:rPr>
      </w:pPr>
    </w:p>
    <w:p>
      <w:pPr>
        <w:ind w:left="201" w:hanging="201"/>
        <w:spacing w:after="0"/>
        <w:tabs>
          <w:tab w:leader="none" w:pos="201" w:val="left"/>
        </w:tabs>
        <w:numPr>
          <w:ilvl w:val="0"/>
          <w:numId w:val="85"/>
        </w:numPr>
        <w:rPr>
          <w:rFonts w:ascii="Arial" w:cs="Arial" w:eastAsia="Arial" w:hAnsi="Arial"/>
          <w:sz w:val="16"/>
          <w:szCs w:val="16"/>
          <w:color w:val="074A75"/>
        </w:rPr>
      </w:pPr>
      <w:r>
        <w:rPr>
          <w:rFonts w:ascii="Arial" w:cs="Arial" w:eastAsia="Arial" w:hAnsi="Arial"/>
          <w:sz w:val="16"/>
          <w:szCs w:val="16"/>
          <w:color w:val="auto"/>
        </w:rPr>
        <w:t>The Firm’s Governance Principles</w:t>
      </w:r>
    </w:p>
    <w:p>
      <w:pPr>
        <w:spacing w:after="0" w:line="21" w:lineRule="exact"/>
        <w:rPr>
          <w:rFonts w:ascii="Arial" w:cs="Arial" w:eastAsia="Arial" w:hAnsi="Arial"/>
          <w:sz w:val="16"/>
          <w:szCs w:val="16"/>
          <w:color w:val="074A75"/>
        </w:rPr>
      </w:pPr>
    </w:p>
    <w:p>
      <w:pPr>
        <w:ind w:left="201" w:right="900" w:hanging="201"/>
        <w:spacing w:after="0" w:line="246" w:lineRule="auto"/>
        <w:tabs>
          <w:tab w:leader="none" w:pos="198" w:val="left"/>
        </w:tabs>
        <w:numPr>
          <w:ilvl w:val="0"/>
          <w:numId w:val="85"/>
        </w:numPr>
        <w:rPr>
          <w:rFonts w:ascii="Arial" w:cs="Arial" w:eastAsia="Arial" w:hAnsi="Arial"/>
          <w:sz w:val="16"/>
          <w:szCs w:val="16"/>
          <w:color w:val="074A75"/>
        </w:rPr>
      </w:pPr>
      <w:r>
        <w:rPr>
          <w:rFonts w:ascii="Arial" w:cs="Arial" w:eastAsia="Arial" w:hAnsi="Arial"/>
          <w:sz w:val="16"/>
          <w:szCs w:val="16"/>
          <w:color w:val="auto"/>
        </w:rPr>
        <w:t>The Firm’s strategy, risk profile and current Board composition</w:t>
      </w:r>
    </w:p>
    <w:p>
      <w:pPr>
        <w:ind w:left="201" w:right="400" w:hanging="201"/>
        <w:spacing w:after="0" w:line="246" w:lineRule="auto"/>
        <w:tabs>
          <w:tab w:leader="none" w:pos="198" w:val="left"/>
        </w:tabs>
        <w:numPr>
          <w:ilvl w:val="0"/>
          <w:numId w:val="85"/>
        </w:numPr>
        <w:rPr>
          <w:rFonts w:ascii="Arial" w:cs="Arial" w:eastAsia="Arial" w:hAnsi="Arial"/>
          <w:sz w:val="16"/>
          <w:szCs w:val="16"/>
          <w:color w:val="074A75"/>
        </w:rPr>
      </w:pPr>
      <w:r>
        <w:rPr>
          <w:rFonts w:ascii="Arial" w:cs="Arial" w:eastAsia="Arial" w:hAnsi="Arial"/>
          <w:sz w:val="16"/>
          <w:szCs w:val="16"/>
          <w:color w:val="auto"/>
        </w:rPr>
        <w:t>Candidate’s specific skills and experiences based on the needs of the Firm</w:t>
      </w:r>
    </w:p>
    <w:p>
      <w:pPr>
        <w:ind w:left="201" w:hanging="201"/>
        <w:spacing w:after="0"/>
        <w:tabs>
          <w:tab w:leader="none" w:pos="201" w:val="left"/>
        </w:tabs>
        <w:numPr>
          <w:ilvl w:val="0"/>
          <w:numId w:val="85"/>
        </w:numPr>
        <w:rPr>
          <w:rFonts w:ascii="Arial" w:cs="Arial" w:eastAsia="Arial" w:hAnsi="Arial"/>
          <w:sz w:val="16"/>
          <w:szCs w:val="16"/>
          <w:color w:val="074A75"/>
        </w:rPr>
      </w:pPr>
      <w:r>
        <w:rPr>
          <w:rFonts w:ascii="Arial" w:cs="Arial" w:eastAsia="Arial" w:hAnsi="Arial"/>
          <w:sz w:val="16"/>
          <w:szCs w:val="16"/>
          <w:color w:val="auto"/>
        </w:rPr>
        <w:t>Candidate's contribution to 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139065</wp:posOffset>
            </wp:positionV>
            <wp:extent cx="5109210" cy="11315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09210" cy="113157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139065</wp:posOffset>
            </wp:positionV>
            <wp:extent cx="5109210" cy="11315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09210" cy="1131570"/>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5960" w:space="659"/>
            <w:col w:w="4641"/>
          </w:cols>
          <w:pgMar w:left="320" w:top="157" w:right="319" w:bottom="1440" w:gutter="0" w:footer="0" w:header="0"/>
          <w:type w:val="continuous"/>
        </w:sectPr>
      </w:pPr>
    </w:p>
    <w:p>
      <w:pPr>
        <w:spacing w:after="0" w:line="231" w:lineRule="exact"/>
        <w:rPr>
          <w:sz w:val="20"/>
          <w:szCs w:val="20"/>
          <w:color w:val="auto"/>
        </w:rPr>
      </w:pPr>
    </w:p>
    <w:tbl>
      <w:tblPr>
        <w:tblLayout w:type="fixed"/>
        <w:tblInd w:w="480" w:type="dxa"/>
        <w:tblCellMar>
          <w:top w:w="0" w:type="dxa"/>
          <w:left w:w="0" w:type="dxa"/>
          <w:bottom w:w="0" w:type="dxa"/>
          <w:right w:w="0" w:type="dxa"/>
        </w:tblCellMar>
      </w:tblPr>
      <w:tr>
        <w:trPr>
          <w:trHeight w:val="257"/>
        </w:trPr>
        <w:tc>
          <w:tcPr>
            <w:tcW w:w="3660" w:type="dxa"/>
            <w:vAlign w:val="bottom"/>
          </w:tcPr>
          <w:p>
            <w:pPr>
              <w:jc w:val="center"/>
              <w:ind w:right="1752"/>
              <w:spacing w:after="0"/>
              <w:rPr>
                <w:sz w:val="20"/>
                <w:szCs w:val="20"/>
                <w:color w:val="auto"/>
              </w:rPr>
            </w:pPr>
            <w:r>
              <w:rPr>
                <w:rFonts w:ascii="Arial" w:cs="Arial" w:eastAsia="Arial" w:hAnsi="Arial"/>
                <w:sz w:val="22"/>
                <w:szCs w:val="22"/>
                <w:b w:val="1"/>
                <w:bCs w:val="1"/>
                <w:color w:val="074A75"/>
                <w:w w:val="97"/>
              </w:rPr>
              <w:t>FULL BOARD</w:t>
            </w:r>
          </w:p>
        </w:tc>
        <w:tc>
          <w:tcPr>
            <w:tcW w:w="4300" w:type="dxa"/>
            <w:vAlign w:val="bottom"/>
            <w:vMerge w:val="restart"/>
          </w:tcPr>
          <w:p>
            <w:pPr>
              <w:ind w:left="1860"/>
              <w:spacing w:after="0"/>
              <w:rPr>
                <w:sz w:val="20"/>
                <w:szCs w:val="20"/>
                <w:color w:val="auto"/>
              </w:rPr>
            </w:pPr>
            <w:r>
              <w:rPr>
                <w:rFonts w:ascii="Arial" w:cs="Arial" w:eastAsia="Arial" w:hAnsi="Arial"/>
                <w:sz w:val="22"/>
                <w:szCs w:val="22"/>
                <w:b w:val="1"/>
                <w:bCs w:val="1"/>
                <w:color w:val="074A75"/>
                <w:w w:val="96"/>
              </w:rPr>
              <w:t>CANDIDATE MEETINGS</w:t>
            </w:r>
          </w:p>
        </w:tc>
        <w:tc>
          <w:tcPr>
            <w:tcW w:w="0" w:type="dxa"/>
            <w:vAlign w:val="bottom"/>
          </w:tcPr>
          <w:p>
            <w:pPr>
              <w:spacing w:after="0"/>
              <w:rPr>
                <w:sz w:val="1"/>
                <w:szCs w:val="1"/>
                <w:color w:val="auto"/>
              </w:rPr>
            </w:pPr>
          </w:p>
        </w:tc>
      </w:tr>
      <w:tr>
        <w:trPr>
          <w:trHeight w:val="297"/>
        </w:trPr>
        <w:tc>
          <w:tcPr>
            <w:tcW w:w="3660" w:type="dxa"/>
            <w:vAlign w:val="bottom"/>
          </w:tcPr>
          <w:p>
            <w:pPr>
              <w:jc w:val="center"/>
              <w:ind w:right="1752"/>
              <w:spacing w:after="0"/>
              <w:rPr>
                <w:sz w:val="20"/>
                <w:szCs w:val="20"/>
                <w:color w:val="auto"/>
              </w:rPr>
            </w:pPr>
            <w:r>
              <w:rPr>
                <w:rFonts w:ascii="Arial" w:cs="Arial" w:eastAsia="Arial" w:hAnsi="Arial"/>
                <w:sz w:val="22"/>
                <w:szCs w:val="22"/>
                <w:b w:val="1"/>
                <w:bCs w:val="1"/>
                <w:color w:val="074A75"/>
                <w:w w:val="97"/>
              </w:rPr>
              <w:t>CONSIDERATION</w:t>
            </w:r>
          </w:p>
        </w:tc>
        <w:tc>
          <w:tcPr>
            <w:tcW w:w="4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-76200</wp:posOffset>
            </wp:positionV>
            <wp:extent cx="102870" cy="1974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000000"/>
                        </a:clrFrom>
                        <a:clrTo>
                          <a:srgbClr val="000000">
                            <a:alpha val="0"/>
                          </a:srgbClr>
                        </a:clrTo>
                      </a:clrChange>
                      <a:extLst>
                        <a:ext uri="{28A0092B-C50C-407E-A947-70E740481C1C}"/>
                      </a:extLst>
                    </a:blip>
                    <a:srcRect/>
                    <a:stretch>
                      <a:fillRect/>
                    </a:stretch>
                  </pic:blipFill>
                  <pic:spPr bwMode="auto">
                    <a:xfrm>
                      <a:off x="0" y="0"/>
                      <a:ext cx="102870" cy="19748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-76200</wp:posOffset>
            </wp:positionV>
            <wp:extent cx="102870" cy="1974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102870" cy="19748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89"/>
        </w:trPr>
        <w:tc>
          <w:tcPr>
            <w:tcW w:w="2900" w:type="dxa"/>
            <w:vAlign w:val="bottom"/>
            <w:vMerge w:val="restart"/>
          </w:tcPr>
          <w:p>
            <w:pPr>
              <w:jc w:val="center"/>
              <w:ind w:right="179"/>
              <w:spacing w:after="0"/>
              <w:rPr>
                <w:sz w:val="20"/>
                <w:szCs w:val="20"/>
                <w:color w:val="auto"/>
              </w:rPr>
            </w:pPr>
            <w:r>
              <w:rPr>
                <w:rFonts w:ascii="Arial" w:cs="Arial" w:eastAsia="Arial" w:hAnsi="Arial"/>
                <w:sz w:val="16"/>
                <w:szCs w:val="16"/>
                <w:color w:val="auto"/>
              </w:rPr>
              <w:t>The Governance Committee puts the</w:t>
            </w:r>
          </w:p>
        </w:tc>
        <w:tc>
          <w:tcPr>
            <w:tcW w:w="8260" w:type="dxa"/>
            <w:vAlign w:val="bottom"/>
          </w:tcPr>
          <w:p>
            <w:pPr>
              <w:jc w:val="center"/>
              <w:ind w:left="159"/>
              <w:spacing w:after="0"/>
              <w:rPr>
                <w:sz w:val="20"/>
                <w:szCs w:val="20"/>
                <w:color w:val="auto"/>
              </w:rPr>
            </w:pPr>
            <w:r>
              <w:rPr>
                <w:rFonts w:ascii="Arial" w:cs="Arial" w:eastAsia="Arial" w:hAnsi="Arial"/>
                <w:sz w:val="16"/>
                <w:szCs w:val="16"/>
                <w:color w:val="auto"/>
              </w:rPr>
              <w:t>The potential nominee meets with the Governance Committee, Lead Independent Director, Chair of the Board,</w:t>
            </w:r>
          </w:p>
        </w:tc>
        <w:tc>
          <w:tcPr>
            <w:tcW w:w="0" w:type="dxa"/>
            <w:vAlign w:val="bottom"/>
          </w:tcPr>
          <w:p>
            <w:pPr>
              <w:spacing w:after="0"/>
              <w:rPr>
                <w:sz w:val="1"/>
                <w:szCs w:val="1"/>
                <w:color w:val="auto"/>
              </w:rPr>
            </w:pPr>
          </w:p>
        </w:tc>
      </w:tr>
      <w:tr>
        <w:trPr>
          <w:trHeight w:val="95"/>
        </w:trPr>
        <w:tc>
          <w:tcPr>
            <w:tcW w:w="2900" w:type="dxa"/>
            <w:vAlign w:val="bottom"/>
            <w:vMerge w:val="continue"/>
          </w:tcPr>
          <w:p>
            <w:pPr>
              <w:spacing w:after="0"/>
              <w:rPr>
                <w:sz w:val="8"/>
                <w:szCs w:val="8"/>
                <w:color w:val="auto"/>
              </w:rPr>
            </w:pPr>
          </w:p>
        </w:tc>
        <w:tc>
          <w:tcPr>
            <w:tcW w:w="8260" w:type="dxa"/>
            <w:vAlign w:val="bottom"/>
            <w:vMerge w:val="restart"/>
          </w:tcPr>
          <w:p>
            <w:pPr>
              <w:jc w:val="center"/>
              <w:ind w:left="179"/>
              <w:spacing w:after="0"/>
              <w:rPr>
                <w:sz w:val="20"/>
                <w:szCs w:val="20"/>
                <w:color w:val="auto"/>
              </w:rPr>
            </w:pPr>
            <w:r>
              <w:rPr>
                <w:rFonts w:ascii="Arial" w:cs="Arial" w:eastAsia="Arial" w:hAnsi="Arial"/>
                <w:sz w:val="16"/>
                <w:szCs w:val="16"/>
                <w:color w:val="auto"/>
              </w:rPr>
              <w:t>other members of the Board and senior management, as appropriate. Nominees may be invited to participate in</w:t>
            </w:r>
          </w:p>
        </w:tc>
        <w:tc>
          <w:tcPr>
            <w:tcW w:w="0" w:type="dxa"/>
            <w:vAlign w:val="bottom"/>
          </w:tcPr>
          <w:p>
            <w:pPr>
              <w:spacing w:after="0"/>
              <w:rPr>
                <w:sz w:val="1"/>
                <w:szCs w:val="1"/>
                <w:color w:val="auto"/>
              </w:rPr>
            </w:pPr>
          </w:p>
        </w:tc>
      </w:tr>
      <w:tr>
        <w:trPr>
          <w:trHeight w:val="94"/>
        </w:trPr>
        <w:tc>
          <w:tcPr>
            <w:tcW w:w="2900" w:type="dxa"/>
            <w:vAlign w:val="bottom"/>
            <w:vMerge w:val="restart"/>
          </w:tcPr>
          <w:p>
            <w:pPr>
              <w:jc w:val="center"/>
              <w:ind w:right="179"/>
              <w:spacing w:after="0"/>
              <w:rPr>
                <w:sz w:val="20"/>
                <w:szCs w:val="20"/>
                <w:color w:val="auto"/>
              </w:rPr>
            </w:pPr>
            <w:r>
              <w:rPr>
                <w:rFonts w:ascii="Arial" w:cs="Arial" w:eastAsia="Arial" w:hAnsi="Arial"/>
                <w:sz w:val="16"/>
                <w:szCs w:val="16"/>
                <w:color w:val="auto"/>
              </w:rPr>
              <w:t>candidate forward for consideration</w:t>
            </w:r>
          </w:p>
        </w:tc>
        <w:tc>
          <w:tcPr>
            <w:tcW w:w="8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900" w:type="dxa"/>
            <w:vAlign w:val="bottom"/>
            <w:vMerge w:val="continue"/>
          </w:tcPr>
          <w:p>
            <w:pPr>
              <w:spacing w:after="0"/>
              <w:rPr>
                <w:sz w:val="8"/>
                <w:szCs w:val="8"/>
                <w:color w:val="auto"/>
              </w:rPr>
            </w:pPr>
          </w:p>
        </w:tc>
        <w:tc>
          <w:tcPr>
            <w:tcW w:w="8260" w:type="dxa"/>
            <w:vAlign w:val="bottom"/>
            <w:vMerge w:val="restart"/>
          </w:tcPr>
          <w:p>
            <w:pPr>
              <w:jc w:val="center"/>
              <w:ind w:left="159"/>
              <w:spacing w:after="0"/>
              <w:rPr>
                <w:sz w:val="20"/>
                <w:szCs w:val="20"/>
                <w:color w:val="auto"/>
              </w:rPr>
            </w:pPr>
            <w:r>
              <w:rPr>
                <w:rFonts w:ascii="Arial" w:cs="Arial" w:eastAsia="Arial" w:hAnsi="Arial"/>
                <w:sz w:val="16"/>
                <w:szCs w:val="16"/>
                <w:color w:val="auto"/>
              </w:rPr>
              <w:t>Firm events, including as a featured speaker.</w:t>
            </w:r>
          </w:p>
        </w:tc>
        <w:tc>
          <w:tcPr>
            <w:tcW w:w="0" w:type="dxa"/>
            <w:vAlign w:val="bottom"/>
          </w:tcPr>
          <w:p>
            <w:pPr>
              <w:spacing w:after="0"/>
              <w:rPr>
                <w:sz w:val="1"/>
                <w:szCs w:val="1"/>
                <w:color w:val="auto"/>
              </w:rPr>
            </w:pPr>
          </w:p>
        </w:tc>
      </w:tr>
      <w:tr>
        <w:trPr>
          <w:trHeight w:val="120"/>
        </w:trPr>
        <w:tc>
          <w:tcPr>
            <w:tcW w:w="2900" w:type="dxa"/>
            <w:vAlign w:val="bottom"/>
            <w:vMerge w:val="restart"/>
          </w:tcPr>
          <w:p>
            <w:pPr>
              <w:jc w:val="center"/>
              <w:ind w:right="179"/>
              <w:spacing w:after="0"/>
              <w:rPr>
                <w:sz w:val="20"/>
                <w:szCs w:val="20"/>
                <w:color w:val="auto"/>
              </w:rPr>
            </w:pPr>
            <w:r>
              <w:rPr>
                <w:rFonts w:ascii="Arial" w:cs="Arial" w:eastAsia="Arial" w:hAnsi="Arial"/>
                <w:sz w:val="16"/>
                <w:szCs w:val="16"/>
                <w:color w:val="auto"/>
                <w:w w:val="99"/>
              </w:rPr>
              <w:t>by the full Board.</w:t>
            </w: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900" w:type="dxa"/>
            <w:vAlign w:val="bottom"/>
            <w:vMerge w:val="continue"/>
          </w:tcPr>
          <w:p>
            <w:pPr>
              <w:spacing w:after="0"/>
              <w:rPr>
                <w:sz w:val="8"/>
                <w:szCs w:val="8"/>
                <w:color w:val="auto"/>
              </w:rPr>
            </w:pPr>
          </w:p>
        </w:tc>
        <w:tc>
          <w:tcPr>
            <w:tcW w:w="8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By-laws also permit a shareholder group of up to 20 shareholders who have continuously owned at least 3% of the Firm’s outstanding shares for at least three years to nominate up to 20% of the Board (but in any event at least two directors). For further information, see page</w:t>
      </w:r>
    </w:p>
    <w:p>
      <w:pPr>
        <w:ind w:right="2480" w:firstLine="8"/>
        <w:spacing w:after="0" w:line="365"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All candidates recommended to the Governance Committee are evaluated based on the same standards. </w:t>
      </w:r>
      <w:r>
        <w:rPr>
          <w:rFonts w:ascii="Arial" w:cs="Arial" w:eastAsia="Arial" w:hAnsi="Arial"/>
          <w:sz w:val="18"/>
          <w:szCs w:val="18"/>
          <w:color w:val="074A75"/>
        </w:rPr>
        <w:t>Recent Board refreshment</w:t>
      </w:r>
    </w:p>
    <w:p>
      <w:pPr>
        <w:ind w:right="60"/>
        <w:spacing w:after="0" w:line="257" w:lineRule="auto"/>
        <w:rPr>
          <w:sz w:val="20"/>
          <w:szCs w:val="20"/>
          <w:color w:val="auto"/>
        </w:rPr>
      </w:pPr>
      <w:r>
        <w:rPr>
          <w:rFonts w:ascii="Arial" w:cs="Arial" w:eastAsia="Arial" w:hAnsi="Arial"/>
          <w:sz w:val="18"/>
          <w:szCs w:val="18"/>
          <w:color w:val="auto"/>
        </w:rPr>
        <w:t>The Governance Committee is engaged in an ongoing recruitment process enabling the Board to build a strong pipeline of prospective directors for the near-term and the long-term. This includes candidates who are not available for board membership immediately but may become available in the future, such as candidates whose current professional commitments preclude board service and emerging leaders who require more experience. Often the Board works to develop a relationship with prospective candidates, becoming familiar with their skills and effectiveness, before the candidate is formally considered. The Board looks to recruit those who will contribute individually and it seeks to balance skills, experience, personal attributes and tenure.</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149225</wp:posOffset>
            </wp:positionV>
            <wp:extent cx="76835" cy="1454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149225</wp:posOffset>
            </wp:positionV>
            <wp:extent cx="77470" cy="1454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149225</wp:posOffset>
            </wp:positionV>
            <wp:extent cx="76835" cy="145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Director re-nomination</w:t>
      </w:r>
    </w:p>
    <w:p>
      <w:pPr>
        <w:spacing w:after="0" w:line="1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Governance Committee also oversees the re-nomination process. In determining whether to re-nominate a director for election at our annual meeting, the Governance Committee reviews each director, considering: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40640</wp:posOffset>
            </wp:positionV>
            <wp:extent cx="3171825" cy="31718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7182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074A75"/>
        </w:rPr>
        <w:t>Retirement policy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Governance Principles require a non-management director to offer not to stand for re-election in each calendar year following a year in which the director will be 72 or older. The Board (other than the affected director) then determines whether to accept the offer. The Board believes that the appropriate mix of experience and fresh perspectives is an important consideration in assessing Board composition, and the best interests of the Firm are served by taking advantage of all available talent, and evaluations as to director candidacy should not be determined solely on age.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None of our director nominees will be 72 or older this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annual Board and committee self-assessment process, see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292100</wp:posOffset>
            </wp:positionV>
            <wp:extent cx="274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21  </w:t>
      </w:r>
      <w:r>
        <w:rPr>
          <w:sz w:val="1"/>
          <w:szCs w:val="1"/>
          <w:color w:val="auto"/>
        </w:rPr>
        <w:drawing>
          <wp:inline distT="0" distB="0" distL="0" distR="0">
            <wp:extent cx="2203450" cy="15430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337820</wp:posOffset>
            </wp:positionV>
            <wp:extent cx="76835" cy="146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337820</wp:posOffset>
            </wp:positionV>
            <wp:extent cx="76835"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337820</wp:posOffset>
            </wp:positionV>
            <wp:extent cx="77470" cy="146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3"/>
                <w:szCs w:val="23"/>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56"/>
        </w:trPr>
        <w:tc>
          <w:tcPr>
            <w:tcW w:w="2300" w:type="dxa"/>
            <w:vAlign w:val="bottom"/>
            <w:tcBorders>
              <w:left w:val="single" w:sz="8" w:color="E7E7E8"/>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Borders>
              <w:bottom w:val="single" w:sz="8" w:color="E7E7E8"/>
            </w:tcBorders>
            <w:shd w:val="clear" w:color="auto" w:fill="E7E7E8"/>
          </w:tcPr>
          <w:p>
            <w:pPr>
              <w:spacing w:after="0"/>
              <w:rPr>
                <w:sz w:val="4"/>
                <w:szCs w:val="4"/>
                <w:color w:val="auto"/>
              </w:rPr>
            </w:pPr>
          </w:p>
        </w:tc>
        <w:tc>
          <w:tcPr>
            <w:tcW w:w="70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70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43"/>
          <w:szCs w:val="43"/>
          <w:color w:val="074A75"/>
        </w:rPr>
        <w:t>2. Board governance</w:t>
      </w:r>
    </w:p>
    <w:p>
      <w:pPr>
        <w:spacing w:after="0" w:line="122" w:lineRule="exact"/>
        <w:rPr>
          <w:sz w:val="20"/>
          <w:szCs w:val="20"/>
          <w:color w:val="auto"/>
        </w:rPr>
      </w:pPr>
    </w:p>
    <w:p>
      <w:pPr>
        <w:spacing w:after="0"/>
        <w:rPr>
          <w:sz w:val="20"/>
          <w:szCs w:val="20"/>
          <w:color w:val="auto"/>
        </w:rPr>
      </w:pPr>
      <w:r>
        <w:rPr>
          <w:rFonts w:ascii="Arial" w:cs="Arial" w:eastAsia="Arial" w:hAnsi="Arial"/>
          <w:sz w:val="29"/>
          <w:szCs w:val="29"/>
          <w:color w:val="074A75"/>
        </w:rPr>
        <w:t>Strong governance practices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Board is guided by the Firm’s Governance Principles, and we adhere to the Commonsense Corporate Governance Principles and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Stewardship Group’s Corporate Governance Principles for U.S. Listed Companies. Our sound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54850" cy="3346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054850" cy="33464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85" w:lineRule="exact"/>
        <w:rPr>
          <w:sz w:val="20"/>
          <w:szCs w:val="20"/>
          <w:color w:val="auto"/>
        </w:rPr>
      </w:pPr>
    </w:p>
    <w:p>
      <w:pPr>
        <w:ind w:left="420" w:right="1400"/>
        <w:spacing w:after="0" w:line="387" w:lineRule="auto"/>
        <w:rPr>
          <w:sz w:val="20"/>
          <w:szCs w:val="20"/>
          <w:color w:val="auto"/>
        </w:rPr>
      </w:pPr>
      <w:r>
        <w:rPr>
          <w:rFonts w:ascii="Arial" w:cs="Arial" w:eastAsia="Arial" w:hAnsi="Arial"/>
          <w:sz w:val="16"/>
          <w:szCs w:val="16"/>
          <w:color w:val="auto"/>
        </w:rPr>
        <w:t>Annual election of all directors by majority vote 100% principal standing committee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63290" cy="274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63290" cy="274320"/>
                    </a:xfrm>
                    <a:prstGeom prst="rect">
                      <a:avLst/>
                    </a:prstGeom>
                    <a:noFill/>
                  </pic:spPr>
                </pic:pic>
              </a:graphicData>
            </a:graphic>
          </wp:anchor>
        </w:drawing>
      </w:r>
    </w:p>
    <w:p>
      <w:pPr>
        <w:ind w:left="420" w:right="380"/>
        <w:spacing w:after="0" w:line="281" w:lineRule="auto"/>
        <w:rPr>
          <w:sz w:val="20"/>
          <w:szCs w:val="20"/>
          <w:color w:val="auto"/>
        </w:rPr>
      </w:pPr>
      <w:r>
        <w:rPr>
          <w:rFonts w:ascii="Arial" w:cs="Arial" w:eastAsia="Arial" w:hAnsi="Arial"/>
          <w:sz w:val="16"/>
          <w:szCs w:val="16"/>
          <w:color w:val="auto"/>
        </w:rPr>
        <w:t>Lead Independent Director with an independent perspective and judgment as well as clearly-defined responsibilities</w:t>
      </w:r>
    </w:p>
    <w:p>
      <w:pPr>
        <w:spacing w:after="0" w:line="1" w:lineRule="exact"/>
        <w:rPr>
          <w:sz w:val="20"/>
          <w:szCs w:val="20"/>
          <w:color w:val="auto"/>
        </w:rPr>
      </w:pPr>
    </w:p>
    <w:p>
      <w:pPr>
        <w:ind w:left="420" w:right="220"/>
        <w:spacing w:after="0" w:line="281" w:lineRule="auto"/>
        <w:rPr>
          <w:sz w:val="20"/>
          <w:szCs w:val="20"/>
          <w:color w:val="auto"/>
        </w:rPr>
      </w:pPr>
      <w:r>
        <w:rPr>
          <w:rFonts w:ascii="Arial" w:cs="Arial" w:eastAsia="Arial" w:hAnsi="Arial"/>
          <w:sz w:val="16"/>
          <w:szCs w:val="16"/>
          <w:color w:val="auto"/>
        </w:rPr>
        <w:t>Executive sessions of independent directors at each regular Board meeting without the presence of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-247015</wp:posOffset>
            </wp:positionV>
            <wp:extent cx="13716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3463290" cy="5314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63290" cy="531495"/>
                    </a:xfrm>
                    <a:prstGeom prst="rect">
                      <a:avLst/>
                    </a:prstGeom>
                    <a:noFill/>
                  </pic:spPr>
                </pic:pic>
              </a:graphicData>
            </a:graphic>
          </wp:anchor>
        </w:drawing>
      </w:r>
    </w:p>
    <w:p>
      <w:pPr>
        <w:ind w:left="420" w:right="360"/>
        <w:spacing w:after="0" w:line="266" w:lineRule="auto"/>
        <w:rPr>
          <w:sz w:val="20"/>
          <w:szCs w:val="20"/>
          <w:color w:val="auto"/>
        </w:rPr>
      </w:pPr>
      <w:r>
        <w:rPr>
          <w:rFonts w:ascii="Arial" w:cs="Arial" w:eastAsia="Arial" w:hAnsi="Arial"/>
          <w:sz w:val="16"/>
          <w:szCs w:val="16"/>
          <w:color w:val="auto"/>
        </w:rPr>
        <w:t>Annual Board and committee self-assessment guided by Lead Independent Director and review of progress on key action items throughout the year</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3463290" cy="1974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63290" cy="197485"/>
                    </a:xfrm>
                    <a:prstGeom prst="rect">
                      <a:avLst/>
                    </a:prstGeom>
                    <a:noFill/>
                  </pic:spPr>
                </pic:pic>
              </a:graphicData>
            </a:graphic>
          </wp:anchor>
        </w:drawing>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Ongoing director education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Semi-annual Board review of investor feedback</w:t>
      </w:r>
    </w:p>
    <w:p>
      <w:pPr>
        <w:spacing w:after="0" w:line="100" w:lineRule="exact"/>
        <w:rPr>
          <w:sz w:val="20"/>
          <w:szCs w:val="20"/>
          <w:color w:val="auto"/>
        </w:rPr>
      </w:pPr>
    </w:p>
    <w:p>
      <w:pPr>
        <w:ind w:right="680"/>
        <w:spacing w:after="0" w:line="281" w:lineRule="auto"/>
        <w:rPr>
          <w:sz w:val="20"/>
          <w:szCs w:val="20"/>
          <w:color w:val="auto"/>
        </w:rPr>
      </w:pPr>
      <w:r>
        <w:rPr>
          <w:rFonts w:ascii="Arial" w:cs="Arial" w:eastAsia="Arial" w:hAnsi="Arial"/>
          <w:sz w:val="16"/>
          <w:szCs w:val="16"/>
          <w:color w:val="auto"/>
        </w:rPr>
        <w:t>Ongoing consideration of Board composition and refreshment, including diversity in director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-247015</wp:posOffset>
            </wp:positionV>
            <wp:extent cx="13716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clrChange>
                        <a:clrFrom>
                          <a:srgbClr val="000000"/>
                        </a:clrFrom>
                        <a:clrTo>
                          <a:srgbClr val="000000">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-247015</wp:posOffset>
            </wp:positionV>
            <wp:extent cx="13716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-6985</wp:posOffset>
            </wp:positionV>
            <wp:extent cx="3463290" cy="5314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63290" cy="531495"/>
                    </a:xfrm>
                    <a:prstGeom prst="rect">
                      <a:avLst/>
                    </a:prstGeom>
                    <a:noFill/>
                  </pic:spPr>
                </pic:pic>
              </a:graphicData>
            </a:graphic>
          </wp:anchor>
        </w:drawing>
      </w:r>
    </w:p>
    <w:p>
      <w:pPr>
        <w:ind w:right="380"/>
        <w:spacing w:after="0" w:line="266" w:lineRule="auto"/>
        <w:rPr>
          <w:sz w:val="20"/>
          <w:szCs w:val="20"/>
          <w:color w:val="auto"/>
        </w:rPr>
      </w:pPr>
      <w:r>
        <w:rPr>
          <w:rFonts w:ascii="Arial" w:cs="Arial" w:eastAsia="Arial" w:hAnsi="Arial"/>
          <w:sz w:val="16"/>
          <w:szCs w:val="16"/>
          <w:color w:val="auto"/>
        </w:rPr>
        <w:t>Strong director attendance: each director attended 75% or more of total meetings of the Board and committees on which he or she served during 2021</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requirements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55245</wp:posOffset>
            </wp:positionV>
            <wp:extent cx="3463290" cy="3346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63290" cy="33464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Board oversight of corporate responsibility and ESG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Robust anti-hedging and anti-pledging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55245</wp:posOffset>
            </wp:positionV>
            <wp:extent cx="3463290" cy="1974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63290" cy="19748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Direct Board access to, and regular interaction with, management</w:t>
      </w:r>
    </w:p>
    <w:p>
      <w:pPr>
        <w:spacing w:after="0" w:line="221" w:lineRule="exact"/>
        <w:rPr>
          <w:sz w:val="20"/>
          <w:szCs w:val="20"/>
          <w:color w:val="auto"/>
        </w:rPr>
      </w:pPr>
    </w:p>
    <w:p>
      <w:pPr>
        <w:sectPr>
          <w:pgSz w:w="11900" w:h="16838" w:orient="portrait"/>
          <w:cols w:equalWidth="0" w:num="2">
            <w:col w:w="5400" w:space="720"/>
            <w:col w:w="5140"/>
          </w:cols>
          <w:pgMar w:left="320" w:top="157" w:right="31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Robust shareholder engagement process, including participation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137160"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Lead Independent Director</w:t>
      </w:r>
    </w:p>
    <w:p>
      <w:pPr>
        <w:sectPr>
          <w:pgSz w:w="11900" w:h="16838" w:orient="portrait"/>
          <w:cols w:equalWidth="0" w:num="1">
            <w:col w:w="11260"/>
          </w:cols>
          <w:pgMar w:left="320" w:top="157" w:right="31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Arial" w:cs="Arial" w:eastAsia="Arial" w:hAnsi="Arial"/>
          <w:sz w:val="29"/>
          <w:szCs w:val="29"/>
          <w:color w:val="074A75"/>
        </w:rPr>
        <w:t>Our Board’s leadership structure</w:t>
      </w:r>
    </w:p>
    <w:p>
      <w:pPr>
        <w:spacing w:after="0" w:line="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Board’s leadership structure is designed to promote Board effectiveness and to appropriately allocate authority and responsibility between the Board and management.</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consideration of the factors described on page 23, our Board has determined that combining the roles of Chair and CEO is the most effective leadership structure for the Board at this time. The Board believes the present structure provides the Firm and the Board with strong leadership, appropriate independent oversight of management, continuity of experience that complements ongoing Board refreshment, and the ability to communicate the Firm's business and strategy to shareholders, clients, employees, regulators and the public in a single voice.</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required by the Firm’s Governance Principles when the role of the Chair is combined with that of the CEO, the independent directors appointed a Lead Independent Director. Our Lead Independent Director provides a strong counterbalance to the Chair including by facilitating independent oversight of management, promoting open dialogue among the independent directors during and in between Board meetings, leading executive sessions at each regular Board meeting without the presence of the CEO, and focusing on the Board's priorities and processes.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2022, the independent directors conducted a review of the Board’s leadership structure. This review was conducted first by the Corporate Governance &amp; Nominating Committee, which considered the factors on page 23,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Firm’s governance practices, which include executive sessions of independent directors as part of each regularly scheduled Board meeting and the directors’ frequent and open interactions with senior management, and the effectiveness of the Lead Independent Director role. Following its review, the Committee recommended that the Board continue its current leadership structure and that Stephen B. Burke be re-appointed as Lead Independent Director. The independent directors of the Board conducted their own review, again taking into account the factors on page 23, the Committee’s recommendation and Mr. Burke’s effective performance in the Lead Independent Director role over the course of the prior year, and determined to maintain the current leadership structure with Mr. Burke serving as Lead Independent Director.</w:t>
      </w:r>
    </w:p>
    <w:p>
      <w:pPr>
        <w:spacing w:after="0" w:line="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the Board considered the potential separation of the Chair and CEO positions in the context of succession planning. The Board has adopted a general policy, upon the next CEO transition, that the Chair and CEO positions shall be separate, subject to the Board's determination of the leadership structure that best serves the Firm and its shareholders at that time. This policy is reflected in the Firm's Corporate Governance Principles and reinforces the Board's longstanding commitment to independent oversight while also maintaining the Board's ability to fulfill its fiduciary duty to make the ultimate decision regarding the leadership structure that best serves shareholders.</w:t>
      </w:r>
    </w:p>
    <w:p>
      <w:pPr>
        <w:spacing w:after="0" w:line="422"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149225</wp:posOffset>
            </wp:positionV>
            <wp:extent cx="76835" cy="1454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149225</wp:posOffset>
            </wp:positionV>
            <wp:extent cx="76835" cy="1454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149225</wp:posOffset>
            </wp:positionV>
            <wp:extent cx="77470" cy="1454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3"/>
                <w:szCs w:val="23"/>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56"/>
        </w:trPr>
        <w:tc>
          <w:tcPr>
            <w:tcW w:w="2300" w:type="dxa"/>
            <w:vAlign w:val="bottom"/>
            <w:tcBorders>
              <w:left w:val="single" w:sz="8" w:color="E7E7E8"/>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Borders>
              <w:bottom w:val="single" w:sz="8" w:color="E7E7E8"/>
            </w:tcBorders>
            <w:shd w:val="clear" w:color="auto" w:fill="E7E7E8"/>
          </w:tcPr>
          <w:p>
            <w:pPr>
              <w:spacing w:after="0"/>
              <w:rPr>
                <w:sz w:val="4"/>
                <w:szCs w:val="4"/>
                <w:color w:val="auto"/>
              </w:rPr>
            </w:pPr>
          </w:p>
        </w:tc>
        <w:tc>
          <w:tcPr>
            <w:tcW w:w="70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70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074A75"/>
        </w:rPr>
        <w:t>Factors the Board considers in reviewing its leadership structure</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Board reviews its leadership structure not less than annually, and conducted its most recent review in March 2022, considering the following factors:</w:t>
      </w:r>
    </w:p>
    <w:p>
      <w:pPr>
        <w:spacing w:after="0" w:line="45" w:lineRule="exact"/>
        <w:rPr>
          <w:sz w:val="20"/>
          <w:szCs w:val="20"/>
          <w:color w:val="auto"/>
        </w:rPr>
      </w:pPr>
    </w:p>
    <w:p>
      <w:pPr>
        <w:ind w:left="200" w:hanging="192"/>
        <w:spacing w:after="0"/>
        <w:tabs>
          <w:tab w:leader="none" w:pos="200" w:val="left"/>
        </w:tabs>
        <w:numPr>
          <w:ilvl w:val="0"/>
          <w:numId w:val="87"/>
        </w:numPr>
        <w:rPr>
          <w:rFonts w:ascii="Arial" w:cs="Arial" w:eastAsia="Arial" w:hAnsi="Arial"/>
          <w:sz w:val="18"/>
          <w:szCs w:val="18"/>
          <w:color w:val="064A75"/>
        </w:rPr>
      </w:pPr>
      <w:r>
        <w:rPr>
          <w:rFonts w:ascii="Arial" w:cs="Arial" w:eastAsia="Arial" w:hAnsi="Arial"/>
          <w:sz w:val="18"/>
          <w:szCs w:val="18"/>
          <w:color w:val="auto"/>
        </w:rPr>
        <w:t>The respective responsibilities for the positions of Chair and Lead Independent Director (see table below for detailed information)</w:t>
      </w:r>
    </w:p>
    <w:p>
      <w:pPr>
        <w:spacing w:after="0" w:line="76" w:lineRule="exact"/>
        <w:rPr>
          <w:rFonts w:ascii="Arial" w:cs="Arial" w:eastAsia="Arial" w:hAnsi="Arial"/>
          <w:sz w:val="18"/>
          <w:szCs w:val="18"/>
          <w:color w:val="064A75"/>
        </w:rPr>
      </w:pPr>
    </w:p>
    <w:p>
      <w:pPr>
        <w:ind w:left="200" w:right="340" w:hanging="192"/>
        <w:spacing w:after="0" w:line="287" w:lineRule="auto"/>
        <w:tabs>
          <w:tab w:leader="none" w:pos="204" w:val="left"/>
        </w:tabs>
        <w:numPr>
          <w:ilvl w:val="0"/>
          <w:numId w:val="87"/>
        </w:numPr>
        <w:rPr>
          <w:rFonts w:ascii="Arial" w:cs="Arial" w:eastAsia="Arial" w:hAnsi="Arial"/>
          <w:sz w:val="18"/>
          <w:szCs w:val="18"/>
          <w:color w:val="064A75"/>
        </w:rPr>
      </w:pPr>
      <w:r>
        <w:rPr>
          <w:rFonts w:ascii="Arial" w:cs="Arial" w:eastAsia="Arial" w:hAnsi="Arial"/>
          <w:sz w:val="18"/>
          <w:szCs w:val="18"/>
          <w:color w:val="auto"/>
        </w:rPr>
        <w:t>The people currently in the roles of Chair and Lead Independent Director and their record of strong leadership and performance in their roles</w:t>
      </w:r>
    </w:p>
    <w:p>
      <w:pPr>
        <w:spacing w:after="0" w:line="4" w:lineRule="exact"/>
        <w:rPr>
          <w:rFonts w:ascii="Arial" w:cs="Arial" w:eastAsia="Arial" w:hAnsi="Arial"/>
          <w:sz w:val="18"/>
          <w:szCs w:val="18"/>
          <w:color w:val="064A75"/>
        </w:rPr>
      </w:pPr>
    </w:p>
    <w:p>
      <w:pPr>
        <w:ind w:left="200" w:hanging="192"/>
        <w:spacing w:after="0"/>
        <w:tabs>
          <w:tab w:leader="none" w:pos="200" w:val="left"/>
        </w:tabs>
        <w:numPr>
          <w:ilvl w:val="0"/>
          <w:numId w:val="87"/>
        </w:numPr>
        <w:rPr>
          <w:rFonts w:ascii="Arial" w:cs="Arial" w:eastAsia="Arial" w:hAnsi="Arial"/>
          <w:sz w:val="18"/>
          <w:szCs w:val="18"/>
          <w:color w:val="064A75"/>
        </w:rPr>
      </w:pPr>
      <w:r>
        <w:rPr>
          <w:rFonts w:ascii="Arial" w:cs="Arial" w:eastAsia="Arial" w:hAnsi="Arial"/>
          <w:sz w:val="18"/>
          <w:szCs w:val="18"/>
          <w:color w:val="auto"/>
        </w:rPr>
        <w:t>The current composition of the Board</w:t>
      </w:r>
    </w:p>
    <w:p>
      <w:pPr>
        <w:spacing w:after="0" w:line="90" w:lineRule="exact"/>
        <w:rPr>
          <w:rFonts w:ascii="Arial" w:cs="Arial" w:eastAsia="Arial" w:hAnsi="Arial"/>
          <w:sz w:val="18"/>
          <w:szCs w:val="18"/>
          <w:color w:val="064A75"/>
        </w:rPr>
      </w:pPr>
    </w:p>
    <w:p>
      <w:pPr>
        <w:ind w:left="200" w:right="60" w:hanging="192"/>
        <w:spacing w:after="0" w:line="268" w:lineRule="auto"/>
        <w:tabs>
          <w:tab w:leader="none" w:pos="204" w:val="left"/>
        </w:tabs>
        <w:numPr>
          <w:ilvl w:val="0"/>
          <w:numId w:val="87"/>
        </w:numPr>
        <w:rPr>
          <w:rFonts w:ascii="Arial" w:cs="Arial" w:eastAsia="Arial" w:hAnsi="Arial"/>
          <w:sz w:val="18"/>
          <w:szCs w:val="18"/>
          <w:color w:val="064A75"/>
        </w:rPr>
      </w:pPr>
      <w:r>
        <w:rPr>
          <w:rFonts w:ascii="Arial" w:cs="Arial" w:eastAsia="Arial" w:hAnsi="Arial"/>
          <w:sz w:val="18"/>
          <w:szCs w:val="18"/>
          <w:color w:val="auto"/>
        </w:rPr>
        <w:t>The policies and practices in place to provide independent Board oversight of management (including Board oversight of CEO performance and compensation, regular executive sessions of the independent directors, Board input into agendas and meeting materials, and Board self-assessment)</w:t>
      </w:r>
    </w:p>
    <w:p>
      <w:pPr>
        <w:spacing w:after="0" w:line="22" w:lineRule="exact"/>
        <w:rPr>
          <w:rFonts w:ascii="Arial" w:cs="Arial" w:eastAsia="Arial" w:hAnsi="Arial"/>
          <w:sz w:val="18"/>
          <w:szCs w:val="18"/>
          <w:color w:val="064A75"/>
        </w:rPr>
      </w:pPr>
    </w:p>
    <w:p>
      <w:pPr>
        <w:ind w:left="200" w:hanging="192"/>
        <w:spacing w:after="0"/>
        <w:tabs>
          <w:tab w:leader="none" w:pos="200"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The Firm’s circumstances, including its financial performance</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The views of our stakeholders, including shareholders</w:t>
      </w:r>
    </w:p>
    <w:p>
      <w:pPr>
        <w:spacing w:after="0" w:line="90" w:lineRule="exact"/>
        <w:rPr>
          <w:rFonts w:ascii="Arial" w:cs="Arial" w:eastAsia="Arial" w:hAnsi="Arial"/>
          <w:sz w:val="18"/>
          <w:szCs w:val="18"/>
          <w:color w:val="074A75"/>
        </w:rPr>
      </w:pPr>
    </w:p>
    <w:p>
      <w:pPr>
        <w:ind w:left="200" w:right="500" w:hanging="192"/>
        <w:spacing w:after="0" w:line="287" w:lineRule="auto"/>
        <w:tabs>
          <w:tab w:leader="none" w:pos="204"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Trends in corporate governance, including practices at other public companies, and studies on the impact of leadership structures on shareholder value</w:t>
      </w:r>
    </w:p>
    <w:p>
      <w:pPr>
        <w:spacing w:after="0" w:line="4" w:lineRule="exact"/>
        <w:rPr>
          <w:rFonts w:ascii="Arial" w:cs="Arial" w:eastAsia="Arial" w:hAnsi="Arial"/>
          <w:sz w:val="18"/>
          <w:szCs w:val="18"/>
          <w:color w:val="074A75"/>
        </w:rPr>
      </w:pPr>
    </w:p>
    <w:p>
      <w:pPr>
        <w:ind w:left="200" w:hanging="192"/>
        <w:spacing w:after="0"/>
        <w:tabs>
          <w:tab w:leader="none" w:pos="200"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Such other factors as the Board determines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74A75"/>
        </w:rPr>
        <w:t>Respective duties and responsibilities of the Chair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1920" w:type="dxa"/>
            <w:vAlign w:val="bottom"/>
          </w:tcPr>
          <w:p>
            <w:pPr>
              <w:spacing w:after="0"/>
              <w:rPr>
                <w:sz w:val="20"/>
                <w:szCs w:val="20"/>
                <w:color w:val="auto"/>
              </w:rPr>
            </w:pPr>
            <w:r>
              <w:rPr>
                <w:rFonts w:ascii="Arial" w:cs="Arial" w:eastAsia="Arial" w:hAnsi="Arial"/>
                <w:sz w:val="18"/>
                <w:szCs w:val="18"/>
                <w:b w:val="1"/>
                <w:bCs w:val="1"/>
                <w:color w:val="074A75"/>
              </w:rPr>
              <w:t>CHAIR</w:t>
            </w:r>
          </w:p>
        </w:tc>
        <w:tc>
          <w:tcPr>
            <w:tcW w:w="9300" w:type="dxa"/>
            <w:vAlign w:val="bottom"/>
          </w:tcPr>
          <w:p>
            <w:pPr>
              <w:ind w:left="400"/>
              <w:spacing w:after="0"/>
              <w:rPr>
                <w:sz w:val="20"/>
                <w:szCs w:val="20"/>
                <w:color w:val="auto"/>
              </w:rPr>
            </w:pPr>
            <w:r>
              <w:rPr>
                <w:rFonts w:ascii="Arial" w:cs="Arial" w:eastAsia="Arial" w:hAnsi="Arial"/>
                <w:sz w:val="16"/>
                <w:szCs w:val="16"/>
                <w:color w:val="auto"/>
              </w:rPr>
              <w:t>calls Board and shareholder meetings</w:t>
            </w:r>
          </w:p>
        </w:tc>
      </w:tr>
      <w:tr>
        <w:trPr>
          <w:trHeight w:val="83"/>
        </w:trPr>
        <w:tc>
          <w:tcPr>
            <w:tcW w:w="1920" w:type="dxa"/>
            <w:vAlign w:val="bottom"/>
          </w:tcPr>
          <w:p>
            <w:pPr>
              <w:spacing w:after="0"/>
              <w:rPr>
                <w:sz w:val="7"/>
                <w:szCs w:val="7"/>
                <w:color w:val="auto"/>
              </w:rPr>
            </w:pPr>
          </w:p>
        </w:tc>
        <w:tc>
          <w:tcPr>
            <w:tcW w:w="9300" w:type="dxa"/>
            <w:vAlign w:val="bottom"/>
            <w:tcBorders>
              <w:bottom w:val="single" w:sz="8" w:color="58585A"/>
            </w:tcBorders>
          </w:tcPr>
          <w:p>
            <w:pPr>
              <w:spacing w:after="0"/>
              <w:rPr>
                <w:sz w:val="7"/>
                <w:szCs w:val="7"/>
                <w:color w:val="auto"/>
              </w:rPr>
            </w:pPr>
          </w:p>
        </w:tc>
      </w:tr>
      <w:tr>
        <w:trPr>
          <w:trHeight w:val="275"/>
        </w:trPr>
        <w:tc>
          <w:tcPr>
            <w:tcW w:w="1920" w:type="dxa"/>
            <w:vAlign w:val="bottom"/>
          </w:tcPr>
          <w:p>
            <w:pPr>
              <w:spacing w:after="0"/>
              <w:rPr>
                <w:sz w:val="23"/>
                <w:szCs w:val="23"/>
                <w:color w:val="auto"/>
              </w:rPr>
            </w:pPr>
          </w:p>
        </w:tc>
        <w:tc>
          <w:tcPr>
            <w:tcW w:w="9300" w:type="dxa"/>
            <w:vAlign w:val="bottom"/>
          </w:tcPr>
          <w:p>
            <w:pPr>
              <w:ind w:left="400"/>
              <w:spacing w:after="0"/>
              <w:rPr>
                <w:sz w:val="20"/>
                <w:szCs w:val="20"/>
                <w:color w:val="auto"/>
              </w:rPr>
            </w:pPr>
            <w:r>
              <w:rPr>
                <w:rFonts w:ascii="Arial" w:cs="Arial" w:eastAsia="Arial" w:hAnsi="Arial"/>
                <w:sz w:val="16"/>
                <w:szCs w:val="16"/>
                <w:color w:val="auto"/>
              </w:rPr>
              <w:t>presides at Board and shareholder meetings</w:t>
            </w:r>
          </w:p>
        </w:tc>
      </w:tr>
      <w:tr>
        <w:trPr>
          <w:trHeight w:val="83"/>
        </w:trPr>
        <w:tc>
          <w:tcPr>
            <w:tcW w:w="1920" w:type="dxa"/>
            <w:vAlign w:val="bottom"/>
          </w:tcPr>
          <w:p>
            <w:pPr>
              <w:spacing w:after="0"/>
              <w:rPr>
                <w:sz w:val="7"/>
                <w:szCs w:val="7"/>
                <w:color w:val="auto"/>
              </w:rPr>
            </w:pPr>
          </w:p>
        </w:tc>
        <w:tc>
          <w:tcPr>
            <w:tcW w:w="9300" w:type="dxa"/>
            <w:vAlign w:val="bottom"/>
            <w:tcBorders>
              <w:bottom w:val="single" w:sz="8" w:color="58585A"/>
            </w:tcBorders>
          </w:tcPr>
          <w:p>
            <w:pPr>
              <w:spacing w:after="0"/>
              <w:rPr>
                <w:sz w:val="7"/>
                <w:szCs w:val="7"/>
                <w:color w:val="auto"/>
              </w:rPr>
            </w:pPr>
          </w:p>
        </w:tc>
      </w:tr>
      <w:tr>
        <w:trPr>
          <w:trHeight w:val="302"/>
        </w:trPr>
        <w:tc>
          <w:tcPr>
            <w:tcW w:w="1920" w:type="dxa"/>
            <w:vAlign w:val="bottom"/>
          </w:tcPr>
          <w:p>
            <w:pPr>
              <w:spacing w:after="0"/>
              <w:rPr>
                <w:sz w:val="24"/>
                <w:szCs w:val="24"/>
                <w:color w:val="auto"/>
              </w:rPr>
            </w:pPr>
          </w:p>
        </w:tc>
        <w:tc>
          <w:tcPr>
            <w:tcW w:w="9300" w:type="dxa"/>
            <w:vAlign w:val="bottom"/>
          </w:tcPr>
          <w:p>
            <w:pPr>
              <w:ind w:left="400"/>
              <w:spacing w:after="0"/>
              <w:rPr>
                <w:sz w:val="20"/>
                <w:szCs w:val="20"/>
                <w:color w:val="auto"/>
              </w:rPr>
            </w:pPr>
            <w:r>
              <w:rPr>
                <w:rFonts w:ascii="Arial" w:cs="Arial" w:eastAsia="Arial" w:hAnsi="Arial"/>
                <w:sz w:val="16"/>
                <w:szCs w:val="16"/>
                <w:color w:val="auto"/>
              </w:rPr>
              <w:t>approves Board meeting schedules, agendas and materials, subject to the approval of the Lead 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-649605</wp:posOffset>
            </wp:positionV>
            <wp:extent cx="13716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-409575</wp:posOffset>
            </wp:positionV>
            <wp:extent cx="13716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-152400</wp:posOffset>
            </wp:positionV>
            <wp:extent cx="13716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74A75"/>
        </w:rPr>
        <w:t>LEAD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74A75"/>
        </w:rPr>
        <w:t>INDEPENDENT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74A75"/>
        </w:rPr>
        <w:t>DIRECTOR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has the authority to call for a Board meeting or a meeting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63500</wp:posOffset>
            </wp:positionV>
            <wp:extent cx="59061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-132715</wp:posOffset>
            </wp:positionV>
            <wp:extent cx="13716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97790</wp:posOffset>
            </wp:positionV>
            <wp:extent cx="13716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presides at Board meetings in the Chair’s absence or when otherwise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approves agendas and adds agenda items for Board meetings and meetings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acts as liaison between independent directors and the Chair/CEO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presides over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engages and consults with major shareholders and other constituencies,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provides advice and guidance to the CEO on executing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guides the annual performance review of the Chair/CEO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advises the CEO of the Board’s information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guides the annual independent director consideration of Chair/CEO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meets one-on-one with the Chair/CEO following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guides the Board in its consideration of CEO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59061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106680</wp:posOffset>
            </wp:positionV>
            <wp:extent cx="13716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guides the self-assessment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1948180</wp:posOffset>
            </wp:positionH>
            <wp:positionV relativeFrom="paragraph">
              <wp:posOffset>621030</wp:posOffset>
            </wp:positionV>
            <wp:extent cx="274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720"/>
            <w:col w:w="8920"/>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23  </w:t>
      </w:r>
      <w:r>
        <w:rPr>
          <w:sz w:val="1"/>
          <w:szCs w:val="1"/>
          <w:color w:val="auto"/>
        </w:rPr>
        <w:drawing>
          <wp:inline distT="0" distB="0" distL="0" distR="0">
            <wp:extent cx="2203450" cy="154305"/>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269240</wp:posOffset>
            </wp:positionV>
            <wp:extent cx="76835" cy="145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269240</wp:posOffset>
            </wp:positionV>
            <wp:extent cx="76835" cy="1454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269240</wp:posOffset>
            </wp:positionV>
            <wp:extent cx="77470" cy="1454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3"/>
                <w:szCs w:val="23"/>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56"/>
        </w:trPr>
        <w:tc>
          <w:tcPr>
            <w:tcW w:w="2300" w:type="dxa"/>
            <w:vAlign w:val="bottom"/>
            <w:tcBorders>
              <w:left w:val="single" w:sz="8" w:color="E7E7E8"/>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Borders>
              <w:bottom w:val="single" w:sz="8" w:color="E7E7E8"/>
            </w:tcBorders>
            <w:shd w:val="clear" w:color="auto" w:fill="E7E7E8"/>
          </w:tcPr>
          <w:p>
            <w:pPr>
              <w:spacing w:after="0"/>
              <w:rPr>
                <w:sz w:val="4"/>
                <w:szCs w:val="4"/>
                <w:color w:val="auto"/>
              </w:rPr>
            </w:pPr>
          </w:p>
        </w:tc>
        <w:tc>
          <w:tcPr>
            <w:tcW w:w="70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70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074A75"/>
        </w:rPr>
        <w:t>Board meetings and attendance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573"/>
        </w:trPr>
        <w:tc>
          <w:tcPr>
            <w:tcW w:w="120" w:type="dxa"/>
            <w:vAlign w:val="bottom"/>
            <w:shd w:val="clear" w:color="auto" w:fill="E7E7E8"/>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1"/>
                <w:szCs w:val="31"/>
                <w:b w:val="1"/>
                <w:bCs w:val="1"/>
                <w:color w:val="074A75"/>
                <w:w w:val="98"/>
              </w:rPr>
              <w:t>10</w:t>
            </w:r>
          </w:p>
        </w:tc>
        <w:tc>
          <w:tcPr>
            <w:tcW w:w="120" w:type="dxa"/>
            <w:vAlign w:val="bottom"/>
            <w:shd w:val="clear" w:color="auto" w:fill="E7E7E8"/>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1"/>
                <w:szCs w:val="31"/>
                <w:b w:val="1"/>
                <w:bCs w:val="1"/>
                <w:color w:val="074A75"/>
              </w:rPr>
              <w:t>8</w:t>
            </w:r>
          </w:p>
        </w:tc>
        <w:tc>
          <w:tcPr>
            <w:tcW w:w="120" w:type="dxa"/>
            <w:vAlign w:val="bottom"/>
            <w:shd w:val="clear" w:color="auto" w:fill="E7E7E8"/>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31"/>
                <w:szCs w:val="31"/>
                <w:b w:val="1"/>
                <w:bCs w:val="1"/>
                <w:color w:val="074A75"/>
                <w:w w:val="98"/>
              </w:rPr>
              <w:t>43</w:t>
            </w:r>
          </w:p>
        </w:tc>
        <w:tc>
          <w:tcPr>
            <w:tcW w:w="120" w:type="dxa"/>
            <w:vAlign w:val="bottom"/>
            <w:shd w:val="clear" w:color="auto" w:fill="E7E7E8"/>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31"/>
                <w:szCs w:val="31"/>
                <w:b w:val="1"/>
                <w:bCs w:val="1"/>
                <w:color w:val="074A75"/>
                <w:w w:val="92"/>
              </w:rPr>
              <w:t>9</w:t>
            </w:r>
          </w:p>
        </w:tc>
        <w:tc>
          <w:tcPr>
            <w:tcW w:w="12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 w:type="dxa"/>
            <w:vAlign w:val="bottom"/>
            <w:shd w:val="clear" w:color="auto" w:fill="E7E7E8"/>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Board Meetings</w:t>
            </w:r>
          </w:p>
        </w:tc>
        <w:tc>
          <w:tcPr>
            <w:tcW w:w="120" w:type="dxa"/>
            <w:vAlign w:val="bottom"/>
            <w:shd w:val="clear" w:color="auto" w:fill="E7E7E8"/>
          </w:tcPr>
          <w:p>
            <w:pPr>
              <w:spacing w:after="0"/>
              <w:rPr>
                <w:sz w:val="19"/>
                <w:szCs w:val="19"/>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Executive sessions of</w:t>
            </w:r>
          </w:p>
        </w:tc>
        <w:tc>
          <w:tcPr>
            <w:tcW w:w="120" w:type="dxa"/>
            <w:vAlign w:val="bottom"/>
            <w:shd w:val="clear" w:color="auto" w:fill="E7E7E8"/>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Meetings of principal</w:t>
            </w:r>
          </w:p>
        </w:tc>
        <w:tc>
          <w:tcPr>
            <w:tcW w:w="120" w:type="dxa"/>
            <w:vAlign w:val="bottom"/>
            <w:shd w:val="clear" w:color="auto" w:fill="E7E7E8"/>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Meetings of specific</w:t>
            </w:r>
          </w:p>
        </w:tc>
        <w:tc>
          <w:tcPr>
            <w:tcW w:w="1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20" w:type="dxa"/>
            <w:vAlign w:val="bottom"/>
            <w:shd w:val="clear" w:color="auto" w:fill="E7E7E8"/>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4"/>
                <w:szCs w:val="14"/>
                <w:i w:val="1"/>
                <w:iCs w:val="1"/>
                <w:color w:val="auto"/>
              </w:rPr>
              <w:t>Communication between</w:t>
            </w:r>
          </w:p>
        </w:tc>
        <w:tc>
          <w:tcPr>
            <w:tcW w:w="120" w:type="dxa"/>
            <w:vAlign w:val="bottom"/>
            <w:shd w:val="clear" w:color="auto" w:fill="E7E7E8"/>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shd w:val="clear" w:color="auto" w:fill="E7E7E8"/>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standing committees</w:t>
            </w:r>
          </w:p>
        </w:tc>
        <w:tc>
          <w:tcPr>
            <w:tcW w:w="120" w:type="dxa"/>
            <w:vAlign w:val="bottom"/>
            <w:shd w:val="clear" w:color="auto" w:fill="E7E7E8"/>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purpose committees</w:t>
            </w: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shd w:val="clear" w:color="auto" w:fill="E7E7E8"/>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i w:val="1"/>
                <w:iCs w:val="1"/>
                <w:color w:val="auto"/>
              </w:rPr>
              <w:t>meetings as appropriate</w:t>
            </w:r>
          </w:p>
        </w:tc>
        <w:tc>
          <w:tcPr>
            <w:tcW w:w="120" w:type="dxa"/>
            <w:vAlign w:val="bottom"/>
            <w:shd w:val="clear" w:color="auto" w:fill="E7E7E8"/>
          </w:tcPr>
          <w:p>
            <w:pPr>
              <w:spacing w:after="0"/>
              <w:rPr>
                <w:sz w:val="16"/>
                <w:szCs w:val="16"/>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Led by Lead Independent Director</w:t>
            </w:r>
          </w:p>
        </w:tc>
        <w:tc>
          <w:tcPr>
            <w:tcW w:w="120" w:type="dxa"/>
            <w:vAlign w:val="bottom"/>
            <w:shd w:val="clear" w:color="auto" w:fill="E7E7E8"/>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E7E7E8"/>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2660" w:type="dxa"/>
            <w:vAlign w:val="bottom"/>
            <w:vMerge w:val="continue"/>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2640" w:type="dxa"/>
            <w:vAlign w:val="bottom"/>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20" w:type="dxa"/>
            <w:vAlign w:val="bottom"/>
            <w:shd w:val="clear" w:color="auto" w:fill="E7E7E8"/>
          </w:tcPr>
          <w:p>
            <w:pPr>
              <w:spacing w:after="0"/>
              <w:rPr>
                <w:sz w:val="23"/>
                <w:szCs w:val="23"/>
                <w:color w:val="auto"/>
              </w:rPr>
            </w:pPr>
          </w:p>
        </w:tc>
        <w:tc>
          <w:tcPr>
            <w:tcW w:w="2660" w:type="dxa"/>
            <w:vAlign w:val="bottom"/>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2660" w:type="dxa"/>
            <w:vAlign w:val="bottom"/>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Board conducts its business as a whole and through a well-developed committee structure in adherence to our Governance Principles. The Board has established practices and processes to actively manage its information flow, set meeting agendas and promote sound, well-informed decisions.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Board members have direct access to management and regularly receive information from and engage with management during and outside of formal Board meetings.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addition, the Board and each committee has the authority and resources to seek legal or other expert advice from sources independent of management.</w:t>
      </w:r>
    </w:p>
    <w:p>
      <w:pPr>
        <w:spacing w:after="0" w:line="4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full Board met 10 times in 2021. For more information on committees, see below. Each director attended 75% or more of the total meetings of the Board and the committees on which he or she served in 2021.</w:t>
      </w:r>
    </w:p>
    <w:p>
      <w:pPr>
        <w:sectPr>
          <w:pgSz w:w="11900" w:h="16838" w:orient="portrait"/>
          <w:cols w:equalWidth="0" w:num="1">
            <w:col w:w="11260"/>
          </w:cols>
          <w:pgMar w:left="320" w:top="157" w:right="31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color w:val="074A75"/>
        </w:rPr>
        <w:t>Committees of the Board</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significant portion of our Board’s oversight responsibilities is carried out through its five independent, principal standing committees: Audit Committee, CMDC, Governance Committee, Public Responsibility Committee ("PRC") and Risk Committee. Allocating responsibilities among committees allows more in-depth attention devoted to the Board’s oversight of the business and affairs of the Firm.</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Committees meet regularly in conjunction with scheduled Board meetings and hold additional meetings as needed. Each committee reviews reports from senior management and reports its actions to, and discusses its recommendations with, the full Board.</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principal standing committee operates pursuant to a written charter. These charters are available on our website at jpmorganchase.com/about/governance/board-committees. Each charter is reviewed at least annually as part of the Board’s and each respective committee’s self-assessment.</w:t>
      </w:r>
    </w:p>
    <w:p>
      <w:pPr>
        <w:spacing w:after="0" w:line="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Governance Committee annually reviews the allocation of responsibility among the committees as part of the Board and committee self-assessment. For more information about the self-assessment process, see page 27.</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committee has oversight of specific areas of business activities and risk, and engages with the Firm’s senior management responsible for those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All committee chairs are appointed at least annually by our Board.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Committee chairs are responsible for:</w:t>
      </w:r>
    </w:p>
    <w:p>
      <w:pPr>
        <w:spacing w:after="0" w:line="99" w:lineRule="exact"/>
        <w:rPr>
          <w:sz w:val="20"/>
          <w:szCs w:val="20"/>
          <w:color w:val="auto"/>
        </w:rPr>
      </w:pPr>
    </w:p>
    <w:p>
      <w:pPr>
        <w:ind w:left="200" w:hanging="196"/>
        <w:spacing w:after="0"/>
        <w:tabs>
          <w:tab w:leader="none" w:pos="200"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Calling meetings of their committees</w:t>
      </w:r>
    </w:p>
    <w:p>
      <w:pPr>
        <w:spacing w:after="0" w:line="90" w:lineRule="exact"/>
        <w:rPr>
          <w:rFonts w:ascii="Arial" w:cs="Arial" w:eastAsia="Arial" w:hAnsi="Arial"/>
          <w:sz w:val="18"/>
          <w:szCs w:val="18"/>
          <w:color w:val="074A75"/>
        </w:rPr>
      </w:pPr>
    </w:p>
    <w:p>
      <w:pPr>
        <w:ind w:left="200" w:hanging="196"/>
        <w:spacing w:after="0"/>
        <w:tabs>
          <w:tab w:leader="none" w:pos="200"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Approving agendas for their committee meetings</w:t>
      </w:r>
    </w:p>
    <w:p>
      <w:pPr>
        <w:spacing w:after="0" w:line="76" w:lineRule="exact"/>
        <w:rPr>
          <w:rFonts w:ascii="Arial" w:cs="Arial" w:eastAsia="Arial" w:hAnsi="Arial"/>
          <w:sz w:val="18"/>
          <w:szCs w:val="18"/>
          <w:color w:val="074A75"/>
        </w:rPr>
      </w:pPr>
    </w:p>
    <w:p>
      <w:pPr>
        <w:ind w:left="200" w:hanging="196"/>
        <w:spacing w:after="0"/>
        <w:tabs>
          <w:tab w:leader="none" w:pos="200"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Presiding at meetings of their committees</w:t>
      </w:r>
    </w:p>
    <w:p>
      <w:pPr>
        <w:spacing w:after="0" w:line="76" w:lineRule="exact"/>
        <w:rPr>
          <w:rFonts w:ascii="Arial" w:cs="Arial" w:eastAsia="Arial" w:hAnsi="Arial"/>
          <w:sz w:val="18"/>
          <w:szCs w:val="18"/>
          <w:color w:val="074A75"/>
        </w:rPr>
      </w:pPr>
    </w:p>
    <w:p>
      <w:pPr>
        <w:ind w:left="200" w:right="700" w:hanging="196"/>
        <w:spacing w:after="0" w:line="268" w:lineRule="auto"/>
        <w:tabs>
          <w:tab w:leader="none" w:pos="204"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Serving as a liaison between committee members and the Board, and between committee members and senior management, including the CEO</w:t>
      </w:r>
    </w:p>
    <w:p>
      <w:pPr>
        <w:spacing w:after="0" w:line="35" w:lineRule="exact"/>
        <w:rPr>
          <w:rFonts w:ascii="Arial" w:cs="Arial" w:eastAsia="Arial" w:hAnsi="Arial"/>
          <w:sz w:val="18"/>
          <w:szCs w:val="18"/>
          <w:color w:val="074A75"/>
        </w:rPr>
      </w:pPr>
    </w:p>
    <w:p>
      <w:pPr>
        <w:ind w:left="200" w:right="500" w:hanging="196"/>
        <w:spacing w:after="0" w:line="287" w:lineRule="auto"/>
        <w:tabs>
          <w:tab w:leader="none" w:pos="204" w:val="left"/>
        </w:tabs>
        <w:numPr>
          <w:ilvl w:val="0"/>
          <w:numId w:val="88"/>
        </w:numPr>
        <w:rPr>
          <w:rFonts w:ascii="Arial" w:cs="Arial" w:eastAsia="Arial" w:hAnsi="Arial"/>
          <w:sz w:val="18"/>
          <w:szCs w:val="18"/>
          <w:color w:val="074A75"/>
        </w:rPr>
      </w:pPr>
      <w:r>
        <w:rPr>
          <w:rFonts w:ascii="Arial" w:cs="Arial" w:eastAsia="Arial" w:hAnsi="Arial"/>
          <w:sz w:val="18"/>
          <w:szCs w:val="18"/>
          <w:color w:val="auto"/>
        </w:rPr>
        <w:t>Working directly with the senior management responsible for committee mandates</w:t>
      </w:r>
    </w:p>
    <w:p>
      <w:pPr>
        <w:spacing w:after="0" w:line="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Board determined each member of the Audit Committee in 2021 (Timothy P. Flynn, Michael A. Neal and Phebe N. Novakovic) to be an audit committee financial expert in accordance with the definition established by the SEC, and that Ms. Bammann, the chair of the Risk Committee, has experience in identifying, assessing and managing risk exposures of large, complex financial firms in accordance with rules issued by the Board of Governors of the Federal Reserve System (“Federal Reserve”).</w:t>
      </w:r>
    </w:p>
    <w:p>
      <w:pPr>
        <w:spacing w:after="0" w:line="1253" w:lineRule="exact"/>
        <w:rPr>
          <w:sz w:val="20"/>
          <w:szCs w:val="20"/>
          <w:color w:val="auto"/>
        </w:rPr>
      </w:pPr>
    </w:p>
    <w:p>
      <w:pPr>
        <w:sectPr>
          <w:pgSz w:w="11900" w:h="16838" w:orient="portrait"/>
          <w:cols w:equalWidth="0" w:num="2">
            <w:col w:w="5360" w:space="380"/>
            <w:col w:w="5520"/>
          </w:cols>
          <w:pgMar w:left="320" w:top="157" w:right="319" w:bottom="1440" w:gutter="0" w:footer="0" w:header="0"/>
          <w:type w:val="continuous"/>
        </w:sectPr>
      </w:pP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149225</wp:posOffset>
            </wp:positionV>
            <wp:extent cx="76835" cy="1454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149225</wp:posOffset>
            </wp:positionV>
            <wp:extent cx="76835" cy="1454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149225</wp:posOffset>
            </wp:positionV>
            <wp:extent cx="77470" cy="1454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3"/>
                <w:szCs w:val="23"/>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56"/>
        </w:trPr>
        <w:tc>
          <w:tcPr>
            <w:tcW w:w="2300" w:type="dxa"/>
            <w:vAlign w:val="bottom"/>
            <w:tcBorders>
              <w:left w:val="single" w:sz="8" w:color="E7E7E8"/>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Borders>
              <w:bottom w:val="single" w:sz="8" w:color="E7E7E8"/>
            </w:tcBorders>
            <w:shd w:val="clear" w:color="auto" w:fill="E7E7E8"/>
          </w:tcPr>
          <w:p>
            <w:pPr>
              <w:spacing w:after="0"/>
              <w:rPr>
                <w:sz w:val="4"/>
                <w:szCs w:val="4"/>
                <w:color w:val="auto"/>
              </w:rPr>
            </w:pPr>
          </w:p>
        </w:tc>
        <w:tc>
          <w:tcPr>
            <w:tcW w:w="70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70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FFFFFF"/>
        </w:rPr>
        <w:t>Key oversight responsibilities of the principal standing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97790</wp:posOffset>
            </wp:positionV>
            <wp:extent cx="7149465" cy="383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3831590"/>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074A75"/>
        </w:rPr>
        <w:t>BOARD OF DIRECTORS</w:t>
      </w:r>
    </w:p>
    <w:p>
      <w:pPr>
        <w:sectPr>
          <w:pgSz w:w="11900" w:h="16838" w:orient="portrait"/>
          <w:cols w:equalWidth="0" w:num="1">
            <w:col w:w="11260"/>
          </w:cols>
          <w:pgMar w:left="320" w:top="157" w:right="31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3E693D"/>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3E693D"/>
        </w:rPr>
        <w:t>CMDC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320" w:type="dxa"/>
            <w:vAlign w:val="bottom"/>
            <w:tcBorders>
              <w:right w:val="single" w:sz="8" w:color="E7E7E8"/>
            </w:tcBorders>
          </w:tcPr>
          <w:p>
            <w:pPr>
              <w:spacing w:after="0"/>
              <w:rPr>
                <w:sz w:val="20"/>
                <w:szCs w:val="20"/>
                <w:color w:val="auto"/>
              </w:rPr>
            </w:pPr>
            <w:r>
              <w:rPr>
                <w:rFonts w:ascii="Arial" w:cs="Arial" w:eastAsia="Arial" w:hAnsi="Arial"/>
                <w:sz w:val="16"/>
                <w:szCs w:val="16"/>
                <w:b w:val="1"/>
                <w:bCs w:val="1"/>
                <w:color w:val="3E693D"/>
              </w:rPr>
              <w:t>Risk</w:t>
            </w:r>
          </w:p>
        </w:tc>
        <w:tc>
          <w:tcPr>
            <w:tcW w:w="2240" w:type="dxa"/>
            <w:vAlign w:val="bottom"/>
            <w:tcBorders>
              <w:right w:val="single" w:sz="8" w:color="E7E7E8"/>
            </w:tcBorders>
          </w:tcPr>
          <w:p>
            <w:pPr>
              <w:ind w:left="920"/>
              <w:spacing w:after="0"/>
              <w:rPr>
                <w:sz w:val="20"/>
                <w:szCs w:val="20"/>
                <w:color w:val="auto"/>
              </w:rPr>
            </w:pPr>
            <w:r>
              <w:rPr>
                <w:rFonts w:ascii="Arial" w:cs="Arial" w:eastAsia="Arial" w:hAnsi="Arial"/>
                <w:sz w:val="16"/>
                <w:szCs w:val="16"/>
                <w:b w:val="1"/>
                <w:bCs w:val="1"/>
                <w:color w:val="3E693D"/>
              </w:rPr>
              <w:t>PRC</w:t>
            </w:r>
          </w:p>
        </w:tc>
        <w:tc>
          <w:tcPr>
            <w:tcW w:w="1540" w:type="dxa"/>
            <w:vAlign w:val="bottom"/>
          </w:tcPr>
          <w:p>
            <w:pPr>
              <w:ind w:left="620"/>
              <w:spacing w:after="0"/>
              <w:rPr>
                <w:sz w:val="20"/>
                <w:szCs w:val="20"/>
                <w:color w:val="auto"/>
              </w:rPr>
            </w:pPr>
            <w:r>
              <w:rPr>
                <w:rFonts w:ascii="Arial" w:cs="Arial" w:eastAsia="Arial" w:hAnsi="Arial"/>
                <w:sz w:val="16"/>
                <w:szCs w:val="16"/>
                <w:b w:val="1"/>
                <w:bCs w:val="1"/>
                <w:color w:val="3E693D"/>
                <w:w w:val="97"/>
              </w:rPr>
              <w:t>Governance</w:t>
            </w:r>
          </w:p>
        </w:tc>
      </w:tr>
    </w:tbl>
    <w:p>
      <w:pPr>
        <w:spacing w:after="0" w:line="200" w:lineRule="exact"/>
        <w:rPr>
          <w:sz w:val="20"/>
          <w:szCs w:val="20"/>
          <w:color w:val="auto"/>
        </w:rPr>
      </w:pPr>
    </w:p>
    <w:p>
      <w:pPr>
        <w:sectPr>
          <w:pgSz w:w="11900" w:h="16838" w:orient="portrait"/>
          <w:cols w:equalWidth="0" w:num="3">
            <w:col w:w="2400" w:space="720"/>
            <w:col w:w="1620" w:space="720"/>
            <w:col w:w="5800"/>
          </w:cols>
          <w:pgMar w:left="320" w:top="157" w:right="319" w:bottom="1440" w:gutter="0" w:footer="0" w:header="0"/>
          <w:type w:val="continuous"/>
        </w:sectPr>
      </w:pPr>
    </w:p>
    <w:p>
      <w:pPr>
        <w:spacing w:after="0" w:line="6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17 meetings in 2021</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jc w:val="both"/>
        <w:ind w:left="320" w:right="600" w:hanging="190"/>
        <w:spacing w:after="0" w:line="252" w:lineRule="auto"/>
        <w:tabs>
          <w:tab w:leader="none" w:pos="311"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The independent registered public accounting firm’s qualifications and independence</w:t>
      </w:r>
    </w:p>
    <w:p>
      <w:pPr>
        <w:spacing w:after="0" w:line="18" w:lineRule="exact"/>
        <w:rPr>
          <w:rFonts w:ascii="Arial" w:cs="Arial" w:eastAsia="Arial" w:hAnsi="Arial"/>
          <w:sz w:val="14"/>
          <w:szCs w:val="14"/>
          <w:color w:val="074A75"/>
        </w:rPr>
      </w:pPr>
    </w:p>
    <w:p>
      <w:pPr>
        <w:ind w:left="320" w:right="60" w:hanging="190"/>
        <w:spacing w:after="0" w:line="256" w:lineRule="auto"/>
        <w:tabs>
          <w:tab w:leader="none" w:pos="311"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The performance of the internal audit function and the independent public accounting firm</w:t>
      </w:r>
    </w:p>
    <w:p>
      <w:pPr>
        <w:spacing w:after="0" w:line="15" w:lineRule="exact"/>
        <w:rPr>
          <w:rFonts w:ascii="Arial" w:cs="Arial" w:eastAsia="Arial" w:hAnsi="Arial"/>
          <w:sz w:val="14"/>
          <w:szCs w:val="14"/>
          <w:color w:val="074A75"/>
        </w:rPr>
      </w:pPr>
    </w:p>
    <w:p>
      <w:pPr>
        <w:ind w:left="320" w:right="140" w:hanging="190"/>
        <w:spacing w:after="0" w:line="256" w:lineRule="auto"/>
        <w:tabs>
          <w:tab w:leader="none" w:pos="311"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Management’s responsibilities to assure that there is an effective system of controls</w:t>
      </w:r>
    </w:p>
    <w:p>
      <w:pPr>
        <w:spacing w:after="0" w:line="15" w:lineRule="exact"/>
        <w:rPr>
          <w:rFonts w:ascii="Arial" w:cs="Arial" w:eastAsia="Arial" w:hAnsi="Arial"/>
          <w:sz w:val="14"/>
          <w:szCs w:val="14"/>
          <w:color w:val="074A75"/>
        </w:rPr>
      </w:pPr>
    </w:p>
    <w:p>
      <w:pPr>
        <w:ind w:left="320" w:hanging="190"/>
        <w:spacing w:after="0"/>
        <w:tabs>
          <w:tab w:leader="none" w:pos="320"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Internal control framework</w:t>
      </w:r>
    </w:p>
    <w:p>
      <w:pPr>
        <w:spacing w:after="0" w:line="55" w:lineRule="exact"/>
        <w:rPr>
          <w:rFonts w:ascii="Arial" w:cs="Arial" w:eastAsia="Arial" w:hAnsi="Arial"/>
          <w:sz w:val="14"/>
          <w:szCs w:val="14"/>
          <w:color w:val="074A75"/>
        </w:rPr>
      </w:pPr>
    </w:p>
    <w:p>
      <w:pPr>
        <w:ind w:left="320" w:right="480" w:hanging="190"/>
        <w:spacing w:after="0" w:line="281" w:lineRule="auto"/>
        <w:tabs>
          <w:tab w:leader="none" w:pos="311"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Integrity of financial statements</w:t>
      </w:r>
    </w:p>
    <w:p>
      <w:pPr>
        <w:spacing w:after="0" w:line="1" w:lineRule="exact"/>
        <w:rPr>
          <w:rFonts w:ascii="Arial" w:cs="Arial" w:eastAsia="Arial" w:hAnsi="Arial"/>
          <w:sz w:val="14"/>
          <w:szCs w:val="14"/>
          <w:color w:val="074A75"/>
        </w:rPr>
      </w:pPr>
    </w:p>
    <w:p>
      <w:pPr>
        <w:jc w:val="both"/>
        <w:ind w:left="320" w:hanging="190"/>
        <w:spacing w:after="0" w:line="256" w:lineRule="auto"/>
        <w:tabs>
          <w:tab w:leader="none" w:pos="311"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Compliance with the Firm’s ethical standards, policies, plans and procedures, and with laws and regulations</w:t>
      </w:r>
    </w:p>
    <w:p>
      <w:pPr>
        <w:spacing w:after="0" w:line="15" w:lineRule="exact"/>
        <w:rPr>
          <w:rFonts w:ascii="Arial" w:cs="Arial" w:eastAsia="Arial" w:hAnsi="Arial"/>
          <w:sz w:val="14"/>
          <w:szCs w:val="14"/>
          <w:color w:val="074A75"/>
        </w:rPr>
      </w:pPr>
    </w:p>
    <w:p>
      <w:pPr>
        <w:jc w:val="both"/>
        <w:ind w:left="320" w:right="280" w:hanging="190"/>
        <w:spacing w:after="0" w:line="263" w:lineRule="auto"/>
        <w:tabs>
          <w:tab w:leader="none" w:pos="311"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9"/>
        <w:spacing w:after="0"/>
        <w:rPr>
          <w:sz w:val="20"/>
          <w:szCs w:val="20"/>
          <w:color w:val="auto"/>
        </w:rPr>
      </w:pPr>
      <w:r>
        <w:rPr>
          <w:rFonts w:ascii="Arial" w:cs="Arial" w:eastAsia="Arial" w:hAnsi="Arial"/>
          <w:sz w:val="14"/>
          <w:szCs w:val="14"/>
          <w:color w:val="auto"/>
        </w:rPr>
        <w:t>6 meetings in 2021</w:t>
      </w:r>
    </w:p>
    <w:p>
      <w:pPr>
        <w:spacing w:after="0" w:line="55" w:lineRule="exact"/>
        <w:rPr>
          <w:sz w:val="20"/>
          <w:szCs w:val="20"/>
          <w:color w:val="auto"/>
        </w:rPr>
      </w:pPr>
    </w:p>
    <w:p>
      <w:pPr>
        <w:ind w:left="9"/>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ind w:left="189" w:right="580" w:hanging="189"/>
        <w:spacing w:after="0" w:line="263" w:lineRule="auto"/>
        <w:tabs>
          <w:tab w:leader="none" w:pos="180"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Development of and succession for key executives</w:t>
      </w:r>
    </w:p>
    <w:p>
      <w:pPr>
        <w:spacing w:after="0" w:line="10" w:lineRule="exact"/>
        <w:rPr>
          <w:rFonts w:ascii="Arial" w:cs="Arial" w:eastAsia="Arial" w:hAnsi="Arial"/>
          <w:sz w:val="14"/>
          <w:szCs w:val="14"/>
          <w:color w:val="074A75"/>
        </w:rPr>
      </w:pPr>
    </w:p>
    <w:p>
      <w:pPr>
        <w:ind w:left="189" w:right="280" w:hanging="189"/>
        <w:spacing w:after="0" w:line="281" w:lineRule="auto"/>
        <w:tabs>
          <w:tab w:leader="none" w:pos="180"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Compensation principles and practices</w:t>
      </w:r>
    </w:p>
    <w:p>
      <w:pPr>
        <w:spacing w:after="0" w:line="1" w:lineRule="exact"/>
        <w:rPr>
          <w:rFonts w:ascii="Arial" w:cs="Arial" w:eastAsia="Arial" w:hAnsi="Arial"/>
          <w:sz w:val="14"/>
          <w:szCs w:val="14"/>
          <w:color w:val="074A75"/>
        </w:rPr>
      </w:pPr>
    </w:p>
    <w:p>
      <w:pPr>
        <w:ind w:left="189" w:right="80" w:hanging="189"/>
        <w:spacing w:after="0" w:line="281" w:lineRule="auto"/>
        <w:tabs>
          <w:tab w:leader="none" w:pos="180"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Compensation and qualified benefit programs</w:t>
      </w:r>
    </w:p>
    <w:p>
      <w:pPr>
        <w:spacing w:after="0" w:line="1" w:lineRule="exact"/>
        <w:rPr>
          <w:rFonts w:ascii="Arial" w:cs="Arial" w:eastAsia="Arial" w:hAnsi="Arial"/>
          <w:sz w:val="14"/>
          <w:szCs w:val="14"/>
          <w:color w:val="074A75"/>
        </w:rPr>
      </w:pPr>
    </w:p>
    <w:p>
      <w:pPr>
        <w:ind w:left="189" w:right="160" w:hanging="189"/>
        <w:spacing w:after="0" w:line="263" w:lineRule="auto"/>
        <w:tabs>
          <w:tab w:leader="none" w:pos="180"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Operating Committee performance assessments and compensation</w:t>
      </w:r>
    </w:p>
    <w:p>
      <w:pPr>
        <w:spacing w:after="0" w:line="10" w:lineRule="exact"/>
        <w:rPr>
          <w:rFonts w:ascii="Arial" w:cs="Arial" w:eastAsia="Arial" w:hAnsi="Arial"/>
          <w:sz w:val="14"/>
          <w:szCs w:val="14"/>
          <w:color w:val="074A75"/>
        </w:rPr>
      </w:pPr>
    </w:p>
    <w:p>
      <w:pPr>
        <w:ind w:left="189" w:right="140" w:hanging="189"/>
        <w:spacing w:after="0" w:line="256" w:lineRule="auto"/>
        <w:tabs>
          <w:tab w:leader="none" w:pos="180"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Firm’s Business Principles, culture and significant employee conduct issues and any related actions</w:t>
      </w:r>
    </w:p>
    <w:p>
      <w:pPr>
        <w:spacing w:after="0" w:line="15" w:lineRule="exact"/>
        <w:rPr>
          <w:rFonts w:ascii="Arial" w:cs="Arial" w:eastAsia="Arial" w:hAnsi="Arial"/>
          <w:sz w:val="14"/>
          <w:szCs w:val="14"/>
          <w:color w:val="074A75"/>
        </w:rPr>
      </w:pPr>
    </w:p>
    <w:p>
      <w:pPr>
        <w:ind w:left="189" w:hanging="189"/>
        <w:spacing w:after="0" w:line="263" w:lineRule="auto"/>
        <w:tabs>
          <w:tab w:leader="none" w:pos="180"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7 meetings in 2021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ind w:left="200" w:hanging="194"/>
        <w:spacing w:after="0" w:line="247"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Management’s responsibility to implement an effective global risk management framework reasonably designed to identify, assess and manage the Firm’s risks, including:</w:t>
      </w:r>
    </w:p>
    <w:p>
      <w:pPr>
        <w:spacing w:after="0" w:line="24" w:lineRule="exact"/>
        <w:rPr>
          <w:rFonts w:ascii="Arial" w:cs="Arial" w:eastAsia="Arial" w:hAnsi="Arial"/>
          <w:sz w:val="14"/>
          <w:szCs w:val="14"/>
          <w:color w:val="074A75"/>
        </w:rPr>
      </w:pPr>
    </w:p>
    <w:p>
      <w:pPr>
        <w:ind w:left="200"/>
        <w:spacing w:after="0"/>
        <w:rPr>
          <w:rFonts w:ascii="Arial" w:cs="Arial" w:eastAsia="Arial" w:hAnsi="Arial"/>
          <w:sz w:val="14"/>
          <w:szCs w:val="14"/>
          <w:color w:val="074A75"/>
        </w:rPr>
      </w:pPr>
      <w:r>
        <w:rPr>
          <w:rFonts w:ascii="Arial" w:cs="Arial" w:eastAsia="Arial" w:hAnsi="Arial"/>
          <w:sz w:val="14"/>
          <w:szCs w:val="14"/>
          <w:color w:val="064A75"/>
        </w:rPr>
        <w:t xml:space="preserve">–  </w:t>
      </w:r>
      <w:r>
        <w:rPr>
          <w:rFonts w:ascii="Arial" w:cs="Arial" w:eastAsia="Arial" w:hAnsi="Arial"/>
          <w:sz w:val="14"/>
          <w:szCs w:val="14"/>
          <w:color w:val="000000"/>
        </w:rPr>
        <w:t>Strategic risk</w:t>
      </w:r>
    </w:p>
    <w:p>
      <w:pPr>
        <w:spacing w:after="0" w:line="55" w:lineRule="exact"/>
        <w:rPr>
          <w:rFonts w:ascii="Arial" w:cs="Arial" w:eastAsia="Arial" w:hAnsi="Arial"/>
          <w:sz w:val="14"/>
          <w:szCs w:val="14"/>
          <w:color w:val="074A75"/>
        </w:rPr>
      </w:pPr>
    </w:p>
    <w:p>
      <w:pPr>
        <w:ind w:left="200"/>
        <w:spacing w:after="0"/>
        <w:rPr>
          <w:rFonts w:ascii="Arial" w:cs="Arial" w:eastAsia="Arial" w:hAnsi="Arial"/>
          <w:sz w:val="14"/>
          <w:szCs w:val="14"/>
          <w:color w:val="074A75"/>
        </w:rPr>
      </w:pPr>
      <w:r>
        <w:rPr>
          <w:rFonts w:ascii="Arial" w:cs="Arial" w:eastAsia="Arial" w:hAnsi="Arial"/>
          <w:sz w:val="14"/>
          <w:szCs w:val="14"/>
          <w:color w:val="064A75"/>
        </w:rPr>
        <w:t xml:space="preserve">–  </w:t>
      </w:r>
      <w:r>
        <w:rPr>
          <w:rFonts w:ascii="Arial" w:cs="Arial" w:eastAsia="Arial" w:hAnsi="Arial"/>
          <w:sz w:val="14"/>
          <w:szCs w:val="14"/>
          <w:color w:val="000000"/>
        </w:rPr>
        <w:t>Market risk</w:t>
      </w:r>
    </w:p>
    <w:p>
      <w:pPr>
        <w:spacing w:after="0" w:line="55" w:lineRule="exact"/>
        <w:rPr>
          <w:rFonts w:ascii="Arial" w:cs="Arial" w:eastAsia="Arial" w:hAnsi="Arial"/>
          <w:sz w:val="14"/>
          <w:szCs w:val="14"/>
          <w:color w:val="074A75"/>
        </w:rPr>
      </w:pPr>
    </w:p>
    <w:p>
      <w:pPr>
        <w:ind w:left="400" w:right="100" w:hanging="194"/>
        <w:spacing w:after="0" w:line="281" w:lineRule="auto"/>
        <w:rPr>
          <w:rFonts w:ascii="Arial" w:cs="Arial" w:eastAsia="Arial" w:hAnsi="Arial"/>
          <w:sz w:val="14"/>
          <w:szCs w:val="14"/>
          <w:color w:val="074A75"/>
        </w:rPr>
      </w:pPr>
      <w:r>
        <w:rPr>
          <w:rFonts w:ascii="Arial" w:cs="Arial" w:eastAsia="Arial" w:hAnsi="Arial"/>
          <w:sz w:val="14"/>
          <w:szCs w:val="14"/>
          <w:color w:val="064A75"/>
        </w:rPr>
        <w:t xml:space="preserve">– </w:t>
      </w:r>
      <w:r>
        <w:rPr>
          <w:rFonts w:ascii="Arial" w:cs="Arial" w:eastAsia="Arial" w:hAnsi="Arial"/>
          <w:sz w:val="14"/>
          <w:szCs w:val="14"/>
          <w:color w:val="000000"/>
        </w:rPr>
        <w:t>Credit and investment</w:t>
      </w:r>
      <w:r>
        <w:rPr>
          <w:rFonts w:ascii="Arial" w:cs="Arial" w:eastAsia="Arial" w:hAnsi="Arial"/>
          <w:sz w:val="14"/>
          <w:szCs w:val="14"/>
          <w:color w:val="064A75"/>
        </w:rPr>
        <w:t xml:space="preserve"> </w:t>
      </w:r>
      <w:r>
        <w:rPr>
          <w:rFonts w:ascii="Arial" w:cs="Arial" w:eastAsia="Arial" w:hAnsi="Arial"/>
          <w:sz w:val="14"/>
          <w:szCs w:val="14"/>
          <w:color w:val="000000"/>
        </w:rPr>
        <w:t>risk</w:t>
      </w:r>
    </w:p>
    <w:p>
      <w:pPr>
        <w:spacing w:after="0" w:line="1" w:lineRule="exact"/>
        <w:rPr>
          <w:rFonts w:ascii="Arial" w:cs="Arial" w:eastAsia="Arial" w:hAnsi="Arial"/>
          <w:sz w:val="14"/>
          <w:szCs w:val="14"/>
          <w:color w:val="074A75"/>
        </w:rPr>
      </w:pPr>
    </w:p>
    <w:p>
      <w:pPr>
        <w:ind w:left="200"/>
        <w:spacing w:after="0"/>
        <w:rPr>
          <w:rFonts w:ascii="Arial" w:cs="Arial" w:eastAsia="Arial" w:hAnsi="Arial"/>
          <w:sz w:val="14"/>
          <w:szCs w:val="14"/>
          <w:color w:val="074A75"/>
        </w:rPr>
      </w:pPr>
      <w:r>
        <w:rPr>
          <w:rFonts w:ascii="Arial" w:cs="Arial" w:eastAsia="Arial" w:hAnsi="Arial"/>
          <w:sz w:val="14"/>
          <w:szCs w:val="14"/>
          <w:color w:val="064A75"/>
        </w:rPr>
        <w:t xml:space="preserve">–  </w:t>
      </w:r>
      <w:r>
        <w:rPr>
          <w:rFonts w:ascii="Arial" w:cs="Arial" w:eastAsia="Arial" w:hAnsi="Arial"/>
          <w:sz w:val="14"/>
          <w:szCs w:val="14"/>
          <w:color w:val="000000"/>
        </w:rPr>
        <w:t>Operational risk</w:t>
      </w:r>
    </w:p>
    <w:p>
      <w:pPr>
        <w:spacing w:after="0" w:line="55" w:lineRule="exact"/>
        <w:rPr>
          <w:rFonts w:ascii="Arial" w:cs="Arial" w:eastAsia="Arial" w:hAnsi="Arial"/>
          <w:sz w:val="14"/>
          <w:szCs w:val="14"/>
          <w:color w:val="074A75"/>
        </w:rPr>
      </w:pPr>
    </w:p>
    <w:p>
      <w:pPr>
        <w:ind w:left="200" w:right="260" w:hanging="194"/>
        <w:spacing w:after="0" w:line="281"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Applicable primary risk management policies</w:t>
      </w:r>
    </w:p>
    <w:p>
      <w:pPr>
        <w:spacing w:after="0" w:line="1" w:lineRule="exact"/>
        <w:rPr>
          <w:rFonts w:ascii="Arial" w:cs="Arial" w:eastAsia="Arial" w:hAnsi="Arial"/>
          <w:sz w:val="14"/>
          <w:szCs w:val="14"/>
          <w:color w:val="074A75"/>
        </w:rPr>
      </w:pPr>
    </w:p>
    <w:p>
      <w:pPr>
        <w:ind w:left="200" w:right="140" w:hanging="194"/>
        <w:spacing w:after="0" w:line="281"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Risk appetite results and breaches</w:t>
      </w:r>
    </w:p>
    <w:p>
      <w:pPr>
        <w:spacing w:after="0" w:line="1" w:lineRule="exact"/>
        <w:rPr>
          <w:rFonts w:ascii="Arial" w:cs="Arial" w:eastAsia="Arial" w:hAnsi="Arial"/>
          <w:sz w:val="14"/>
          <w:szCs w:val="14"/>
          <w:color w:val="074A75"/>
        </w:rPr>
      </w:pPr>
    </w:p>
    <w:p>
      <w:pPr>
        <w:ind w:left="200" w:right="300" w:hanging="194"/>
        <w:spacing w:after="0" w:line="263"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The Firm’s capital and liquidity planning and analysis</w:t>
      </w:r>
    </w:p>
    <w:p>
      <w:pPr>
        <w:spacing w:after="0" w:line="10" w:lineRule="exact"/>
        <w:rPr>
          <w:rFonts w:ascii="Arial" w:cs="Arial" w:eastAsia="Arial" w:hAnsi="Arial"/>
          <w:sz w:val="14"/>
          <w:szCs w:val="14"/>
          <w:color w:val="074A75"/>
        </w:rPr>
      </w:pPr>
    </w:p>
    <w:p>
      <w:pPr>
        <w:jc w:val="both"/>
        <w:ind w:left="200" w:right="260" w:hanging="194"/>
        <w:spacing w:after="0" w:line="263" w:lineRule="auto"/>
        <w:tabs>
          <w:tab w:leader="none" w:pos="191"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5 meetings in 2021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ind w:left="200" w:right="180" w:hanging="193"/>
        <w:spacing w:after="0" w:line="281" w:lineRule="auto"/>
        <w:tabs>
          <w:tab w:leader="none" w:pos="191"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Community investing and fair lending practices</w:t>
      </w:r>
    </w:p>
    <w:p>
      <w:pPr>
        <w:spacing w:after="0" w:line="1" w:lineRule="exact"/>
        <w:rPr>
          <w:rFonts w:ascii="Arial" w:cs="Arial" w:eastAsia="Arial" w:hAnsi="Arial"/>
          <w:sz w:val="14"/>
          <w:szCs w:val="14"/>
          <w:color w:val="074A75"/>
        </w:rPr>
      </w:pPr>
    </w:p>
    <w:p>
      <w:pPr>
        <w:ind w:left="200" w:hanging="193"/>
        <w:spacing w:after="0" w:line="252" w:lineRule="auto"/>
        <w:tabs>
          <w:tab w:leader="none" w:pos="191"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Political contributions, major lobbying priorities and principal trade association memberships related to public policy</w:t>
      </w:r>
    </w:p>
    <w:p>
      <w:pPr>
        <w:spacing w:after="0" w:line="18" w:lineRule="exact"/>
        <w:rPr>
          <w:rFonts w:ascii="Arial" w:cs="Arial" w:eastAsia="Arial" w:hAnsi="Arial"/>
          <w:sz w:val="14"/>
          <w:szCs w:val="14"/>
          <w:color w:val="074A75"/>
        </w:rPr>
      </w:pPr>
    </w:p>
    <w:p>
      <w:pPr>
        <w:ind w:left="200" w:hanging="193"/>
        <w:spacing w:after="0"/>
        <w:tabs>
          <w:tab w:leader="none" w:pos="200"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Sustainability</w:t>
      </w:r>
    </w:p>
    <w:p>
      <w:pPr>
        <w:spacing w:after="0" w:line="55" w:lineRule="exact"/>
        <w:rPr>
          <w:rFonts w:ascii="Arial" w:cs="Arial" w:eastAsia="Arial" w:hAnsi="Arial"/>
          <w:sz w:val="14"/>
          <w:szCs w:val="14"/>
          <w:color w:val="074A75"/>
        </w:rPr>
      </w:pPr>
    </w:p>
    <w:p>
      <w:pPr>
        <w:ind w:left="200" w:right="60" w:hanging="193"/>
        <w:spacing w:after="0" w:line="247" w:lineRule="auto"/>
        <w:tabs>
          <w:tab w:leader="none" w:pos="191"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Consumer practices, including consumer experience, consumer complaint resolution and consumer issues related to disclosures, fees or the introduction of major new products</w:t>
      </w:r>
    </w:p>
    <w:p>
      <w:pPr>
        <w:spacing w:after="0" w:line="24" w:lineRule="exact"/>
        <w:rPr>
          <w:rFonts w:ascii="Arial" w:cs="Arial" w:eastAsia="Arial" w:hAnsi="Arial"/>
          <w:sz w:val="14"/>
          <w:szCs w:val="14"/>
          <w:color w:val="074A75"/>
        </w:rPr>
      </w:pPr>
    </w:p>
    <w:p>
      <w:pPr>
        <w:jc w:val="both"/>
        <w:ind w:left="200" w:right="340" w:hanging="193"/>
        <w:spacing w:after="0" w:line="263" w:lineRule="auto"/>
        <w:tabs>
          <w:tab w:leader="none" w:pos="191"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8 meetings in 2021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ind w:left="200" w:right="220" w:hanging="192"/>
        <w:spacing w:after="0" w:line="263" w:lineRule="auto"/>
        <w:tabs>
          <w:tab w:leader="none" w:pos="191"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Review of the qualifications of proposed nominees for Board membership</w:t>
      </w:r>
    </w:p>
    <w:p>
      <w:pPr>
        <w:spacing w:after="0" w:line="10" w:lineRule="exact"/>
        <w:rPr>
          <w:rFonts w:ascii="Arial" w:cs="Arial" w:eastAsia="Arial" w:hAnsi="Arial"/>
          <w:sz w:val="14"/>
          <w:szCs w:val="14"/>
          <w:color w:val="074A75"/>
        </w:rPr>
      </w:pPr>
    </w:p>
    <w:p>
      <w:pPr>
        <w:ind w:left="200" w:right="300" w:hanging="192"/>
        <w:spacing w:after="0" w:line="263" w:lineRule="auto"/>
        <w:tabs>
          <w:tab w:leader="none" w:pos="191"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Corporate governance practices applicable to the Firm</w:t>
      </w:r>
    </w:p>
    <w:p>
      <w:pPr>
        <w:spacing w:after="0" w:line="10" w:lineRule="exact"/>
        <w:rPr>
          <w:rFonts w:ascii="Arial" w:cs="Arial" w:eastAsia="Arial" w:hAnsi="Arial"/>
          <w:sz w:val="14"/>
          <w:szCs w:val="14"/>
          <w:color w:val="074A75"/>
        </w:rPr>
      </w:pPr>
    </w:p>
    <w:p>
      <w:pPr>
        <w:ind w:left="200" w:right="400" w:hanging="192"/>
        <w:spacing w:after="0" w:line="281" w:lineRule="auto"/>
        <w:tabs>
          <w:tab w:leader="none" w:pos="191"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The framework for the Board’s self-assessment</w:t>
      </w:r>
    </w:p>
    <w:p>
      <w:pPr>
        <w:spacing w:after="0" w:line="1" w:lineRule="exact"/>
        <w:rPr>
          <w:rFonts w:ascii="Arial" w:cs="Arial" w:eastAsia="Arial" w:hAnsi="Arial"/>
          <w:sz w:val="14"/>
          <w:szCs w:val="14"/>
          <w:color w:val="074A75"/>
        </w:rPr>
      </w:pPr>
    </w:p>
    <w:p>
      <w:pPr>
        <w:ind w:left="200" w:hanging="192"/>
        <w:spacing w:after="0"/>
        <w:tabs>
          <w:tab w:leader="none" w:pos="200"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Shareholder matters</w:t>
      </w:r>
    </w:p>
    <w:p>
      <w:pPr>
        <w:spacing w:after="0" w:line="55" w:lineRule="exact"/>
        <w:rPr>
          <w:rFonts w:ascii="Arial" w:cs="Arial" w:eastAsia="Arial" w:hAnsi="Arial"/>
          <w:sz w:val="14"/>
          <w:szCs w:val="14"/>
          <w:color w:val="074A75"/>
        </w:rPr>
      </w:pPr>
    </w:p>
    <w:p>
      <w:pPr>
        <w:ind w:left="200" w:right="560" w:hanging="192"/>
        <w:spacing w:after="0" w:line="281" w:lineRule="auto"/>
        <w:tabs>
          <w:tab w:leader="none" w:pos="191"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Board and Committee composition</w:t>
      </w:r>
    </w:p>
    <w:p>
      <w:pPr>
        <w:spacing w:after="0" w:line="1" w:lineRule="exact"/>
        <w:rPr>
          <w:rFonts w:ascii="Arial" w:cs="Arial" w:eastAsia="Arial" w:hAnsi="Arial"/>
          <w:sz w:val="14"/>
          <w:szCs w:val="14"/>
          <w:color w:val="074A75"/>
        </w:rPr>
      </w:pPr>
    </w:p>
    <w:p>
      <w:pPr>
        <w:jc w:val="both"/>
        <w:ind w:left="200" w:right="520" w:hanging="192"/>
        <w:spacing w:after="0" w:line="263" w:lineRule="auto"/>
        <w:tabs>
          <w:tab w:leader="none" w:pos="191" w:val="left"/>
        </w:tabs>
        <w:numPr>
          <w:ilvl w:val="0"/>
          <w:numId w:val="93"/>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1820" w:lineRule="exact"/>
        <w:rPr>
          <w:sz w:val="20"/>
          <w:szCs w:val="20"/>
          <w:color w:val="auto"/>
        </w:rPr>
      </w:pPr>
    </w:p>
    <w:p>
      <w:pPr>
        <w:sectPr>
          <w:pgSz w:w="11900" w:h="16838" w:orient="portrait"/>
          <w:cols w:equalWidth="0" w:num="5">
            <w:col w:w="2040" w:space="291"/>
            <w:col w:w="2049" w:space="240"/>
            <w:col w:w="1900" w:space="340"/>
            <w:col w:w="1980" w:space="260"/>
            <w:col w:w="2160"/>
          </w:cols>
          <w:pgMar w:left="320" w:top="157" w:right="319" w:bottom="1440" w:gutter="0" w:footer="0" w:header="0"/>
          <w:type w:val="continuous"/>
        </w:sectPr>
      </w:pPr>
    </w:p>
    <w:p>
      <w:pPr>
        <w:spacing w:after="0" w:line="8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more information about committee responsibilities, see Committee Charters available at: jpmorganchase.com/about/governance/board-committees.</w:t>
      </w:r>
    </w:p>
    <w:p>
      <w:pPr>
        <w:sectPr>
          <w:pgSz w:w="11900" w:h="16838" w:orient="portrait"/>
          <w:cols w:equalWidth="0" w:num="1">
            <w:col w:w="11260"/>
          </w:cols>
          <w:pgMar w:left="320" w:top="157" w:right="31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74A75"/>
        </w:rPr>
        <w:t>Other Standing Committees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has two additional standing committees: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Stock Committee: </w:t>
      </w:r>
      <w:r>
        <w:rPr>
          <w:rFonts w:ascii="Arial" w:cs="Arial" w:eastAsia="Arial" w:hAnsi="Arial"/>
          <w:sz w:val="18"/>
          <w:szCs w:val="18"/>
          <w:color w:val="auto"/>
        </w:rPr>
        <w:t>The committee is responsible for implementing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declaration of dividends, authorizing the issuance of stock, administering the dividend reinvestment plan and implementing share repurchase plans. The committee acts within Board-approved limitations and capital plans.</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The committee may exercise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of the Board that lawfully may be delegated, but with the expectation that it would not take material actions absent special circumstances.</w:t>
      </w:r>
    </w:p>
    <w:p>
      <w:pPr>
        <w:spacing w:after="0" w:line="6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Board may establish additional standing committees as needed.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074A75"/>
        </w:rPr>
        <w:t>Specific Purpose Committees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Board establishes Specific Purpose Committees as appropriate to address specific issues. The Board currently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has two such committees, the Markets Compliance Committee and the Omnibus Committee. The Markets Compliance Committee provides oversight in connection with certain markets-related matters, including the Deferred Prosecution Agreement entered into with the U.S. Department of Justice to resolve the Firm's precious metals and U.S. Treasuries investigations.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Omnibus Committee reviews matters delegated by the Board.</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the Firm achieves its objectives in a specific area, the work of the relevant Specific Purpose Committee will be concluded and, the Committee appropriately disbanded.</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Additional Specific Purpose Committees may be established from time to time in the future to address particular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991870</wp:posOffset>
            </wp:positionV>
            <wp:extent cx="274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387" w:lineRule="exact"/>
        <w:rPr>
          <w:sz w:val="20"/>
          <w:szCs w:val="20"/>
          <w:color w:val="auto"/>
        </w:rPr>
      </w:pPr>
    </w:p>
    <w:p>
      <w:pPr>
        <w:sectPr>
          <w:pgSz w:w="11900" w:h="16838" w:orient="portrait"/>
          <w:cols w:equalWidth="0" w:num="2">
            <w:col w:w="5300" w:space="440"/>
            <w:col w:w="5520"/>
          </w:cols>
          <w:pgMar w:left="320" w:top="157" w:right="319"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25  </w:t>
      </w:r>
      <w:r>
        <w:rPr>
          <w:sz w:val="1"/>
          <w:szCs w:val="1"/>
          <w:color w:val="auto"/>
        </w:rPr>
        <w:drawing>
          <wp:inline distT="0" distB="0" distL="0" distR="0">
            <wp:extent cx="2203450" cy="15430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020" w:type="dxa"/>
            <w:vAlign w:val="bottom"/>
            <w:tcBorders>
              <w:top w:val="single" w:sz="8" w:color="E7E7E8"/>
              <w:left w:val="single" w:sz="8" w:color="E7E7E8"/>
              <w:right w:val="single" w:sz="8" w:color="E7E7E8"/>
            </w:tcBorders>
          </w:tcPr>
          <w:p>
            <w:pPr>
              <w:jc w:val="center"/>
              <w:spacing w:after="0"/>
              <w:rPr>
                <w:sz w:val="20"/>
                <w:szCs w:val="20"/>
                <w:color w:val="auto"/>
              </w:rPr>
            </w:pPr>
            <w:r>
              <w:rPr>
                <w:rFonts w:ascii="Arial" w:cs="Arial" w:eastAsia="Arial" w:hAnsi="Arial"/>
                <w:sz w:val="16"/>
                <w:szCs w:val="16"/>
                <w:color w:val="58585A"/>
              </w:rPr>
              <w:t>Director</w:t>
            </w:r>
          </w:p>
        </w:tc>
        <w:tc>
          <w:tcPr>
            <w:tcW w:w="340" w:type="dxa"/>
            <w:vAlign w:val="bottom"/>
          </w:tcPr>
          <w:p>
            <w:pPr>
              <w:spacing w:after="0"/>
              <w:rPr>
                <w:sz w:val="18"/>
                <w:szCs w:val="18"/>
                <w:color w:val="auto"/>
              </w:rPr>
            </w:pPr>
          </w:p>
        </w:tc>
        <w:tc>
          <w:tcPr>
            <w:tcW w:w="1080" w:type="dxa"/>
            <w:vAlign w:val="bottom"/>
            <w:tcBorders>
              <w:top w:val="single" w:sz="8" w:color="E7E7E8"/>
            </w:tcBorders>
            <w:shd w:val="clear" w:color="auto" w:fill="E7E7E8"/>
          </w:tcPr>
          <w:p>
            <w:pPr>
              <w:jc w:val="center"/>
              <w:spacing w:after="0"/>
              <w:rPr>
                <w:sz w:val="20"/>
                <w:szCs w:val="20"/>
                <w:color w:val="auto"/>
              </w:rPr>
            </w:pPr>
            <w:r>
              <w:rPr>
                <w:rFonts w:ascii="Arial" w:cs="Arial" w:eastAsia="Arial" w:hAnsi="Arial"/>
                <w:sz w:val="16"/>
                <w:szCs w:val="16"/>
                <w:color w:val="074A75"/>
              </w:rPr>
              <w:t>Board</w:t>
            </w:r>
          </w:p>
        </w:tc>
        <w:tc>
          <w:tcPr>
            <w:tcW w:w="440" w:type="dxa"/>
            <w:vAlign w:val="bottom"/>
            <w:tcBorders>
              <w:right w:val="single" w:sz="8" w:color="E7E7E8"/>
            </w:tcBorders>
          </w:tcPr>
          <w:p>
            <w:pPr>
              <w:spacing w:after="0"/>
              <w:rPr>
                <w:sz w:val="18"/>
                <w:szCs w:val="18"/>
                <w:color w:val="auto"/>
              </w:rPr>
            </w:pPr>
          </w:p>
        </w:tc>
        <w:tc>
          <w:tcPr>
            <w:tcW w:w="1000" w:type="dxa"/>
            <w:vAlign w:val="bottom"/>
            <w:tcBorders>
              <w:top w:val="single" w:sz="8" w:color="E7E7E8"/>
              <w:right w:val="single" w:sz="8" w:color="E7E7E8"/>
            </w:tcBorders>
          </w:tcPr>
          <w:p>
            <w:pPr>
              <w:jc w:val="center"/>
              <w:spacing w:after="0"/>
              <w:rPr>
                <w:sz w:val="20"/>
                <w:szCs w:val="20"/>
                <w:color w:val="auto"/>
              </w:rPr>
            </w:pPr>
            <w:r>
              <w:rPr>
                <w:rFonts w:ascii="Arial" w:cs="Arial" w:eastAsia="Arial" w:hAnsi="Arial"/>
                <w:sz w:val="16"/>
                <w:szCs w:val="16"/>
                <w:color w:val="58585A"/>
              </w:rPr>
              <w:t>Board</w:t>
            </w:r>
          </w:p>
        </w:tc>
        <w:tc>
          <w:tcPr>
            <w:tcW w:w="420" w:type="dxa"/>
            <w:vAlign w:val="bottom"/>
            <w:tcBorders>
              <w:right w:val="single" w:sz="8" w:color="E7E7E8"/>
            </w:tcBorders>
          </w:tcPr>
          <w:p>
            <w:pPr>
              <w:spacing w:after="0"/>
              <w:rPr>
                <w:sz w:val="18"/>
                <w:szCs w:val="18"/>
                <w:color w:val="auto"/>
              </w:rPr>
            </w:pPr>
          </w:p>
        </w:tc>
        <w:tc>
          <w:tcPr>
            <w:tcW w:w="1100" w:type="dxa"/>
            <w:vAlign w:val="bottom"/>
            <w:tcBorders>
              <w:top w:val="single" w:sz="8" w:color="E7E7E8"/>
              <w:right w:val="single" w:sz="8" w:color="E7E7E8"/>
            </w:tcBorders>
          </w:tcPr>
          <w:p>
            <w:pPr>
              <w:jc w:val="center"/>
              <w:spacing w:after="0"/>
              <w:rPr>
                <w:sz w:val="20"/>
                <w:szCs w:val="20"/>
                <w:color w:val="auto"/>
              </w:rPr>
            </w:pPr>
            <w:r>
              <w:rPr>
                <w:rFonts w:ascii="Arial" w:cs="Arial" w:eastAsia="Arial" w:hAnsi="Arial"/>
                <w:sz w:val="16"/>
                <w:szCs w:val="16"/>
                <w:color w:val="58585A"/>
              </w:rPr>
              <w:t>Board</w:t>
            </w:r>
          </w:p>
        </w:tc>
      </w:tr>
      <w:tr>
        <w:trPr>
          <w:trHeight w:val="224"/>
        </w:trPr>
        <w:tc>
          <w:tcPr>
            <w:tcW w:w="1020" w:type="dxa"/>
            <w:vAlign w:val="bottom"/>
            <w:tcBorders>
              <w:left w:val="single" w:sz="8" w:color="E7E7E8"/>
              <w:bottom w:val="single" w:sz="8" w:color="E7E7E8"/>
              <w:right w:val="single" w:sz="8" w:color="E7E7E8"/>
            </w:tcBorders>
          </w:tcPr>
          <w:p>
            <w:pPr>
              <w:jc w:val="center"/>
              <w:spacing w:after="0"/>
              <w:rPr>
                <w:sz w:val="20"/>
                <w:szCs w:val="20"/>
                <w:color w:val="auto"/>
              </w:rPr>
            </w:pPr>
            <w:r>
              <w:rPr>
                <w:rFonts w:ascii="Arial" w:cs="Arial" w:eastAsia="Arial" w:hAnsi="Arial"/>
                <w:sz w:val="16"/>
                <w:szCs w:val="16"/>
                <w:color w:val="58585A"/>
              </w:rPr>
              <w:t>nominees</w:t>
            </w:r>
          </w:p>
        </w:tc>
        <w:tc>
          <w:tcPr>
            <w:tcW w:w="340" w:type="dxa"/>
            <w:vAlign w:val="bottom"/>
          </w:tcPr>
          <w:p>
            <w:pPr>
              <w:spacing w:after="0"/>
              <w:rPr>
                <w:sz w:val="19"/>
                <w:szCs w:val="19"/>
                <w:color w:val="auto"/>
              </w:rPr>
            </w:pPr>
          </w:p>
        </w:tc>
        <w:tc>
          <w:tcPr>
            <w:tcW w:w="108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6"/>
                <w:szCs w:val="16"/>
                <w:color w:val="074A75"/>
              </w:rPr>
              <w:t>governance</w:t>
            </w:r>
          </w:p>
        </w:tc>
        <w:tc>
          <w:tcPr>
            <w:tcW w:w="440" w:type="dxa"/>
            <w:vAlign w:val="bottom"/>
            <w:tcBorders>
              <w:right w:val="single" w:sz="8" w:color="E7E7E8"/>
            </w:tcBorders>
          </w:tcPr>
          <w:p>
            <w:pPr>
              <w:spacing w:after="0"/>
              <w:rPr>
                <w:sz w:val="19"/>
                <w:szCs w:val="19"/>
                <w:color w:val="auto"/>
              </w:rPr>
            </w:pPr>
          </w:p>
        </w:tc>
        <w:tc>
          <w:tcPr>
            <w:tcW w:w="1000" w:type="dxa"/>
            <w:vAlign w:val="bottom"/>
            <w:tcBorders>
              <w:bottom w:val="single" w:sz="8" w:color="E7E7E8"/>
              <w:right w:val="single" w:sz="8" w:color="E7E7E8"/>
            </w:tcBorders>
          </w:tcPr>
          <w:p>
            <w:pPr>
              <w:jc w:val="center"/>
              <w:spacing w:after="0"/>
              <w:rPr>
                <w:sz w:val="20"/>
                <w:szCs w:val="20"/>
                <w:color w:val="auto"/>
              </w:rPr>
            </w:pPr>
            <w:r>
              <w:rPr>
                <w:rFonts w:ascii="Arial" w:cs="Arial" w:eastAsia="Arial" w:hAnsi="Arial"/>
                <w:sz w:val="16"/>
                <w:szCs w:val="16"/>
                <w:color w:val="58585A"/>
              </w:rPr>
              <w:t>oversight</w:t>
            </w:r>
          </w:p>
        </w:tc>
        <w:tc>
          <w:tcPr>
            <w:tcW w:w="420" w:type="dxa"/>
            <w:vAlign w:val="bottom"/>
            <w:tcBorders>
              <w:right w:val="single" w:sz="8" w:color="E7E7E8"/>
            </w:tcBorders>
          </w:tcPr>
          <w:p>
            <w:pPr>
              <w:spacing w:after="0"/>
              <w:rPr>
                <w:sz w:val="19"/>
                <w:szCs w:val="19"/>
                <w:color w:val="auto"/>
              </w:rPr>
            </w:pPr>
          </w:p>
        </w:tc>
        <w:tc>
          <w:tcPr>
            <w:tcW w:w="1100" w:type="dxa"/>
            <w:vAlign w:val="bottom"/>
            <w:tcBorders>
              <w:bottom w:val="single" w:sz="8" w:color="E7E7E8"/>
              <w:right w:val="single" w:sz="8" w:color="E7E7E8"/>
            </w:tcBorders>
          </w:tcPr>
          <w:p>
            <w:pPr>
              <w:jc w:val="center"/>
              <w:spacing w:after="0"/>
              <w:rPr>
                <w:sz w:val="20"/>
                <w:szCs w:val="20"/>
                <w:color w:val="auto"/>
              </w:rPr>
            </w:pPr>
            <w:r>
              <w:rPr>
                <w:rFonts w:ascii="Arial" w:cs="Arial" w:eastAsia="Arial" w:hAnsi="Arial"/>
                <w:sz w:val="16"/>
                <w:szCs w:val="16"/>
                <w:color w:val="58585A"/>
              </w:rPr>
              <w:t>engagement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-256540</wp:posOffset>
            </wp:positionV>
            <wp:extent cx="76835" cy="1454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-256540</wp:posOffset>
            </wp:positionV>
            <wp:extent cx="76835" cy="1454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-256540</wp:posOffset>
            </wp:positionV>
            <wp:extent cx="76835" cy="1454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074A75"/>
        </w:rPr>
        <w:t>Current Board committee membership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074A75"/>
              </w:rPr>
              <w:t>Specific</w:t>
            </w:r>
          </w:p>
        </w:tc>
      </w:tr>
      <w:tr>
        <w:trPr>
          <w:trHeight w:val="240"/>
        </w:trPr>
        <w:tc>
          <w:tcPr>
            <w:tcW w:w="31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Director</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8"/>
              </w:rPr>
              <w:t>Audit</w:t>
            </w:r>
          </w:p>
        </w:tc>
        <w:tc>
          <w:tcPr>
            <w:tcW w:w="156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9"/>
              </w:rPr>
              <w:t>CMDC</w:t>
            </w:r>
          </w:p>
        </w:tc>
        <w:tc>
          <w:tcPr>
            <w:tcW w:w="136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Governance</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PRC</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Risk</w:t>
            </w:r>
          </w:p>
        </w:tc>
        <w:tc>
          <w:tcPr>
            <w:tcW w:w="1280" w:type="dxa"/>
            <w:vAlign w:val="bottom"/>
            <w:tcBorders>
              <w:bottom w:val="single" w:sz="8" w:color="454545"/>
            </w:tcBorders>
          </w:tcPr>
          <w:p>
            <w:pPr>
              <w:jc w:val="center"/>
              <w:spacing w:after="0" w:line="240" w:lineRule="exact"/>
              <w:rPr>
                <w:sz w:val="20"/>
                <w:szCs w:val="20"/>
                <w:color w:val="auto"/>
              </w:rPr>
            </w:pPr>
            <w:r>
              <w:rPr>
                <w:rFonts w:ascii="Arial" w:cs="Arial" w:eastAsia="Arial" w:hAnsi="Arial"/>
                <w:sz w:val="16"/>
                <w:szCs w:val="16"/>
                <w:color w:val="074A75"/>
                <w:w w:val="97"/>
              </w:rPr>
              <w:t>Purpose</w:t>
            </w:r>
            <w:r>
              <w:rPr>
                <w:rFonts w:ascii="Arial" w:cs="Arial" w:eastAsia="Arial" w:hAnsi="Arial"/>
                <w:sz w:val="21"/>
                <w:szCs w:val="21"/>
                <w:color w:val="074A75"/>
                <w:w w:val="97"/>
                <w:vertAlign w:val="superscript"/>
              </w:rPr>
              <w:t>1</w:t>
            </w:r>
          </w:p>
        </w:tc>
      </w:tr>
      <w:tr>
        <w:trPr>
          <w:trHeight w:val="237"/>
        </w:trPr>
        <w:tc>
          <w:tcPr>
            <w:tcW w:w="3140" w:type="dxa"/>
            <w:vAlign w:val="bottom"/>
            <w:tcBorders>
              <w:bottom w:val="single" w:sz="8" w:color="454545"/>
              <w:right w:val="single" w:sz="8" w:color="454545"/>
            </w:tcBorders>
          </w:tcPr>
          <w:p>
            <w:pPr>
              <w:ind w:left="20"/>
              <w:spacing w:after="0" w:line="237" w:lineRule="exact"/>
              <w:rPr>
                <w:sz w:val="20"/>
                <w:szCs w:val="20"/>
                <w:color w:val="auto"/>
              </w:rPr>
            </w:pPr>
            <w:r>
              <w:rPr>
                <w:rFonts w:ascii="Arial" w:cs="Arial" w:eastAsia="Arial" w:hAnsi="Arial"/>
                <w:sz w:val="16"/>
                <w:szCs w:val="16"/>
                <w:b w:val="1"/>
                <w:bCs w:val="1"/>
                <w:color w:val="auto"/>
              </w:rPr>
              <w:t>Stephen B. Burke</w:t>
            </w:r>
            <w:r>
              <w:rPr>
                <w:rFonts w:ascii="Arial" w:cs="Arial" w:eastAsia="Arial" w:hAnsi="Arial"/>
                <w:sz w:val="21"/>
                <w:szCs w:val="21"/>
                <w:b w:val="1"/>
                <w:bCs w:val="1"/>
                <w:color w:val="auto"/>
                <w:vertAlign w:val="superscript"/>
              </w:rPr>
              <w:t>2</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w w:val="99"/>
              </w:rPr>
              <w:t>Chair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3"/>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6"/>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S. Crown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Timothy P. Flynn</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6"/>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Michael A. Neal</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bl>
    <w:p>
      <w:pPr>
        <w:spacing w:after="0" w:line="72" w:lineRule="exact"/>
        <w:rPr>
          <w:sz w:val="20"/>
          <w:szCs w:val="20"/>
          <w:color w:val="auto"/>
        </w:rPr>
      </w:pPr>
    </w:p>
    <w:p>
      <w:pPr>
        <w:ind w:left="200" w:hanging="192"/>
        <w:spacing w:after="0"/>
        <w:tabs>
          <w:tab w:leader="none" w:pos="200" w:val="left"/>
        </w:tabs>
        <w:numPr>
          <w:ilvl w:val="0"/>
          <w:numId w:val="94"/>
        </w:numPr>
        <w:rPr>
          <w:rFonts w:ascii="Arial" w:cs="Arial" w:eastAsia="Arial" w:hAnsi="Arial"/>
          <w:sz w:val="16"/>
          <w:szCs w:val="16"/>
          <w:color w:val="auto"/>
          <w:vertAlign w:val="superscript"/>
        </w:rPr>
      </w:pPr>
      <w:r>
        <w:rPr>
          <w:rFonts w:ascii="Arial" w:cs="Arial" w:eastAsia="Arial" w:hAnsi="Arial"/>
          <w:sz w:val="13"/>
          <w:szCs w:val="13"/>
          <w:color w:val="auto"/>
        </w:rPr>
        <w:t>The Board’s Specific Purpose Committees in 2021 were:</w:t>
      </w:r>
    </w:p>
    <w:p>
      <w:pPr>
        <w:spacing w:after="0" w:line="262" w:lineRule="exact"/>
        <w:rPr>
          <w:sz w:val="20"/>
          <w:szCs w:val="20"/>
          <w:color w:val="auto"/>
        </w:rPr>
      </w:pPr>
    </w:p>
    <w:p>
      <w:pPr>
        <w:ind w:left="200" w:hanging="192"/>
        <w:spacing w:after="0"/>
        <w:tabs>
          <w:tab w:leader="none" w:pos="200" w:val="left"/>
        </w:tabs>
        <w:numPr>
          <w:ilvl w:val="0"/>
          <w:numId w:val="95"/>
        </w:numPr>
        <w:rPr>
          <w:rFonts w:ascii="Arial" w:cs="Arial" w:eastAsia="Arial" w:hAnsi="Arial"/>
          <w:sz w:val="16"/>
          <w:szCs w:val="16"/>
          <w:color w:val="auto"/>
          <w:vertAlign w:val="superscript"/>
        </w:rPr>
      </w:pPr>
      <w:r>
        <w:rPr>
          <w:rFonts w:ascii="Arial" w:cs="Arial" w:eastAsia="Arial" w:hAnsi="Arial"/>
          <w:sz w:val="13"/>
          <w:szCs w:val="13"/>
          <w:color w:val="auto"/>
        </w:rPr>
        <w:t>Lead Independent Director</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directors of the Firm were elected by shareholders in 2021 and comprise the full Boards of JPMorgan Chase Bank, National Association (the “Bank”) and an intermediate holding company, JPMorgan Chase Holdings LLC (the “IHC”). Mr. Burke is the independent Chair of the Board of the Bank; IHC does not have a Chair of the Board.</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3"/>
                <w:szCs w:val="23"/>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r>
      <w:tr>
        <w:trPr>
          <w:trHeight w:val="56"/>
        </w:trPr>
        <w:tc>
          <w:tcPr>
            <w:tcW w:w="2300" w:type="dxa"/>
            <w:vAlign w:val="bottom"/>
            <w:tcBorders>
              <w:left w:val="single" w:sz="8" w:color="E7E7E8"/>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Borders>
              <w:bottom w:val="single" w:sz="8" w:color="E7E7E8"/>
            </w:tcBorders>
            <w:shd w:val="clear" w:color="auto" w:fill="E7E7E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-213995</wp:posOffset>
            </wp:positionV>
            <wp:extent cx="76835" cy="145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color w:val="074A75"/>
        </w:rPr>
        <w:t>Board and Committee self-assessment</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Board conducts an annual self-assessment aimed at enhancing its effectiveness. Through this regular assessment, including an assessment of its policies, procedures and performance, the Board identifies areas for further consideration and improvement. In assessing itself, the Board takes a multi-year perspective. The Board self-assessment is guided by the Lead Independent Director and is conducted in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3411855" cy="677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11855" cy="677545"/>
                    </a:xfrm>
                    <a:prstGeom prst="rect">
                      <a:avLst/>
                    </a:prstGeom>
                    <a:noFill/>
                  </pic:spPr>
                </pic:pic>
              </a:graphicData>
            </a:graphic>
          </wp:anchor>
        </w:drawing>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Self-assessment framework</w:t>
      </w:r>
    </w:p>
    <w:p>
      <w:pPr>
        <w:spacing w:after="0" w:line="23" w:lineRule="exact"/>
        <w:rPr>
          <w:sz w:val="20"/>
          <w:szCs w:val="20"/>
          <w:color w:val="auto"/>
        </w:rPr>
      </w:pPr>
    </w:p>
    <w:p>
      <w:pPr>
        <w:ind w:left="100" w:right="360"/>
        <w:spacing w:after="0" w:line="256" w:lineRule="auto"/>
        <w:rPr>
          <w:sz w:val="20"/>
          <w:szCs w:val="20"/>
          <w:color w:val="auto"/>
        </w:rPr>
      </w:pPr>
      <w:r>
        <w:rPr>
          <w:rFonts w:ascii="Arial" w:cs="Arial" w:eastAsia="Arial" w:hAnsi="Arial"/>
          <w:sz w:val="16"/>
          <w:szCs w:val="16"/>
          <w:color w:val="auto"/>
        </w:rPr>
        <w:t>The Governance Committee reviews and provides feedback on the annual self-assessment process including specific topics to be addressed.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3411855" cy="25888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11855" cy="258889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Board and Committee assessments</w:t>
      </w:r>
    </w:p>
    <w:p>
      <w:pPr>
        <w:spacing w:after="0" w:line="23" w:lineRule="exact"/>
        <w:rPr>
          <w:sz w:val="20"/>
          <w:szCs w:val="20"/>
          <w:color w:val="auto"/>
        </w:rPr>
      </w:pPr>
    </w:p>
    <w:p>
      <w:pPr>
        <w:ind w:left="100" w:right="40"/>
        <w:spacing w:after="0" w:line="251" w:lineRule="auto"/>
        <w:rPr>
          <w:sz w:val="20"/>
          <w:szCs w:val="20"/>
          <w:color w:val="auto"/>
        </w:rPr>
      </w:pPr>
      <w:r>
        <w:rPr>
          <w:rFonts w:ascii="Arial" w:cs="Arial" w:eastAsia="Arial" w:hAnsi="Arial"/>
          <w:sz w:val="16"/>
          <w:szCs w:val="16"/>
          <w:color w:val="auto"/>
        </w:rPr>
        <w:t>The Board reviews the actions taken in response to the previous year’s self-assessment and reviews the Board’s performance against regulatory requirements, including its responsibilities under the OCC’s “Heightened Standards” for large national banks, as well as the Federal Reserve's Supervisory Guidance on Board of Directors' Effectiveness.</w:t>
      </w:r>
    </w:p>
    <w:p>
      <w:pPr>
        <w:spacing w:after="0" w:line="75" w:lineRule="exact"/>
        <w:rPr>
          <w:sz w:val="20"/>
          <w:szCs w:val="20"/>
          <w:color w:val="auto"/>
        </w:rPr>
      </w:pPr>
    </w:p>
    <w:p>
      <w:pPr>
        <w:ind w:left="100" w:right="100"/>
        <w:spacing w:after="0" w:line="256" w:lineRule="auto"/>
        <w:rPr>
          <w:sz w:val="20"/>
          <w:szCs w:val="20"/>
          <w:color w:val="auto"/>
        </w:rPr>
      </w:pPr>
      <w:r>
        <w:rPr>
          <w:rFonts w:ascii="Arial" w:cs="Arial" w:eastAsia="Arial" w:hAnsi="Arial"/>
          <w:sz w:val="16"/>
          <w:szCs w:val="16"/>
          <w:color w:val="auto"/>
        </w:rPr>
        <w:t>Topics addressed in the Board assessment generally include: strategic priorities; board structure; how the board spends its time; oversight of and interaction with management; oversight of culture; diversity and talent, and related risk controls framework; committee effectiveness; and specific matters that may be relevant.</w:t>
      </w:r>
    </w:p>
    <w:p>
      <w:pPr>
        <w:spacing w:after="0" w:line="72" w:lineRule="exact"/>
        <w:rPr>
          <w:sz w:val="20"/>
          <w:szCs w:val="20"/>
          <w:color w:val="auto"/>
        </w:rPr>
      </w:pPr>
    </w:p>
    <w:p>
      <w:pPr>
        <w:ind w:left="100" w:right="20"/>
        <w:spacing w:after="0" w:line="254" w:lineRule="auto"/>
        <w:rPr>
          <w:sz w:val="20"/>
          <w:szCs w:val="20"/>
          <w:color w:val="auto"/>
        </w:rPr>
      </w:pPr>
      <w:r>
        <w:rPr>
          <w:rFonts w:ascii="Arial" w:cs="Arial" w:eastAsia="Arial" w:hAnsi="Arial"/>
          <w:sz w:val="16"/>
          <w:szCs w:val="16"/>
          <w:color w:val="auto"/>
        </w:rPr>
        <w:t>Each principal standing committee conducts a self-assessment that includes a review of performance against committee charter requirements and focuses on committee agenda planning and the flow of information received from management. Committee discussion topics include committee composition and effectiveness, leadership, and the content and quality of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3411855" cy="10801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11855" cy="108013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One-on-one discussions</w:t>
      </w:r>
    </w:p>
    <w:p>
      <w:pPr>
        <w:spacing w:after="0" w:line="23" w:lineRule="exact"/>
        <w:rPr>
          <w:sz w:val="20"/>
          <w:szCs w:val="20"/>
          <w:color w:val="auto"/>
        </w:rPr>
      </w:pPr>
    </w:p>
    <w:p>
      <w:pPr>
        <w:ind w:left="100" w:right="360"/>
        <w:spacing w:after="0" w:line="265" w:lineRule="auto"/>
        <w:rPr>
          <w:sz w:val="20"/>
          <w:szCs w:val="20"/>
          <w:color w:val="auto"/>
        </w:rPr>
      </w:pPr>
      <w:r>
        <w:rPr>
          <w:rFonts w:ascii="Arial" w:cs="Arial" w:eastAsia="Arial" w:hAnsi="Arial"/>
          <w:sz w:val="16"/>
          <w:szCs w:val="16"/>
          <w:color w:val="auto"/>
        </w:rPr>
        <w:t>The directors hold private individual discussions with the General Counsel using a discussion guide that frames the self-assessment.</w:t>
      </w:r>
    </w:p>
    <w:p>
      <w:pPr>
        <w:spacing w:after="0" w:line="64" w:lineRule="exact"/>
        <w:rPr>
          <w:sz w:val="20"/>
          <w:szCs w:val="20"/>
          <w:color w:val="auto"/>
        </w:rPr>
      </w:pPr>
    </w:p>
    <w:p>
      <w:pPr>
        <w:ind w:left="100" w:right="120"/>
        <w:spacing w:after="0" w:line="286" w:lineRule="auto"/>
        <w:rPr>
          <w:sz w:val="20"/>
          <w:szCs w:val="20"/>
          <w:color w:val="auto"/>
        </w:rPr>
      </w:pPr>
      <w:r>
        <w:rPr>
          <w:rFonts w:ascii="Arial" w:cs="Arial" w:eastAsia="Arial" w:hAnsi="Arial"/>
          <w:sz w:val="16"/>
          <w:szCs w:val="16"/>
          <w:color w:val="auto"/>
        </w:rPr>
        <w:t>The General Counsel and Lead Independent Director review feedback from the individual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411855" cy="14401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11855" cy="144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170" w:type="dxa"/>
        <w:tblCellMar>
          <w:top w:w="0" w:type="dxa"/>
          <w:left w:w="0" w:type="dxa"/>
          <w:bottom w:w="0" w:type="dxa"/>
          <w:right w:w="0" w:type="dxa"/>
        </w:tblCellMar>
      </w:tblPr>
      <w:tr>
        <w:trPr>
          <w:trHeight w:val="268"/>
        </w:trPr>
        <w:tc>
          <w:tcPr>
            <w:tcW w:w="2340" w:type="dxa"/>
            <w:vAlign w:val="bottom"/>
            <w:tcBorders>
              <w:top w:val="single" w:sz="8" w:color="E7E7E8"/>
              <w:left w:val="single" w:sz="8" w:color="E7E7E8"/>
              <w:right w:val="single" w:sz="8" w:color="E7E7E8"/>
            </w:tcBorders>
          </w:tcPr>
          <w:p>
            <w:pPr>
              <w:ind w:left="60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56"/>
        </w:trPr>
        <w:tc>
          <w:tcPr>
            <w:tcW w:w="2340" w:type="dxa"/>
            <w:vAlign w:val="bottom"/>
            <w:tcBorders>
              <w:left w:val="single" w:sz="8" w:color="E7E7E8"/>
              <w:bottom w:val="single" w:sz="8" w:color="E7E7E8"/>
              <w:right w:val="single" w:sz="8" w:color="E7E7E8"/>
            </w:tcBorders>
          </w:tcPr>
          <w:p>
            <w:pPr>
              <w:spacing w:after="0"/>
              <w:rPr>
                <w:sz w:val="4"/>
                <w:szCs w:val="4"/>
                <w:color w:val="auto"/>
              </w:rPr>
            </w:pPr>
          </w:p>
        </w:tc>
        <w:tc>
          <w:tcPr>
            <w:tcW w:w="70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-213995</wp:posOffset>
            </wp:positionV>
            <wp:extent cx="76835" cy="1454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-213995</wp:posOffset>
            </wp:positionV>
            <wp:extent cx="77470" cy="1454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29"/>
          <w:szCs w:val="29"/>
          <w:color w:val="074A75"/>
        </w:rPr>
        <w:t>Director education</w:t>
      </w:r>
    </w:p>
    <w:p>
      <w:pPr>
        <w:spacing w:after="0" w:line="35" w:lineRule="exact"/>
        <w:rPr>
          <w:sz w:val="20"/>
          <w:szCs w:val="20"/>
          <w:color w:val="auto"/>
        </w:rPr>
      </w:pPr>
    </w:p>
    <w:p>
      <w:pPr>
        <w:jc w:val="both"/>
        <w:ind w:right="240"/>
        <w:spacing w:after="0" w:line="250" w:lineRule="auto"/>
        <w:rPr>
          <w:sz w:val="20"/>
          <w:szCs w:val="20"/>
          <w:color w:val="auto"/>
        </w:rPr>
      </w:pPr>
      <w:r>
        <w:rPr>
          <w:rFonts w:ascii="Arial" w:cs="Arial" w:eastAsia="Arial" w:hAnsi="Arial"/>
          <w:sz w:val="18"/>
          <w:szCs w:val="18"/>
          <w:color w:val="auto"/>
        </w:rPr>
        <w:t>Our director education program assists Board members in fulfilling their responsibilities. The director education program commences with an orientation program when a new director joins the Board.</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Ongoing education is provided through “deep dive” presentations from LOBs, discussions and presentations by subject matter experts and other opportunities, including events that provide client, employee and other perspectives that can have a significant impact on the Firm. In 2021, directors were provided with education on subjects including the following:</w:t>
      </w:r>
    </w:p>
    <w:p>
      <w:pPr>
        <w:spacing w:after="0" w:line="77" w:lineRule="exact"/>
        <w:rPr>
          <w:sz w:val="20"/>
          <w:szCs w:val="20"/>
          <w:color w:val="auto"/>
        </w:rPr>
      </w:pPr>
    </w:p>
    <w:p>
      <w:pPr>
        <w:ind w:left="200" w:hanging="196"/>
        <w:spacing w:after="0"/>
        <w:tabs>
          <w:tab w:leader="none" w:pos="200" w:val="left"/>
        </w:tabs>
        <w:numPr>
          <w:ilvl w:val="0"/>
          <w:numId w:val="96"/>
        </w:numPr>
        <w:rPr>
          <w:rFonts w:ascii="Arial" w:cs="Arial" w:eastAsia="Arial" w:hAnsi="Arial"/>
          <w:sz w:val="18"/>
          <w:szCs w:val="18"/>
          <w:color w:val="064A75"/>
        </w:rPr>
      </w:pPr>
      <w:r>
        <w:rPr>
          <w:rFonts w:ascii="Arial" w:cs="Arial" w:eastAsia="Arial" w:hAnsi="Arial"/>
          <w:sz w:val="18"/>
          <w:szCs w:val="18"/>
          <w:color w:val="auto"/>
        </w:rPr>
        <w:t>the Firm’s products, services and lines of business;</w:t>
      </w:r>
    </w:p>
    <w:p>
      <w:pPr>
        <w:spacing w:after="0" w:line="117" w:lineRule="exact"/>
        <w:rPr>
          <w:rFonts w:ascii="Arial" w:cs="Arial" w:eastAsia="Arial" w:hAnsi="Arial"/>
          <w:sz w:val="18"/>
          <w:szCs w:val="18"/>
          <w:color w:val="064A75"/>
        </w:rPr>
      </w:pPr>
    </w:p>
    <w:p>
      <w:pPr>
        <w:ind w:left="200" w:right="260" w:hanging="196"/>
        <w:spacing w:after="0" w:line="268" w:lineRule="auto"/>
        <w:tabs>
          <w:tab w:leader="none" w:pos="204" w:val="left"/>
        </w:tabs>
        <w:numPr>
          <w:ilvl w:val="0"/>
          <w:numId w:val="96"/>
        </w:numPr>
        <w:rPr>
          <w:rFonts w:ascii="Arial" w:cs="Arial" w:eastAsia="Arial" w:hAnsi="Arial"/>
          <w:sz w:val="18"/>
          <w:szCs w:val="18"/>
          <w:color w:val="064A75"/>
        </w:rPr>
      </w:pPr>
      <w:r>
        <w:rPr>
          <w:rFonts w:ascii="Arial" w:cs="Arial" w:eastAsia="Arial" w:hAnsi="Arial"/>
          <w:sz w:val="18"/>
          <w:szCs w:val="18"/>
          <w:color w:val="auto"/>
        </w:rPr>
        <w:t>cybersecurity and technology, including an update on the Firm's cybersecurity modernization strategy and cyber threats landscape;</w:t>
      </w:r>
    </w:p>
    <w:p>
      <w:pPr>
        <w:spacing w:after="0" w:line="62" w:lineRule="exact"/>
        <w:rPr>
          <w:rFonts w:ascii="Arial" w:cs="Arial" w:eastAsia="Arial" w:hAnsi="Arial"/>
          <w:sz w:val="18"/>
          <w:szCs w:val="18"/>
          <w:color w:val="064A75"/>
        </w:rPr>
      </w:pPr>
    </w:p>
    <w:p>
      <w:pPr>
        <w:ind w:left="200" w:hanging="196"/>
        <w:spacing w:after="0"/>
        <w:tabs>
          <w:tab w:leader="none" w:pos="200" w:val="left"/>
        </w:tabs>
        <w:numPr>
          <w:ilvl w:val="0"/>
          <w:numId w:val="96"/>
        </w:numPr>
        <w:rPr>
          <w:rFonts w:ascii="Arial" w:cs="Arial" w:eastAsia="Arial" w:hAnsi="Arial"/>
          <w:sz w:val="18"/>
          <w:szCs w:val="18"/>
          <w:color w:val="064A75"/>
        </w:rPr>
      </w:pPr>
      <w:r>
        <w:rPr>
          <w:rFonts w:ascii="Arial" w:cs="Arial" w:eastAsia="Arial" w:hAnsi="Arial"/>
          <w:sz w:val="18"/>
          <w:szCs w:val="18"/>
          <w:color w:val="auto"/>
        </w:rPr>
        <w:t>diversity, equity and inclusion ("DEI");</w:t>
      </w:r>
    </w:p>
    <w:p>
      <w:pPr>
        <w:spacing w:after="0" w:line="117" w:lineRule="exact"/>
        <w:rPr>
          <w:rFonts w:ascii="Arial" w:cs="Arial" w:eastAsia="Arial" w:hAnsi="Arial"/>
          <w:sz w:val="18"/>
          <w:szCs w:val="18"/>
          <w:color w:val="064A75"/>
        </w:rPr>
      </w:pPr>
    </w:p>
    <w:p>
      <w:pPr>
        <w:ind w:left="200" w:right="600" w:hanging="196"/>
        <w:spacing w:after="0" w:line="287" w:lineRule="auto"/>
        <w:tabs>
          <w:tab w:leader="none" w:pos="204" w:val="left"/>
        </w:tabs>
        <w:numPr>
          <w:ilvl w:val="0"/>
          <w:numId w:val="96"/>
        </w:numPr>
        <w:rPr>
          <w:rFonts w:ascii="Arial" w:cs="Arial" w:eastAsia="Arial" w:hAnsi="Arial"/>
          <w:sz w:val="18"/>
          <w:szCs w:val="18"/>
          <w:color w:val="064A75"/>
        </w:rPr>
      </w:pPr>
      <w:r>
        <w:rPr>
          <w:rFonts w:ascii="Arial" w:cs="Arial" w:eastAsia="Arial" w:hAnsi="Arial"/>
          <w:sz w:val="18"/>
          <w:szCs w:val="18"/>
          <w:color w:val="auto"/>
        </w:rPr>
        <w:t>ESG matters, including the Firm's climate risk management framework;</w:t>
      </w:r>
    </w:p>
    <w:p>
      <w:pPr>
        <w:spacing w:after="0" w:line="44" w:lineRule="exact"/>
        <w:rPr>
          <w:rFonts w:ascii="Arial" w:cs="Arial" w:eastAsia="Arial" w:hAnsi="Arial"/>
          <w:sz w:val="18"/>
          <w:szCs w:val="18"/>
          <w:color w:val="064A75"/>
        </w:rPr>
      </w:pPr>
    </w:p>
    <w:p>
      <w:pPr>
        <w:ind w:left="200" w:hanging="196"/>
        <w:spacing w:after="0"/>
        <w:tabs>
          <w:tab w:leader="none" w:pos="200" w:val="left"/>
        </w:tabs>
        <w:numPr>
          <w:ilvl w:val="0"/>
          <w:numId w:val="96"/>
        </w:numPr>
        <w:rPr>
          <w:rFonts w:ascii="Arial" w:cs="Arial" w:eastAsia="Arial" w:hAnsi="Arial"/>
          <w:sz w:val="18"/>
          <w:szCs w:val="18"/>
          <w:color w:val="064A75"/>
        </w:rPr>
      </w:pPr>
      <w:r>
        <w:rPr>
          <w:rFonts w:ascii="Arial" w:cs="Arial" w:eastAsia="Arial" w:hAnsi="Arial"/>
          <w:sz w:val="18"/>
          <w:szCs w:val="18"/>
          <w:color w:val="auto"/>
        </w:rPr>
        <w:t>significant and emerging risks; and</w:t>
      </w:r>
    </w:p>
    <w:p>
      <w:pPr>
        <w:spacing w:after="0" w:line="117" w:lineRule="exact"/>
        <w:rPr>
          <w:rFonts w:ascii="Arial" w:cs="Arial" w:eastAsia="Arial" w:hAnsi="Arial"/>
          <w:sz w:val="18"/>
          <w:szCs w:val="18"/>
          <w:color w:val="064A75"/>
        </w:rPr>
      </w:pPr>
    </w:p>
    <w:p>
      <w:pPr>
        <w:ind w:left="200" w:right="160" w:hanging="196"/>
        <w:spacing w:after="0" w:line="287" w:lineRule="auto"/>
        <w:tabs>
          <w:tab w:leader="none" w:pos="204" w:val="left"/>
        </w:tabs>
        <w:numPr>
          <w:ilvl w:val="0"/>
          <w:numId w:val="96"/>
        </w:numPr>
        <w:rPr>
          <w:rFonts w:ascii="Arial" w:cs="Arial" w:eastAsia="Arial" w:hAnsi="Arial"/>
          <w:sz w:val="18"/>
          <w:szCs w:val="18"/>
          <w:color w:val="064A75"/>
        </w:rPr>
      </w:pPr>
      <w:r>
        <w:rPr>
          <w:rFonts w:ascii="Arial" w:cs="Arial" w:eastAsia="Arial" w:hAnsi="Arial"/>
          <w:sz w:val="18"/>
          <w:szCs w:val="18"/>
          <w:color w:val="auto"/>
        </w:rPr>
        <w:t>key laws, regulations and supervisory requirements applicable to the Firm.</w:t>
      </w:r>
    </w:p>
    <w:p>
      <w:pPr>
        <w:spacing w:after="0" w:line="3685" w:lineRule="exact"/>
        <w:rPr>
          <w:sz w:val="20"/>
          <w:szCs w:val="20"/>
          <w:color w:val="auto"/>
        </w:rPr>
      </w:pPr>
    </w:p>
    <w:p>
      <w:pPr>
        <w:sectPr>
          <w:pgSz w:w="11900" w:h="16838" w:orient="portrait"/>
          <w:cols w:equalWidth="0" w:num="2">
            <w:col w:w="5260" w:space="480"/>
            <w:col w:w="5520"/>
          </w:cols>
          <w:pgMar w:left="320" w:top="157" w:right="319" w:bottom="1440" w:gutter="0" w:footer="0" w:header="0"/>
          <w:type w:val="continuous"/>
        </w:sectPr>
      </w:pPr>
    </w:p>
    <w:p>
      <w:pPr>
        <w:spacing w:after="0" w:line="394"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Action items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General Counsel and Lead Independent Director report the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feedback received to the Board.</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Appropriate action plans are developed to address the feedback</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received from the Board and committee assessments and the one-on-</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one discussions. Throughout the year, the Board and Committees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partner with management to execute and evaluate progress on action</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379095</wp:posOffset>
            </wp:positionV>
            <wp:extent cx="274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27  </w:t>
      </w:r>
      <w:r>
        <w:rPr>
          <w:sz w:val="1"/>
          <w:szCs w:val="1"/>
          <w:color w:val="auto"/>
        </w:rPr>
        <w:drawing>
          <wp:inline distT="0" distB="0" distL="0" distR="0">
            <wp:extent cx="2203450" cy="154305"/>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20" w:type="dxa"/>
            <w:vAlign w:val="bottom"/>
          </w:tcPr>
          <w:p>
            <w:pPr>
              <w:spacing w:after="0"/>
              <w:rPr>
                <w:sz w:val="23"/>
                <w:szCs w:val="23"/>
                <w:color w:val="auto"/>
              </w:rPr>
            </w:pPr>
          </w:p>
        </w:tc>
        <w:tc>
          <w:tcPr>
            <w:tcW w:w="2340" w:type="dxa"/>
            <w:vAlign w:val="bottom"/>
            <w:tcBorders>
              <w:top w:val="single" w:sz="8" w:color="E7E7E8"/>
            </w:tcBorders>
            <w:shd w:val="clear" w:color="auto" w:fill="E7E7E8"/>
          </w:tcPr>
          <w:p>
            <w:pPr>
              <w:ind w:left="600"/>
              <w:spacing w:after="0"/>
              <w:rPr>
                <w:sz w:val="20"/>
                <w:szCs w:val="20"/>
                <w:color w:val="auto"/>
              </w:rPr>
            </w:pPr>
            <w:r>
              <w:rPr>
                <w:rFonts w:ascii="Arial" w:cs="Arial" w:eastAsia="Arial" w:hAnsi="Arial"/>
                <w:sz w:val="16"/>
                <w:szCs w:val="16"/>
                <w:color w:val="074A75"/>
              </w:rPr>
              <w:t>Board oversight</w:t>
            </w:r>
          </w:p>
        </w:tc>
        <w:tc>
          <w:tcPr>
            <w:tcW w:w="66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4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43"/>
          <w:szCs w:val="43"/>
          <w:color w:val="074A75"/>
        </w:rPr>
        <w:t>3. Board oversight</w:t>
      </w:r>
    </w:p>
    <w:p>
      <w:pPr>
        <w:spacing w:after="0" w:line="2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is responsible for oversight of the business and affairs of the Firm on behalf of shareholders. It is also responsible for setting the cultural “tone at the top.” Among its core responsibilities, the Board oversees:</w:t>
      </w: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color w:val="074A75"/>
        </w:rPr>
        <w:t>Strategy</w:t>
      </w:r>
    </w:p>
    <w:p>
      <w:pPr>
        <w:spacing w:after="0" w:line="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Board of Directors oversees the formulation and implementation of the Firm's strategic initiatives and reviews and approves the Firm’s annual strategic plan. Annual strategic plans include evaluation of performance against the prior year’s initiatives, assessment of the current operating environment, refinement of existing strategies and development of new strategic initiatives. Throughout the year, the CEO and CFO provide updates on the Firm’s overall strategic direction, and senior management provides updates on the strategic opportunities and performance, priorities and implementation of strategies in their respective LOBs and Corporate functions. These management presentations and financial plans are the foundation of active dialogue with, and feedback from, the Board about the strategic risks and opportunities facing the Firm and its businesses.</w:t>
      </w:r>
    </w:p>
    <w:p>
      <w:pPr>
        <w:spacing w:after="0" w:line="246" w:lineRule="exact"/>
        <w:rPr>
          <w:sz w:val="20"/>
          <w:szCs w:val="20"/>
          <w:color w:val="auto"/>
        </w:rPr>
      </w:pPr>
    </w:p>
    <w:p>
      <w:pPr>
        <w:ind w:right="1080"/>
        <w:spacing w:after="0" w:line="249" w:lineRule="auto"/>
        <w:rPr>
          <w:sz w:val="20"/>
          <w:szCs w:val="20"/>
          <w:color w:val="auto"/>
        </w:rPr>
      </w:pPr>
      <w:r>
        <w:rPr>
          <w:rFonts w:ascii="Arial" w:cs="Arial" w:eastAsia="Arial" w:hAnsi="Arial"/>
          <w:sz w:val="29"/>
          <w:szCs w:val="29"/>
          <w:color w:val="074A75"/>
        </w:rPr>
        <w:t>Executive performance and talent management</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CMDC reviews the Firm’s performance periodically during the course of the year, and formally, at least annually. The CMDC’s review of the CEO’s performance is presented to the Board in connection with the Board’s review of executive officer annual compensation. In addition, the CMDC provides individual OC members with opportunities on a recurring basis to discuss top and diverse talent within their respective LOBs and Corporate functions.</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Succession planning for the CEO and other members of the OC is considered at least annually. The CMDC also discusses at least annually the talent pipeline for specific critical roles. The Board has numerous opportunities to meet with, and assess development plans for, members of the OC and other high-potential senior management leaders. This occurs through various means, including informal meetings, presentations to the Board and its committees, and Board dinners. For further information, see Compensation discussion and analysis (“CD&amp;A”) on page 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Reports on the Firm’s financial performance and condition are presented at each regularly scheduled Board meeting. The Firm’s annual Comprehensive Capital Analysis and Review (“CCAR”) submission, which contains the Firm’s proposed plans to make capital distributions, such as dividend payments, stock repurchases and other capital actions, is reviewed and approved prior to its submission to the Federal Reserve. In addition, the Audit Committee assists the Board in the oversight of the Firm’s financial statements and internal control framework. The Audit Committee also assists the Board in the appointment, retention, compensation, evaluation and oversight of the Firm’s independent registered public accounting firm. For further information, see “Risk management and internal control framework” below.</w:t>
      </w:r>
    </w:p>
    <w:p>
      <w:pPr>
        <w:spacing w:after="0" w:line="255" w:lineRule="exact"/>
        <w:rPr>
          <w:sz w:val="20"/>
          <w:szCs w:val="20"/>
          <w:color w:val="auto"/>
        </w:rPr>
      </w:pPr>
    </w:p>
    <w:p>
      <w:pPr>
        <w:ind w:right="1620"/>
        <w:spacing w:after="0" w:line="254" w:lineRule="auto"/>
        <w:rPr>
          <w:sz w:val="20"/>
          <w:szCs w:val="20"/>
          <w:color w:val="auto"/>
        </w:rPr>
      </w:pPr>
      <w:r>
        <w:rPr>
          <w:rFonts w:ascii="Arial" w:cs="Arial" w:eastAsia="Arial" w:hAnsi="Arial"/>
          <w:sz w:val="29"/>
          <w:szCs w:val="29"/>
          <w:color w:val="074A75"/>
        </w:rPr>
        <w:t>Risk management and internal control framework</w:t>
      </w:r>
    </w:p>
    <w:p>
      <w:pPr>
        <w:ind w:right="260"/>
        <w:spacing w:after="0" w:line="252" w:lineRule="auto"/>
        <w:rPr>
          <w:sz w:val="20"/>
          <w:szCs w:val="20"/>
          <w:color w:val="auto"/>
        </w:rPr>
      </w:pPr>
      <w:r>
        <w:rPr>
          <w:rFonts w:ascii="Arial" w:cs="Arial" w:eastAsia="Arial" w:hAnsi="Arial"/>
          <w:sz w:val="18"/>
          <w:szCs w:val="18"/>
          <w:color w:val="auto"/>
        </w:rPr>
        <w:t>Risk is an inherent part of JPMorgan Chase’s business activities. When the Firm extends a consumer or wholesale loan, advises customers and clients on their investment decisions, makes markets in securities or offers other products or services, the Firm takes on some degree of risk. The Firm’s overall objective is to manage its businesses, and the associated risks, in a manner that balances serving the interests of its clients, customers and investors and protects the safety and soundness of the Firm.</w:t>
      </w:r>
    </w:p>
    <w:p>
      <w:pPr>
        <w:spacing w:after="0" w:line="7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key risk areas of the Firm are managed on a Firmwide basis. Certain risks, such as strategic risk, are overseen by the full Board. Cybersecurity risk is overseen by the full Board, with additional oversight of the relevant risk framework and controls provided by the Audit and Risk Committees. Board committees support the Board’s oversight responsibility by overseeing the risk categories related to such committee’s specific area of focus.</w:t>
      </w:r>
    </w:p>
    <w:p>
      <w:pPr>
        <w:spacing w:after="0" w:line="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Committee chairs report significant matters discussed at committee meetings to the full Board. Issues escalated to the full Board may be dealt with in several ways, as appropriate, for example: oversight of risk may remain with the particular principal standing committee of the Board, the Board may establish or direct a Specific Purpose Committee to oversee such matters, or the Board may ask management to present more frequently to the full Board on the issue.</w:t>
      </w:r>
    </w:p>
    <w:p>
      <w:pPr>
        <w:spacing w:after="0" w:line="203"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29"/>
          <w:szCs w:val="29"/>
          <w:color w:val="074A75"/>
        </w:rPr>
        <w:t>Financial performance and condition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year, the Board reviews the Firm’s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and condition, including overseeing management’s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execution against the Firm’s capital, liquidity, strategic and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plans.</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20" w:type="dxa"/>
            <w:vAlign w:val="bottom"/>
          </w:tcPr>
          <w:p>
            <w:pPr>
              <w:spacing w:after="0"/>
              <w:rPr>
                <w:sz w:val="23"/>
                <w:szCs w:val="23"/>
                <w:color w:val="auto"/>
              </w:rPr>
            </w:pPr>
          </w:p>
        </w:tc>
        <w:tc>
          <w:tcPr>
            <w:tcW w:w="2340" w:type="dxa"/>
            <w:vAlign w:val="bottom"/>
            <w:tcBorders>
              <w:top w:val="single" w:sz="8" w:color="E7E7E8"/>
            </w:tcBorders>
            <w:shd w:val="clear" w:color="auto" w:fill="E7E7E8"/>
          </w:tcPr>
          <w:p>
            <w:pPr>
              <w:ind w:left="600"/>
              <w:spacing w:after="0"/>
              <w:rPr>
                <w:sz w:val="20"/>
                <w:szCs w:val="20"/>
                <w:color w:val="auto"/>
              </w:rPr>
            </w:pPr>
            <w:r>
              <w:rPr>
                <w:rFonts w:ascii="Arial" w:cs="Arial" w:eastAsia="Arial" w:hAnsi="Arial"/>
                <w:sz w:val="16"/>
                <w:szCs w:val="16"/>
                <w:color w:val="074A75"/>
              </w:rPr>
              <w:t>Board oversight</w:t>
            </w:r>
          </w:p>
        </w:tc>
        <w:tc>
          <w:tcPr>
            <w:tcW w:w="66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40" w:type="dxa"/>
            <w:vAlign w:val="bottom"/>
            <w:tcBorders>
              <w:bottom w:val="single" w:sz="8" w:color="E7E7E8"/>
            </w:tcBorders>
            <w:shd w:val="clear" w:color="auto" w:fill="E7E7E8"/>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color w:val="074A75"/>
        </w:rPr>
        <w:t>Environmental, social and</w:t>
      </w:r>
    </w:p>
    <w:p>
      <w:pPr>
        <w:spacing w:after="0" w:line="32" w:lineRule="exact"/>
        <w:rPr>
          <w:sz w:val="20"/>
          <w:szCs w:val="20"/>
          <w:color w:val="auto"/>
        </w:rPr>
      </w:pPr>
    </w:p>
    <w:p>
      <w:pPr>
        <w:spacing w:after="0"/>
        <w:rPr>
          <w:sz w:val="20"/>
          <w:szCs w:val="20"/>
          <w:color w:val="auto"/>
        </w:rPr>
      </w:pPr>
      <w:r>
        <w:rPr>
          <w:rFonts w:ascii="Arial" w:cs="Arial" w:eastAsia="Arial" w:hAnsi="Arial"/>
          <w:sz w:val="29"/>
          <w:szCs w:val="29"/>
          <w:color w:val="074A75"/>
        </w:rPr>
        <w:t>governance matters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 noted throughout this Proxy, oversight of ESG matters is 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important part of the Board's work in setting the policies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principles that govern our business, including:</w:t>
      </w:r>
    </w:p>
    <w:p>
      <w:pPr>
        <w:spacing w:after="0" w:line="99" w:lineRule="exact"/>
        <w:rPr>
          <w:sz w:val="20"/>
          <w:szCs w:val="20"/>
          <w:color w:val="auto"/>
        </w:rPr>
      </w:pPr>
    </w:p>
    <w:p>
      <w:pPr>
        <w:ind w:left="200" w:hanging="192"/>
        <w:spacing w:after="0"/>
        <w:tabs>
          <w:tab w:leader="none" w:pos="200" w:val="left"/>
        </w:tabs>
        <w:numPr>
          <w:ilvl w:val="0"/>
          <w:numId w:val="97"/>
        </w:numPr>
        <w:rPr>
          <w:rFonts w:ascii="Arial" w:cs="Arial" w:eastAsia="Arial" w:hAnsi="Arial"/>
          <w:sz w:val="18"/>
          <w:szCs w:val="18"/>
          <w:color w:val="074A75"/>
        </w:rPr>
      </w:pPr>
      <w:r>
        <w:rPr>
          <w:rFonts w:ascii="Arial" w:cs="Arial" w:eastAsia="Arial" w:hAnsi="Arial"/>
          <w:sz w:val="18"/>
          <w:szCs w:val="18"/>
          <w:color w:val="auto"/>
        </w:rPr>
        <w:t>the Firm’s governance-related policies and practices;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97"/>
        </w:numPr>
        <w:rPr>
          <w:rFonts w:ascii="Arial" w:cs="Arial" w:eastAsia="Arial" w:hAnsi="Arial"/>
          <w:sz w:val="18"/>
          <w:szCs w:val="18"/>
          <w:color w:val="074A75"/>
        </w:rPr>
      </w:pPr>
      <w:r>
        <w:rPr>
          <w:rFonts w:ascii="Arial" w:cs="Arial" w:eastAsia="Arial" w:hAnsi="Arial"/>
          <w:sz w:val="18"/>
          <w:szCs w:val="18"/>
          <w:color w:val="auto"/>
        </w:rPr>
        <w:t>our systems of risk management and controls;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97"/>
        </w:numPr>
        <w:rPr>
          <w:rFonts w:ascii="Arial" w:cs="Arial" w:eastAsia="Arial" w:hAnsi="Arial"/>
          <w:sz w:val="18"/>
          <w:szCs w:val="18"/>
          <w:color w:val="074A75"/>
        </w:rPr>
      </w:pPr>
      <w:r>
        <w:rPr>
          <w:rFonts w:ascii="Arial" w:cs="Arial" w:eastAsia="Arial" w:hAnsi="Arial"/>
          <w:sz w:val="18"/>
          <w:szCs w:val="18"/>
          <w:color w:val="auto"/>
        </w:rPr>
        <w:t>our investment in our employees;</w:t>
      </w:r>
    </w:p>
    <w:p>
      <w:pPr>
        <w:spacing w:after="0" w:line="90" w:lineRule="exact"/>
        <w:rPr>
          <w:rFonts w:ascii="Arial" w:cs="Arial" w:eastAsia="Arial" w:hAnsi="Arial"/>
          <w:sz w:val="18"/>
          <w:szCs w:val="18"/>
          <w:color w:val="074A75"/>
        </w:rPr>
      </w:pPr>
    </w:p>
    <w:p>
      <w:pPr>
        <w:ind w:left="200" w:right="6180" w:hanging="192"/>
        <w:spacing w:after="0" w:line="287" w:lineRule="auto"/>
        <w:tabs>
          <w:tab w:leader="none" w:pos="204" w:val="left"/>
        </w:tabs>
        <w:numPr>
          <w:ilvl w:val="0"/>
          <w:numId w:val="97"/>
        </w:numPr>
        <w:rPr>
          <w:rFonts w:ascii="Arial" w:cs="Arial" w:eastAsia="Arial" w:hAnsi="Arial"/>
          <w:sz w:val="18"/>
          <w:szCs w:val="18"/>
          <w:color w:val="074A75"/>
        </w:rPr>
      </w:pPr>
      <w:r>
        <w:rPr>
          <w:rFonts w:ascii="Arial" w:cs="Arial" w:eastAsia="Arial" w:hAnsi="Arial"/>
          <w:sz w:val="18"/>
          <w:szCs w:val="18"/>
          <w:color w:val="auto"/>
        </w:rPr>
        <w:t>the manner in which we serve our customers and support our communities; and</w:t>
      </w:r>
    </w:p>
    <w:p>
      <w:pPr>
        <w:spacing w:after="0" w:line="4" w:lineRule="exact"/>
        <w:rPr>
          <w:rFonts w:ascii="Arial" w:cs="Arial" w:eastAsia="Arial" w:hAnsi="Arial"/>
          <w:sz w:val="18"/>
          <w:szCs w:val="18"/>
          <w:color w:val="074A75"/>
        </w:rPr>
      </w:pPr>
    </w:p>
    <w:p>
      <w:pPr>
        <w:ind w:left="200" w:hanging="192"/>
        <w:spacing w:after="0"/>
        <w:tabs>
          <w:tab w:leader="none" w:pos="200" w:val="left"/>
        </w:tabs>
        <w:numPr>
          <w:ilvl w:val="0"/>
          <w:numId w:val="97"/>
        </w:numPr>
        <w:rPr>
          <w:rFonts w:ascii="Arial" w:cs="Arial" w:eastAsia="Arial" w:hAnsi="Arial"/>
          <w:sz w:val="18"/>
          <w:szCs w:val="18"/>
          <w:color w:val="074A75"/>
        </w:rPr>
      </w:pPr>
      <w:r>
        <w:rPr>
          <w:rFonts w:ascii="Arial" w:cs="Arial" w:eastAsia="Arial" w:hAnsi="Arial"/>
          <w:sz w:val="18"/>
          <w:szCs w:val="18"/>
          <w:color w:val="auto"/>
        </w:rPr>
        <w:t>how we advance sustainability in our business and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Board’s PRC provides oversight of the Firm’s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positions and practices on public responsibility matters such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community investment, fair lending, consumer practices,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sustainability and other public policy issues that reflect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values and impact its reputation among all of its stakeholders.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Board committees consider ESG matters within their scope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responsibility. For instance, the CMDC oversees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culture, including reviewing employee diversity, equity and inclusion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programs; the Risk Committee considers climate risk;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Committee reviews board diversity; and the Audit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provides oversight of compliance with the Firm's ethical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standards, policies, plans and procedures, and with laws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regulations. In the past year, in addition to the work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committees, all directors participated in full Board discussion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regarding the Firm's approach to COVID-19, racial equity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climate change.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Firm is committed to being transparent about our approach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performance on ESG topics. One way we do this is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publishing an annual ESG Report, which provides information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 we are addressing the ESG matters that we and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stakeholders view as important to our business. We monitor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evolving disclosure landscape and evaluate which frameworks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our stakeholders' interest. As of 2021, our ESG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disclosures are informed by the Global Reporting Initiative,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Sustainability Accounting Standards Board and the Task Force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Climate-related Financial Disclosures ("TCFD"). The ESG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page on our website provides links to numerous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publications, documents, policies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sources of information about various ESG topics, which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available at jpmorganchase.com/about/governance/esg.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271780</wp:posOffset>
            </wp:positionV>
            <wp:extent cx="274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29  </w:t>
      </w:r>
      <w:r>
        <w:rPr>
          <w:sz w:val="1"/>
          <w:szCs w:val="1"/>
          <w:color w:val="auto"/>
        </w:rPr>
        <w:drawing>
          <wp:inline distT="0" distB="0" distL="0" distR="0">
            <wp:extent cx="2203450" cy="154305"/>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20" w:type="dxa"/>
            <w:vAlign w:val="bottom"/>
          </w:tcPr>
          <w:p>
            <w:pPr>
              <w:spacing w:after="0"/>
              <w:rPr>
                <w:sz w:val="23"/>
                <w:szCs w:val="23"/>
                <w:color w:val="auto"/>
              </w:rPr>
            </w:pPr>
          </w:p>
        </w:tc>
        <w:tc>
          <w:tcPr>
            <w:tcW w:w="236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60" w:type="dxa"/>
            <w:vAlign w:val="bottom"/>
            <w:tcBorders>
              <w:bottom w:val="single" w:sz="8" w:color="E7E7E8"/>
            </w:tcBorders>
            <w:shd w:val="clear" w:color="auto" w:fill="E7E7E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43"/>
          <w:szCs w:val="43"/>
          <w:color w:val="074A75"/>
        </w:rPr>
        <w:t>4. Board engagement</w:t>
      </w:r>
    </w:p>
    <w:p>
      <w:pPr>
        <w:spacing w:after="0" w:line="13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directors meet periodically throughout the year with the Firm’s shareholders, employees, regulators, community and business leaders, and other persons interested in our strategy, business practices, governance, culture and performance. For more information, see the CD&amp;A on pages 39-72.</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9"/>
          <w:szCs w:val="29"/>
          <w:color w:val="074A75"/>
        </w:rPr>
        <w:t>Shareholders and other interested parties</w:t>
      </w:r>
    </w:p>
    <w:p>
      <w:pPr>
        <w:spacing w:after="0" w:line="1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an active and ongoing approach to engagement on a wide variety of topics (e.g., strategy, performance, competitive environment, governance) throughout the year. We interact with and receive feedback from our shareholders and other interested parties. Our shareholder engagement efforts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68580</wp:posOffset>
            </wp:positionV>
            <wp:extent cx="2203450" cy="1885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203450" cy="18859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08" w:lineRule="exact"/>
        <w:rPr>
          <w:sz w:val="20"/>
          <w:szCs w:val="20"/>
          <w:color w:val="auto"/>
        </w:rPr>
      </w:pPr>
    </w:p>
    <w:tbl>
      <w:tblPr>
        <w:tblLayout w:type="fixed"/>
        <w:tblInd w:w="220" w:type="dxa"/>
        <w:tblCellMar>
          <w:top w:w="0" w:type="dxa"/>
          <w:left w:w="0" w:type="dxa"/>
          <w:bottom w:w="0" w:type="dxa"/>
          <w:right w:w="0" w:type="dxa"/>
        </w:tblCellMar>
      </w:tblPr>
      <w:tr>
        <w:trPr>
          <w:trHeight w:val="155"/>
        </w:trPr>
        <w:tc>
          <w:tcPr>
            <w:tcW w:w="3460" w:type="dxa"/>
            <w:vAlign w:val="bottom"/>
            <w:tcBorders>
              <w:bottom w:val="single" w:sz="8" w:color="D2DBE7"/>
            </w:tcBorders>
            <w:gridSpan w:val="2"/>
            <w:vMerge w:val="restart"/>
            <w:shd w:val="clear" w:color="auto" w:fill="D2DBE7"/>
          </w:tcPr>
          <w:p>
            <w:pPr>
              <w:ind w:left="160"/>
              <w:spacing w:after="0"/>
              <w:rPr>
                <w:sz w:val="20"/>
                <w:szCs w:val="20"/>
                <w:color w:val="auto"/>
              </w:rPr>
            </w:pPr>
            <w:r>
              <w:rPr>
                <w:rFonts w:ascii="Arial" w:cs="Arial" w:eastAsia="Arial" w:hAnsi="Arial"/>
                <w:sz w:val="18"/>
                <w:szCs w:val="18"/>
                <w:color w:val="074A75"/>
              </w:rPr>
              <w:t>How we communicate:</w:t>
            </w:r>
          </w:p>
        </w:tc>
        <w:tc>
          <w:tcPr>
            <w:tcW w:w="200" w:type="dxa"/>
            <w:vAlign w:val="bottom"/>
            <w:tcBorders>
              <w:bottom w:val="single" w:sz="8" w:color="034877"/>
            </w:tcBorders>
          </w:tcPr>
          <w:p>
            <w:pPr>
              <w:spacing w:after="0"/>
              <w:rPr>
                <w:sz w:val="13"/>
                <w:szCs w:val="13"/>
                <w:color w:val="auto"/>
              </w:rPr>
            </w:pPr>
          </w:p>
        </w:tc>
        <w:tc>
          <w:tcPr>
            <w:tcW w:w="3460" w:type="dxa"/>
            <w:vAlign w:val="bottom"/>
            <w:tcBorders>
              <w:bottom w:val="single" w:sz="8" w:color="D2DBE7"/>
            </w:tcBorders>
            <w:gridSpan w:val="2"/>
            <w:vMerge w:val="restart"/>
            <w:shd w:val="clear" w:color="auto" w:fill="D2DBE7"/>
          </w:tcPr>
          <w:p>
            <w:pPr>
              <w:ind w:left="160"/>
              <w:spacing w:after="0"/>
              <w:rPr>
                <w:sz w:val="20"/>
                <w:szCs w:val="20"/>
                <w:color w:val="auto"/>
              </w:rPr>
            </w:pPr>
            <w:r>
              <w:rPr>
                <w:rFonts w:ascii="Arial" w:cs="Arial" w:eastAsia="Arial" w:hAnsi="Arial"/>
                <w:sz w:val="18"/>
                <w:szCs w:val="18"/>
                <w:color w:val="074A75"/>
              </w:rPr>
              <w:t>Who we engage:</w:t>
            </w:r>
          </w:p>
        </w:tc>
        <w:tc>
          <w:tcPr>
            <w:tcW w:w="0" w:type="dxa"/>
            <w:vAlign w:val="bottom"/>
          </w:tcPr>
          <w:p>
            <w:pPr>
              <w:spacing w:after="0"/>
              <w:rPr>
                <w:sz w:val="1"/>
                <w:szCs w:val="1"/>
                <w:color w:val="auto"/>
              </w:rPr>
            </w:pPr>
          </w:p>
        </w:tc>
      </w:tr>
      <w:tr>
        <w:trPr>
          <w:trHeight w:val="102"/>
        </w:trPr>
        <w:tc>
          <w:tcPr>
            <w:tcW w:w="3460" w:type="dxa"/>
            <w:vAlign w:val="bottom"/>
            <w:tcBorders>
              <w:bottom w:val="single" w:sz="8" w:color="D2DBE7"/>
            </w:tcBorders>
            <w:gridSpan w:val="2"/>
            <w:vMerge w:val="continue"/>
            <w:shd w:val="clear" w:color="auto" w:fill="D2DBE7"/>
          </w:tcPr>
          <w:p>
            <w:pPr>
              <w:spacing w:after="0"/>
              <w:rPr>
                <w:sz w:val="8"/>
                <w:szCs w:val="8"/>
                <w:color w:val="auto"/>
              </w:rPr>
            </w:pPr>
          </w:p>
        </w:tc>
        <w:tc>
          <w:tcPr>
            <w:tcW w:w="200" w:type="dxa"/>
            <w:vAlign w:val="bottom"/>
          </w:tcPr>
          <w:p>
            <w:pPr>
              <w:spacing w:after="0"/>
              <w:rPr>
                <w:sz w:val="8"/>
                <w:szCs w:val="8"/>
                <w:color w:val="auto"/>
              </w:rPr>
            </w:pPr>
          </w:p>
        </w:tc>
        <w:tc>
          <w:tcPr>
            <w:tcW w:w="3460" w:type="dxa"/>
            <w:vAlign w:val="bottom"/>
            <w:tcBorders>
              <w:bottom w:val="single" w:sz="8" w:color="D2DBE7"/>
            </w:tcBorders>
            <w:gridSpan w:val="2"/>
            <w:vMerge w:val="continue"/>
            <w:shd w:val="clear" w:color="auto" w:fill="D2DBE7"/>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Annual Report</w:t>
            </w:r>
          </w:p>
        </w:tc>
        <w:tc>
          <w:tcPr>
            <w:tcW w:w="200" w:type="dxa"/>
            <w:vAlign w:val="bottom"/>
          </w:tcPr>
          <w:p>
            <w:pPr>
              <w:spacing w:after="0"/>
              <w:rPr>
                <w:sz w:val="24"/>
                <w:szCs w:val="24"/>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Institutional shareholders</w:t>
            </w:r>
          </w:p>
        </w:tc>
        <w:tc>
          <w:tcPr>
            <w:tcW w:w="0" w:type="dxa"/>
            <w:vAlign w:val="bottom"/>
          </w:tcPr>
          <w:p>
            <w:pPr>
              <w:spacing w:after="0"/>
              <w:rPr>
                <w:sz w:val="1"/>
                <w:szCs w:val="1"/>
                <w:color w:val="auto"/>
              </w:rPr>
            </w:pPr>
          </w:p>
        </w:tc>
      </w:tr>
      <w:tr>
        <w:trPr>
          <w:trHeight w:val="257"/>
        </w:trPr>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Proxy Statement</w:t>
            </w:r>
          </w:p>
        </w:tc>
        <w:tc>
          <w:tcPr>
            <w:tcW w:w="200" w:type="dxa"/>
            <w:vAlign w:val="bottom"/>
          </w:tcPr>
          <w:p>
            <w:pPr>
              <w:spacing w:after="0"/>
              <w:rPr>
                <w:sz w:val="22"/>
                <w:szCs w:val="22"/>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Retail shareholders</w:t>
            </w:r>
          </w:p>
        </w:tc>
        <w:tc>
          <w:tcPr>
            <w:tcW w:w="0" w:type="dxa"/>
            <w:vAlign w:val="bottom"/>
          </w:tcPr>
          <w:p>
            <w:pPr>
              <w:spacing w:after="0"/>
              <w:rPr>
                <w:sz w:val="1"/>
                <w:szCs w:val="1"/>
                <w:color w:val="auto"/>
              </w:rPr>
            </w:pPr>
          </w:p>
        </w:tc>
      </w:tr>
      <w:tr>
        <w:trPr>
          <w:trHeight w:val="257"/>
        </w:trPr>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SEC filings</w:t>
            </w:r>
          </w:p>
        </w:tc>
        <w:tc>
          <w:tcPr>
            <w:tcW w:w="200" w:type="dxa"/>
            <w:vAlign w:val="bottom"/>
          </w:tcPr>
          <w:p>
            <w:pPr>
              <w:spacing w:after="0"/>
              <w:rPr>
                <w:sz w:val="22"/>
                <w:szCs w:val="22"/>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Investors</w:t>
            </w:r>
          </w:p>
        </w:tc>
        <w:tc>
          <w:tcPr>
            <w:tcW w:w="0" w:type="dxa"/>
            <w:vAlign w:val="bottom"/>
          </w:tcPr>
          <w:p>
            <w:pPr>
              <w:spacing w:after="0"/>
              <w:rPr>
                <w:sz w:val="1"/>
                <w:szCs w:val="1"/>
                <w:color w:val="auto"/>
              </w:rPr>
            </w:pPr>
          </w:p>
        </w:tc>
      </w:tr>
      <w:tr>
        <w:trPr>
          <w:trHeight w:val="256"/>
        </w:trPr>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Press releases</w:t>
            </w:r>
          </w:p>
        </w:tc>
        <w:tc>
          <w:tcPr>
            <w:tcW w:w="200" w:type="dxa"/>
            <w:vAlign w:val="bottom"/>
          </w:tcPr>
          <w:p>
            <w:pPr>
              <w:spacing w:after="0"/>
              <w:rPr>
                <w:sz w:val="22"/>
                <w:szCs w:val="22"/>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Proxy advisory firms</w:t>
            </w:r>
          </w:p>
        </w:tc>
        <w:tc>
          <w:tcPr>
            <w:tcW w:w="0" w:type="dxa"/>
            <w:vAlign w:val="bottom"/>
          </w:tcPr>
          <w:p>
            <w:pPr>
              <w:spacing w:after="0"/>
              <w:rPr>
                <w:sz w:val="1"/>
                <w:szCs w:val="1"/>
                <w:color w:val="auto"/>
              </w:rPr>
            </w:pPr>
          </w:p>
        </w:tc>
      </w:tr>
      <w:tr>
        <w:trPr>
          <w:trHeight w:val="257"/>
        </w:trPr>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Firm website</w:t>
            </w:r>
          </w:p>
        </w:tc>
        <w:tc>
          <w:tcPr>
            <w:tcW w:w="200" w:type="dxa"/>
            <w:vAlign w:val="bottom"/>
          </w:tcPr>
          <w:p>
            <w:pPr>
              <w:spacing w:after="0"/>
              <w:rPr>
                <w:sz w:val="22"/>
                <w:szCs w:val="22"/>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ESG rating firms</w:t>
            </w:r>
          </w:p>
        </w:tc>
        <w:tc>
          <w:tcPr>
            <w:tcW w:w="0" w:type="dxa"/>
            <w:vAlign w:val="bottom"/>
          </w:tcPr>
          <w:p>
            <w:pPr>
              <w:spacing w:after="0"/>
              <w:rPr>
                <w:sz w:val="1"/>
                <w:szCs w:val="1"/>
                <w:color w:val="auto"/>
              </w:rPr>
            </w:pPr>
          </w:p>
        </w:tc>
      </w:tr>
      <w:tr>
        <w:trPr>
          <w:trHeight w:val="234"/>
        </w:trPr>
        <w:tc>
          <w:tcPr>
            <w:tcW w:w="3460" w:type="dxa"/>
            <w:vAlign w:val="bottom"/>
            <w:gridSpan w:val="2"/>
          </w:tcPr>
          <w:p>
            <w:pPr>
              <w:ind w:left="160"/>
              <w:spacing w:after="0"/>
              <w:rPr>
                <w:sz w:val="20"/>
                <w:szCs w:val="20"/>
                <w:color w:val="auto"/>
              </w:rPr>
            </w:pPr>
            <w:r>
              <w:rPr>
                <w:rFonts w:ascii="Arial" w:cs="Arial" w:eastAsia="Arial" w:hAnsi="Arial"/>
                <w:sz w:val="17"/>
                <w:szCs w:val="17"/>
                <w:color w:val="114D97"/>
              </w:rPr>
              <w:t xml:space="preserve">•  </w:t>
            </w:r>
            <w:r>
              <w:rPr>
                <w:rFonts w:ascii="Arial" w:cs="Arial" w:eastAsia="Arial" w:hAnsi="Arial"/>
                <w:sz w:val="17"/>
                <w:szCs w:val="17"/>
                <w:color w:val="000000"/>
              </w:rPr>
              <w:t>ESG Report and other related</w:t>
            </w:r>
          </w:p>
        </w:tc>
        <w:tc>
          <w:tcPr>
            <w:tcW w:w="200" w:type="dxa"/>
            <w:vAlign w:val="bottom"/>
          </w:tcPr>
          <w:p>
            <w:pPr>
              <w:spacing w:after="0"/>
              <w:rPr>
                <w:sz w:val="20"/>
                <w:szCs w:val="20"/>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114D97"/>
              </w:rPr>
              <w:t>•</w:t>
            </w:r>
          </w:p>
        </w:tc>
        <w:tc>
          <w:tcPr>
            <w:tcW w:w="3180" w:type="dxa"/>
            <w:vAlign w:val="bottom"/>
          </w:tcPr>
          <w:p>
            <w:pPr>
              <w:ind w:left="60"/>
              <w:spacing w:after="0"/>
              <w:rPr>
                <w:sz w:val="20"/>
                <w:szCs w:val="20"/>
                <w:color w:val="auto"/>
              </w:rPr>
            </w:pPr>
            <w:r>
              <w:rPr>
                <w:rFonts w:ascii="Arial" w:cs="Arial" w:eastAsia="Arial" w:hAnsi="Arial"/>
                <w:sz w:val="17"/>
                <w:szCs w:val="17"/>
                <w:color w:val="auto"/>
              </w:rPr>
              <w:t>Industry thought leaders</w:t>
            </w:r>
          </w:p>
        </w:tc>
        <w:tc>
          <w:tcPr>
            <w:tcW w:w="0" w:type="dxa"/>
            <w:vAlign w:val="bottom"/>
          </w:tcPr>
          <w:p>
            <w:pPr>
              <w:spacing w:after="0"/>
              <w:rPr>
                <w:sz w:val="1"/>
                <w:szCs w:val="1"/>
                <w:color w:val="auto"/>
              </w:rPr>
            </w:pPr>
          </w:p>
        </w:tc>
      </w:tr>
      <w:tr>
        <w:trPr>
          <w:trHeight w:val="279"/>
        </w:trPr>
        <w:tc>
          <w:tcPr>
            <w:tcW w:w="280" w:type="dxa"/>
            <w:vAlign w:val="bottom"/>
          </w:tcPr>
          <w:p>
            <w:pPr>
              <w:spacing w:after="0"/>
              <w:rPr>
                <w:sz w:val="24"/>
                <w:szCs w:val="24"/>
                <w:color w:val="auto"/>
              </w:rPr>
            </w:pPr>
          </w:p>
        </w:tc>
        <w:tc>
          <w:tcPr>
            <w:tcW w:w="3180" w:type="dxa"/>
            <w:vAlign w:val="bottom"/>
          </w:tcPr>
          <w:p>
            <w:pPr>
              <w:ind w:left="60"/>
              <w:spacing w:after="0"/>
              <w:rPr>
                <w:sz w:val="20"/>
                <w:szCs w:val="20"/>
                <w:color w:val="auto"/>
              </w:rPr>
            </w:pPr>
            <w:r>
              <w:rPr>
                <w:rFonts w:ascii="Arial" w:cs="Arial" w:eastAsia="Arial" w:hAnsi="Arial"/>
                <w:sz w:val="17"/>
                <w:szCs w:val="17"/>
                <w:color w:val="auto"/>
              </w:rPr>
              <w:t>publications</w:t>
            </w:r>
          </w:p>
        </w:tc>
        <w:tc>
          <w:tcPr>
            <w:tcW w:w="200" w:type="dxa"/>
            <w:vAlign w:val="bottom"/>
          </w:tcPr>
          <w:p>
            <w:pPr>
              <w:spacing w:after="0"/>
              <w:rPr>
                <w:sz w:val="24"/>
                <w:szCs w:val="24"/>
                <w:color w:val="auto"/>
              </w:rPr>
            </w:pPr>
          </w:p>
        </w:tc>
        <w:tc>
          <w:tcPr>
            <w:tcW w:w="3460" w:type="dxa"/>
            <w:vAlign w:val="bottom"/>
            <w:gridSpan w:val="2"/>
          </w:tcPr>
          <w:p>
            <w:pPr>
              <w:ind w:left="160"/>
              <w:spacing w:after="0"/>
              <w:rPr>
                <w:sz w:val="20"/>
                <w:szCs w:val="20"/>
                <w:color w:val="auto"/>
              </w:rPr>
            </w:pPr>
            <w:r>
              <w:rPr>
                <w:rFonts w:ascii="Arial" w:cs="Arial" w:eastAsia="Arial" w:hAnsi="Arial"/>
                <w:sz w:val="17"/>
                <w:szCs w:val="17"/>
                <w:color w:val="114D97"/>
              </w:rPr>
              <w:t xml:space="preserve">•  </w:t>
            </w:r>
            <w:r>
              <w:rPr>
                <w:rFonts w:ascii="Arial" w:cs="Arial" w:eastAsia="Arial" w:hAnsi="Arial"/>
                <w:sz w:val="17"/>
                <w:szCs w:val="17"/>
                <w:color w:val="000000"/>
              </w:rPr>
              <w:t>Community and business leaders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-1302385</wp:posOffset>
            </wp:positionV>
            <wp:extent cx="4800600" cy="31546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800600" cy="3154680"/>
                    </a:xfrm>
                    <a:prstGeom prst="rect">
                      <a:avLst/>
                    </a:prstGeom>
                    <a:noFill/>
                  </pic:spPr>
                </pic:pic>
              </a:graphicData>
            </a:graphic>
          </wp:anchor>
        </w:drawing>
      </w:r>
    </w:p>
    <w:p>
      <w:pPr>
        <w:spacing w:after="0" w:line="12" w:lineRule="exact"/>
        <w:rPr>
          <w:sz w:val="20"/>
          <w:szCs w:val="20"/>
          <w:color w:val="auto"/>
        </w:rPr>
      </w:pPr>
    </w:p>
    <w:p>
      <w:pPr>
        <w:ind w:left="4040"/>
        <w:spacing w:after="0"/>
        <w:rPr>
          <w:sz w:val="20"/>
          <w:szCs w:val="20"/>
          <w:color w:val="auto"/>
        </w:rPr>
      </w:pPr>
      <w:r>
        <w:rPr>
          <w:rFonts w:ascii="Arial" w:cs="Arial" w:eastAsia="Arial" w:hAnsi="Arial"/>
          <w:sz w:val="17"/>
          <w:szCs w:val="17"/>
          <w:color w:val="064A75"/>
        </w:rPr>
        <w:t xml:space="preserve">•  </w:t>
      </w:r>
      <w:r>
        <w:rPr>
          <w:rFonts w:ascii="Arial" w:cs="Arial" w:eastAsia="Arial" w:hAnsi="Arial"/>
          <w:sz w:val="17"/>
          <w:szCs w:val="17"/>
          <w:color w:val="000000"/>
        </w:rPr>
        <w:t>Non-governmental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318770</wp:posOffset>
            </wp:positionV>
            <wp:extent cx="6849110" cy="12084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49110" cy="120840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380"/>
        <w:spacing w:after="0"/>
        <w:rPr>
          <w:sz w:val="20"/>
          <w:szCs w:val="20"/>
          <w:color w:val="auto"/>
        </w:rPr>
      </w:pPr>
      <w:r>
        <w:rPr>
          <w:rFonts w:ascii="Arial" w:cs="Arial" w:eastAsia="Arial" w:hAnsi="Arial"/>
          <w:sz w:val="18"/>
          <w:szCs w:val="18"/>
          <w:color w:val="074A75"/>
        </w:rPr>
        <w:t>Semiannual Shareholder Outreach Program:</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074A75"/>
        </w:rPr>
        <w:t>How we engage: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-67310</wp:posOffset>
            </wp:positionV>
            <wp:extent cx="2366010" cy="31546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366010" cy="3154680"/>
                    </a:xfrm>
                    <a:prstGeom prst="rect">
                      <a:avLst/>
                    </a:prstGeom>
                    <a:noFill/>
                  </pic:spPr>
                </pic:pic>
              </a:graphicData>
            </a:graphic>
          </wp:anchor>
        </w:drawing>
      </w:r>
    </w:p>
    <w:p>
      <w:pPr>
        <w:spacing w:after="0" w:line="175" w:lineRule="exact"/>
        <w:rPr>
          <w:sz w:val="20"/>
          <w:szCs w:val="20"/>
          <w:color w:val="auto"/>
        </w:rPr>
      </w:pPr>
    </w:p>
    <w:p>
      <w:pPr>
        <w:ind w:left="200" w:hanging="191"/>
        <w:spacing w:after="0"/>
        <w:tabs>
          <w:tab w:leader="none" w:pos="200" w:val="left"/>
        </w:tabs>
        <w:numPr>
          <w:ilvl w:val="0"/>
          <w:numId w:val="98"/>
        </w:numPr>
        <w:rPr>
          <w:rFonts w:ascii="Arial" w:cs="Arial" w:eastAsia="Arial" w:hAnsi="Arial"/>
          <w:sz w:val="17"/>
          <w:szCs w:val="17"/>
          <w:color w:val="114D97"/>
        </w:rPr>
      </w:pPr>
      <w:r>
        <w:rPr>
          <w:rFonts w:ascii="Arial" w:cs="Arial" w:eastAsia="Arial" w:hAnsi="Arial"/>
          <w:sz w:val="17"/>
          <w:szCs w:val="17"/>
          <w:color w:val="auto"/>
        </w:rPr>
        <w:t>Quarterly earnings calls</w:t>
      </w:r>
    </w:p>
    <w:p>
      <w:pPr>
        <w:spacing w:after="0" w:line="74" w:lineRule="exact"/>
        <w:rPr>
          <w:rFonts w:ascii="Arial" w:cs="Arial" w:eastAsia="Arial" w:hAnsi="Arial"/>
          <w:sz w:val="17"/>
          <w:szCs w:val="17"/>
          <w:color w:val="114D97"/>
        </w:rPr>
      </w:pPr>
    </w:p>
    <w:p>
      <w:pPr>
        <w:ind w:left="200" w:hanging="191"/>
        <w:spacing w:after="0"/>
        <w:tabs>
          <w:tab w:leader="none" w:pos="200" w:val="left"/>
        </w:tabs>
        <w:numPr>
          <w:ilvl w:val="0"/>
          <w:numId w:val="98"/>
        </w:numPr>
        <w:rPr>
          <w:rFonts w:ascii="Arial" w:cs="Arial" w:eastAsia="Arial" w:hAnsi="Arial"/>
          <w:sz w:val="17"/>
          <w:szCs w:val="17"/>
          <w:color w:val="114D97"/>
        </w:rPr>
      </w:pPr>
      <w:r>
        <w:rPr>
          <w:rFonts w:ascii="Arial" w:cs="Arial" w:eastAsia="Arial" w:hAnsi="Arial"/>
          <w:sz w:val="17"/>
          <w:szCs w:val="17"/>
          <w:color w:val="auto"/>
        </w:rPr>
        <w:t>Investor meetings and conferences</w:t>
      </w:r>
    </w:p>
    <w:p>
      <w:pPr>
        <w:spacing w:after="0" w:line="88" w:lineRule="exact"/>
        <w:rPr>
          <w:rFonts w:ascii="Arial" w:cs="Arial" w:eastAsia="Arial" w:hAnsi="Arial"/>
          <w:sz w:val="17"/>
          <w:szCs w:val="17"/>
          <w:color w:val="114D97"/>
        </w:rPr>
      </w:pPr>
    </w:p>
    <w:p>
      <w:pPr>
        <w:ind w:left="200" w:hanging="191"/>
        <w:spacing w:after="0"/>
        <w:tabs>
          <w:tab w:leader="none" w:pos="200" w:val="left"/>
        </w:tabs>
        <w:numPr>
          <w:ilvl w:val="0"/>
          <w:numId w:val="98"/>
        </w:numPr>
        <w:rPr>
          <w:rFonts w:ascii="Arial" w:cs="Arial" w:eastAsia="Arial" w:hAnsi="Arial"/>
          <w:sz w:val="17"/>
          <w:szCs w:val="17"/>
          <w:color w:val="114D97"/>
        </w:rPr>
      </w:pPr>
      <w:r>
        <w:rPr>
          <w:rFonts w:ascii="Arial" w:cs="Arial" w:eastAsia="Arial" w:hAnsi="Arial"/>
          <w:sz w:val="17"/>
          <w:szCs w:val="17"/>
          <w:color w:val="auto"/>
        </w:rPr>
        <w:t>Shareholder Outreach Program</w:t>
      </w:r>
    </w:p>
    <w:p>
      <w:pPr>
        <w:spacing w:after="0" w:line="74" w:lineRule="exact"/>
        <w:rPr>
          <w:rFonts w:ascii="Arial" w:cs="Arial" w:eastAsia="Arial" w:hAnsi="Arial"/>
          <w:sz w:val="17"/>
          <w:szCs w:val="17"/>
          <w:color w:val="114D97"/>
        </w:rPr>
      </w:pPr>
    </w:p>
    <w:p>
      <w:pPr>
        <w:ind w:left="200" w:hanging="191"/>
        <w:spacing w:after="0"/>
        <w:tabs>
          <w:tab w:leader="none" w:pos="200" w:val="left"/>
        </w:tabs>
        <w:numPr>
          <w:ilvl w:val="0"/>
          <w:numId w:val="98"/>
        </w:numPr>
        <w:rPr>
          <w:rFonts w:ascii="Arial" w:cs="Arial" w:eastAsia="Arial" w:hAnsi="Arial"/>
          <w:sz w:val="17"/>
          <w:szCs w:val="17"/>
          <w:color w:val="074A75"/>
        </w:rPr>
      </w:pPr>
      <w:r>
        <w:rPr>
          <w:rFonts w:ascii="Arial" w:cs="Arial" w:eastAsia="Arial" w:hAnsi="Arial"/>
          <w:sz w:val="17"/>
          <w:szCs w:val="17"/>
          <w:color w:val="auto"/>
        </w:rPr>
        <w:t>Annual Shareholder Meeting</w:t>
      </w:r>
    </w:p>
    <w:p>
      <w:pPr>
        <w:spacing w:after="0" w:line="61" w:lineRule="exact"/>
        <w:rPr>
          <w:rFonts w:ascii="Arial" w:cs="Arial" w:eastAsia="Arial" w:hAnsi="Arial"/>
          <w:sz w:val="17"/>
          <w:szCs w:val="17"/>
          <w:color w:val="074A75"/>
        </w:rPr>
      </w:pPr>
    </w:p>
    <w:p>
      <w:pPr>
        <w:ind w:left="200" w:right="1000" w:hanging="191"/>
        <w:spacing w:after="0" w:line="284" w:lineRule="auto"/>
        <w:tabs>
          <w:tab w:leader="none" w:pos="200" w:val="left"/>
        </w:tabs>
        <w:numPr>
          <w:ilvl w:val="0"/>
          <w:numId w:val="98"/>
        </w:numPr>
        <w:rPr>
          <w:rFonts w:ascii="Arial" w:cs="Arial" w:eastAsia="Arial" w:hAnsi="Arial"/>
          <w:sz w:val="17"/>
          <w:szCs w:val="17"/>
          <w:color w:val="064A75"/>
        </w:rPr>
      </w:pPr>
      <w:r>
        <w:rPr>
          <w:rFonts w:ascii="Arial" w:cs="Arial" w:eastAsia="Arial" w:hAnsi="Arial"/>
          <w:sz w:val="17"/>
          <w:szCs w:val="17"/>
          <w:color w:val="auto"/>
        </w:rPr>
        <w:t>Shareholder queries to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380365</wp:posOffset>
            </wp:positionV>
            <wp:extent cx="222885" cy="154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clrChange>
                        <a:clrFrom>
                          <a:srgbClr val="000000"/>
                        </a:clrFrom>
                        <a:clrTo>
                          <a:srgbClr val="000000">
                            <a:alpha val="0"/>
                          </a:srgbClr>
                        </a:clrTo>
                      </a:clrChange>
                      <a:extLst>
                        <a:ext uri="{28A0092B-C50C-407E-A947-70E740481C1C}"/>
                      </a:extLst>
                    </a:blip>
                    <a:srcRect/>
                    <a:stretch>
                      <a:fillRect/>
                    </a:stretch>
                  </pic:blipFill>
                  <pic:spPr bwMode="auto">
                    <a:xfrm>
                      <a:off x="0" y="0"/>
                      <a:ext cx="222885" cy="15430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380365</wp:posOffset>
            </wp:positionV>
            <wp:extent cx="222885" cy="1543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clrChange>
                        <a:clrFrom>
                          <a:srgbClr val="FFFFFF"/>
                        </a:clrFrom>
                        <a:clrTo>
                          <a:srgbClr val="FFFFFF">
                            <a:alpha val="0"/>
                          </a:srgbClr>
                        </a:clrTo>
                      </a:clrChange>
                      <a:extLst>
                        <a:ext uri="{28A0092B-C50C-407E-A947-70E740481C1C}"/>
                      </a:extLst>
                    </a:blip>
                    <a:srcRect/>
                    <a:stretch>
                      <a:fillRect/>
                    </a:stretch>
                  </pic:blipFill>
                  <pic:spPr bwMode="auto">
                    <a:xfrm>
                      <a:off x="0" y="0"/>
                      <a:ext cx="222885" cy="154305"/>
                    </a:xfrm>
                    <a:prstGeom prst="rect">
                      <a:avLst/>
                    </a:prstGeom>
                    <a:noFill/>
                  </pic:spPr>
                </pic:pic>
              </a:graphicData>
            </a:graphic>
          </wp:anchor>
        </w:drawing>
      </w:r>
    </w:p>
    <w:p>
      <w:pPr>
        <w:spacing w:after="0" w:line="1319" w:lineRule="exact"/>
        <w:rPr>
          <w:sz w:val="20"/>
          <w:szCs w:val="20"/>
          <w:color w:val="auto"/>
        </w:rPr>
      </w:pPr>
    </w:p>
    <w:p>
      <w:pPr>
        <w:sectPr>
          <w:pgSz w:w="11900" w:h="16838" w:orient="portrait"/>
          <w:cols w:equalWidth="0" w:num="2">
            <w:col w:w="7340" w:space="340"/>
            <w:col w:w="3580"/>
          </w:cols>
          <w:pgMar w:left="320" w:top="157" w:right="319" w:bottom="1440" w:gutter="0" w:footer="0" w:header="0"/>
          <w:type w:val="continuous"/>
        </w:sectPr>
      </w:pPr>
    </w:p>
    <w:p>
      <w:pPr>
        <w:ind w:left="560" w:right="620" w:hanging="188"/>
        <w:spacing w:after="0" w:line="255" w:lineRule="auto"/>
        <w:tabs>
          <w:tab w:leader="none" w:pos="560" w:val="left"/>
        </w:tabs>
        <w:numPr>
          <w:ilvl w:val="0"/>
          <w:numId w:val="99"/>
        </w:numPr>
        <w:rPr>
          <w:rFonts w:ascii="Arial" w:cs="Arial" w:eastAsia="Arial" w:hAnsi="Arial"/>
          <w:sz w:val="17"/>
          <w:szCs w:val="17"/>
          <w:color w:val="114D97"/>
        </w:rPr>
      </w:pPr>
      <w:r>
        <w:rPr>
          <w:rFonts w:ascii="Arial" w:cs="Arial" w:eastAsia="Arial" w:hAnsi="Arial"/>
          <w:sz w:val="17"/>
          <w:szCs w:val="17"/>
          <w:color w:val="auto"/>
        </w:rPr>
        <w:t>Twice a year, we conduct a comprehensive formal Shareholder Outreach Program focused on topics including corporate governance, shareholder rights, executive compensation as well as the Firm's approach to managing environmental and social matters, such as climate change and diversity, equity and inclusion.</w:t>
      </w:r>
    </w:p>
    <w:p>
      <w:pPr>
        <w:ind w:left="560" w:right="960" w:hanging="188"/>
        <w:spacing w:after="0" w:line="248" w:lineRule="auto"/>
        <w:tabs>
          <w:tab w:leader="none" w:pos="560" w:val="left"/>
        </w:tabs>
        <w:numPr>
          <w:ilvl w:val="0"/>
          <w:numId w:val="99"/>
        </w:numPr>
        <w:rPr>
          <w:rFonts w:ascii="Arial" w:cs="Arial" w:eastAsia="Arial" w:hAnsi="Arial"/>
          <w:sz w:val="17"/>
          <w:szCs w:val="17"/>
          <w:color w:val="114D97"/>
        </w:rPr>
      </w:pPr>
      <w:r>
        <w:rPr>
          <w:rFonts w:ascii="Arial" w:cs="Arial" w:eastAsia="Arial" w:hAnsi="Arial"/>
          <w:sz w:val="17"/>
          <w:szCs w:val="17"/>
          <w:color w:val="auto"/>
        </w:rPr>
        <w:t>We reach out to over 100 of our largest shareholders as well as proxy advisory firms. In these meetings, management shares information and provides updates on the aforementioned topics, addresses questions and solicits shareholders' perspectives and feedback. Directors participate in these meetings as appropriate.</w:t>
      </w:r>
    </w:p>
    <w:p>
      <w:pPr>
        <w:spacing w:after="0" w:line="1" w:lineRule="exact"/>
        <w:rPr>
          <w:rFonts w:ascii="Arial" w:cs="Arial" w:eastAsia="Arial" w:hAnsi="Arial"/>
          <w:sz w:val="17"/>
          <w:szCs w:val="17"/>
          <w:color w:val="114D97"/>
        </w:rPr>
      </w:pPr>
    </w:p>
    <w:p>
      <w:pPr>
        <w:ind w:left="560" w:hanging="188"/>
        <w:spacing w:after="0"/>
        <w:tabs>
          <w:tab w:leader="none" w:pos="560" w:val="left"/>
        </w:tabs>
        <w:numPr>
          <w:ilvl w:val="0"/>
          <w:numId w:val="99"/>
        </w:numPr>
        <w:rPr>
          <w:rFonts w:ascii="Arial" w:cs="Arial" w:eastAsia="Arial" w:hAnsi="Arial"/>
          <w:sz w:val="17"/>
          <w:szCs w:val="17"/>
          <w:color w:val="114D97"/>
        </w:rPr>
      </w:pPr>
      <w:r>
        <w:rPr>
          <w:rFonts w:ascii="Arial" w:cs="Arial" w:eastAsia="Arial" w:hAnsi="Arial"/>
          <w:sz w:val="17"/>
          <w:szCs w:val="17"/>
          <w:color w:val="auto"/>
        </w:rPr>
        <w:t>Following each Shareholder Outreach Program, shareholders' areas of focus and feedback are provided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93980</wp:posOffset>
            </wp:positionV>
            <wp:extent cx="6849110" cy="2228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49110" cy="22288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FFFFFF"/>
        </w:rPr>
        <w:t>2021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60325</wp:posOffset>
            </wp:positionV>
            <wp:extent cx="6849110" cy="25031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49110" cy="2503170"/>
                    </a:xfrm>
                    <a:prstGeom prst="rect">
                      <a:avLst/>
                    </a:prstGeom>
                    <a:noFill/>
                  </pic:spPr>
                </pic:pic>
              </a:graphicData>
            </a:graphic>
          </wp:anchor>
        </w:drawing>
      </w:r>
    </w:p>
    <w:p>
      <w:pPr>
        <w:spacing w:after="0" w:line="134" w:lineRule="exact"/>
        <w:rPr>
          <w:sz w:val="20"/>
          <w:szCs w:val="20"/>
          <w:color w:val="auto"/>
        </w:rPr>
      </w:pPr>
    </w:p>
    <w:p>
      <w:pPr>
        <w:ind w:left="560" w:hanging="188"/>
        <w:spacing w:after="0"/>
        <w:tabs>
          <w:tab w:leader="none" w:pos="560" w:val="left"/>
        </w:tabs>
        <w:numPr>
          <w:ilvl w:val="0"/>
          <w:numId w:val="100"/>
        </w:numPr>
        <w:rPr>
          <w:rFonts w:ascii="Arial" w:cs="Arial" w:eastAsia="Arial" w:hAnsi="Arial"/>
          <w:sz w:val="17"/>
          <w:szCs w:val="17"/>
          <w:color w:val="114D97"/>
        </w:rPr>
      </w:pPr>
      <w:r>
        <w:rPr>
          <w:rFonts w:ascii="Arial" w:cs="Arial" w:eastAsia="Arial" w:hAnsi="Arial"/>
          <w:sz w:val="17"/>
          <w:szCs w:val="17"/>
          <w:color w:val="auto"/>
        </w:rPr>
        <w:t>Senior Management</w:t>
      </w:r>
    </w:p>
    <w:p>
      <w:pPr>
        <w:spacing w:after="0" w:line="61" w:lineRule="exact"/>
        <w:rPr>
          <w:rFonts w:ascii="Arial" w:cs="Arial" w:eastAsia="Arial" w:hAnsi="Arial"/>
          <w:sz w:val="17"/>
          <w:szCs w:val="17"/>
          <w:color w:val="114D97"/>
        </w:rPr>
      </w:pPr>
    </w:p>
    <w:p>
      <w:pPr>
        <w:ind w:left="1220" w:hanging="200"/>
        <w:spacing w:after="0"/>
        <w:tabs>
          <w:tab w:leader="none" w:pos="1220" w:val="left"/>
        </w:tabs>
        <w:numPr>
          <w:ilvl w:val="1"/>
          <w:numId w:val="100"/>
        </w:numPr>
        <w:rPr>
          <w:rFonts w:ascii="Arial" w:cs="Arial" w:eastAsia="Arial" w:hAnsi="Arial"/>
          <w:sz w:val="17"/>
          <w:szCs w:val="17"/>
          <w:color w:val="114D97"/>
        </w:rPr>
      </w:pPr>
      <w:r>
        <w:rPr>
          <w:rFonts w:ascii="Arial" w:cs="Arial" w:eastAsia="Arial" w:hAnsi="Arial"/>
          <w:sz w:val="17"/>
          <w:szCs w:val="17"/>
          <w:color w:val="auto"/>
        </w:rPr>
        <w:t>Hosted approximately 25 investor meetings</w:t>
      </w:r>
    </w:p>
    <w:p>
      <w:pPr>
        <w:spacing w:after="0" w:line="61" w:lineRule="exact"/>
        <w:rPr>
          <w:rFonts w:ascii="Arial" w:cs="Arial" w:eastAsia="Arial" w:hAnsi="Arial"/>
          <w:sz w:val="17"/>
          <w:szCs w:val="17"/>
          <w:color w:val="114D97"/>
        </w:rPr>
      </w:pPr>
    </w:p>
    <w:p>
      <w:pPr>
        <w:ind w:left="1220" w:hanging="200"/>
        <w:spacing w:after="0"/>
        <w:tabs>
          <w:tab w:leader="none" w:pos="1220" w:val="left"/>
        </w:tabs>
        <w:numPr>
          <w:ilvl w:val="1"/>
          <w:numId w:val="100"/>
        </w:numPr>
        <w:rPr>
          <w:rFonts w:ascii="Arial" w:cs="Arial" w:eastAsia="Arial" w:hAnsi="Arial"/>
          <w:sz w:val="17"/>
          <w:szCs w:val="17"/>
          <w:color w:val="114D97"/>
        </w:rPr>
      </w:pPr>
      <w:r>
        <w:rPr>
          <w:rFonts w:ascii="Arial" w:cs="Arial" w:eastAsia="Arial" w:hAnsi="Arial"/>
          <w:sz w:val="17"/>
          <w:szCs w:val="17"/>
          <w:color w:val="auto"/>
        </w:rPr>
        <w:t>Presented at approximately 15 investor conferences</w:t>
      </w:r>
    </w:p>
    <w:p>
      <w:pPr>
        <w:spacing w:after="0" w:line="61" w:lineRule="exact"/>
        <w:rPr>
          <w:rFonts w:ascii="Arial" w:cs="Arial" w:eastAsia="Arial" w:hAnsi="Arial"/>
          <w:sz w:val="17"/>
          <w:szCs w:val="17"/>
          <w:color w:val="114D97"/>
        </w:rPr>
      </w:pPr>
    </w:p>
    <w:p>
      <w:pPr>
        <w:ind w:left="1220" w:hanging="200"/>
        <w:spacing w:after="0"/>
        <w:tabs>
          <w:tab w:leader="none" w:pos="1220" w:val="left"/>
        </w:tabs>
        <w:numPr>
          <w:ilvl w:val="1"/>
          <w:numId w:val="100"/>
        </w:numPr>
        <w:rPr>
          <w:rFonts w:ascii="Arial" w:cs="Arial" w:eastAsia="Arial" w:hAnsi="Arial"/>
          <w:sz w:val="17"/>
          <w:szCs w:val="17"/>
          <w:color w:val="114D97"/>
        </w:rPr>
      </w:pPr>
      <w:r>
        <w:rPr>
          <w:rFonts w:ascii="Arial" w:cs="Arial" w:eastAsia="Arial" w:hAnsi="Arial"/>
          <w:sz w:val="17"/>
          <w:szCs w:val="17"/>
          <w:color w:val="auto"/>
        </w:rPr>
        <w:t>Met with shareholders and other interested parties around the world</w:t>
      </w:r>
    </w:p>
    <w:p>
      <w:pPr>
        <w:spacing w:after="0" w:line="61" w:lineRule="exact"/>
        <w:rPr>
          <w:rFonts w:ascii="Arial" w:cs="Arial" w:eastAsia="Arial" w:hAnsi="Arial"/>
          <w:sz w:val="17"/>
          <w:szCs w:val="17"/>
          <w:color w:val="114D97"/>
        </w:rPr>
      </w:pPr>
    </w:p>
    <w:p>
      <w:pPr>
        <w:ind w:left="560" w:hanging="188"/>
        <w:spacing w:after="0"/>
        <w:tabs>
          <w:tab w:leader="none" w:pos="560" w:val="left"/>
        </w:tabs>
        <w:numPr>
          <w:ilvl w:val="0"/>
          <w:numId w:val="100"/>
        </w:numPr>
        <w:rPr>
          <w:rFonts w:ascii="Arial" w:cs="Arial" w:eastAsia="Arial" w:hAnsi="Arial"/>
          <w:sz w:val="17"/>
          <w:szCs w:val="17"/>
          <w:color w:val="114D97"/>
        </w:rPr>
      </w:pPr>
      <w:r>
        <w:rPr>
          <w:rFonts w:ascii="Arial" w:cs="Arial" w:eastAsia="Arial" w:hAnsi="Arial"/>
          <w:sz w:val="17"/>
          <w:szCs w:val="17"/>
          <w:color w:val="auto"/>
        </w:rPr>
        <w:t>Shareholder Outreach Program</w:t>
      </w:r>
    </w:p>
    <w:p>
      <w:pPr>
        <w:spacing w:after="0" w:line="61" w:lineRule="exact"/>
        <w:rPr>
          <w:rFonts w:ascii="Arial" w:cs="Arial" w:eastAsia="Arial" w:hAnsi="Arial"/>
          <w:sz w:val="17"/>
          <w:szCs w:val="17"/>
          <w:color w:val="114D97"/>
        </w:rPr>
      </w:pPr>
    </w:p>
    <w:p>
      <w:pPr>
        <w:ind w:left="1220" w:right="400" w:hanging="200"/>
        <w:spacing w:after="0" w:line="281" w:lineRule="auto"/>
        <w:tabs>
          <w:tab w:leader="none" w:pos="1221" w:val="left"/>
        </w:tabs>
        <w:numPr>
          <w:ilvl w:val="1"/>
          <w:numId w:val="100"/>
        </w:numPr>
        <w:rPr>
          <w:rFonts w:ascii="Arial" w:cs="Arial" w:eastAsia="Arial" w:hAnsi="Arial"/>
          <w:sz w:val="17"/>
          <w:szCs w:val="17"/>
          <w:color w:val="114D97"/>
        </w:rPr>
      </w:pPr>
      <w:r>
        <w:rPr>
          <w:rFonts w:ascii="Arial" w:cs="Arial" w:eastAsia="Arial" w:hAnsi="Arial"/>
          <w:sz w:val="17"/>
          <w:szCs w:val="17"/>
          <w:color w:val="auto"/>
        </w:rPr>
        <w:t>Approximately 90 engagements with nearly 70 shareholders representing approximately 46% of the Firm's outstanding common stock</w:t>
      </w:r>
    </w:p>
    <w:p>
      <w:pPr>
        <w:spacing w:after="0" w:line="1" w:lineRule="exact"/>
        <w:rPr>
          <w:rFonts w:ascii="Arial" w:cs="Arial" w:eastAsia="Arial" w:hAnsi="Arial"/>
          <w:sz w:val="17"/>
          <w:szCs w:val="17"/>
          <w:color w:val="114D97"/>
        </w:rPr>
      </w:pPr>
    </w:p>
    <w:p>
      <w:pPr>
        <w:ind w:left="1220" w:hanging="200"/>
        <w:spacing w:after="0"/>
        <w:tabs>
          <w:tab w:leader="none" w:pos="1220" w:val="left"/>
        </w:tabs>
        <w:numPr>
          <w:ilvl w:val="1"/>
          <w:numId w:val="100"/>
        </w:numPr>
        <w:rPr>
          <w:rFonts w:ascii="Arial" w:cs="Arial" w:eastAsia="Arial" w:hAnsi="Arial"/>
          <w:sz w:val="17"/>
          <w:szCs w:val="17"/>
          <w:color w:val="114D97"/>
        </w:rPr>
      </w:pPr>
      <w:r>
        <w:rPr>
          <w:rFonts w:ascii="Arial" w:cs="Arial" w:eastAsia="Arial" w:hAnsi="Arial"/>
          <w:sz w:val="17"/>
          <w:szCs w:val="17"/>
          <w:color w:val="auto"/>
        </w:rPr>
        <w:t>Directors participated as appropriate</w:t>
      </w:r>
    </w:p>
    <w:p>
      <w:pPr>
        <w:spacing w:after="0" w:line="61" w:lineRule="exact"/>
        <w:rPr>
          <w:rFonts w:ascii="Arial" w:cs="Arial" w:eastAsia="Arial" w:hAnsi="Arial"/>
          <w:sz w:val="17"/>
          <w:szCs w:val="17"/>
          <w:color w:val="114D97"/>
        </w:rPr>
      </w:pPr>
    </w:p>
    <w:p>
      <w:pPr>
        <w:ind w:left="1220" w:hanging="200"/>
        <w:spacing w:after="0"/>
        <w:tabs>
          <w:tab w:leader="none" w:pos="1220" w:val="left"/>
        </w:tabs>
        <w:numPr>
          <w:ilvl w:val="1"/>
          <w:numId w:val="100"/>
        </w:numPr>
        <w:rPr>
          <w:rFonts w:ascii="Arial" w:cs="Arial" w:eastAsia="Arial" w:hAnsi="Arial"/>
          <w:sz w:val="17"/>
          <w:szCs w:val="17"/>
          <w:color w:val="114D97"/>
        </w:rPr>
      </w:pPr>
      <w:r>
        <w:rPr>
          <w:rFonts w:ascii="Arial" w:cs="Arial" w:eastAsia="Arial" w:hAnsi="Arial"/>
          <w:sz w:val="17"/>
          <w:szCs w:val="17"/>
          <w:color w:val="auto"/>
        </w:rPr>
        <w:t>Frequently discussed topics included:</w:t>
      </w:r>
    </w:p>
    <w:p>
      <w:pPr>
        <w:spacing w:after="0" w:line="61" w:lineRule="exact"/>
        <w:rPr>
          <w:rFonts w:ascii="Arial" w:cs="Arial" w:eastAsia="Arial" w:hAnsi="Arial"/>
          <w:sz w:val="17"/>
          <w:szCs w:val="17"/>
          <w:color w:val="114D97"/>
        </w:rPr>
      </w:pPr>
    </w:p>
    <w:p>
      <w:pPr>
        <w:ind w:left="1860" w:hanging="192"/>
        <w:spacing w:after="0"/>
        <w:tabs>
          <w:tab w:leader="none" w:pos="1860" w:val="left"/>
        </w:tabs>
        <w:numPr>
          <w:ilvl w:val="2"/>
          <w:numId w:val="100"/>
        </w:numPr>
        <w:rPr>
          <w:rFonts w:ascii="Arial" w:cs="Arial" w:eastAsia="Arial" w:hAnsi="Arial"/>
          <w:sz w:val="17"/>
          <w:szCs w:val="17"/>
          <w:color w:val="064A75"/>
        </w:rPr>
      </w:pPr>
      <w:r>
        <w:rPr>
          <w:rFonts w:ascii="Arial" w:cs="Arial" w:eastAsia="Arial" w:hAnsi="Arial"/>
          <w:sz w:val="17"/>
          <w:szCs w:val="17"/>
          <w:color w:val="auto"/>
        </w:rPr>
        <w:t>The Firm's strategy, financial and operating performance and risk management in light of COVID-19</w:t>
      </w:r>
    </w:p>
    <w:p>
      <w:pPr>
        <w:spacing w:after="0" w:line="61" w:lineRule="exact"/>
        <w:rPr>
          <w:rFonts w:ascii="Arial" w:cs="Arial" w:eastAsia="Arial" w:hAnsi="Arial"/>
          <w:sz w:val="17"/>
          <w:szCs w:val="17"/>
          <w:color w:val="064A75"/>
        </w:rPr>
      </w:pPr>
    </w:p>
    <w:p>
      <w:pPr>
        <w:ind w:left="1860" w:hanging="192"/>
        <w:spacing w:after="0"/>
        <w:tabs>
          <w:tab w:leader="none" w:pos="1860" w:val="left"/>
        </w:tabs>
        <w:numPr>
          <w:ilvl w:val="2"/>
          <w:numId w:val="100"/>
        </w:numPr>
        <w:rPr>
          <w:rFonts w:ascii="Arial" w:cs="Arial" w:eastAsia="Arial" w:hAnsi="Arial"/>
          <w:sz w:val="17"/>
          <w:szCs w:val="17"/>
          <w:color w:val="114D97"/>
        </w:rPr>
      </w:pPr>
      <w:r>
        <w:rPr>
          <w:rFonts w:ascii="Arial" w:cs="Arial" w:eastAsia="Arial" w:hAnsi="Arial"/>
          <w:sz w:val="17"/>
          <w:szCs w:val="17"/>
          <w:color w:val="auto"/>
        </w:rPr>
        <w:t>Board composition</w:t>
      </w:r>
    </w:p>
    <w:p>
      <w:pPr>
        <w:spacing w:after="0" w:line="61" w:lineRule="exact"/>
        <w:rPr>
          <w:rFonts w:ascii="Arial" w:cs="Arial" w:eastAsia="Arial" w:hAnsi="Arial"/>
          <w:sz w:val="17"/>
          <w:szCs w:val="17"/>
          <w:color w:val="114D97"/>
        </w:rPr>
      </w:pPr>
    </w:p>
    <w:p>
      <w:pPr>
        <w:ind w:left="1860" w:hanging="192"/>
        <w:spacing w:after="0"/>
        <w:tabs>
          <w:tab w:leader="none" w:pos="1860" w:val="left"/>
        </w:tabs>
        <w:numPr>
          <w:ilvl w:val="2"/>
          <w:numId w:val="100"/>
        </w:numPr>
        <w:rPr>
          <w:rFonts w:ascii="Arial" w:cs="Arial" w:eastAsia="Arial" w:hAnsi="Arial"/>
          <w:sz w:val="17"/>
          <w:szCs w:val="17"/>
          <w:color w:val="114D97"/>
        </w:rPr>
      </w:pPr>
      <w:r>
        <w:rPr>
          <w:rFonts w:ascii="Arial" w:cs="Arial" w:eastAsia="Arial" w:hAnsi="Arial"/>
          <w:sz w:val="17"/>
          <w:szCs w:val="17"/>
          <w:color w:val="auto"/>
        </w:rPr>
        <w:t>Board and management succession planning</w:t>
      </w:r>
    </w:p>
    <w:p>
      <w:pPr>
        <w:spacing w:after="0" w:line="61" w:lineRule="exact"/>
        <w:rPr>
          <w:rFonts w:ascii="Arial" w:cs="Arial" w:eastAsia="Arial" w:hAnsi="Arial"/>
          <w:sz w:val="17"/>
          <w:szCs w:val="17"/>
          <w:color w:val="114D97"/>
        </w:rPr>
      </w:pPr>
    </w:p>
    <w:p>
      <w:pPr>
        <w:ind w:left="1860" w:hanging="192"/>
        <w:spacing w:after="0"/>
        <w:tabs>
          <w:tab w:leader="none" w:pos="1860" w:val="left"/>
        </w:tabs>
        <w:numPr>
          <w:ilvl w:val="2"/>
          <w:numId w:val="100"/>
        </w:numPr>
        <w:rPr>
          <w:rFonts w:ascii="Arial" w:cs="Arial" w:eastAsia="Arial" w:hAnsi="Arial"/>
          <w:sz w:val="17"/>
          <w:szCs w:val="17"/>
          <w:color w:val="114D97"/>
        </w:rPr>
      </w:pPr>
      <w:r>
        <w:rPr>
          <w:rFonts w:ascii="Arial" w:cs="Arial" w:eastAsia="Arial" w:hAnsi="Arial"/>
          <w:sz w:val="17"/>
          <w:szCs w:val="17"/>
          <w:color w:val="auto"/>
        </w:rPr>
        <w:t>Enhancements to the executive compensation program and disclosures</w:t>
      </w:r>
    </w:p>
    <w:p>
      <w:pPr>
        <w:spacing w:after="0" w:line="61" w:lineRule="exact"/>
        <w:rPr>
          <w:rFonts w:ascii="Arial" w:cs="Arial" w:eastAsia="Arial" w:hAnsi="Arial"/>
          <w:sz w:val="17"/>
          <w:szCs w:val="17"/>
          <w:color w:val="114D97"/>
        </w:rPr>
      </w:pPr>
    </w:p>
    <w:p>
      <w:pPr>
        <w:ind w:left="1860" w:hanging="192"/>
        <w:spacing w:after="0"/>
        <w:tabs>
          <w:tab w:leader="none" w:pos="1860" w:val="left"/>
        </w:tabs>
        <w:numPr>
          <w:ilvl w:val="2"/>
          <w:numId w:val="100"/>
        </w:numPr>
        <w:rPr>
          <w:rFonts w:ascii="Arial" w:cs="Arial" w:eastAsia="Arial" w:hAnsi="Arial"/>
          <w:sz w:val="17"/>
          <w:szCs w:val="17"/>
          <w:color w:val="114D97"/>
        </w:rPr>
      </w:pPr>
      <w:r>
        <w:rPr>
          <w:rFonts w:ascii="Arial" w:cs="Arial" w:eastAsia="Arial" w:hAnsi="Arial"/>
          <w:sz w:val="17"/>
          <w:szCs w:val="17"/>
          <w:color w:val="auto"/>
        </w:rPr>
        <w:t>The Firm's climate and sustainability efforts</w:t>
      </w:r>
    </w:p>
    <w:p>
      <w:pPr>
        <w:spacing w:after="0" w:line="61" w:lineRule="exact"/>
        <w:rPr>
          <w:rFonts w:ascii="Arial" w:cs="Arial" w:eastAsia="Arial" w:hAnsi="Arial"/>
          <w:sz w:val="17"/>
          <w:szCs w:val="17"/>
          <w:color w:val="114D97"/>
        </w:rPr>
      </w:pPr>
    </w:p>
    <w:p>
      <w:pPr>
        <w:ind w:left="1860" w:hanging="192"/>
        <w:spacing w:after="0"/>
        <w:tabs>
          <w:tab w:leader="none" w:pos="1860" w:val="left"/>
        </w:tabs>
        <w:numPr>
          <w:ilvl w:val="2"/>
          <w:numId w:val="100"/>
        </w:numPr>
        <w:rPr>
          <w:rFonts w:ascii="Arial" w:cs="Arial" w:eastAsia="Arial" w:hAnsi="Arial"/>
          <w:sz w:val="17"/>
          <w:szCs w:val="17"/>
          <w:color w:val="114D97"/>
        </w:rPr>
      </w:pPr>
      <w:r>
        <w:rPr>
          <w:rFonts w:ascii="Arial" w:cs="Arial" w:eastAsia="Arial" w:hAnsi="Arial"/>
          <w:sz w:val="17"/>
          <w:szCs w:val="17"/>
          <w:color w:val="auto"/>
        </w:rPr>
        <w:t>The Firm's efforts to advance racial equity, including its $30 billion commitment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3"/>
                <w:szCs w:val="23"/>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3"/>
                <w:szCs w:val="23"/>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20" w:type="dxa"/>
            <w:vAlign w:val="bottom"/>
          </w:tcPr>
          <w:p>
            <w:pPr>
              <w:spacing w:after="0"/>
              <w:rPr>
                <w:sz w:val="23"/>
                <w:szCs w:val="23"/>
                <w:color w:val="auto"/>
              </w:rPr>
            </w:pPr>
          </w:p>
        </w:tc>
        <w:tc>
          <w:tcPr>
            <w:tcW w:w="236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engagement</w:t>
            </w:r>
          </w:p>
        </w:tc>
      </w:tr>
      <w:tr>
        <w:trPr>
          <w:trHeight w:val="56"/>
        </w:trPr>
        <w:tc>
          <w:tcPr>
            <w:tcW w:w="2320" w:type="dxa"/>
            <w:vAlign w:val="bottom"/>
            <w:tcBorders>
              <w:left w:val="single" w:sz="8" w:color="E7E7E8"/>
              <w:bottom w:val="single" w:sz="8" w:color="E7E7E8"/>
              <w:right w:val="single" w:sz="8" w:color="E7E7E8"/>
            </w:tcBorders>
          </w:tcPr>
          <w:p>
            <w:pPr>
              <w:spacing w:after="0"/>
              <w:rPr>
                <w:sz w:val="4"/>
                <w:szCs w:val="4"/>
                <w:color w:val="auto"/>
              </w:rPr>
            </w:pPr>
          </w:p>
        </w:tc>
        <w:tc>
          <w:tcPr>
            <w:tcW w:w="660" w:type="dxa"/>
            <w:vAlign w:val="bottom"/>
            <w:tcBorders>
              <w:right w:val="single" w:sz="8" w:color="E7E7E8"/>
            </w:tcBorders>
          </w:tcPr>
          <w:p>
            <w:pPr>
              <w:spacing w:after="0"/>
              <w:rPr>
                <w:sz w:val="4"/>
                <w:szCs w:val="4"/>
                <w:color w:val="auto"/>
              </w:rPr>
            </w:pPr>
          </w:p>
        </w:tc>
        <w:tc>
          <w:tcPr>
            <w:tcW w:w="2320" w:type="dxa"/>
            <w:vAlign w:val="bottom"/>
            <w:tcBorders>
              <w:bottom w:val="single" w:sz="8" w:color="E7E7E8"/>
              <w:right w:val="single" w:sz="8" w:color="E7E7E8"/>
            </w:tcBorders>
          </w:tcPr>
          <w:p>
            <w:pPr>
              <w:spacing w:after="0"/>
              <w:rPr>
                <w:sz w:val="4"/>
                <w:szCs w:val="4"/>
                <w:color w:val="auto"/>
              </w:rPr>
            </w:pPr>
          </w:p>
        </w:tc>
        <w:tc>
          <w:tcPr>
            <w:tcW w:w="640" w:type="dxa"/>
            <w:vAlign w:val="bottom"/>
            <w:tcBorders>
              <w:right w:val="single" w:sz="8" w:color="E7E7E8"/>
            </w:tcBorders>
          </w:tcPr>
          <w:p>
            <w:pPr>
              <w:spacing w:after="0"/>
              <w:rPr>
                <w:sz w:val="4"/>
                <w:szCs w:val="4"/>
                <w:color w:val="auto"/>
              </w:rPr>
            </w:pPr>
          </w:p>
        </w:tc>
        <w:tc>
          <w:tcPr>
            <w:tcW w:w="2340" w:type="dxa"/>
            <w:vAlign w:val="bottom"/>
            <w:tcBorders>
              <w:bottom w:val="single" w:sz="8" w:color="E7E7E8"/>
              <w:right w:val="single" w:sz="8" w:color="E7E7E8"/>
            </w:tcBorders>
          </w:tcPr>
          <w:p>
            <w:pPr>
              <w:spacing w:after="0"/>
              <w:rPr>
                <w:sz w:val="4"/>
                <w:szCs w:val="4"/>
                <w:color w:val="auto"/>
              </w:rPr>
            </w:pPr>
          </w:p>
        </w:tc>
        <w:tc>
          <w:tcPr>
            <w:tcW w:w="620" w:type="dxa"/>
            <w:vAlign w:val="bottom"/>
          </w:tcPr>
          <w:p>
            <w:pPr>
              <w:spacing w:after="0"/>
              <w:rPr>
                <w:sz w:val="4"/>
                <w:szCs w:val="4"/>
                <w:color w:val="auto"/>
              </w:rPr>
            </w:pPr>
          </w:p>
        </w:tc>
        <w:tc>
          <w:tcPr>
            <w:tcW w:w="2360" w:type="dxa"/>
            <w:vAlign w:val="bottom"/>
            <w:tcBorders>
              <w:bottom w:val="single" w:sz="8" w:color="E7E7E8"/>
            </w:tcBorders>
            <w:shd w:val="clear" w:color="auto" w:fill="E7E7E8"/>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54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54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54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color w:val="074A75"/>
        </w:rPr>
        <w:t>Employees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Board is committed to maintaining a strong corporate culture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that, based on our core values of respect, integrity and inclusion,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instills and enhances a sense of personal accountability on the part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all of the Firm’s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discussions at Board meetings with senior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 about these efforts, our directors participate in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outside of the Boardroom including meetings with employees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emphasize this commitment. These meetings include employee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town halls, LOB and leadership team events such as our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Workshop, annual senior leaders’ meetings and informal sessions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members of the OC and other senior leaders. In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members of our Board also participated in Business Resource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Groups' ("BRG") events including Women on the Move, Leading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Women Defined conference, Annual Women Leadership Day,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 Wealth Management and Black Organization for Leadership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("BOLD").</w:t>
      </w: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color w:val="074A75"/>
        </w:rPr>
        <w:t>Regulators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Board and senior leaders commit significant time to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with regulators. These interactions help us learn first-hand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regulators about matters of importance to them and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expectations of us. It also gives the Board and management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forum for keeping our regulators well-informed about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and business practices.</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074A75"/>
        </w:rPr>
        <w:t>Stakeholders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we strive to deliver value, management engages with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stakeholders, including our customers, suppliers and communities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which we work, on a range of issues in a variety of ways.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include participation in consumer advisory panels, town halls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meetings with policy advocacy groups and nonprofit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organizations. We actively seek feedback on key topics to help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better understand what is important to our stakeholders and find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ways to deliver value while also navigating financial, legal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considerations. In recent years, we have engaged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extensive stakeholder outreach pertaining to, among other topics,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human capital management including diversity, equity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inclusion, climate change risk and ESG-related disclosures.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Management shares insights and feedback from these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relationships and engagements with the Board, providing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valuable insights. Board members are also provided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opportunities to engage with stakeholders through client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town halls, BRG, and shareholder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271780</wp:posOffset>
            </wp:positionV>
            <wp:extent cx="274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31  </w:t>
      </w:r>
      <w:r>
        <w:rPr>
          <w:sz w:val="1"/>
          <w:szCs w:val="1"/>
          <w:color w:val="auto"/>
        </w:rPr>
        <w:drawing>
          <wp:inline distT="0" distB="0" distL="0" distR="0">
            <wp:extent cx="2203450" cy="154305"/>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DIRECTOR COMPENSATION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43"/>
          <w:szCs w:val="43"/>
          <w:color w:val="074A75"/>
        </w:rPr>
        <w:t>Director compensation</w:t>
      </w:r>
    </w:p>
    <w:p>
      <w:pPr>
        <w:spacing w:after="0" w:line="1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Governance Committee is responsible for reviewing director compensation and making recommendations to the Board. In making its recommendations, the Governance Committee annually reviews the Board’s responsibilities and the compensation practices of peer firms, which include the same group of peer firms referenced with respect to the compensation of our NEOs. For more information see “Evaluating market practices” on page 45.</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believes a best practice is to link director compensation to the Firm’s performance; therefore, a significant portion of director compensation is paid in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074A75"/>
        </w:rPr>
        <w:t>Annual compensation</w:t>
      </w:r>
    </w:p>
    <w:p>
      <w:pPr>
        <w:spacing w:after="0" w:line="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each calendar year of service on the Board, each non-employee director receives an annual cash retainer of $100,000 and if the non-employee director is on the Board at the time when annual performance year equity awards are granted, an annual grant of deferred stock units valued at $250,000. Compensation paid during 2021, including additional cash compensation paid for certain committee and other service, is described in the following tables.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deferred stock unit included in the annual grant to directors represents the right to receive one share of the Firm’s common stock and dividend equivalents payable in deferred stock units for any dividends paid. Deferred stock units have no voting rights. In January of the year immediately following a director’s termination of service, deferred stock units are distributed in shares of the Firm’s common stock in either a lump sum or in annual installments for up to 15 years as elected by the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summarizes the 2021 annual compensation for non-employee directors for service on the Boards of the Firm, the Bank and J.P. Morgan Securities plc. There is no additional compensation paid for service on the Board of IHC.</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074A75"/>
              </w:rPr>
              <w:t>Compensation</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b w:val="1"/>
                <w:bCs w:val="1"/>
                <w:color w:val="074A75"/>
              </w:rPr>
              <w:t>Amount ($)</w:t>
            </w:r>
          </w:p>
        </w:tc>
      </w:tr>
      <w:tr>
        <w:trPr>
          <w:trHeight w:val="234"/>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Board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100,000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Lead Independent Director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30,000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Audit and Risk Committee chair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Audit and Risk Committee member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6"/>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All other committees chair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Deferred stock unit grant</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Bank Board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Bank Board’s chair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w:t>
            </w:r>
          </w:p>
        </w:tc>
      </w:tr>
      <w:tr>
        <w:trPr>
          <w:trHeight w:val="236"/>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J.P. Morgan Securities plc Board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110,000</w:t>
            </w:r>
          </w:p>
        </w:tc>
      </w:tr>
    </w:tbl>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Board may periodically ask directors to serve on one or more Specific Purpose Committees or other committees that are not one of the Board’s principal standing committees or to serve on the board of directors of a subsidiary of the Firm. Any compensation for such service is included in the “2021 Director compensation table” on the next page.</w:t>
      </w:r>
    </w:p>
    <w:p>
      <w:pPr>
        <w:spacing w:after="0" w:line="1587"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2021 Director compensation table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for each non-employee director in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1660" w:type="dxa"/>
            <w:vAlign w:val="bottom"/>
            <w:gridSpan w:val="2"/>
            <w:vMerge w:val="restart"/>
          </w:tcPr>
          <w:p>
            <w:pPr>
              <w:jc w:val="right"/>
              <w:ind w:right="199"/>
              <w:spacing w:after="0"/>
              <w:rPr>
                <w:sz w:val="20"/>
                <w:szCs w:val="20"/>
                <w:color w:val="auto"/>
              </w:rPr>
            </w:pPr>
            <w:r>
              <w:rPr>
                <w:rFonts w:ascii="Arial" w:cs="Arial" w:eastAsia="Arial" w:hAnsi="Arial"/>
                <w:sz w:val="16"/>
                <w:szCs w:val="16"/>
                <w:b w:val="1"/>
                <w:bCs w:val="1"/>
                <w:color w:val="074A75"/>
              </w:rPr>
              <w:t>Fees earned or</w:t>
            </w:r>
          </w:p>
        </w:tc>
        <w:tc>
          <w:tcPr>
            <w:tcW w:w="1460" w:type="dxa"/>
            <w:vAlign w:val="bottom"/>
          </w:tcPr>
          <w:p>
            <w:pPr>
              <w:spacing w:after="0"/>
              <w:rPr>
                <w:sz w:val="16"/>
                <w:szCs w:val="16"/>
                <w:color w:val="auto"/>
              </w:rPr>
            </w:pPr>
          </w:p>
        </w:tc>
        <w:tc>
          <w:tcPr>
            <w:tcW w:w="1100" w:type="dxa"/>
            <w:vAlign w:val="bottom"/>
          </w:tcPr>
          <w:p>
            <w:pPr>
              <w:jc w:val="center"/>
              <w:ind w:left="520"/>
              <w:spacing w:after="0"/>
              <w:rPr>
                <w:sz w:val="20"/>
                <w:szCs w:val="20"/>
                <w:color w:val="auto"/>
              </w:rPr>
            </w:pPr>
            <w:r>
              <w:rPr>
                <w:rFonts w:ascii="Arial" w:cs="Arial" w:eastAsia="Arial" w:hAnsi="Arial"/>
                <w:sz w:val="16"/>
                <w:szCs w:val="16"/>
                <w:b w:val="1"/>
                <w:bCs w:val="1"/>
                <w:color w:val="074A75"/>
                <w:w w:val="98"/>
              </w:rPr>
              <w:t>Other</w:t>
            </w: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4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074A75"/>
              </w:rPr>
              <w:t>2021 Stock</w:t>
            </w:r>
          </w:p>
        </w:tc>
        <w:tc>
          <w:tcPr>
            <w:tcW w:w="17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74A75"/>
              </w:rPr>
              <w:t>fees earned or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074A75"/>
              </w:rPr>
              <w:t>Director</w:t>
            </w:r>
          </w:p>
        </w:tc>
        <w:tc>
          <w:tcPr>
            <w:tcW w:w="1660" w:type="dxa"/>
            <w:vAlign w:val="bottom"/>
            <w:gridSpan w:val="2"/>
          </w:tcPr>
          <w:p>
            <w:pPr>
              <w:jc w:val="right"/>
              <w:ind w:right="159"/>
              <w:spacing w:after="0" w:line="163" w:lineRule="exact"/>
              <w:rPr>
                <w:sz w:val="20"/>
                <w:szCs w:val="20"/>
                <w:color w:val="auto"/>
              </w:rPr>
            </w:pPr>
            <w:r>
              <w:rPr>
                <w:rFonts w:ascii="Arial" w:cs="Arial" w:eastAsia="Arial" w:hAnsi="Arial"/>
                <w:sz w:val="14"/>
                <w:szCs w:val="14"/>
                <w:b w:val="1"/>
                <w:bCs w:val="1"/>
                <w:color w:val="074A75"/>
              </w:rPr>
              <w:t>paid in cash ($)</w:t>
            </w:r>
            <w:r>
              <w:rPr>
                <w:rFonts w:ascii="Arial" w:cs="Arial" w:eastAsia="Arial" w:hAnsi="Arial"/>
                <w:sz w:val="18"/>
                <w:szCs w:val="18"/>
                <w:b w:val="1"/>
                <w:bCs w:val="1"/>
                <w:color w:val="074A75"/>
                <w:vertAlign w:val="superscript"/>
              </w:rPr>
              <w:t>1</w:t>
            </w:r>
          </w:p>
        </w:tc>
        <w:tc>
          <w:tcPr>
            <w:tcW w:w="146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074A75"/>
              </w:rPr>
              <w:t>Total ($)</w:t>
            </w:r>
          </w:p>
        </w:tc>
        <w:tc>
          <w:tcPr>
            <w:tcW w:w="0" w:type="dxa"/>
            <w:vAlign w:val="bottom"/>
          </w:tcPr>
          <w:p>
            <w:pPr>
              <w:spacing w:after="0"/>
              <w:rPr>
                <w:sz w:val="1"/>
                <w:szCs w:val="1"/>
                <w:color w:val="auto"/>
              </w:rPr>
            </w:pPr>
          </w:p>
        </w:tc>
      </w:tr>
      <w:tr>
        <w:trPr>
          <w:trHeight w:val="176"/>
        </w:trPr>
        <w:tc>
          <w:tcPr>
            <w:tcW w:w="5280" w:type="dxa"/>
            <w:vAlign w:val="bottom"/>
            <w:tcBorders>
              <w:bottom w:val="single" w:sz="8" w:color="454545"/>
            </w:tcBorders>
            <w:vMerge w:val="continue"/>
          </w:tcPr>
          <w:p>
            <w:pPr>
              <w:spacing w:after="0"/>
              <w:rPr>
                <w:sz w:val="15"/>
                <w:szCs w:val="15"/>
                <w:color w:val="auto"/>
              </w:rPr>
            </w:pPr>
          </w:p>
        </w:tc>
        <w:tc>
          <w:tcPr>
            <w:tcW w:w="820" w:type="dxa"/>
            <w:vAlign w:val="bottom"/>
            <w:tcBorders>
              <w:bottom w:val="single" w:sz="8" w:color="454545"/>
            </w:tcBorders>
          </w:tcPr>
          <w:p>
            <w:pPr>
              <w:spacing w:after="0"/>
              <w:rPr>
                <w:sz w:val="15"/>
                <w:szCs w:val="15"/>
                <w:color w:val="auto"/>
              </w:rPr>
            </w:pPr>
          </w:p>
        </w:tc>
        <w:tc>
          <w:tcPr>
            <w:tcW w:w="840" w:type="dxa"/>
            <w:vAlign w:val="bottom"/>
            <w:tcBorders>
              <w:bottom w:val="single" w:sz="8" w:color="454545"/>
            </w:tcBorders>
          </w:tcPr>
          <w:p>
            <w:pPr>
              <w:spacing w:after="0"/>
              <w:rPr>
                <w:sz w:val="15"/>
                <w:szCs w:val="15"/>
                <w:color w:val="auto"/>
              </w:rPr>
            </w:pPr>
          </w:p>
        </w:tc>
        <w:tc>
          <w:tcPr>
            <w:tcW w:w="1460" w:type="dxa"/>
            <w:vAlign w:val="bottom"/>
            <w:tcBorders>
              <w:bottom w:val="single" w:sz="8" w:color="454545"/>
            </w:tcBorders>
          </w:tcPr>
          <w:p>
            <w:pPr>
              <w:jc w:val="right"/>
              <w:ind w:right="279"/>
              <w:spacing w:after="0" w:line="176" w:lineRule="exact"/>
              <w:rPr>
                <w:sz w:val="20"/>
                <w:szCs w:val="20"/>
                <w:color w:val="auto"/>
              </w:rPr>
            </w:pPr>
            <w:r>
              <w:rPr>
                <w:rFonts w:ascii="Arial" w:cs="Arial" w:eastAsia="Arial" w:hAnsi="Arial"/>
                <w:sz w:val="15"/>
                <w:szCs w:val="15"/>
                <w:b w:val="1"/>
                <w:bCs w:val="1"/>
                <w:color w:val="074A75"/>
              </w:rPr>
              <w:t>award ($)</w:t>
            </w:r>
            <w:r>
              <w:rPr>
                <w:rFonts w:ascii="Arial" w:cs="Arial" w:eastAsia="Arial" w:hAnsi="Arial"/>
                <w:sz w:val="20"/>
                <w:szCs w:val="20"/>
                <w:b w:val="1"/>
                <w:bCs w:val="1"/>
                <w:color w:val="074A75"/>
                <w:vertAlign w:val="superscript"/>
              </w:rPr>
              <w:t>2</w:t>
            </w:r>
          </w:p>
        </w:tc>
        <w:tc>
          <w:tcPr>
            <w:tcW w:w="1740" w:type="dxa"/>
            <w:vAlign w:val="bottom"/>
            <w:tcBorders>
              <w:bottom w:val="single" w:sz="8" w:color="454545"/>
            </w:tcBorders>
            <w:gridSpan w:val="2"/>
          </w:tcPr>
          <w:p>
            <w:pPr>
              <w:jc w:val="center"/>
              <w:spacing w:after="0" w:line="176" w:lineRule="exact"/>
              <w:rPr>
                <w:sz w:val="20"/>
                <w:szCs w:val="20"/>
                <w:color w:val="auto"/>
              </w:rPr>
            </w:pPr>
            <w:r>
              <w:rPr>
                <w:rFonts w:ascii="Arial" w:cs="Arial" w:eastAsia="Arial" w:hAnsi="Arial"/>
                <w:sz w:val="15"/>
                <w:szCs w:val="15"/>
                <w:b w:val="1"/>
                <w:bCs w:val="1"/>
                <w:color w:val="074A75"/>
              </w:rPr>
              <w:t>paid in cash ($)</w:t>
            </w:r>
            <w:r>
              <w:rPr>
                <w:rFonts w:ascii="Arial" w:cs="Arial" w:eastAsia="Arial" w:hAnsi="Arial"/>
                <w:sz w:val="20"/>
                <w:szCs w:val="20"/>
                <w:b w:val="1"/>
                <w:bCs w:val="1"/>
                <w:color w:val="074A75"/>
                <w:vertAlign w:val="superscript"/>
              </w:rPr>
              <w:t>3</w:t>
            </w:r>
          </w:p>
        </w:tc>
        <w:tc>
          <w:tcPr>
            <w:tcW w:w="1100" w:type="dxa"/>
            <w:vAlign w:val="bottom"/>
            <w:tcBorders>
              <w:bottom w:val="single" w:sz="8" w:color="45454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Stephen B. Burke</w:t>
            </w:r>
          </w:p>
        </w:tc>
        <w:tc>
          <w:tcPr>
            <w:tcW w:w="820" w:type="dxa"/>
            <w:vAlign w:val="bottom"/>
            <w:tcBorders>
              <w:bottom w:val="single" w:sz="8" w:color="454545"/>
            </w:tcBorders>
          </w:tcPr>
          <w:p>
            <w:pPr>
              <w:jc w:val="right"/>
              <w:ind w:right="14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145,000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   250,000</w:t>
            </w:r>
          </w:p>
        </w:tc>
        <w:tc>
          <w:tcPr>
            <w:tcW w:w="1100" w:type="dxa"/>
            <w:vAlign w:val="bottom"/>
            <w:tcBorders>
              <w:bottom w:val="single" w:sz="8" w:color="454545"/>
            </w:tcBorders>
          </w:tcPr>
          <w:p>
            <w:pPr>
              <w:jc w:val="center"/>
              <w:ind w:left="4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57,500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452,500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140,000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0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405,000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114,755</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0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30,000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394,755</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S. Crown</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130,000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0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395,000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Timothy P. Flynn</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140,000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0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125,000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515,000</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115,000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0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32,500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397,500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Michael A. Neal</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115,000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0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115,000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0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100,000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00" w:type="dxa"/>
            <w:vAlign w:val="bottom"/>
            <w:tcBorders>
              <w:bottom w:val="single" w:sz="8" w:color="454545"/>
            </w:tcBorders>
          </w:tcPr>
          <w:p>
            <w:pPr>
              <w:spacing w:after="0"/>
              <w:rPr>
                <w:sz w:val="20"/>
                <w:szCs w:val="20"/>
                <w:color w:val="auto"/>
              </w:rPr>
            </w:pPr>
          </w:p>
        </w:tc>
        <w:tc>
          <w:tcPr>
            <w:tcW w:w="6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30,000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 w:right="680" w:hanging="192"/>
        <w:spacing w:after="0" w:line="221" w:lineRule="auto"/>
        <w:tabs>
          <w:tab w:leader="none" w:pos="200" w:val="left"/>
        </w:tabs>
        <w:numPr>
          <w:ilvl w:val="0"/>
          <w:numId w:val="101"/>
        </w:numPr>
        <w:rPr>
          <w:rFonts w:ascii="Arial" w:cs="Arial" w:eastAsia="Arial" w:hAnsi="Arial"/>
          <w:sz w:val="16"/>
          <w:szCs w:val="16"/>
          <w:color w:val="auto"/>
          <w:vertAlign w:val="superscript"/>
        </w:rPr>
      </w:pPr>
      <w:r>
        <w:rPr>
          <w:rFonts w:ascii="Arial" w:cs="Arial" w:eastAsia="Arial" w:hAnsi="Arial"/>
          <w:sz w:val="13"/>
          <w:szCs w:val="13"/>
          <w:color w:val="auto"/>
        </w:rPr>
        <w:t>Includes fees earned, whether paid in cash or deferred, for service on the Board of Directors. For additional information on each director’s service on committees of JPMorgan Chase, see “Committees of the Board” on pages 24-26.</w:t>
      </w:r>
    </w:p>
    <w:p>
      <w:pPr>
        <w:ind w:left="200" w:hanging="192"/>
        <w:spacing w:after="0" w:line="209" w:lineRule="auto"/>
        <w:tabs>
          <w:tab w:leader="none" w:pos="200" w:val="left"/>
        </w:tabs>
        <w:numPr>
          <w:ilvl w:val="0"/>
          <w:numId w:val="102"/>
        </w:numPr>
        <w:rPr>
          <w:rFonts w:ascii="Arial" w:cs="Arial" w:eastAsia="Arial" w:hAnsi="Arial"/>
          <w:sz w:val="15"/>
          <w:szCs w:val="15"/>
          <w:color w:val="auto"/>
          <w:vertAlign w:val="superscript"/>
        </w:rPr>
      </w:pPr>
      <w:r>
        <w:rPr>
          <w:rFonts w:ascii="Arial" w:cs="Arial" w:eastAsia="Arial" w:hAnsi="Arial"/>
          <w:sz w:val="12"/>
          <w:szCs w:val="12"/>
          <w:color w:val="auto"/>
        </w:rPr>
        <w:t>On January 19, 2021, each non-employee director who was on the Board at the time when annual performance year equity awards were granted, received an annual grant of deferred stock units</w:t>
      </w:r>
    </w:p>
    <w:p>
      <w:pPr>
        <w:ind w:left="200" w:right="40"/>
        <w:spacing w:after="0" w:line="238" w:lineRule="auto"/>
        <w:rPr>
          <w:sz w:val="20"/>
          <w:szCs w:val="20"/>
          <w:color w:val="auto"/>
        </w:rPr>
      </w:pPr>
      <w:r>
        <w:rPr>
          <w:rFonts w:ascii="Arial" w:cs="Arial" w:eastAsia="Arial" w:hAnsi="Arial"/>
          <w:sz w:val="13"/>
          <w:szCs w:val="13"/>
          <w:color w:val="auto"/>
        </w:rPr>
        <w:t>valued at $250,000, based on a grant date fair market value of the Firm’s common stock of $139.26 per share. The aggregate number of stock and option awards outstanding at December 31, 2021, for each current director is included in the “Security ownership of directors and executive officers” table on page 83 under the columns “SARs/Options exercisable within 60 days” and “Additional underlying stock units,” respectively. All such awards are vested.</w:t>
      </w:r>
    </w:p>
    <w:p>
      <w:pPr>
        <w:ind w:left="200" w:hanging="192"/>
        <w:spacing w:after="0" w:line="222" w:lineRule="auto"/>
        <w:tabs>
          <w:tab w:leader="none" w:pos="200" w:val="left"/>
        </w:tabs>
        <w:numPr>
          <w:ilvl w:val="0"/>
          <w:numId w:val="103"/>
        </w:numPr>
        <w:rPr>
          <w:rFonts w:ascii="Arial" w:cs="Arial" w:eastAsia="Arial" w:hAnsi="Arial"/>
          <w:sz w:val="16"/>
          <w:szCs w:val="16"/>
          <w:color w:val="auto"/>
          <w:vertAlign w:val="superscript"/>
        </w:rPr>
      </w:pPr>
      <w:r>
        <w:rPr>
          <w:rFonts w:ascii="Arial" w:cs="Arial" w:eastAsia="Arial" w:hAnsi="Arial"/>
          <w:sz w:val="13"/>
          <w:szCs w:val="13"/>
          <w:color w:val="auto"/>
        </w:rPr>
        <w:t>Includes fees paid to the non-employee directors for their service on the Board of Directors of the Bank or who are members of one or more Specific Purpose Committees. A fee of $2,500 is paid for each Specific Purpose Committee meeting attended (with the exception of the Omnibus Committee). Also includes for Mr. Flynn, $110,000 in compensation during 2021 in consideration of his service as a director of J.P. Morgan Securities plc, the Firm’s principal operating subsidiary outside the U.S. and a subsidiary of the Bank.</w:t>
      </w:r>
    </w:p>
    <w:p>
      <w:pPr>
        <w:sectPr>
          <w:pgSz w:w="11900" w:h="16838" w:orient="portrait"/>
          <w:cols w:equalWidth="0" w:num="1">
            <w:col w:w="11240"/>
          </w:cols>
          <w:pgMar w:left="320" w:top="157" w:right="339" w:bottom="1440" w:gutter="0" w:footer="0" w:header="0"/>
        </w:sectPr>
      </w:pPr>
    </w:p>
    <w:p>
      <w:pPr>
        <w:spacing w:after="0" w:line="270" w:lineRule="exact"/>
        <w:rPr>
          <w:sz w:val="20"/>
          <w:szCs w:val="20"/>
          <w:color w:val="auto"/>
        </w:rPr>
      </w:pPr>
    </w:p>
    <w:p>
      <w:pPr>
        <w:ind w:right="340"/>
        <w:spacing w:after="0" w:line="254" w:lineRule="auto"/>
        <w:rPr>
          <w:sz w:val="20"/>
          <w:szCs w:val="20"/>
          <w:color w:val="auto"/>
        </w:rPr>
      </w:pPr>
      <w:r>
        <w:rPr>
          <w:rFonts w:ascii="Arial" w:cs="Arial" w:eastAsia="Arial" w:hAnsi="Arial"/>
          <w:sz w:val="29"/>
          <w:szCs w:val="29"/>
          <w:color w:val="074A75"/>
        </w:rPr>
        <w:t>Stock ownership: no sales, no hedging, no pledging</w:t>
      </w:r>
    </w:p>
    <w:p>
      <w:pPr>
        <w:ind w:right="80"/>
        <w:spacing w:after="0" w:line="253" w:lineRule="auto"/>
        <w:rPr>
          <w:sz w:val="20"/>
          <w:szCs w:val="20"/>
          <w:color w:val="auto"/>
        </w:rPr>
      </w:pPr>
      <w:r>
        <w:rPr>
          <w:rFonts w:ascii="Arial" w:cs="Arial" w:eastAsia="Arial" w:hAnsi="Arial"/>
          <w:sz w:val="18"/>
          <w:szCs w:val="18"/>
          <w:color w:val="auto"/>
        </w:rPr>
        <w:t>As stated in the Governance Principles and further described in “Anti-hedging/anti-pledging provisions” on page 50, each director agrees to retain all shares of the Firm’s common stock he or she purchased on the open market or received pursuant to his or her service as a Board member for as long as he or she serves on our Board.</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Shares held personally by a director may not be held in margin accounts or otherwise pledged as collateral, nor may the economic risk of such shares be hedged.</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detailed on page 83 under “Security ownership of directors and executive officers,” Mr. Crown has ownership of certain shares attributed to him that arise from the business of Henry Crown and Company, an investment company where Mr. Crown serves as Chairman and CEO, and trusts of which Mr. Crown serves as trustee (the “Attributed Shares”). Mr. Crown disclaims beneficial ownership of such Attributed Shares, except to the extent of his pecuniary interest. The Attributed Shares are distinct from shares Mr. Crown or his spouse own individually, or shares held in trusts for the benefit of his children (the “Crown Personally Held Shares”). The Firm has reviewed the potential pledging of the Attributed Shares with Mr. Crown, recognizes Mr. Crown’s distinct obligations with respect to Henry Crown and Company and the trusts, and believes such Attributed Shares may be prudently pledged or held in margin loan accounts. Crown Personally Held Shares are not and may not be held in margin accounts or otherwise pledged as collateral, nor may the economic risk of such shares be hedged.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color w:val="074A75"/>
        </w:rPr>
        <w:t>Deferred compensation</w:t>
      </w:r>
    </w:p>
    <w:p>
      <w:pPr>
        <w:spacing w:after="0" w:line="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Each year, non-employee directors may elect to defer all or part of their cash compensation. A director’s right to receive future payments under any deferred compensation arrangement is an unsecured claim against JPMorgan Chase’s general assets. Cash amounts may be deferred into various investment equivalents, including deferred stock units. Upon retirement from the Board, compensation deferred into stock units will be distributed in stock; all other deferred cash compensation will be distributed in cash. Deferred compensation will be distributed in either a lump sum or in annual installments for up to 15 years as elected by the director commencing in January of the year following the director’s retirement from the Board.</w:t>
      </w: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color w:val="074A75"/>
        </w:rPr>
        <w:t>Reimbursements and insurance</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Firm reimburses directors for their expenses in connection with their Board service or pays such expenses directly. The Firm also pays the premiums on directors’ and officers’ liability insurance policies and on travel accident insurance policies covering directors as well as employees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1559560</wp:posOffset>
            </wp:positionV>
            <wp:extent cx="274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349"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33  </w:t>
      </w:r>
      <w:r>
        <w:rPr>
          <w:sz w:val="1"/>
          <w:szCs w:val="1"/>
          <w:color w:val="auto"/>
        </w:rPr>
        <w:drawing>
          <wp:inline distT="0" distB="0" distL="0" distR="0">
            <wp:extent cx="2203450" cy="154305"/>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3880"/>
        <w:spacing w:after="0"/>
        <w:rPr>
          <w:sz w:val="20"/>
          <w:szCs w:val="20"/>
          <w:color w:val="auto"/>
        </w:rPr>
      </w:pPr>
      <w:r>
        <w:rPr>
          <w:rFonts w:ascii="Arial" w:cs="Arial" w:eastAsia="Arial" w:hAnsi="Arial"/>
          <w:sz w:val="16"/>
          <w:szCs w:val="16"/>
          <w:color w:val="074A75"/>
        </w:rPr>
        <w:t xml:space="preserve">OTHER CORPORATE GOVERNANCE POLICIES AND PRACTICES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Other corporate governance policies and practices</w:t>
      </w:r>
    </w:p>
    <w:p>
      <w:pPr>
        <w:sectPr>
          <w:pgSz w:w="11900" w:h="16838" w:orient="portrait"/>
          <w:cols w:equalWidth="0" w:num="1">
            <w:col w:w="11220"/>
          </w:cols>
          <w:pgMar w:left="320" w:top="157" w:right="35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074A75"/>
        </w:rPr>
        <w:t>Shareholder rights</w:t>
      </w:r>
    </w:p>
    <w:p>
      <w:pPr>
        <w:spacing w:after="0" w:line="35" w:lineRule="exact"/>
        <w:rPr>
          <w:sz w:val="20"/>
          <w:szCs w:val="20"/>
          <w:color w:val="auto"/>
        </w:rPr>
      </w:pPr>
    </w:p>
    <w:p>
      <w:pPr>
        <w:ind w:right="700"/>
        <w:spacing w:after="0" w:line="266" w:lineRule="auto"/>
        <w:rPr>
          <w:sz w:val="20"/>
          <w:szCs w:val="20"/>
          <w:color w:val="auto"/>
        </w:rPr>
      </w:pPr>
      <w:r>
        <w:rPr>
          <w:rFonts w:ascii="Arial" w:cs="Arial" w:eastAsia="Arial" w:hAnsi="Arial"/>
          <w:sz w:val="18"/>
          <w:szCs w:val="18"/>
          <w:color w:val="auto"/>
        </w:rPr>
        <w:t>The Firm’s Certificate of Incorporation and By-laws provide shareholders with important rights, including:</w:t>
      </w:r>
    </w:p>
    <w:p>
      <w:pPr>
        <w:spacing w:after="0" w:line="63" w:lineRule="exact"/>
        <w:rPr>
          <w:sz w:val="20"/>
          <w:szCs w:val="20"/>
          <w:color w:val="auto"/>
        </w:rPr>
      </w:pPr>
    </w:p>
    <w:p>
      <w:pPr>
        <w:ind w:left="200" w:right="180" w:hanging="192"/>
        <w:spacing w:after="0" w:line="282" w:lineRule="auto"/>
        <w:tabs>
          <w:tab w:leader="none" w:pos="204" w:val="left"/>
        </w:tabs>
        <w:numPr>
          <w:ilvl w:val="0"/>
          <w:numId w:val="104"/>
        </w:numPr>
        <w:rPr>
          <w:rFonts w:ascii="Arial" w:cs="Arial" w:eastAsia="Arial" w:hAnsi="Arial"/>
          <w:sz w:val="17"/>
          <w:szCs w:val="17"/>
          <w:color w:val="074A75"/>
        </w:rPr>
      </w:pPr>
      <w:r>
        <w:rPr>
          <w:rFonts w:ascii="Arial" w:cs="Arial" w:eastAsia="Arial" w:hAnsi="Arial"/>
          <w:sz w:val="17"/>
          <w:szCs w:val="17"/>
          <w:color w:val="auto"/>
        </w:rPr>
        <w:t>Proxy access, which enables eligible shareholders to include their nominees for election as directors in the Firm’s proxy statement. For further information, see page 109, “Shareholder proposals and nominations for the 2023 annual meeting.”</w:t>
      </w:r>
    </w:p>
    <w:p>
      <w:pPr>
        <w:spacing w:after="0" w:line="12" w:lineRule="exact"/>
        <w:rPr>
          <w:rFonts w:ascii="Arial" w:cs="Arial" w:eastAsia="Arial" w:hAnsi="Arial"/>
          <w:sz w:val="17"/>
          <w:szCs w:val="17"/>
          <w:color w:val="074A75"/>
        </w:rPr>
      </w:pPr>
    </w:p>
    <w:p>
      <w:pPr>
        <w:ind w:left="200" w:right="40" w:hanging="192"/>
        <w:spacing w:after="0" w:line="268" w:lineRule="auto"/>
        <w:tabs>
          <w:tab w:leader="none" w:pos="204" w:val="left"/>
        </w:tabs>
        <w:numPr>
          <w:ilvl w:val="0"/>
          <w:numId w:val="104"/>
        </w:numPr>
        <w:rPr>
          <w:rFonts w:ascii="Arial" w:cs="Arial" w:eastAsia="Arial" w:hAnsi="Arial"/>
          <w:sz w:val="18"/>
          <w:szCs w:val="18"/>
          <w:color w:val="074A75"/>
        </w:rPr>
      </w:pPr>
      <w:r>
        <w:rPr>
          <w:rFonts w:ascii="Arial" w:cs="Arial" w:eastAsia="Arial" w:hAnsi="Arial"/>
          <w:sz w:val="18"/>
          <w:szCs w:val="18"/>
          <w:color w:val="auto"/>
        </w:rPr>
        <w:t>The ability to call a special meeting by shareholders holding at least 20% of the outstanding shares of our common stock (net of hedges)</w:t>
      </w:r>
    </w:p>
    <w:p>
      <w:pPr>
        <w:spacing w:after="0" w:line="35" w:lineRule="exact"/>
        <w:rPr>
          <w:rFonts w:ascii="Arial" w:cs="Arial" w:eastAsia="Arial" w:hAnsi="Arial"/>
          <w:sz w:val="18"/>
          <w:szCs w:val="18"/>
          <w:color w:val="074A75"/>
        </w:rPr>
      </w:pPr>
    </w:p>
    <w:p>
      <w:pPr>
        <w:ind w:left="200" w:right="20" w:hanging="192"/>
        <w:spacing w:after="0" w:line="259" w:lineRule="auto"/>
        <w:tabs>
          <w:tab w:leader="none" w:pos="204" w:val="left"/>
        </w:tabs>
        <w:numPr>
          <w:ilvl w:val="0"/>
          <w:numId w:val="104"/>
        </w:numPr>
        <w:rPr>
          <w:rFonts w:ascii="Arial" w:cs="Arial" w:eastAsia="Arial" w:hAnsi="Arial"/>
          <w:sz w:val="18"/>
          <w:szCs w:val="18"/>
          <w:color w:val="074A75"/>
        </w:rPr>
      </w:pPr>
      <w:r>
        <w:rPr>
          <w:rFonts w:ascii="Arial" w:cs="Arial" w:eastAsia="Arial" w:hAnsi="Arial"/>
          <w:sz w:val="18"/>
          <w:szCs w:val="18"/>
          <w:color w:val="auto"/>
        </w:rPr>
        <w:t>The ability of shareholders holding at least 20% of the outstanding shares of our common stock (net of hedges) to seek a corporate action by written consent without a meeting on terms substantially similar to the terms applicable to call special meetings</w:t>
      </w:r>
    </w:p>
    <w:p>
      <w:pPr>
        <w:spacing w:after="0" w:line="30" w:lineRule="exact"/>
        <w:rPr>
          <w:rFonts w:ascii="Arial" w:cs="Arial" w:eastAsia="Arial" w:hAnsi="Arial"/>
          <w:sz w:val="18"/>
          <w:szCs w:val="18"/>
          <w:color w:val="074A75"/>
        </w:rPr>
      </w:pPr>
    </w:p>
    <w:p>
      <w:pPr>
        <w:ind w:left="200" w:hanging="192"/>
        <w:spacing w:after="0"/>
        <w:tabs>
          <w:tab w:leader="none" w:pos="200" w:val="left"/>
        </w:tabs>
        <w:numPr>
          <w:ilvl w:val="0"/>
          <w:numId w:val="104"/>
        </w:numPr>
        <w:rPr>
          <w:rFonts w:ascii="Arial" w:cs="Arial" w:eastAsia="Arial" w:hAnsi="Arial"/>
          <w:sz w:val="18"/>
          <w:szCs w:val="18"/>
          <w:color w:val="074A75"/>
        </w:rPr>
      </w:pPr>
      <w:r>
        <w:rPr>
          <w:rFonts w:ascii="Arial" w:cs="Arial" w:eastAsia="Arial" w:hAnsi="Arial"/>
          <w:sz w:val="18"/>
          <w:szCs w:val="18"/>
          <w:color w:val="auto"/>
        </w:rPr>
        <w:t>Majority election of directors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04"/>
        </w:numPr>
        <w:rPr>
          <w:rFonts w:ascii="Arial" w:cs="Arial" w:eastAsia="Arial" w:hAnsi="Arial"/>
          <w:sz w:val="18"/>
          <w:szCs w:val="18"/>
          <w:color w:val="074A75"/>
        </w:rPr>
      </w:pPr>
      <w:r>
        <w:rPr>
          <w:rFonts w:ascii="Arial" w:cs="Arial" w:eastAsia="Arial" w:hAnsi="Arial"/>
          <w:sz w:val="18"/>
          <w:szCs w:val="18"/>
          <w:color w:val="auto"/>
        </w:rPr>
        <w:t>No “poison pill” in effect</w:t>
      </w:r>
    </w:p>
    <w:p>
      <w:pPr>
        <w:spacing w:after="0" w:line="90" w:lineRule="exact"/>
        <w:rPr>
          <w:rFonts w:ascii="Arial" w:cs="Arial" w:eastAsia="Arial" w:hAnsi="Arial"/>
          <w:sz w:val="18"/>
          <w:szCs w:val="18"/>
          <w:color w:val="074A75"/>
        </w:rPr>
      </w:pPr>
    </w:p>
    <w:p>
      <w:pPr>
        <w:ind w:left="200" w:right="700" w:hanging="192"/>
        <w:spacing w:after="0" w:line="287" w:lineRule="auto"/>
        <w:tabs>
          <w:tab w:leader="none" w:pos="204" w:val="left"/>
        </w:tabs>
        <w:numPr>
          <w:ilvl w:val="0"/>
          <w:numId w:val="104"/>
        </w:numPr>
        <w:rPr>
          <w:rFonts w:ascii="Arial" w:cs="Arial" w:eastAsia="Arial" w:hAnsi="Arial"/>
          <w:sz w:val="18"/>
          <w:szCs w:val="18"/>
          <w:color w:val="074A75"/>
        </w:rPr>
      </w:pPr>
      <w:r>
        <w:rPr>
          <w:rFonts w:ascii="Arial" w:cs="Arial" w:eastAsia="Arial" w:hAnsi="Arial"/>
          <w:sz w:val="18"/>
          <w:szCs w:val="18"/>
          <w:color w:val="auto"/>
        </w:rPr>
        <w:t>No super-majority vote requirements in our Certificate of Incorporation or By-laws</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Firm’s Certificate of Incorporation and By-laws are available on our website at jpmorganchase.com/about/governance.</w:t>
      </w:r>
    </w:p>
    <w:p>
      <w:pPr>
        <w:spacing w:after="0" w:line="207" w:lineRule="exact"/>
        <w:rPr>
          <w:sz w:val="20"/>
          <w:szCs w:val="20"/>
          <w:color w:val="auto"/>
        </w:rPr>
      </w:pPr>
    </w:p>
    <w:p>
      <w:pPr>
        <w:ind w:right="380"/>
        <w:spacing w:after="0" w:line="254" w:lineRule="auto"/>
        <w:rPr>
          <w:sz w:val="20"/>
          <w:szCs w:val="20"/>
          <w:color w:val="auto"/>
        </w:rPr>
      </w:pPr>
      <w:r>
        <w:rPr>
          <w:rFonts w:ascii="Arial" w:cs="Arial" w:eastAsia="Arial" w:hAnsi="Arial"/>
          <w:sz w:val="29"/>
          <w:szCs w:val="29"/>
          <w:color w:val="074A75"/>
        </w:rPr>
        <w:t>Policies and procedures for approval of related party transactions</w:t>
      </w:r>
    </w:p>
    <w:p>
      <w:pPr>
        <w:spacing w:after="0"/>
        <w:rPr>
          <w:sz w:val="20"/>
          <w:szCs w:val="20"/>
          <w:color w:val="auto"/>
        </w:rPr>
      </w:pPr>
      <w:r>
        <w:rPr>
          <w:rFonts w:ascii="Arial" w:cs="Arial" w:eastAsia="Arial" w:hAnsi="Arial"/>
          <w:sz w:val="18"/>
          <w:szCs w:val="18"/>
          <w:color w:val="auto"/>
        </w:rPr>
        <w:t>The Firm has adopted a written Transactions with Related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Policy (“Policy”), which sets forth the Firm’s policies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procedures for reviewing and approving transactions with 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persons – our directors, executive officers, their respective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 family members and 5% shareholders.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transactions covered by the Policy include any financial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arrangement or relationship in which the Firm is a participant,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related person has or will have a direct or indirect material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After becoming aware of any transaction which may be subject to the Policy, the director or executive officer involved in such transaction is required to report all relevant facts with respect to the transaction to the General Counsel of the Firm. Upon determination by the General Counsel that a transaction requires review under the Policy, the material facts of the transaction and the related person’s interest in the transaction are provided to the Governance Committee. The transaction is then reviewed by the disinterested members of the Governance Committee, who determine whether approval or ratification of the transaction shall be granted. In reviewing a transaction, the Governance Committee considers facts and circumstances that it deems relevant to its determination, such as: management’s assessment of the commercial reasonableness of the transaction; the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materiality of the related person’s direct or indirect interest in the transaction; whether the transaction may involve an actual, or the appearance of, a conflict of interest; and, if the transaction involves a director, the impact of the transaction on the director’s independence.</w:t>
      </w:r>
    </w:p>
    <w:p>
      <w:pPr>
        <w:spacing w:after="0" w:line="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Certain types of transactions are pre-approved in accordance with the terms of the Policy. These include transactions in the ordinary course of business involving financial products and services provided by, or to, the Firm, including loans, provided such transactions are in compliance with the Sarbanes-Oxley Act of 2002, Federal Reserve Board Regulation O and other applicable laws and regulations.</w:t>
      </w:r>
    </w:p>
    <w:p>
      <w:pPr>
        <w:spacing w:after="0" w:line="237" w:lineRule="exact"/>
        <w:rPr>
          <w:sz w:val="20"/>
          <w:szCs w:val="20"/>
          <w:color w:val="auto"/>
        </w:rPr>
      </w:pPr>
    </w:p>
    <w:p>
      <w:pPr>
        <w:ind w:right="680"/>
        <w:spacing w:after="0" w:line="263" w:lineRule="auto"/>
        <w:rPr>
          <w:sz w:val="20"/>
          <w:szCs w:val="20"/>
          <w:color w:val="auto"/>
        </w:rPr>
      </w:pPr>
      <w:r>
        <w:rPr>
          <w:rFonts w:ascii="Arial" w:cs="Arial" w:eastAsia="Arial" w:hAnsi="Arial"/>
          <w:sz w:val="28"/>
          <w:szCs w:val="28"/>
          <w:color w:val="074A75"/>
        </w:rPr>
        <w:t>Transactions with directors, executive officers and 5% shareholders</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directors and executive officers, and some of their immediate family members and affiliated entities, and BlackRock, Inc. and affiliated entities ("BlackRock") and The Vanguard Group and affiliated entities ("Vanguard"), beneficial owners of more than 5% of our outstanding common stock, were customers of, or had transactions with or involving, JPMorgan Chase or our banking or other subsidiaries in the ordinary course of business during 2021. Additional transactions may be expected to take place in the future.</w:t>
      </w:r>
    </w:p>
    <w:p>
      <w:pPr>
        <w:spacing w:after="0" w:line="7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Any outstanding loans to the foregoing persons and entities and any other transactions involving the Firm’s financial products and services (such as banking, brokerage, investment, investment banking, and financial advisory products and services) provided to such persons and entities: (i) were made in the ordinary course of business, (ii) were made on substantially the same terms (including interest rates and collateral (where applicable), as those prevailing at the time for comparable transactions with persons and entities not related to the Firm (or, where eligible with respect to executive officers, immediate family members and affiliated entities, on such terms as are available under our employee benefits or compensation programs) and (iii) did not involve more than the normal risk of collectibility or present other unfavorable features.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fiduciary committees for the JPMorgan Chase Retirement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for the JPMorgan Chase 401(k) Savings Plan (each, a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entered into agreements with BlackRock giving it discretionary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authority to manage certain assets on behalf of each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these agreements, fees of approximately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were paid by the Plans to BlackRock in 2021. JPMorgan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Chase UK Retirement Plan paid BlackRock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£515,000 (approximately $679,000) for the portfolio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services provided to its Trustee, JPMorgan Pension Trustees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Subsidiaries of the Firm have subscribed to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services and received consulting services from BlackRock,</w:t>
      </w:r>
    </w:p>
    <w:p>
      <w:pPr>
        <w:spacing w:after="0" w:line="707"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including and related to select market data, analytics and modeling, and paid BlackRock approximately $3.1 million in 2021 for the services. JPMorgan Chase paid BlackRock approximately $4.6 million in 2021 to access its Aladdin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w:t>
      </w:r>
    </w:p>
    <w:p>
      <w:pPr>
        <w:spacing w:after="0" w:line="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Certain J.P. Morgan mutual funds and subsidiaries entered into a sub-transfer agency agreement with Vanguard and paid Vanguard approximately $465,000 in 2021 for services rendered, primarily accounting, recordkeeping and administrative services.</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January 2019, the Firm entered into agreements for the sale and redevelopment of a retail bank branch property in California to modernize the branch and monetize excess development rights. Following a solicitation and review of proposals from several major real estate developers, a company not affiliated with the Firm or its directors or executive officers was selected to lead the project. The development company is expected to make the purchase through an existing legal entity as a result of which Director James Crown and members of his immediate family are expected to hold indirect equity interests in the property which in the aggregate would exceed 10%. The purchase price will depend upon the development rights attained and is anticipated to exceed $32 million. The transaction has not been consummated and closing is subject to completion of the development entitlements process and satisfaction of other contractual conditions precedent. The transaction is not material to the overall investment holdings of Mr. Crown and members of his immediate family, and it was negotiated with the unaffiliated development company in the ordinary course of business.</w:t>
      </w:r>
    </w:p>
    <w:p>
      <w:pPr>
        <w:spacing w:after="0" w:line="8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December 2020, as part of the Firm’s plan to invest $ 30 billion to advance racial equity, the Firm approved co-investment of up to $200 million on a deal-by-deal basis in Black, Hispanic or Latino-owned businesses alongside Project Black (the “Co-Invest Program”). Project Black is a private equity initiative of Ariel Alternatives, LLC, an affiliate of Ariel Investments, LLC, of which Director Mellody Hobson is Co-CEO and President. The purpose of the Co-Invest Program is to facilitate co-investments by the Firm in businesses that (i) are Black, Hispanic or Latino-owned prior to any investment by Project Black or the Firm, or (ii) will become Black, Hispanic or Latino-owned by virtue of the investment by Project Black and that will be managed so as to increase diversity into the acquired company’s leadership and management. In connection with the Co-Invest Program, the Firm will neither receive fees from nor pay fees to Ariel Investments, LLC or any of its affiliates. The Co-Invest Program is not material to Mellody Hobson or Ariel Investments, LLC.</w:t>
      </w:r>
    </w:p>
    <w:p>
      <w:pPr>
        <w:spacing w:after="0" w:line="248" w:lineRule="exact"/>
        <w:rPr>
          <w:sz w:val="20"/>
          <w:szCs w:val="20"/>
          <w:color w:val="auto"/>
        </w:rPr>
      </w:pPr>
    </w:p>
    <w:p>
      <w:pPr>
        <w:ind w:right="340"/>
        <w:spacing w:after="0" w:line="250" w:lineRule="auto"/>
        <w:rPr>
          <w:sz w:val="20"/>
          <w:szCs w:val="20"/>
          <w:color w:val="auto"/>
        </w:rPr>
      </w:pPr>
      <w:r>
        <w:rPr>
          <w:rFonts w:ascii="Arial" w:cs="Arial" w:eastAsia="Arial" w:hAnsi="Arial"/>
          <w:sz w:val="29"/>
          <w:szCs w:val="29"/>
          <w:color w:val="074A75"/>
        </w:rPr>
        <w:t>Compensation &amp; Management Development Committee interlocks and insider participation</w:t>
      </w:r>
    </w:p>
    <w:p>
      <w:pPr>
        <w:spacing w:after="0" w:line="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The members of the CMDC are listed on page 26. No member of the CMDC is or ever was a JPMorgan Chase officer 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employee, other than Linda B. Bammann, who previously served as an officer of JPMorgan Chase 15 years before joining the CMDC and 8 years before joining the Board. No JPMorgan Chase executive officer is, or was during 2021, a member of the board of directors or compensation committee (or other committee serving an equivalent function) of another company that has, or had during 2021, an executive officer serving as a member of our Board or the CMDC. All of the members of the CMDC, and/or some of their immediate family members and affiliated entities, were customers of, or had transactions with or involving, JPMorgan Chase or our banking or other subsidiaries in the ordinary course of business during 2021. Additional transactions may be expected to take place in the future. Any outstanding loans to the directors serving on the CMDC and their immediate family members and affiliated entities, and any transactions involving other financial products and services provided by the Firm to such persons and entities, were made in accordance with the standards stated above for transactions with directors, executive officers and 5% shareholders.</w:t>
      </w: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74A75"/>
        </w:rPr>
        <w:t>Political activities and lobbying</w:t>
      </w:r>
    </w:p>
    <w:p>
      <w:pPr>
        <w:spacing w:after="0" w:line="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JPMorgan Chase believes that responsible corporate citizenship demands a commitment to a healthy and informed democracy through civic and community involvement. Our business is subject to extensive laws and regulations at the international, federal, state and local levels, and changes to such laws can significantly affect how we operate, our revenues and the costs we incur. Because of the potential impact public policy can have on our businesses, employees, communities and customers, we engage with policymakers in order to advance and protect the long-term interests of the Firm.</w:t>
      </w:r>
    </w:p>
    <w:p>
      <w:pPr>
        <w:spacing w:after="0" w:line="7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PRC oversees the Firm’s significant policies and practices regarding political contributions, major lobbying priorities and principal trade association memberships that relate to the Firm’s public policy objectives.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Firm’s policies and practices related to political activities:</w:t>
      </w:r>
    </w:p>
    <w:p>
      <w:pPr>
        <w:spacing w:after="0" w:line="117" w:lineRule="exact"/>
        <w:rPr>
          <w:sz w:val="20"/>
          <w:szCs w:val="20"/>
          <w:color w:val="auto"/>
        </w:rPr>
      </w:pPr>
    </w:p>
    <w:p>
      <w:pPr>
        <w:jc w:val="both"/>
        <w:ind w:left="200" w:right="700" w:hanging="196"/>
        <w:spacing w:after="0" w:line="268" w:lineRule="auto"/>
        <w:tabs>
          <w:tab w:leader="none" w:pos="204" w:val="left"/>
        </w:tabs>
        <w:numPr>
          <w:ilvl w:val="0"/>
          <w:numId w:val="105"/>
        </w:numPr>
        <w:rPr>
          <w:rFonts w:ascii="Arial" w:cs="Arial" w:eastAsia="Arial" w:hAnsi="Arial"/>
          <w:sz w:val="18"/>
          <w:szCs w:val="18"/>
          <w:color w:val="074A75"/>
        </w:rPr>
      </w:pPr>
      <w:r>
        <w:rPr>
          <w:rFonts w:ascii="Arial" w:cs="Arial" w:eastAsia="Arial" w:hAnsi="Arial"/>
          <w:sz w:val="18"/>
          <w:szCs w:val="18"/>
          <w:color w:val="auto"/>
        </w:rPr>
        <w:t>Prohibit the use of corporate funds to support candidates, political party committees and political action committees ("PACs")</w:t>
      </w:r>
    </w:p>
    <w:p>
      <w:pPr>
        <w:spacing w:after="0" w:line="35" w:lineRule="exact"/>
        <w:rPr>
          <w:rFonts w:ascii="Arial" w:cs="Arial" w:eastAsia="Arial" w:hAnsi="Arial"/>
          <w:sz w:val="18"/>
          <w:szCs w:val="18"/>
          <w:color w:val="074A75"/>
        </w:rPr>
      </w:pPr>
    </w:p>
    <w:p>
      <w:pPr>
        <w:ind w:left="200" w:right="460" w:hanging="196"/>
        <w:spacing w:after="0" w:line="262" w:lineRule="auto"/>
        <w:tabs>
          <w:tab w:leader="none" w:pos="204" w:val="left"/>
        </w:tabs>
        <w:numPr>
          <w:ilvl w:val="0"/>
          <w:numId w:val="105"/>
        </w:numPr>
        <w:rPr>
          <w:rFonts w:ascii="Arial" w:cs="Arial" w:eastAsia="Arial" w:hAnsi="Arial"/>
          <w:sz w:val="18"/>
          <w:szCs w:val="18"/>
          <w:color w:val="074A75"/>
        </w:rPr>
      </w:pPr>
      <w:r>
        <w:rPr>
          <w:rFonts w:ascii="Arial" w:cs="Arial" w:eastAsia="Arial" w:hAnsi="Arial"/>
          <w:sz w:val="18"/>
          <w:szCs w:val="18"/>
          <w:color w:val="auto"/>
        </w:rPr>
        <w:t>Provide that the Firm restrict U.S. trade organizations and groups organized under Section 501(c)(4) of the Internal Revenue Code of which it is a member from using the Firm’s dues payments for any election-related activity</w:t>
      </w:r>
    </w:p>
    <w:p>
      <w:pPr>
        <w:spacing w:after="0" w:line="27" w:lineRule="exact"/>
        <w:rPr>
          <w:rFonts w:ascii="Arial" w:cs="Arial" w:eastAsia="Arial" w:hAnsi="Arial"/>
          <w:sz w:val="18"/>
          <w:szCs w:val="18"/>
          <w:color w:val="074A75"/>
        </w:rPr>
      </w:pPr>
    </w:p>
    <w:p>
      <w:pPr>
        <w:ind w:left="200" w:right="180" w:hanging="196"/>
        <w:spacing w:after="0" w:line="262" w:lineRule="auto"/>
        <w:tabs>
          <w:tab w:leader="none" w:pos="204" w:val="left"/>
        </w:tabs>
        <w:numPr>
          <w:ilvl w:val="0"/>
          <w:numId w:val="105"/>
        </w:numPr>
        <w:rPr>
          <w:rFonts w:ascii="Arial" w:cs="Arial" w:eastAsia="Arial" w:hAnsi="Arial"/>
          <w:sz w:val="18"/>
          <w:szCs w:val="18"/>
          <w:color w:val="074A75"/>
        </w:rPr>
      </w:pPr>
      <w:r>
        <w:rPr>
          <w:rFonts w:ascii="Arial" w:cs="Arial" w:eastAsia="Arial" w:hAnsi="Arial"/>
          <w:sz w:val="18"/>
          <w:szCs w:val="18"/>
          <w:color w:val="auto"/>
        </w:rPr>
        <w:t>Prohibit corporate funds from being used to make contributions to SuperPACs and political committees organized under Section 527 of the Internal Revenue Code to promote the election or defeat of candidates for office</w:t>
      </w:r>
    </w:p>
    <w:p>
      <w:pPr>
        <w:spacing w:after="0" w:line="27" w:lineRule="exact"/>
        <w:rPr>
          <w:rFonts w:ascii="Arial" w:cs="Arial" w:eastAsia="Arial" w:hAnsi="Arial"/>
          <w:sz w:val="18"/>
          <w:szCs w:val="18"/>
          <w:color w:val="074A75"/>
        </w:rPr>
      </w:pPr>
    </w:p>
    <w:p>
      <w:pPr>
        <w:ind w:left="200" w:right="140" w:hanging="196"/>
        <w:spacing w:after="0" w:line="268" w:lineRule="auto"/>
        <w:tabs>
          <w:tab w:leader="none" w:pos="204" w:val="left"/>
        </w:tabs>
        <w:numPr>
          <w:ilvl w:val="0"/>
          <w:numId w:val="105"/>
        </w:numPr>
        <w:rPr>
          <w:rFonts w:ascii="Arial" w:cs="Arial" w:eastAsia="Arial" w:hAnsi="Arial"/>
          <w:sz w:val="18"/>
          <w:szCs w:val="18"/>
          <w:color w:val="074A75"/>
        </w:rPr>
      </w:pPr>
      <w:r>
        <w:rPr>
          <w:rFonts w:ascii="Arial" w:cs="Arial" w:eastAsia="Arial" w:hAnsi="Arial"/>
          <w:sz w:val="18"/>
          <w:szCs w:val="18"/>
          <w:color w:val="auto"/>
        </w:rPr>
        <w:t>Prohibit the use of corporate funds to make independent political expenditures, as defined by the rules of the Federal Election Commission, including electioneering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403225</wp:posOffset>
            </wp:positionV>
            <wp:extent cx="274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35  </w:t>
      </w:r>
      <w:r>
        <w:rPr>
          <w:sz w:val="1"/>
          <w:szCs w:val="1"/>
          <w:color w:val="auto"/>
        </w:rPr>
        <w:drawing>
          <wp:inline distT="0" distB="0" distL="0" distR="0">
            <wp:extent cx="2203450" cy="154305"/>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OTHER CORPORATE GOVERNANCE POLICIES AND PRACTICES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Firm discloses on its website contributions made by the Firm’s PACs and contributions of corporate funds made in connection with ballot initiatives.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2021, violence at the U.S. Capitol prompted a six month pause of all contributions from our PAC. The pause offered an opportunity to examine the PAC's mission, strategy and governance framework. The JPMorgan Chase PAC resumed political giving in Q3 2021 and will continue to reevaluate these policies annually.</w:t>
      </w:r>
    </w:p>
    <w:p>
      <w:pPr>
        <w:spacing w:after="0" w:line="74"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For further information regarding the Firm’s policy engagement, political contributions and lobbying activity, view our Political Engagement and Public Policy Statement on our website.</w:t>
      </w:r>
    </w:p>
    <w:p>
      <w:pPr>
        <w:spacing w:after="0" w:line="32" w:lineRule="exact"/>
        <w:rPr>
          <w:sz w:val="20"/>
          <w:szCs w:val="20"/>
          <w:color w:val="auto"/>
        </w:rPr>
      </w:pPr>
    </w:p>
    <w:p>
      <w:pPr>
        <w:spacing w:after="0"/>
        <w:rPr>
          <w:sz w:val="20"/>
          <w:szCs w:val="20"/>
          <w:color w:val="auto"/>
        </w:rPr>
      </w:pPr>
      <w:r>
        <w:rPr>
          <w:rFonts w:ascii="Arial" w:cs="Arial" w:eastAsia="Arial" w:hAnsi="Arial"/>
          <w:sz w:val="29"/>
          <w:szCs w:val="29"/>
          <w:color w:val="074A75"/>
        </w:rPr>
        <w:t>Code of Conduct</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Code of Conduct is a collection of principles designed to assist employees and directors in making decisions about their conduct in relation to the Firm’s business.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Employees and directors are trained on the principles of the Code of Conduct. They must annually affirm that they have read, understand, and are in compliance with the Code of Conduct. They are required to raise concerns about misconduct and report any potential or actual violations of the Code of Conduct, any internal Firm policy, or any law or regulation applicable to the Firm’s business. The Code of Conduct prohibits intimidation or retaliation against anyone who raises an issue or concern in good faith or assists with an investigation.</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Employees and directors can report potential or actual violations of the Code of Conduct to management, Human Resources, Global Security, the Office of the General Counsel, or via the JPMorgan Chase Conduct Hotline ("Hotline"), either by phone, online or mobile. The Hotline is anonymous, except in certain non-U.S. jurisdictions where anonymous reporting is prohibited. It is available 24/7 globally, with translation services. The Hotline is maintained by a third party service provider.</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Employees in Human Resources and Global Security follow specific procedures when handling employee-initiated complaints. Suspected violations of the Code of Conduct, Firm policy, or the law are investigated by the Firm and may result in an employee being cleared of the suspected violation or in an escalating range of actions, including termination of employment, depending upon the facts and circumstances. Compliance and Human Resources report periodically to the Audit Committee on the Code of Conduct program. The CMDC periodically reviews reports from management regarding significant conduct issues and any related employee actions.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074A75"/>
        </w:rPr>
        <w:t>Code of Ethics for Finance Professionals</w:t>
      </w:r>
    </w:p>
    <w:p>
      <w:pPr>
        <w:spacing w:after="0" w:line="1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Code of Ethics for Finance Professionals, a supplement to the Code of Conduct, applies to the Chair, CEO, CFO, Controller, and all other professionals of the Firm worldwide serving in a finance, accounting, treasury, tax or investor relations role. The purpose of our Code of Ethics is to promote honest and ethical conduct and adherence with the law in connection with the maintenance of the Firm’s financial books and records and the preparation of our External Financial Reporting. It also addresses the reporting of actual or apparent conflicts of interest and actual or potential violations or other matters that would compromise the integrity of the Firm’s External Financial Reporting.</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color w:val="074A75"/>
        </w:rPr>
        <w:t>Supplier Code of Conduct</w:t>
      </w:r>
    </w:p>
    <w:p>
      <w:pPr>
        <w:spacing w:after="0" w:line="1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Supplier Code of Conduct outlines the Firm’s expectation that suppliers demonstrate the highest standards of business conduct, integrity, and adherence to the law. The Supplier Code of Conduct applies to our suppliers, vendors, consultants, contractors and other third parties working on behalf of the Firm, as well as to the owners, officers, directors, employees and contractors of these supplier organizations and entities. The Supplier Code of Conduct provides specific guidance regarding suppliers’ responsibility to comply with all applicable laws and regulations and to have policies ensuring such compliance, their duty to escalate concerns, handle information properly and maintain accurate records, address potential conflicts of interest, and operate responsibly with respect to laws governing competition, corruption, political activities, as well as environmental, human rights, and other matters.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How to contact our Board</w:t>
      </w:r>
    </w:p>
    <w:p>
      <w:pPr>
        <w:spacing w:after="0" w:line="1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Board actively manages its information flow through a variety of means and requires management to provide the Board with the appropriate information to assist the Board in meeting its core responsibilities, as described in this Corporate Governance section.</w:t>
      </w:r>
    </w:p>
    <w:p>
      <w:pPr>
        <w:spacing w:after="0" w:line="6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To contact our Board of Directors, any Board member, including the Lead Independent Director, any committee chair, or the independent directors as a group, email correspondence to the Office of the Secretary at corporate.secretary@jpmchase.com, or mail to: JPMorgan Chase &amp; Co., Attention (name of Board member(s)), Office of the Secretary, 4 New York Plaza, New York, NY 10004-2413.</w:t>
      </w:r>
    </w:p>
    <w:p>
      <w:pPr>
        <w:spacing w:after="0" w:line="672"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43"/>
          <w:szCs w:val="43"/>
          <w:color w:val="074A75"/>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8"/>
          <w:szCs w:val="28"/>
          <w:color w:val="074A75"/>
        </w:rPr>
        <w:t>Proposal 2: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116205</wp:posOffset>
            </wp:positionV>
            <wp:extent cx="2837180" cy="797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837180" cy="79756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85" w:lineRule="exact"/>
        <w:rPr>
          <w:sz w:val="20"/>
          <w:szCs w:val="20"/>
          <w:color w:val="auto"/>
        </w:rPr>
      </w:pPr>
    </w:p>
    <w:p>
      <w:pPr>
        <w:ind w:left="20" w:right="980"/>
        <w:spacing w:after="0" w:line="259" w:lineRule="auto"/>
        <w:rPr>
          <w:sz w:val="20"/>
          <w:szCs w:val="20"/>
          <w:color w:val="auto"/>
        </w:rPr>
      </w:pPr>
      <w:r>
        <w:rPr>
          <w:rFonts w:ascii="Arial" w:cs="Arial" w:eastAsia="Arial" w:hAnsi="Arial"/>
          <w:sz w:val="18"/>
          <w:szCs w:val="18"/>
          <w:color w:val="auto"/>
        </w:rPr>
        <w:t>Approve the Firm’s compensation practices and principles and their implementation for 2021 for the compensation of the Firm’s Named Executive Officers as discussed and disclosed in the Compensation Discussion and Analysis, the compensation tables, and any related material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914400</wp:posOffset>
            </wp:positionV>
            <wp:extent cx="71323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1489075</wp:posOffset>
            </wp:positionV>
            <wp:extent cx="274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-3175</wp:posOffset>
            </wp:positionV>
            <wp:extent cx="163195" cy="1631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47"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FFFFFF"/>
        </w:rPr>
        <w:t>Vote FOR approval of this advisory resolution to approve executive compensation</w:t>
      </w:r>
    </w:p>
    <w:p>
      <w:pPr>
        <w:spacing w:after="0" w:line="381" w:lineRule="exact"/>
        <w:rPr>
          <w:sz w:val="20"/>
          <w:szCs w:val="20"/>
          <w:color w:val="auto"/>
        </w:rPr>
      </w:pPr>
    </w:p>
    <w:p>
      <w:pPr>
        <w:sectPr>
          <w:pgSz w:w="11900" w:h="16838" w:orient="portrait"/>
          <w:cols w:equalWidth="0" w:num="2">
            <w:col w:w="6260" w:space="720"/>
            <w:col w:w="4240"/>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37  </w:t>
      </w:r>
      <w:r>
        <w:rPr>
          <w:sz w:val="1"/>
          <w:szCs w:val="1"/>
          <w:color w:val="auto"/>
        </w:rPr>
        <w:drawing>
          <wp:inline distT="0" distB="0" distL="0" distR="0">
            <wp:extent cx="2203450" cy="154305"/>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43"/>
          <w:szCs w:val="43"/>
          <w:color w:val="074A75"/>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40"/>
        <w:spacing w:after="0" w:line="251" w:lineRule="auto"/>
        <w:rPr>
          <w:sz w:val="20"/>
          <w:szCs w:val="20"/>
          <w:color w:val="auto"/>
        </w:rPr>
      </w:pPr>
      <w:r>
        <w:rPr>
          <w:rFonts w:ascii="Arial" w:cs="Arial" w:eastAsia="Arial" w:hAnsi="Arial"/>
          <w:sz w:val="29"/>
          <w:szCs w:val="29"/>
          <w:i w:val="1"/>
          <w:iCs w:val="1"/>
          <w:color w:val="074A75"/>
        </w:rPr>
        <w:t>We believe our compensation philosophy promotes an equitable and well-governed, long-term approach to compensation, including pay-for-performance practices that attract and retain top and diverse talent, are responsive to and aligned with shareholders, and encourage a shared success culture in support of our Business Principles and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180340</wp:posOffset>
            </wp:positionV>
            <wp:extent cx="8890" cy="18002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180022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left="80"/>
        <w:spacing w:after="0" w:line="253" w:lineRule="auto"/>
        <w:rPr>
          <w:sz w:val="20"/>
          <w:szCs w:val="20"/>
          <w:color w:val="auto"/>
        </w:rPr>
      </w:pPr>
      <w:r>
        <w:rPr>
          <w:rFonts w:ascii="Arial" w:cs="Arial" w:eastAsia="Arial" w:hAnsi="Arial"/>
          <w:sz w:val="22"/>
          <w:szCs w:val="22"/>
          <w:color w:val="074A75"/>
        </w:rPr>
        <w:t>OUR LONG-TERM APPROACH TO EXECUTIVE COMPENSATION:</w:t>
      </w:r>
    </w:p>
    <w:p>
      <w:pPr>
        <w:spacing w:after="0" w:line="67" w:lineRule="exact"/>
        <w:rPr>
          <w:sz w:val="20"/>
          <w:szCs w:val="20"/>
          <w:color w:val="auto"/>
        </w:rPr>
      </w:pPr>
    </w:p>
    <w:p>
      <w:pPr>
        <w:jc w:val="right"/>
        <w:ind w:left="140"/>
        <w:spacing w:after="0" w:line="268" w:lineRule="auto"/>
        <w:rPr>
          <w:sz w:val="20"/>
          <w:szCs w:val="20"/>
          <w:color w:val="auto"/>
        </w:rPr>
      </w:pPr>
      <w:r>
        <w:rPr>
          <w:rFonts w:ascii="Arial" w:cs="Arial" w:eastAsia="Arial" w:hAnsi="Arial"/>
          <w:sz w:val="21"/>
          <w:szCs w:val="21"/>
          <w:color w:val="074A75"/>
        </w:rPr>
        <w:t>DISCIPLINED PERFORMANCE ASSESSMENT TO DETERMINE 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Firm’s Board of Directors believes that JPMorgan Chase’s long-term success as a premier financial services firm depends in large measure on the talents of our employees and a proper alignment of their compensation with performance and sustained shareholder value. The Firm’s compensation programs play a significant role in our ability to attract, retain and properly motivate the highest quality workforce.</w:t>
      </w:r>
    </w:p>
    <w:p>
      <w:pPr>
        <w:spacing w:after="0" w:line="68"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foundations of our compensation practices are a focus on performance within a controlled environment, alignment with the interests of shareholders, sensitivity to the relevant marketplace and a long-term view consistent with our Business Principles and strategic framework.</w:t>
      </w:r>
    </w:p>
    <w:p>
      <w:pPr>
        <w:spacing w:after="0" w:line="63" w:lineRule="exact"/>
        <w:rPr>
          <w:sz w:val="20"/>
          <w:szCs w:val="20"/>
          <w:color w:val="auto"/>
        </w:rPr>
      </w:pPr>
    </w:p>
    <w:p>
      <w:pPr>
        <w:jc w:val="both"/>
        <w:ind w:right="640"/>
        <w:spacing w:after="0" w:line="268" w:lineRule="auto"/>
        <w:rPr>
          <w:sz w:val="20"/>
          <w:szCs w:val="20"/>
          <w:color w:val="auto"/>
        </w:rPr>
      </w:pPr>
      <w:r>
        <w:rPr>
          <w:rFonts w:ascii="Arial" w:cs="Arial" w:eastAsia="Arial" w:hAnsi="Arial"/>
          <w:sz w:val="18"/>
          <w:szCs w:val="18"/>
          <w:color w:val="auto"/>
        </w:rPr>
        <w:t>The Compensation Discussion and Analysis that follows describes our compensation philosophy and pay-for-performance framework, and discusses how compensation for the Firm’s Named Executive Officers is aligned with the Firm’s long-term performance and with our shareholders’ interests.</w:t>
      </w:r>
    </w:p>
    <w:p>
      <w:pPr>
        <w:spacing w:after="0" w:line="200" w:lineRule="exact"/>
        <w:rPr>
          <w:sz w:val="20"/>
          <w:szCs w:val="20"/>
          <w:color w:val="auto"/>
        </w:rPr>
      </w:pPr>
    </w:p>
    <w:p>
      <w:pPr>
        <w:sectPr>
          <w:pgSz w:w="11900" w:h="16838" w:orient="portrait"/>
          <w:cols w:equalWidth="0" w:num="2">
            <w:col w:w="1960" w:space="200"/>
            <w:col w:w="9080"/>
          </w:cols>
          <w:pgMar w:left="320" w:top="157" w:right="33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074A75"/>
        </w:rPr>
        <w:t>PROPOSAL 2 – ADVISORY RESOLUTION TO APPROVE EXECUTIVE COMPENSATION</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required by Section 14A of the Securities Exchange Act of 1934, as amended, this proposal seeks a shareholder advisory vote to approve the compensation of our Named Executive Officers as disclosed pursuant to Item 402 of Regulation S-K through the following resolution:</w:t>
      </w:r>
    </w:p>
    <w:p>
      <w:pPr>
        <w:spacing w:after="0" w:line="45" w:lineRule="exact"/>
        <w:rPr>
          <w:sz w:val="20"/>
          <w:szCs w:val="20"/>
          <w:color w:val="auto"/>
        </w:rPr>
      </w:pPr>
    </w:p>
    <w:p>
      <w:pPr>
        <w:jc w:val="both"/>
        <w:ind w:right="140"/>
        <w:spacing w:after="0" w:line="273" w:lineRule="auto"/>
        <w:rPr>
          <w:sz w:val="20"/>
          <w:szCs w:val="20"/>
          <w:color w:val="auto"/>
        </w:rPr>
      </w:pPr>
      <w:r>
        <w:rPr>
          <w:rFonts w:ascii="Arial" w:cs="Arial" w:eastAsia="Arial" w:hAnsi="Arial"/>
          <w:sz w:val="18"/>
          <w:szCs w:val="18"/>
          <w:b w:val="1"/>
          <w:bCs w:val="1"/>
          <w:color w:val="auto"/>
        </w:rPr>
        <w:t>“Resolved, that shareholders approve the Firm’s compensation practices and principles and their implementation for 2021 for the compensation of the Firm’s Named Executive Officers as discussed and disclosed in the Compensation Discussion and Analysis, the compensation tables, and any related material contained in this proxy statement.”</w:t>
      </w:r>
    </w:p>
    <w:p>
      <w:pPr>
        <w:spacing w:after="0" w:line="5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This advisory vote will not be binding upon the Board of Directors. However, the Compensation &amp; Management Development Committee will take into account the outcome of the vote when considering future executive compensation arrangements.</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Compensation Discussion and Analysis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074A75"/>
        </w:rPr>
        <w:t>The following CD&amp;A is organized around three key factors for shareholders to consider: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40575"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0575" cy="342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198" w:lineRule="exact"/>
        <w:rPr>
          <w:sz w:val="20"/>
          <w:szCs w:val="20"/>
          <w:color w:val="auto"/>
        </w:rPr>
      </w:pPr>
    </w:p>
    <w:p>
      <w:pPr>
        <w:jc w:val="right"/>
        <w:spacing w:after="0"/>
        <w:rPr>
          <w:sz w:val="20"/>
          <w:szCs w:val="20"/>
          <w:color w:val="auto"/>
        </w:rPr>
      </w:pPr>
      <w:r>
        <w:rPr>
          <w:rFonts w:ascii="Arial" w:cs="Arial" w:eastAsia="Arial" w:hAnsi="Arial"/>
          <w:sz w:val="32"/>
          <w:szCs w:val="32"/>
          <w:color w:val="074A75"/>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right="100" w:hanging="44"/>
        <w:spacing w:after="0" w:line="286" w:lineRule="auto"/>
        <w:rPr>
          <w:sz w:val="20"/>
          <w:szCs w:val="20"/>
          <w:color w:val="auto"/>
        </w:rPr>
      </w:pPr>
      <w:r>
        <w:rPr>
          <w:rFonts w:ascii="Arial" w:cs="Arial" w:eastAsia="Arial" w:hAnsi="Arial"/>
          <w:sz w:val="16"/>
          <w:szCs w:val="16"/>
          <w:color w:val="074A75"/>
        </w:rPr>
        <w:t>Pages 40-52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WE THINK ABOUT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-156210</wp:posOffset>
            </wp:positionV>
            <wp:extent cx="7140575" cy="2442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0575" cy="2442845"/>
                    </a:xfrm>
                    <a:prstGeom prst="rect">
                      <a:avLst/>
                    </a:prstGeom>
                    <a:noFill/>
                  </pic:spPr>
                </pic:pic>
              </a:graphicData>
            </a:graphic>
          </wp:anchor>
        </w:drawing>
      </w:r>
    </w:p>
    <w:p>
      <w:pPr>
        <w:ind w:left="20" w:right="100"/>
        <w:spacing w:after="0" w:line="236" w:lineRule="auto"/>
        <w:rPr>
          <w:sz w:val="20"/>
          <w:szCs w:val="20"/>
          <w:color w:val="auto"/>
        </w:rPr>
      </w:pPr>
      <w:r>
        <w:rPr>
          <w:rFonts w:ascii="Arial" w:cs="Arial" w:eastAsia="Arial" w:hAnsi="Arial"/>
          <w:sz w:val="15"/>
          <w:szCs w:val="15"/>
          <w:color w:val="auto"/>
        </w:rPr>
        <w:t>The Firm’s Business Principles and strategic framework form the basis of our OC members’ strategic priorities. The CMDC references those strategic priorities and the Firm’s compensation philosophy to assess OC members’ performance and to determine their respective total compensation levels and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color w:val="074A75"/>
        </w:rPr>
        <w:t>Performance Assessment Cycle</w:t>
      </w:r>
    </w:p>
    <w:p>
      <w:pPr>
        <w:spacing w:after="0" w:line="26" w:lineRule="exact"/>
        <w:rPr>
          <w:sz w:val="20"/>
          <w:szCs w:val="20"/>
          <w:color w:val="auto"/>
        </w:rPr>
      </w:pPr>
    </w:p>
    <w:p>
      <w:pPr>
        <w:ind w:left="20" w:right="200"/>
        <w:spacing w:after="0" w:line="233" w:lineRule="auto"/>
        <w:rPr>
          <w:sz w:val="20"/>
          <w:szCs w:val="20"/>
          <w:color w:val="auto"/>
        </w:rPr>
      </w:pPr>
      <w:r>
        <w:rPr>
          <w:rFonts w:ascii="Arial" w:cs="Arial" w:eastAsia="Arial" w:hAnsi="Arial"/>
          <w:sz w:val="15"/>
          <w:szCs w:val="15"/>
          <w:color w:val="auto"/>
        </w:rPr>
        <w:t>The Firm's disciplined pay-for-performance cycle starts with OC members establishing strategic plans, budgets and priorities at the Firm-wide, business/function, and individual levels. These are reviewed by the Board, approved by the CMDC, and priorities are communicated internally and externally. One of the key factors that the CMDC considers in assessing OC members' performance is their progress toward goals related to the Firm's diversity, equity and inclusion priorities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280" w:type="dxa"/>
            <w:vAlign w:val="bottom"/>
            <w:shd w:val="clear" w:color="auto" w:fill="EEEFEF"/>
          </w:tcPr>
          <w:p>
            <w:pPr>
              <w:spacing w:after="0"/>
              <w:rPr>
                <w:sz w:val="3"/>
                <w:szCs w:val="3"/>
                <w:color w:val="auto"/>
              </w:rPr>
            </w:pPr>
          </w:p>
        </w:tc>
        <w:tc>
          <w:tcPr>
            <w:tcW w:w="5100" w:type="dxa"/>
            <w:vAlign w:val="bottom"/>
          </w:tcPr>
          <w:p>
            <w:pPr>
              <w:spacing w:after="0"/>
              <w:rPr>
                <w:sz w:val="3"/>
                <w:szCs w:val="3"/>
                <w:color w:val="auto"/>
              </w:rPr>
            </w:pPr>
          </w:p>
        </w:tc>
      </w:tr>
      <w:tr>
        <w:trPr>
          <w:trHeight w:val="243"/>
        </w:trPr>
        <w:tc>
          <w:tcPr>
            <w:tcW w:w="5280" w:type="dxa"/>
            <w:vAlign w:val="bottom"/>
            <w:shd w:val="clear" w:color="auto" w:fill="EEEFEF"/>
          </w:tcPr>
          <w:p>
            <w:pPr>
              <w:ind w:left="20"/>
              <w:spacing w:after="0"/>
              <w:rPr>
                <w:sz w:val="20"/>
                <w:szCs w:val="20"/>
                <w:color w:val="auto"/>
              </w:rPr>
            </w:pPr>
            <w:r>
              <w:rPr>
                <w:rFonts w:ascii="Arial" w:cs="Arial" w:eastAsia="Arial" w:hAnsi="Arial"/>
                <w:sz w:val="17"/>
                <w:szCs w:val="17"/>
                <w:color w:val="074A75"/>
              </w:rPr>
              <w:t>Pay Determination</w:t>
            </w:r>
          </w:p>
        </w:tc>
        <w:tc>
          <w:tcPr>
            <w:tcW w:w="5100" w:type="dxa"/>
            <w:vAlign w:val="bottom"/>
            <w:shd w:val="clear" w:color="auto" w:fill="EEEFEF"/>
          </w:tcPr>
          <w:p>
            <w:pPr>
              <w:ind w:left="20"/>
              <w:spacing w:after="0"/>
              <w:rPr>
                <w:sz w:val="20"/>
                <w:szCs w:val="20"/>
                <w:color w:val="auto"/>
              </w:rPr>
            </w:pPr>
            <w:r>
              <w:rPr>
                <w:rFonts w:ascii="Arial" w:cs="Arial" w:eastAsia="Arial" w:hAnsi="Arial"/>
                <w:sz w:val="17"/>
                <w:szCs w:val="17"/>
                <w:color w:val="074A75"/>
              </w:rPr>
              <w:t>PSU Payout</w:t>
            </w:r>
          </w:p>
        </w:tc>
      </w:tr>
      <w:tr>
        <w:trPr>
          <w:trHeight w:val="172"/>
        </w:trPr>
        <w:tc>
          <w:tcPr>
            <w:tcW w:w="5280" w:type="dxa"/>
            <w:vAlign w:val="bottom"/>
            <w:shd w:val="clear" w:color="auto" w:fill="EEEFEF"/>
          </w:tcPr>
          <w:p>
            <w:pPr>
              <w:ind w:left="20"/>
              <w:spacing w:after="0"/>
              <w:rPr>
                <w:sz w:val="20"/>
                <w:szCs w:val="20"/>
                <w:color w:val="auto"/>
              </w:rPr>
            </w:pPr>
            <w:r>
              <w:rPr>
                <w:rFonts w:ascii="Arial" w:cs="Arial" w:eastAsia="Arial" w:hAnsi="Arial"/>
                <w:sz w:val="15"/>
                <w:szCs w:val="15"/>
                <w:color w:val="auto"/>
              </w:rPr>
              <w:t>The CMDC uses informed judgement to determine OC members’ pay based</w:t>
            </w:r>
          </w:p>
        </w:tc>
        <w:tc>
          <w:tcPr>
            <w:tcW w:w="5100" w:type="dxa"/>
            <w:vAlign w:val="bottom"/>
            <w:shd w:val="clear" w:color="auto" w:fill="EEEFEF"/>
          </w:tcPr>
          <w:p>
            <w:pPr>
              <w:ind w:left="20"/>
              <w:spacing w:after="0"/>
              <w:rPr>
                <w:sz w:val="20"/>
                <w:szCs w:val="20"/>
                <w:color w:val="auto"/>
              </w:rPr>
            </w:pPr>
            <w:r>
              <w:rPr>
                <w:rFonts w:ascii="Arial" w:cs="Arial" w:eastAsia="Arial" w:hAnsi="Arial"/>
                <w:sz w:val="15"/>
                <w:szCs w:val="15"/>
                <w:color w:val="auto"/>
              </w:rPr>
              <w:t>The PSU calculation links the ultimate payout of awards to pre-established</w:t>
            </w:r>
          </w:p>
        </w:tc>
      </w:tr>
      <w:tr>
        <w:trPr>
          <w:trHeight w:val="162"/>
        </w:trPr>
        <w:tc>
          <w:tcPr>
            <w:tcW w:w="5280" w:type="dxa"/>
            <w:vAlign w:val="bottom"/>
            <w:shd w:val="clear" w:color="auto" w:fill="EEEFEF"/>
          </w:tcPr>
          <w:p>
            <w:pPr>
              <w:ind w:left="20"/>
              <w:spacing w:after="0" w:line="162" w:lineRule="exact"/>
              <w:rPr>
                <w:sz w:val="20"/>
                <w:szCs w:val="20"/>
                <w:color w:val="auto"/>
              </w:rPr>
            </w:pPr>
            <w:r>
              <w:rPr>
                <w:rFonts w:ascii="Arial" w:cs="Arial" w:eastAsia="Arial" w:hAnsi="Arial"/>
                <w:sz w:val="15"/>
                <w:szCs w:val="15"/>
                <w:color w:val="auto"/>
              </w:rPr>
              <w:t>on four broad performance dimensions over the long-term (see section 2</w:t>
            </w:r>
          </w:p>
        </w:tc>
        <w:tc>
          <w:tcPr>
            <w:tcW w:w="5100" w:type="dxa"/>
            <w:vAlign w:val="bottom"/>
            <w:shd w:val="clear" w:color="auto" w:fill="EEEFEF"/>
          </w:tcPr>
          <w:p>
            <w:pPr>
              <w:ind w:left="20"/>
              <w:spacing w:after="0" w:line="162" w:lineRule="exact"/>
              <w:rPr>
                <w:sz w:val="20"/>
                <w:szCs w:val="20"/>
                <w:color w:val="auto"/>
              </w:rPr>
            </w:pPr>
            <w:r>
              <w:rPr>
                <w:rFonts w:ascii="Arial" w:cs="Arial" w:eastAsia="Arial" w:hAnsi="Arial"/>
                <w:sz w:val="15"/>
                <w:szCs w:val="15"/>
                <w:color w:val="auto"/>
              </w:rPr>
              <w:t>absolute and relative ROTCE goals, subject to risk and control features</w:t>
            </w:r>
          </w:p>
        </w:tc>
      </w:tr>
      <w:tr>
        <w:trPr>
          <w:trHeight w:val="200"/>
        </w:trPr>
        <w:tc>
          <w:tcPr>
            <w:tcW w:w="5280" w:type="dxa"/>
            <w:vAlign w:val="bottom"/>
            <w:shd w:val="clear" w:color="auto" w:fill="EEEFEF"/>
          </w:tcPr>
          <w:p>
            <w:pPr>
              <w:ind w:left="20"/>
              <w:spacing w:after="0"/>
              <w:rPr>
                <w:sz w:val="20"/>
                <w:szCs w:val="20"/>
                <w:color w:val="auto"/>
              </w:rPr>
            </w:pPr>
            <w:r>
              <w:rPr>
                <w:rFonts w:ascii="Arial" w:cs="Arial" w:eastAsia="Arial" w:hAnsi="Arial"/>
                <w:sz w:val="15"/>
                <w:szCs w:val="15"/>
                <w:color w:val="auto"/>
              </w:rPr>
              <w:t>below), and after considering competitive market practices</w:t>
            </w:r>
          </w:p>
        </w:tc>
        <w:tc>
          <w:tcPr>
            <w:tcW w:w="5100" w:type="dxa"/>
            <w:vAlign w:val="bottom"/>
            <w:shd w:val="clear" w:color="auto" w:fill="EEEFEF"/>
          </w:tcPr>
          <w:p>
            <w:pPr>
              <w:spacing w:after="0"/>
              <w:rPr>
                <w:sz w:val="17"/>
                <w:szCs w:val="17"/>
                <w:color w:val="auto"/>
              </w:rPr>
            </w:pPr>
          </w:p>
        </w:tc>
      </w:tr>
      <w:tr>
        <w:trPr>
          <w:trHeight w:val="235"/>
        </w:trPr>
        <w:tc>
          <w:tcPr>
            <w:tcW w:w="5280" w:type="dxa"/>
            <w:vAlign w:val="bottom"/>
            <w:shd w:val="clear" w:color="auto" w:fill="EEEFEF"/>
          </w:tcPr>
          <w:p>
            <w:pPr>
              <w:spacing w:after="0"/>
              <w:rPr>
                <w:sz w:val="20"/>
                <w:szCs w:val="20"/>
                <w:color w:val="auto"/>
              </w:rPr>
            </w:pPr>
          </w:p>
        </w:tc>
        <w:tc>
          <w:tcPr>
            <w:tcW w:w="5100" w:type="dxa"/>
            <w:vAlign w:val="bottom"/>
            <w:shd w:val="clear" w:color="auto" w:fill="EEEFE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700" w:space="160"/>
            <w:col w:w="10380"/>
          </w:cols>
          <w:pgMar w:left="320" w:top="157" w:right="339" w:bottom="1440" w:gutter="0" w:footer="0" w:header="0"/>
          <w:type w:val="continuous"/>
        </w:sectPr>
      </w:pPr>
    </w:p>
    <w:p>
      <w:pPr>
        <w:ind w:left="940" w:hanging="374"/>
        <w:spacing w:after="0" w:line="180" w:lineRule="auto"/>
        <w:tabs>
          <w:tab w:leader="none" w:pos="940" w:val="left"/>
        </w:tabs>
        <w:numPr>
          <w:ilvl w:val="0"/>
          <w:numId w:val="106"/>
        </w:numPr>
        <w:rPr>
          <w:rFonts w:ascii="Arial" w:cs="Arial" w:eastAsia="Arial" w:hAnsi="Arial"/>
          <w:sz w:val="60"/>
          <w:szCs w:val="60"/>
          <w:color w:val="074A75"/>
          <w:vertAlign w:val="subscript"/>
        </w:rPr>
      </w:pPr>
      <w:r>
        <w:rPr>
          <w:rFonts w:ascii="Arial" w:cs="Arial" w:eastAsia="Arial" w:hAnsi="Arial"/>
          <w:sz w:val="19"/>
          <w:szCs w:val="19"/>
          <w:b w:val="1"/>
          <w:bCs w:val="1"/>
          <w:color w:val="auto"/>
        </w:rPr>
        <w:t>HOW WE PERFORMED AGAINST OUR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140575" cy="2802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0575" cy="2802890"/>
                    </a:xfrm>
                    <a:prstGeom prst="rect">
                      <a:avLst/>
                    </a:prstGeom>
                    <a:noFill/>
                  </pic:spPr>
                </pic:pic>
              </a:graphicData>
            </a:graphic>
          </wp:anchor>
        </w:drawing>
      </w:r>
    </w:p>
    <w:p>
      <w:pPr>
        <w:spacing w:after="0" w:line="37" w:lineRule="exact"/>
        <w:rPr>
          <w:sz w:val="20"/>
          <w:szCs w:val="20"/>
          <w:color w:val="auto"/>
        </w:rPr>
      </w:pPr>
    </w:p>
    <w:tbl>
      <w:tblPr>
        <w:tblLayout w:type="fixed"/>
        <w:tblInd w:w="940" w:type="dxa"/>
        <w:tblCellMar>
          <w:top w:w="0" w:type="dxa"/>
          <w:left w:w="0" w:type="dxa"/>
          <w:bottom w:w="0" w:type="dxa"/>
          <w:right w:w="0" w:type="dxa"/>
        </w:tblCellMar>
      </w:tblPr>
      <w:tr>
        <w:trPr>
          <w:trHeight w:val="219"/>
        </w:trPr>
        <w:tc>
          <w:tcPr>
            <w:tcW w:w="2520" w:type="dxa"/>
            <w:vAlign w:val="bottom"/>
          </w:tcPr>
          <w:p>
            <w:pPr>
              <w:spacing w:after="0"/>
              <w:rPr>
                <w:sz w:val="20"/>
                <w:szCs w:val="20"/>
                <w:color w:val="auto"/>
              </w:rPr>
            </w:pPr>
            <w:r>
              <w:rPr>
                <w:rFonts w:ascii="Arial" w:cs="Arial" w:eastAsia="Arial" w:hAnsi="Arial"/>
                <w:sz w:val="17"/>
                <w:szCs w:val="17"/>
                <w:color w:val="074A75"/>
              </w:rPr>
              <w:t>2021 Business Results</w:t>
            </w:r>
          </w:p>
        </w:tc>
        <w:tc>
          <w:tcPr>
            <w:tcW w:w="2700" w:type="dxa"/>
            <w:vAlign w:val="bottom"/>
          </w:tcPr>
          <w:p>
            <w:pPr>
              <w:ind w:left="800"/>
              <w:spacing w:after="0"/>
              <w:rPr>
                <w:sz w:val="20"/>
                <w:szCs w:val="20"/>
                <w:color w:val="auto"/>
              </w:rPr>
            </w:pPr>
            <w:r>
              <w:rPr>
                <w:rFonts w:ascii="Arial" w:cs="Arial" w:eastAsia="Arial" w:hAnsi="Arial"/>
                <w:sz w:val="17"/>
                <w:szCs w:val="17"/>
                <w:color w:val="074A75"/>
                <w:w w:val="98"/>
              </w:rPr>
              <w:t>Risk, Controls &amp; Conduct</w:t>
            </w:r>
          </w:p>
        </w:tc>
      </w:tr>
    </w:tbl>
    <w:p>
      <w:pPr>
        <w:spacing w:after="0" w:line="1" w:lineRule="exact"/>
        <w:rPr>
          <w:sz w:val="20"/>
          <w:szCs w:val="20"/>
          <w:color w:val="auto"/>
        </w:rPr>
      </w:pPr>
    </w:p>
    <w:p>
      <w:pPr>
        <w:sectPr>
          <w:pgSz w:w="11900" w:h="16838" w:orient="portrait"/>
          <w:cols w:equalWidth="0" w:num="1">
            <w:col w:w="11240"/>
          </w:cols>
          <w:pgMar w:left="320" w:top="157" w:right="339" w:bottom="1440" w:gutter="0" w:footer="0" w:header="0"/>
          <w:type w:val="continuous"/>
        </w:sectPr>
      </w:pPr>
    </w:p>
    <w:p>
      <w:pPr>
        <w:ind w:left="940" w:right="160"/>
        <w:spacing w:after="0" w:line="231" w:lineRule="auto"/>
        <w:rPr>
          <w:sz w:val="20"/>
          <w:szCs w:val="20"/>
          <w:color w:val="auto"/>
        </w:rPr>
      </w:pPr>
      <w:r>
        <w:rPr>
          <w:rFonts w:ascii="Arial" w:cs="Arial" w:eastAsia="Arial" w:hAnsi="Arial"/>
          <w:sz w:val="15"/>
          <w:szCs w:val="15"/>
          <w:color w:val="242424"/>
        </w:rPr>
        <w:t>Throughout 2021, the Firm continued to build upon its strong momentum from prior years amid the continued challenges of COVID-19, while driving higher customer satisfaction scores and greater market share across our businesses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448"/>
        </w:trPr>
        <w:tc>
          <w:tcPr>
            <w:tcW w:w="1580" w:type="dxa"/>
            <w:vAlign w:val="bottom"/>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48.3</w:t>
            </w:r>
            <w:r>
              <w:rPr>
                <w:rFonts w:ascii="Arial" w:cs="Arial" w:eastAsia="Arial" w:hAnsi="Arial"/>
                <w:sz w:val="23"/>
                <w:szCs w:val="23"/>
                <w:color w:val="074A75"/>
                <w:w w:val="95"/>
              </w:rPr>
              <w:t>B</w:t>
            </w:r>
          </w:p>
        </w:tc>
        <w:tc>
          <w:tcPr>
            <w:tcW w:w="1640" w:type="dxa"/>
            <w:vAlign w:val="bottom"/>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15.36</w:t>
            </w:r>
          </w:p>
        </w:tc>
      </w:tr>
      <w:tr>
        <w:trPr>
          <w:trHeight w:val="200"/>
        </w:trPr>
        <w:tc>
          <w:tcPr>
            <w:tcW w:w="1580" w:type="dxa"/>
            <w:vAlign w:val="bottom"/>
          </w:tcPr>
          <w:p>
            <w:pPr>
              <w:jc w:val="center"/>
              <w:spacing w:after="0"/>
              <w:rPr>
                <w:sz w:val="20"/>
                <w:szCs w:val="20"/>
                <w:color w:val="auto"/>
              </w:rPr>
            </w:pPr>
            <w:r>
              <w:rPr>
                <w:rFonts w:ascii="Arial" w:cs="Arial" w:eastAsia="Arial" w:hAnsi="Arial"/>
                <w:sz w:val="15"/>
                <w:szCs w:val="15"/>
                <w:color w:val="auto"/>
              </w:rPr>
              <w:t>NET INCOME</w:t>
            </w:r>
          </w:p>
        </w:tc>
        <w:tc>
          <w:tcPr>
            <w:tcW w:w="1640" w:type="dxa"/>
            <w:vAlign w:val="bottom"/>
          </w:tcPr>
          <w:p>
            <w:pPr>
              <w:jc w:val="center"/>
              <w:spacing w:after="0"/>
              <w:rPr>
                <w:sz w:val="20"/>
                <w:szCs w:val="20"/>
                <w:color w:val="auto"/>
              </w:rPr>
            </w:pPr>
            <w:r>
              <w:rPr>
                <w:rFonts w:ascii="Arial" w:cs="Arial" w:eastAsia="Arial" w:hAnsi="Arial"/>
                <w:sz w:val="15"/>
                <w:szCs w:val="15"/>
                <w:color w:val="auto"/>
                <w:w w:val="99"/>
              </w:rPr>
              <w:t>EPS</w:t>
            </w:r>
          </w:p>
        </w:tc>
      </w:tr>
      <w:tr>
        <w:trPr>
          <w:trHeight w:val="216"/>
        </w:trPr>
        <w:tc>
          <w:tcPr>
            <w:tcW w:w="1580" w:type="dxa"/>
            <w:vAlign w:val="bottom"/>
            <w:tcBorders>
              <w:bottom w:val="single" w:sz="8" w:color="EEEFEF"/>
            </w:tcBorders>
          </w:tcPr>
          <w:p>
            <w:pPr>
              <w:spacing w:after="0"/>
              <w:rPr>
                <w:sz w:val="18"/>
                <w:szCs w:val="18"/>
                <w:color w:val="auto"/>
              </w:rPr>
            </w:pPr>
          </w:p>
        </w:tc>
        <w:tc>
          <w:tcPr>
            <w:tcW w:w="1640" w:type="dxa"/>
            <w:vAlign w:val="bottom"/>
            <w:tcBorders>
              <w:bottom w:val="single" w:sz="8" w:color="EEEFEF"/>
            </w:tcBorders>
          </w:tcPr>
          <w:p>
            <w:pPr>
              <w:spacing w:after="0"/>
              <w:rPr>
                <w:sz w:val="18"/>
                <w:szCs w:val="18"/>
                <w:color w:val="auto"/>
              </w:rPr>
            </w:pPr>
          </w:p>
        </w:tc>
      </w:tr>
      <w:tr>
        <w:trPr>
          <w:trHeight w:val="536"/>
        </w:trPr>
        <w:tc>
          <w:tcPr>
            <w:tcW w:w="1580" w:type="dxa"/>
            <w:vAlign w:val="bottom"/>
          </w:tcPr>
          <w:p>
            <w:pPr>
              <w:jc w:val="center"/>
              <w:spacing w:after="0"/>
              <w:rPr>
                <w:sz w:val="20"/>
                <w:szCs w:val="20"/>
                <w:color w:val="auto"/>
              </w:rPr>
            </w:pPr>
            <w:r>
              <w:rPr>
                <w:rFonts w:ascii="Arial" w:cs="Arial" w:eastAsia="Arial" w:hAnsi="Arial"/>
                <w:sz w:val="31"/>
                <w:szCs w:val="31"/>
                <w:color w:val="074A75"/>
                <w:w w:val="86"/>
              </w:rPr>
              <w:t>19</w:t>
            </w:r>
            <w:r>
              <w:rPr>
                <w:rFonts w:ascii="Arial" w:cs="Arial" w:eastAsia="Arial" w:hAnsi="Arial"/>
                <w:sz w:val="39"/>
                <w:szCs w:val="39"/>
                <w:color w:val="074A75"/>
                <w:w w:val="86"/>
                <w:vertAlign w:val="superscript"/>
              </w:rPr>
              <w:t>%</w:t>
            </w:r>
            <w:r>
              <w:rPr>
                <w:rFonts w:ascii="Arial" w:cs="Arial" w:eastAsia="Arial" w:hAnsi="Arial"/>
                <w:sz w:val="31"/>
                <w:szCs w:val="31"/>
                <w:color w:val="074A75"/>
                <w:w w:val="86"/>
              </w:rPr>
              <w:t xml:space="preserve"> | 23</w:t>
            </w:r>
            <w:r>
              <w:rPr>
                <w:rFonts w:ascii="Arial" w:cs="Arial" w:eastAsia="Arial" w:hAnsi="Arial"/>
                <w:sz w:val="39"/>
                <w:szCs w:val="39"/>
                <w:color w:val="074A75"/>
                <w:w w:val="86"/>
                <w:vertAlign w:val="superscript"/>
              </w:rPr>
              <w:t>%</w:t>
            </w:r>
          </w:p>
        </w:tc>
        <w:tc>
          <w:tcPr>
            <w:tcW w:w="1640" w:type="dxa"/>
            <w:vAlign w:val="bottom"/>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28.5</w:t>
            </w:r>
            <w:r>
              <w:rPr>
                <w:rFonts w:ascii="Arial" w:cs="Arial" w:eastAsia="Arial" w:hAnsi="Arial"/>
                <w:sz w:val="23"/>
                <w:szCs w:val="23"/>
                <w:color w:val="074A75"/>
                <w:w w:val="95"/>
              </w:rPr>
              <w:t>B</w:t>
            </w:r>
          </w:p>
        </w:tc>
      </w:tr>
      <w:tr>
        <w:trPr>
          <w:trHeight w:val="193"/>
        </w:trPr>
        <w:tc>
          <w:tcPr>
            <w:tcW w:w="1580" w:type="dxa"/>
            <w:vAlign w:val="bottom"/>
          </w:tcPr>
          <w:p>
            <w:pPr>
              <w:ind w:left="320"/>
              <w:spacing w:after="0" w:line="193" w:lineRule="exact"/>
              <w:rPr>
                <w:sz w:val="20"/>
                <w:szCs w:val="20"/>
                <w:color w:val="auto"/>
              </w:rPr>
            </w:pPr>
            <w:r>
              <w:rPr>
                <w:rFonts w:ascii="Arial" w:cs="Arial" w:eastAsia="Arial" w:hAnsi="Arial"/>
                <w:sz w:val="15"/>
                <w:szCs w:val="15"/>
                <w:color w:val="auto"/>
              </w:rPr>
              <w:t>ROE ROTCE</w:t>
            </w:r>
            <w:r>
              <w:rPr>
                <w:rFonts w:ascii="Arial" w:cs="Arial" w:eastAsia="Arial" w:hAnsi="Arial"/>
                <w:sz w:val="19"/>
                <w:szCs w:val="19"/>
                <w:color w:val="auto"/>
                <w:vertAlign w:val="superscript"/>
              </w:rPr>
              <w:t>1</w:t>
            </w:r>
          </w:p>
        </w:tc>
        <w:tc>
          <w:tcPr>
            <w:tcW w:w="1640" w:type="dxa"/>
            <w:vAlign w:val="bottom"/>
          </w:tcPr>
          <w:p>
            <w:pPr>
              <w:jc w:val="center"/>
              <w:spacing w:after="0"/>
              <w:rPr>
                <w:sz w:val="20"/>
                <w:szCs w:val="20"/>
                <w:color w:val="auto"/>
              </w:rPr>
            </w:pPr>
            <w:r>
              <w:rPr>
                <w:rFonts w:ascii="Arial" w:cs="Arial" w:eastAsia="Arial" w:hAnsi="Arial"/>
                <w:sz w:val="15"/>
                <w:szCs w:val="15"/>
                <w:color w:val="auto"/>
              </w:rPr>
              <w:t>NET CAPITAL</w:t>
            </w:r>
          </w:p>
        </w:tc>
      </w:tr>
      <w:tr>
        <w:trPr>
          <w:trHeight w:val="267"/>
        </w:trPr>
        <w:tc>
          <w:tcPr>
            <w:tcW w:w="1580" w:type="dxa"/>
            <w:vAlign w:val="bottom"/>
          </w:tcPr>
          <w:p>
            <w:pPr>
              <w:spacing w:after="0"/>
              <w:rPr>
                <w:sz w:val="23"/>
                <w:szCs w:val="23"/>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rPr>
              <w:t>DISTRIBUTIONS</w:t>
            </w:r>
            <w:r>
              <w:rPr>
                <w:rFonts w:ascii="Arial" w:cs="Arial" w:eastAsia="Arial" w:hAnsi="Arial"/>
                <w:sz w:val="19"/>
                <w:szCs w:val="19"/>
                <w:color w:val="auto"/>
                <w:vertAlign w:val="superscript"/>
              </w:rPr>
              <w:t>2</w:t>
            </w:r>
          </w:p>
        </w:tc>
      </w:tr>
    </w:tbl>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color w:val="074A75"/>
        </w:rPr>
        <w:t>Pages</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074A75"/>
        </w:rPr>
        <w:t>53-64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17145"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9" w:hanging="189"/>
        <w:spacing w:after="0"/>
        <w:tabs>
          <w:tab w:leader="none" w:pos="189" w:val="left"/>
        </w:tabs>
        <w:numPr>
          <w:ilvl w:val="0"/>
          <w:numId w:val="107"/>
        </w:numPr>
        <w:rPr>
          <w:rFonts w:ascii="Arial" w:cs="Arial" w:eastAsia="Arial" w:hAnsi="Arial"/>
          <w:sz w:val="15"/>
          <w:szCs w:val="15"/>
          <w:color w:val="074A75"/>
        </w:rPr>
      </w:pPr>
      <w:r>
        <w:rPr>
          <w:rFonts w:ascii="Arial" w:cs="Arial" w:eastAsia="Arial" w:hAnsi="Arial"/>
          <w:sz w:val="15"/>
          <w:szCs w:val="15"/>
          <w:color w:val="auto"/>
        </w:rPr>
        <w:t>Continued to invest in our cyber defense capabilities, training and partnerships</w:t>
      </w:r>
    </w:p>
    <w:p>
      <w:pPr>
        <w:spacing w:after="0" w:line="3" w:lineRule="exact"/>
        <w:rPr>
          <w:rFonts w:ascii="Arial" w:cs="Arial" w:eastAsia="Arial" w:hAnsi="Arial"/>
          <w:sz w:val="15"/>
          <w:szCs w:val="15"/>
          <w:color w:val="074A75"/>
        </w:rPr>
      </w:pPr>
    </w:p>
    <w:p>
      <w:pPr>
        <w:ind w:left="189" w:right="300" w:hanging="189"/>
        <w:spacing w:after="0" w:line="232" w:lineRule="auto"/>
        <w:tabs>
          <w:tab w:leader="none" w:pos="183" w:val="left"/>
        </w:tabs>
        <w:numPr>
          <w:ilvl w:val="0"/>
          <w:numId w:val="107"/>
        </w:numPr>
        <w:rPr>
          <w:rFonts w:ascii="Arial" w:cs="Arial" w:eastAsia="Arial" w:hAnsi="Arial"/>
          <w:sz w:val="15"/>
          <w:szCs w:val="15"/>
          <w:color w:val="074A75"/>
        </w:rPr>
      </w:pPr>
      <w:r>
        <w:rPr>
          <w:rFonts w:ascii="Arial" w:cs="Arial" w:eastAsia="Arial" w:hAnsi="Arial"/>
          <w:sz w:val="15"/>
          <w:szCs w:val="15"/>
          <w:color w:val="auto"/>
        </w:rPr>
        <w:t>Reinforced expectations of integrity, transparency and ethical conduct through periodic trainings, senior leadership communication and employee engagement</w:t>
      </w:r>
    </w:p>
    <w:p>
      <w:pPr>
        <w:spacing w:after="0" w:line="1" w:lineRule="exact"/>
        <w:rPr>
          <w:sz w:val="20"/>
          <w:szCs w:val="20"/>
          <w:color w:val="auto"/>
        </w:rPr>
      </w:pPr>
    </w:p>
    <w:p>
      <w:pPr>
        <w:ind w:left="9"/>
        <w:spacing w:after="0"/>
        <w:rPr>
          <w:sz w:val="20"/>
          <w:szCs w:val="20"/>
          <w:color w:val="auto"/>
        </w:rPr>
      </w:pPr>
      <w:r>
        <w:rPr>
          <w:rFonts w:ascii="Arial" w:cs="Arial" w:eastAsia="Arial" w:hAnsi="Arial"/>
          <w:sz w:val="17"/>
          <w:szCs w:val="17"/>
          <w:color w:val="074A75"/>
        </w:rPr>
        <w:t>Client/Customer/Stakeholder</w:t>
      </w:r>
    </w:p>
    <w:p>
      <w:pPr>
        <w:ind w:left="189" w:hanging="189"/>
        <w:spacing w:after="0" w:line="188" w:lineRule="auto"/>
        <w:tabs>
          <w:tab w:leader="none" w:pos="189" w:val="left"/>
        </w:tabs>
        <w:numPr>
          <w:ilvl w:val="0"/>
          <w:numId w:val="108"/>
        </w:numPr>
        <w:rPr>
          <w:rFonts w:ascii="Arial" w:cs="Arial" w:eastAsia="Arial" w:hAnsi="Arial"/>
          <w:sz w:val="15"/>
          <w:szCs w:val="15"/>
          <w:color w:val="074A75"/>
        </w:rPr>
      </w:pPr>
      <w:r>
        <w:rPr>
          <w:rFonts w:ascii="Arial" w:cs="Arial" w:eastAsia="Arial" w:hAnsi="Arial"/>
          <w:sz w:val="15"/>
          <w:szCs w:val="15"/>
          <w:color w:val="auto"/>
        </w:rPr>
        <w:t>Examples of external recognition</w:t>
      </w:r>
      <w:r>
        <w:rPr>
          <w:rFonts w:ascii="Arial" w:cs="Arial" w:eastAsia="Arial" w:hAnsi="Arial"/>
          <w:sz w:val="19"/>
          <w:szCs w:val="19"/>
          <w:color w:val="auto"/>
          <w:vertAlign w:val="superscript"/>
        </w:rPr>
        <w:t>3</w:t>
      </w:r>
      <w:r>
        <w:rPr>
          <w:rFonts w:ascii="Arial" w:cs="Arial" w:eastAsia="Arial" w:hAnsi="Arial"/>
          <w:sz w:val="15"/>
          <w:szCs w:val="15"/>
          <w:color w:val="auto"/>
        </w:rPr>
        <w:t xml:space="preserve"> we received in 2021 include:</w:t>
      </w:r>
    </w:p>
    <w:p>
      <w:pPr>
        <w:ind w:left="389" w:hanging="194"/>
        <w:spacing w:after="0" w:line="225" w:lineRule="auto"/>
        <w:tabs>
          <w:tab w:leader="none" w:pos="389" w:val="left"/>
        </w:tabs>
        <w:numPr>
          <w:ilvl w:val="1"/>
          <w:numId w:val="108"/>
        </w:numPr>
        <w:rPr>
          <w:rFonts w:ascii="Arial" w:cs="Arial" w:eastAsia="Arial" w:hAnsi="Arial"/>
          <w:sz w:val="15"/>
          <w:szCs w:val="15"/>
          <w:color w:val="074A75"/>
        </w:rPr>
      </w:pPr>
      <w:r>
        <w:rPr>
          <w:rFonts w:ascii="Arial" w:cs="Arial" w:eastAsia="Arial" w:hAnsi="Arial"/>
          <w:sz w:val="15"/>
          <w:szCs w:val="15"/>
          <w:b w:val="1"/>
          <w:bCs w:val="1"/>
          <w:color w:val="auto"/>
        </w:rPr>
        <w:t xml:space="preserve">CCB: </w:t>
      </w:r>
      <w:r>
        <w:rPr>
          <w:rFonts w:ascii="Arial" w:cs="Arial" w:eastAsia="Arial" w:hAnsi="Arial"/>
          <w:sz w:val="15"/>
          <w:szCs w:val="15"/>
          <w:color w:val="auto"/>
        </w:rPr>
        <w:t>#1 in U.S. retail deposit market share</w:t>
      </w:r>
    </w:p>
    <w:p>
      <w:pPr>
        <w:ind w:left="389" w:hanging="194"/>
        <w:spacing w:after="0" w:line="225" w:lineRule="auto"/>
        <w:tabs>
          <w:tab w:leader="none" w:pos="389" w:val="left"/>
        </w:tabs>
        <w:numPr>
          <w:ilvl w:val="1"/>
          <w:numId w:val="108"/>
        </w:numPr>
        <w:rPr>
          <w:rFonts w:ascii="Arial" w:cs="Arial" w:eastAsia="Arial" w:hAnsi="Arial"/>
          <w:sz w:val="15"/>
          <w:szCs w:val="15"/>
          <w:color w:val="074A75"/>
        </w:rPr>
      </w:pPr>
      <w:r>
        <w:rPr>
          <w:rFonts w:ascii="Arial" w:cs="Arial" w:eastAsia="Arial" w:hAnsi="Arial"/>
          <w:sz w:val="15"/>
          <w:szCs w:val="15"/>
          <w:b w:val="1"/>
          <w:bCs w:val="1"/>
          <w:color w:val="auto"/>
        </w:rPr>
        <w:t xml:space="preserve">CIB: </w:t>
      </w:r>
      <w:r>
        <w:rPr>
          <w:rFonts w:ascii="Arial" w:cs="Arial" w:eastAsia="Arial" w:hAnsi="Arial"/>
          <w:sz w:val="15"/>
          <w:szCs w:val="15"/>
          <w:color w:val="auto"/>
        </w:rPr>
        <w:t>#1 in Markets revenue and Investment Banking fees</w:t>
      </w:r>
    </w:p>
    <w:p>
      <w:pPr>
        <w:ind w:left="389" w:hanging="194"/>
        <w:spacing w:after="0" w:line="225" w:lineRule="auto"/>
        <w:tabs>
          <w:tab w:leader="none" w:pos="389" w:val="left"/>
        </w:tabs>
        <w:numPr>
          <w:ilvl w:val="1"/>
          <w:numId w:val="108"/>
        </w:numPr>
        <w:rPr>
          <w:rFonts w:ascii="Arial" w:cs="Arial" w:eastAsia="Arial" w:hAnsi="Arial"/>
          <w:sz w:val="15"/>
          <w:szCs w:val="15"/>
          <w:color w:val="074A75"/>
        </w:rPr>
      </w:pPr>
      <w:r>
        <w:rPr>
          <w:rFonts w:ascii="Arial" w:cs="Arial" w:eastAsia="Arial" w:hAnsi="Arial"/>
          <w:sz w:val="15"/>
          <w:szCs w:val="15"/>
          <w:b w:val="1"/>
          <w:bCs w:val="1"/>
          <w:color w:val="auto"/>
        </w:rPr>
        <w:t xml:space="preserve">CB: </w:t>
      </w:r>
      <w:r>
        <w:rPr>
          <w:rFonts w:ascii="Arial" w:cs="Arial" w:eastAsia="Arial" w:hAnsi="Arial"/>
          <w:sz w:val="15"/>
          <w:szCs w:val="15"/>
          <w:color w:val="auto"/>
        </w:rPr>
        <w:t>#1 multifamily and U.S. middle market syndicated lender</w:t>
      </w:r>
    </w:p>
    <w:p>
      <w:pPr>
        <w:ind w:left="389" w:hanging="194"/>
        <w:spacing w:after="0" w:line="225" w:lineRule="auto"/>
        <w:tabs>
          <w:tab w:leader="none" w:pos="389" w:val="left"/>
        </w:tabs>
        <w:numPr>
          <w:ilvl w:val="1"/>
          <w:numId w:val="108"/>
        </w:numPr>
        <w:rPr>
          <w:rFonts w:ascii="Arial" w:cs="Arial" w:eastAsia="Arial" w:hAnsi="Arial"/>
          <w:sz w:val="15"/>
          <w:szCs w:val="15"/>
          <w:color w:val="074A75"/>
        </w:rPr>
      </w:pPr>
      <w:r>
        <w:rPr>
          <w:rFonts w:ascii="Arial" w:cs="Arial" w:eastAsia="Arial" w:hAnsi="Arial"/>
          <w:sz w:val="15"/>
          <w:szCs w:val="15"/>
          <w:b w:val="1"/>
          <w:bCs w:val="1"/>
          <w:color w:val="auto"/>
        </w:rPr>
        <w:t xml:space="preserve">AWM: </w:t>
      </w:r>
      <w:r>
        <w:rPr>
          <w:rFonts w:ascii="Arial" w:cs="Arial" w:eastAsia="Arial" w:hAnsi="Arial"/>
          <w:sz w:val="15"/>
          <w:szCs w:val="15"/>
          <w:color w:val="auto"/>
        </w:rPr>
        <w:t>Best Private Bank in the World</w:t>
      </w:r>
    </w:p>
    <w:p>
      <w:pPr>
        <w:ind w:left="189" w:right="80" w:hanging="189"/>
        <w:spacing w:after="0" w:line="230" w:lineRule="auto"/>
        <w:tabs>
          <w:tab w:leader="none" w:pos="183" w:val="left"/>
        </w:tabs>
        <w:numPr>
          <w:ilvl w:val="0"/>
          <w:numId w:val="108"/>
        </w:numPr>
        <w:rPr>
          <w:rFonts w:ascii="Arial" w:cs="Arial" w:eastAsia="Arial" w:hAnsi="Arial"/>
          <w:sz w:val="15"/>
          <w:szCs w:val="15"/>
          <w:color w:val="074A75"/>
        </w:rPr>
      </w:pPr>
      <w:r>
        <w:rPr>
          <w:rFonts w:ascii="Arial" w:cs="Arial" w:eastAsia="Arial" w:hAnsi="Arial"/>
          <w:sz w:val="15"/>
          <w:szCs w:val="15"/>
          <w:color w:val="auto"/>
        </w:rPr>
        <w:t>Continued to invest in enhancing client/customer experience through new and expanded digital capabilities, and to promote inclusive, sustainable growth and opportunity in communities where we operate</w:t>
      </w:r>
    </w:p>
    <w:p>
      <w:pPr>
        <w:spacing w:after="0" w:line="1" w:lineRule="exact"/>
        <w:rPr>
          <w:sz w:val="20"/>
          <w:szCs w:val="20"/>
          <w:color w:val="auto"/>
        </w:rPr>
      </w:pPr>
    </w:p>
    <w:p>
      <w:pPr>
        <w:ind w:left="9"/>
        <w:spacing w:after="0"/>
        <w:rPr>
          <w:sz w:val="20"/>
          <w:szCs w:val="20"/>
          <w:color w:val="auto"/>
        </w:rPr>
      </w:pPr>
      <w:r>
        <w:rPr>
          <w:rFonts w:ascii="Arial" w:cs="Arial" w:eastAsia="Arial" w:hAnsi="Arial"/>
          <w:sz w:val="17"/>
          <w:szCs w:val="17"/>
          <w:color w:val="074A75"/>
        </w:rPr>
        <w:t>Teamwork &amp; Leadership</w:t>
      </w:r>
    </w:p>
    <w:p>
      <w:pPr>
        <w:spacing w:after="0" w:line="23" w:lineRule="exact"/>
        <w:rPr>
          <w:sz w:val="20"/>
          <w:szCs w:val="20"/>
          <w:color w:val="auto"/>
        </w:rPr>
      </w:pPr>
    </w:p>
    <w:p>
      <w:pPr>
        <w:ind w:left="189" w:right="60" w:hanging="189"/>
        <w:spacing w:after="0" w:line="235" w:lineRule="auto"/>
        <w:tabs>
          <w:tab w:leader="none" w:pos="183" w:val="left"/>
        </w:tabs>
        <w:numPr>
          <w:ilvl w:val="0"/>
          <w:numId w:val="109"/>
        </w:numPr>
        <w:rPr>
          <w:rFonts w:ascii="Arial" w:cs="Arial" w:eastAsia="Arial" w:hAnsi="Arial"/>
          <w:sz w:val="15"/>
          <w:szCs w:val="15"/>
          <w:color w:val="074A75"/>
        </w:rPr>
      </w:pPr>
      <w:r>
        <w:rPr>
          <w:rFonts w:ascii="Arial" w:cs="Arial" w:eastAsia="Arial" w:hAnsi="Arial"/>
          <w:sz w:val="15"/>
          <w:szCs w:val="15"/>
          <w:color w:val="auto"/>
        </w:rPr>
        <w:t>Continued to invest in succession planning; diversity, equity and inclusion; leadership and employee growth; and benefits &amp; wellness best practices, including COVID-19 support</w:t>
      </w:r>
    </w:p>
    <w:p>
      <w:pPr>
        <w:ind w:left="189" w:hanging="189"/>
        <w:spacing w:after="0" w:line="225" w:lineRule="auto"/>
        <w:tabs>
          <w:tab w:leader="none" w:pos="189" w:val="left"/>
        </w:tabs>
        <w:numPr>
          <w:ilvl w:val="0"/>
          <w:numId w:val="109"/>
        </w:numPr>
        <w:rPr>
          <w:rFonts w:ascii="Arial" w:cs="Arial" w:eastAsia="Arial" w:hAnsi="Arial"/>
          <w:sz w:val="15"/>
          <w:szCs w:val="15"/>
          <w:color w:val="074A75"/>
        </w:rPr>
      </w:pPr>
      <w:r>
        <w:rPr>
          <w:rFonts w:ascii="Arial" w:cs="Arial" w:eastAsia="Arial" w:hAnsi="Arial"/>
          <w:sz w:val="15"/>
          <w:szCs w:val="15"/>
          <w:color w:val="auto"/>
        </w:rPr>
        <w:t>Dedicated to a culture that enables leaders and their teams to grow and succeed</w:t>
      </w:r>
    </w:p>
    <w:p>
      <w:pPr>
        <w:ind w:left="189" w:hanging="189"/>
        <w:spacing w:after="0"/>
        <w:tabs>
          <w:tab w:leader="none" w:pos="189" w:val="left"/>
        </w:tabs>
        <w:numPr>
          <w:ilvl w:val="0"/>
          <w:numId w:val="109"/>
        </w:numPr>
        <w:rPr>
          <w:rFonts w:ascii="Arial" w:cs="Arial" w:eastAsia="Arial" w:hAnsi="Arial"/>
          <w:sz w:val="15"/>
          <w:szCs w:val="15"/>
          <w:color w:val="074A75"/>
        </w:rPr>
      </w:pPr>
      <w:r>
        <w:rPr>
          <w:rFonts w:ascii="Arial" w:cs="Arial" w:eastAsia="Arial" w:hAnsi="Arial"/>
          <w:sz w:val="15"/>
          <w:szCs w:val="15"/>
          <w:color w:val="auto"/>
        </w:rPr>
        <w:t>Continued execution of long-term succession planning strategy on the Operating Committee</w:t>
      </w:r>
    </w:p>
    <w:p>
      <w:pPr>
        <w:spacing w:after="0" w:line="891" w:lineRule="exact"/>
        <w:rPr>
          <w:sz w:val="20"/>
          <w:szCs w:val="20"/>
          <w:color w:val="auto"/>
        </w:rPr>
      </w:pPr>
    </w:p>
    <w:p>
      <w:pPr>
        <w:sectPr>
          <w:pgSz w:w="11900" w:h="16838" w:orient="portrait"/>
          <w:cols w:equalWidth="0" w:num="2">
            <w:col w:w="4140" w:space="111"/>
            <w:col w:w="6989"/>
          </w:cols>
          <w:pgMar w:left="320" w:top="157" w:right="339" w:bottom="1440" w:gutter="0" w:footer="0" w:header="0"/>
          <w:type w:val="continuous"/>
        </w:sectPr>
      </w:pP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364"/>
        </w:trPr>
        <w:tc>
          <w:tcPr>
            <w:tcW w:w="740" w:type="dxa"/>
            <w:vAlign w:val="bottom"/>
            <w:tcBorders>
              <w:top w:val="single" w:sz="8" w:color="EFEFEF"/>
            </w:tcBorders>
            <w:vMerge w:val="restart"/>
          </w:tcPr>
          <w:p>
            <w:pPr>
              <w:jc w:val="right"/>
              <w:spacing w:after="0"/>
              <w:rPr>
                <w:sz w:val="20"/>
                <w:szCs w:val="20"/>
                <w:color w:val="auto"/>
              </w:rPr>
            </w:pPr>
            <w:r>
              <w:rPr>
                <w:rFonts w:ascii="Arial" w:cs="Arial" w:eastAsia="Arial" w:hAnsi="Arial"/>
                <w:sz w:val="32"/>
                <w:szCs w:val="32"/>
                <w:color w:val="074A75"/>
              </w:rPr>
              <w:t>3</w:t>
            </w:r>
          </w:p>
        </w:tc>
        <w:tc>
          <w:tcPr>
            <w:tcW w:w="10480" w:type="dxa"/>
            <w:vAlign w:val="bottom"/>
            <w:tcBorders>
              <w:top w:val="single" w:sz="8" w:color="EFEFEF"/>
            </w:tcBorders>
            <w:gridSpan w:val="2"/>
            <w:shd w:val="clear" w:color="auto" w:fill="EFEFEF"/>
          </w:tcPr>
          <w:p>
            <w:pPr>
              <w:ind w:left="180"/>
              <w:spacing w:after="0"/>
              <w:rPr>
                <w:sz w:val="20"/>
                <w:szCs w:val="20"/>
                <w:color w:val="auto"/>
              </w:rPr>
            </w:pPr>
            <w:r>
              <w:rPr>
                <w:rFonts w:ascii="Arial" w:cs="Arial" w:eastAsia="Arial" w:hAnsi="Arial"/>
                <w:sz w:val="20"/>
                <w:szCs w:val="20"/>
                <w:b w:val="1"/>
                <w:bCs w:val="1"/>
                <w:color w:val="auto"/>
              </w:rPr>
              <w:t>HOW PERFORMANCE DETERMINED CEO PAY IN 2021</w:t>
            </w:r>
          </w:p>
        </w:tc>
        <w:tc>
          <w:tcPr>
            <w:tcW w:w="0" w:type="dxa"/>
            <w:vAlign w:val="bottom"/>
          </w:tcPr>
          <w:p>
            <w:pPr>
              <w:spacing w:after="0"/>
              <w:rPr>
                <w:sz w:val="1"/>
                <w:szCs w:val="1"/>
                <w:color w:val="auto"/>
              </w:rPr>
            </w:pPr>
          </w:p>
        </w:tc>
      </w:tr>
      <w:tr>
        <w:trPr>
          <w:trHeight w:val="158"/>
        </w:trPr>
        <w:tc>
          <w:tcPr>
            <w:tcW w:w="740" w:type="dxa"/>
            <w:vAlign w:val="bottom"/>
            <w:vMerge w:val="continue"/>
          </w:tcPr>
          <w:p>
            <w:pPr>
              <w:spacing w:after="0"/>
              <w:rPr>
                <w:sz w:val="13"/>
                <w:szCs w:val="13"/>
                <w:color w:val="auto"/>
              </w:rPr>
            </w:pPr>
          </w:p>
        </w:tc>
        <w:tc>
          <w:tcPr>
            <w:tcW w:w="5080" w:type="dxa"/>
            <w:vAlign w:val="bottom"/>
            <w:vMerge w:val="restart"/>
          </w:tcPr>
          <w:p>
            <w:pPr>
              <w:ind w:left="180"/>
              <w:spacing w:after="0"/>
              <w:rPr>
                <w:sz w:val="20"/>
                <w:szCs w:val="20"/>
                <w:color w:val="auto"/>
              </w:rPr>
            </w:pPr>
            <w:r>
              <w:rPr>
                <w:rFonts w:ascii="Arial" w:cs="Arial" w:eastAsia="Arial" w:hAnsi="Arial"/>
                <w:sz w:val="18"/>
                <w:szCs w:val="18"/>
                <w:color w:val="00497F"/>
              </w:rPr>
              <w:t>Consistently Strong Absolute Performance</w:t>
            </w:r>
          </w:p>
        </w:tc>
        <w:tc>
          <w:tcPr>
            <w:tcW w:w="5400" w:type="dxa"/>
            <w:vAlign w:val="bottom"/>
            <w:vMerge w:val="restart"/>
            <w:shd w:val="clear" w:color="auto" w:fill="EFEFEF"/>
          </w:tcPr>
          <w:p>
            <w:pPr>
              <w:ind w:left="120"/>
              <w:spacing w:after="0"/>
              <w:rPr>
                <w:sz w:val="20"/>
                <w:szCs w:val="20"/>
                <w:color w:val="auto"/>
              </w:rPr>
            </w:pPr>
            <w:r>
              <w:rPr>
                <w:rFonts w:ascii="Arial" w:cs="Arial" w:eastAsia="Arial" w:hAnsi="Arial"/>
                <w:sz w:val="18"/>
                <w:szCs w:val="18"/>
                <w:color w:val="00497F"/>
              </w:rPr>
              <w:t>Consistently Strong Relative Pay for Performance Alignment</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5080" w:type="dxa"/>
            <w:vAlign w:val="bottom"/>
            <w:vMerge w:val="continue"/>
          </w:tcPr>
          <w:p>
            <w:pPr>
              <w:spacing w:after="0"/>
              <w:rPr>
                <w:sz w:val="5"/>
                <w:szCs w:val="5"/>
                <w:color w:val="auto"/>
              </w:rPr>
            </w:pPr>
          </w:p>
        </w:tc>
        <w:tc>
          <w:tcPr>
            <w:tcW w:w="5400" w:type="dxa"/>
            <w:vAlign w:val="bottom"/>
            <w:vMerge w:val="continue"/>
            <w:shd w:val="clear" w:color="auto" w:fill="EFEFE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5080" w:type="dxa"/>
            <w:vAlign w:val="bottom"/>
          </w:tcPr>
          <w:p>
            <w:pPr>
              <w:ind w:left="180"/>
              <w:spacing w:after="0" w:line="162" w:lineRule="exact"/>
              <w:rPr>
                <w:sz w:val="20"/>
                <w:szCs w:val="20"/>
                <w:color w:val="auto"/>
              </w:rPr>
            </w:pPr>
            <w:r>
              <w:rPr>
                <w:rFonts w:ascii="Arial" w:cs="Arial" w:eastAsia="Arial" w:hAnsi="Arial"/>
                <w:sz w:val="15"/>
                <w:szCs w:val="15"/>
                <w:color w:val="auto"/>
              </w:rPr>
              <w:t>After considering the Firm’s consistently strong 2021 and multi-year</w:t>
            </w:r>
          </w:p>
        </w:tc>
        <w:tc>
          <w:tcPr>
            <w:tcW w:w="5400" w:type="dxa"/>
            <w:vAlign w:val="bottom"/>
            <w:shd w:val="clear" w:color="auto" w:fill="EFEFEF"/>
          </w:tcPr>
          <w:p>
            <w:pPr>
              <w:ind w:left="120"/>
              <w:spacing w:after="0" w:line="162" w:lineRule="exact"/>
              <w:rPr>
                <w:sz w:val="20"/>
                <w:szCs w:val="20"/>
                <w:color w:val="auto"/>
              </w:rPr>
            </w:pPr>
            <w:r>
              <w:rPr>
                <w:rFonts w:ascii="Arial" w:cs="Arial" w:eastAsia="Arial" w:hAnsi="Arial"/>
                <w:sz w:val="15"/>
                <w:szCs w:val="15"/>
                <w:color w:val="auto"/>
              </w:rPr>
              <w:t>On a trailing average basis, the Firm's average percentage of net income paid</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5080" w:type="dxa"/>
            <w:vAlign w:val="bottom"/>
          </w:tcPr>
          <w:p>
            <w:pPr>
              <w:ind w:left="180"/>
              <w:spacing w:after="0" w:line="162" w:lineRule="exact"/>
              <w:rPr>
                <w:sz w:val="20"/>
                <w:szCs w:val="20"/>
                <w:color w:val="auto"/>
              </w:rPr>
            </w:pPr>
            <w:r>
              <w:rPr>
                <w:rFonts w:ascii="Arial" w:cs="Arial" w:eastAsia="Arial" w:hAnsi="Arial"/>
                <w:sz w:val="15"/>
                <w:szCs w:val="15"/>
                <w:color w:val="auto"/>
              </w:rPr>
              <w:t>performance against its business strategy under Mr. Dimon’s</w:t>
            </w:r>
          </w:p>
        </w:tc>
        <w:tc>
          <w:tcPr>
            <w:tcW w:w="5400" w:type="dxa"/>
            <w:vAlign w:val="bottom"/>
            <w:shd w:val="clear" w:color="auto" w:fill="EFEFEF"/>
          </w:tcPr>
          <w:p>
            <w:pPr>
              <w:ind w:left="120"/>
              <w:spacing w:after="0" w:line="162" w:lineRule="exact"/>
              <w:rPr>
                <w:sz w:val="20"/>
                <w:szCs w:val="20"/>
                <w:color w:val="auto"/>
              </w:rPr>
            </w:pPr>
            <w:r>
              <w:rPr>
                <w:rFonts w:ascii="Arial" w:cs="Arial" w:eastAsia="Arial" w:hAnsi="Arial"/>
                <w:sz w:val="15"/>
                <w:szCs w:val="15"/>
                <w:color w:val="auto"/>
              </w:rPr>
              <w:t>to Mr. Dimon continues to rank among the lowest of our peers, demonstrating</w:t>
            </w:r>
          </w:p>
        </w:tc>
        <w:tc>
          <w:tcPr>
            <w:tcW w:w="0" w:type="dxa"/>
            <w:vAlign w:val="bottom"/>
          </w:tcPr>
          <w:p>
            <w:pPr>
              <w:spacing w:after="0"/>
              <w:rPr>
                <w:sz w:val="1"/>
                <w:szCs w:val="1"/>
                <w:color w:val="auto"/>
              </w:rPr>
            </w:pPr>
          </w:p>
        </w:tc>
      </w:tr>
      <w:tr>
        <w:trPr>
          <w:trHeight w:val="161"/>
        </w:trPr>
        <w:tc>
          <w:tcPr>
            <w:tcW w:w="740" w:type="dxa"/>
            <w:vAlign w:val="bottom"/>
          </w:tcPr>
          <w:p>
            <w:pPr>
              <w:spacing w:after="0"/>
              <w:rPr>
                <w:sz w:val="13"/>
                <w:szCs w:val="13"/>
                <w:color w:val="auto"/>
              </w:rPr>
            </w:pPr>
          </w:p>
        </w:tc>
        <w:tc>
          <w:tcPr>
            <w:tcW w:w="5080" w:type="dxa"/>
            <w:vAlign w:val="bottom"/>
          </w:tcPr>
          <w:p>
            <w:pPr>
              <w:ind w:left="180"/>
              <w:spacing w:after="0" w:line="161" w:lineRule="exact"/>
              <w:rPr>
                <w:sz w:val="20"/>
                <w:szCs w:val="20"/>
                <w:color w:val="auto"/>
              </w:rPr>
            </w:pPr>
            <w:r>
              <w:rPr>
                <w:rFonts w:ascii="Arial" w:cs="Arial" w:eastAsia="Arial" w:hAnsi="Arial"/>
                <w:sz w:val="15"/>
                <w:szCs w:val="15"/>
                <w:color w:val="auto"/>
              </w:rPr>
              <w:t>stewardship, the Board awarded him $34.5 million in total annual</w:t>
            </w:r>
          </w:p>
        </w:tc>
        <w:tc>
          <w:tcPr>
            <w:tcW w:w="5400" w:type="dxa"/>
            <w:vAlign w:val="bottom"/>
            <w:shd w:val="clear" w:color="auto" w:fill="EFEFEF"/>
          </w:tcPr>
          <w:p>
            <w:pPr>
              <w:ind w:left="120"/>
              <w:spacing w:after="0" w:line="161" w:lineRule="exact"/>
              <w:rPr>
                <w:sz w:val="20"/>
                <w:szCs w:val="20"/>
                <w:color w:val="auto"/>
              </w:rPr>
            </w:pPr>
            <w:r>
              <w:rPr>
                <w:rFonts w:ascii="Arial" w:cs="Arial" w:eastAsia="Arial" w:hAnsi="Arial"/>
                <w:sz w:val="15"/>
                <w:szCs w:val="15"/>
                <w:color w:val="auto"/>
              </w:rPr>
              <w:t>our strong pay-for-performance alignment, and a more efficient CEO pay</w:t>
            </w: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5080" w:type="dxa"/>
            <w:vAlign w:val="bottom"/>
          </w:tcPr>
          <w:p>
            <w:pPr>
              <w:ind w:left="180"/>
              <w:spacing w:after="0" w:line="208" w:lineRule="exact"/>
              <w:rPr>
                <w:sz w:val="20"/>
                <w:szCs w:val="20"/>
                <w:color w:val="auto"/>
              </w:rPr>
            </w:pPr>
            <w:r>
              <w:rPr>
                <w:rFonts w:ascii="Arial" w:cs="Arial" w:eastAsia="Arial" w:hAnsi="Arial"/>
                <w:sz w:val="15"/>
                <w:szCs w:val="15"/>
                <w:color w:val="auto"/>
              </w:rPr>
              <w:t>compensation for 2021</w:t>
            </w:r>
            <w:r>
              <w:rPr>
                <w:rFonts w:ascii="Arial" w:cs="Arial" w:eastAsia="Arial" w:hAnsi="Arial"/>
                <w:sz w:val="19"/>
                <w:szCs w:val="19"/>
                <w:color w:val="auto"/>
                <w:vertAlign w:val="superscript"/>
              </w:rPr>
              <w:t>4</w:t>
            </w:r>
          </w:p>
        </w:tc>
        <w:tc>
          <w:tcPr>
            <w:tcW w:w="5400" w:type="dxa"/>
            <w:vAlign w:val="bottom"/>
            <w:shd w:val="clear" w:color="auto" w:fill="EFEFEF"/>
          </w:tcPr>
          <w:p>
            <w:pPr>
              <w:ind w:left="120"/>
              <w:spacing w:after="0"/>
              <w:rPr>
                <w:sz w:val="20"/>
                <w:szCs w:val="20"/>
                <w:color w:val="auto"/>
              </w:rPr>
            </w:pPr>
            <w:r>
              <w:rPr>
                <w:rFonts w:ascii="Arial" w:cs="Arial" w:eastAsia="Arial" w:hAnsi="Arial"/>
                <w:sz w:val="15"/>
                <w:szCs w:val="15"/>
                <w:color w:val="auto"/>
              </w:rPr>
              <w:t>allocation ratio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-779145</wp:posOffset>
            </wp:positionV>
            <wp:extent cx="7140575" cy="19627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0575" cy="1962785"/>
                    </a:xfrm>
                    <a:prstGeom prst="rect">
                      <a:avLst/>
                    </a:prstGeom>
                    <a:noFill/>
                  </pic:spPr>
                </pic:pic>
              </a:graphicData>
            </a:graphic>
          </wp:anchor>
        </w:drawing>
      </w:r>
    </w:p>
    <w:p>
      <w:pPr>
        <w:spacing w:after="0" w:line="49" w:lineRule="exact"/>
        <w:rPr>
          <w:sz w:val="20"/>
          <w:szCs w:val="20"/>
          <w:color w:val="auto"/>
        </w:rPr>
      </w:pPr>
    </w:p>
    <w:p>
      <w:pPr>
        <w:ind w:left="6280"/>
        <w:spacing w:after="0"/>
        <w:rPr>
          <w:sz w:val="20"/>
          <w:szCs w:val="20"/>
          <w:color w:val="auto"/>
        </w:rPr>
      </w:pPr>
      <w:r>
        <w:rPr>
          <w:rFonts w:ascii="Arial" w:cs="Arial" w:eastAsia="Arial" w:hAnsi="Arial"/>
          <w:sz w:val="16"/>
          <w:szCs w:val="16"/>
          <w:b w:val="1"/>
          <w:bCs w:val="1"/>
          <w:i w:val="1"/>
          <w:iCs w:val="1"/>
          <w:color w:val="00497F"/>
        </w:rPr>
        <w:t>Prior 3-Year Average % of Profits Paid to CEOs (2018-2020)</w:t>
      </w:r>
      <w:r>
        <w:rPr>
          <w:rFonts w:ascii="Arial" w:cs="Arial" w:eastAsia="Arial" w:hAnsi="Arial"/>
          <w:sz w:val="21"/>
          <w:szCs w:val="21"/>
          <w:b w:val="1"/>
          <w:bCs w:val="1"/>
          <w:i w:val="1"/>
          <w:iCs w:val="1"/>
          <w:color w:val="00497F"/>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 w:right="10560" w:hanging="44"/>
        <w:spacing w:after="0" w:line="286" w:lineRule="auto"/>
        <w:rPr>
          <w:sz w:val="20"/>
          <w:szCs w:val="20"/>
          <w:color w:val="auto"/>
        </w:rPr>
      </w:pPr>
      <w:r>
        <w:rPr>
          <w:rFonts w:ascii="Arial" w:cs="Arial" w:eastAsia="Arial" w:hAnsi="Arial"/>
          <w:sz w:val="16"/>
          <w:szCs w:val="16"/>
          <w:color w:val="074A75"/>
        </w:rPr>
        <w:t>Pages 65-72</w:t>
      </w:r>
    </w:p>
    <w:p>
      <w:pPr>
        <w:spacing w:after="0" w:line="171" w:lineRule="exact"/>
        <w:rPr>
          <w:sz w:val="20"/>
          <w:szCs w:val="20"/>
          <w:color w:val="auto"/>
        </w:rPr>
      </w:pPr>
    </w:p>
    <w:p>
      <w:pPr>
        <w:ind w:left="200" w:hanging="192"/>
        <w:spacing w:after="0"/>
        <w:tabs>
          <w:tab w:leader="none" w:pos="200" w:val="left"/>
        </w:tabs>
        <w:numPr>
          <w:ilvl w:val="0"/>
          <w:numId w:val="110"/>
        </w:numPr>
        <w:rPr>
          <w:rFonts w:ascii="Arial" w:cs="Arial" w:eastAsia="Arial" w:hAnsi="Arial"/>
          <w:sz w:val="15"/>
          <w:szCs w:val="15"/>
          <w:color w:val="auto"/>
          <w:vertAlign w:val="superscript"/>
        </w:rPr>
      </w:pPr>
      <w:r>
        <w:rPr>
          <w:rFonts w:ascii="Arial" w:cs="Arial" w:eastAsia="Arial" w:hAnsi="Arial"/>
          <w:sz w:val="12"/>
          <w:szCs w:val="12"/>
          <w:color w:val="auto"/>
        </w:rPr>
        <w:t>ROTCE is a non-GAAP financial measure; refer to Note 1 on page 110 for a further discussion of this measure.</w:t>
      </w:r>
    </w:p>
    <w:p>
      <w:pPr>
        <w:ind w:left="200" w:hanging="192"/>
        <w:spacing w:after="0" w:line="187" w:lineRule="auto"/>
        <w:tabs>
          <w:tab w:leader="none" w:pos="200" w:val="left"/>
        </w:tabs>
        <w:numPr>
          <w:ilvl w:val="0"/>
          <w:numId w:val="111"/>
        </w:numPr>
        <w:rPr>
          <w:rFonts w:ascii="Arial" w:cs="Arial" w:eastAsia="Arial" w:hAnsi="Arial"/>
          <w:sz w:val="15"/>
          <w:szCs w:val="15"/>
          <w:color w:val="auto"/>
          <w:vertAlign w:val="superscript"/>
        </w:rPr>
      </w:pPr>
      <w:r>
        <w:rPr>
          <w:rFonts w:ascii="Arial" w:cs="Arial" w:eastAsia="Arial" w:hAnsi="Arial"/>
          <w:sz w:val="12"/>
          <w:szCs w:val="12"/>
          <w:color w:val="auto"/>
        </w:rPr>
        <w:t>Reflects common dividends and common stock repurchases, net of common stock issued to employees.</w:t>
      </w:r>
    </w:p>
    <w:p>
      <w:pPr>
        <w:ind w:left="200" w:hanging="192"/>
        <w:spacing w:after="0" w:line="188" w:lineRule="auto"/>
        <w:tabs>
          <w:tab w:leader="none" w:pos="200" w:val="left"/>
        </w:tabs>
        <w:numPr>
          <w:ilvl w:val="0"/>
          <w:numId w:val="112"/>
        </w:numPr>
        <w:rPr>
          <w:rFonts w:ascii="Arial" w:cs="Arial" w:eastAsia="Arial" w:hAnsi="Arial"/>
          <w:sz w:val="15"/>
          <w:szCs w:val="15"/>
          <w:color w:val="auto"/>
          <w:vertAlign w:val="superscript"/>
        </w:rPr>
      </w:pPr>
      <w:r>
        <w:rPr>
          <w:rFonts w:ascii="Arial" w:cs="Arial" w:eastAsia="Arial" w:hAnsi="Arial"/>
          <w:sz w:val="12"/>
          <w:szCs w:val="12"/>
          <w:color w:val="auto"/>
        </w:rPr>
        <w:t>For recognition sources for CCB, CIB and AWM, refer to pages 68-71; CB recognition from S&amp;P Global Market Intelligence and Refinitiv, respectively, as of December 31, 2021.</w:t>
      </w:r>
    </w:p>
    <w:p>
      <w:pPr>
        <w:ind w:left="200" w:hanging="192"/>
        <w:spacing w:after="0" w:line="188" w:lineRule="auto"/>
        <w:tabs>
          <w:tab w:leader="none" w:pos="200" w:val="left"/>
        </w:tabs>
        <w:numPr>
          <w:ilvl w:val="0"/>
          <w:numId w:val="113"/>
        </w:numPr>
        <w:rPr>
          <w:rFonts w:ascii="Arial" w:cs="Arial" w:eastAsia="Arial" w:hAnsi="Arial"/>
          <w:sz w:val="15"/>
          <w:szCs w:val="15"/>
          <w:color w:val="auto"/>
          <w:vertAlign w:val="superscript"/>
        </w:rPr>
      </w:pPr>
      <w:r>
        <w:rPr>
          <w:rFonts w:ascii="Arial" w:cs="Arial" w:eastAsia="Arial" w:hAnsi="Arial"/>
          <w:sz w:val="12"/>
          <w:szCs w:val="12"/>
          <w:color w:val="auto"/>
        </w:rPr>
        <w:t>The Board granted Mr. Dimon a special award in 2021 that is not part of his regular annual compensation and will not be awarded on a recurring basis. Refer to page 66 for further information.</w:t>
      </w:r>
    </w:p>
    <w:p>
      <w:pPr>
        <w:ind w:left="200" w:right="80" w:hanging="192"/>
        <w:spacing w:after="0" w:line="216" w:lineRule="auto"/>
        <w:tabs>
          <w:tab w:leader="none" w:pos="196" w:val="left"/>
        </w:tabs>
        <w:numPr>
          <w:ilvl w:val="0"/>
          <w:numId w:val="114"/>
        </w:numPr>
        <w:rPr>
          <w:rFonts w:ascii="Arial" w:cs="Arial" w:eastAsia="Arial" w:hAnsi="Arial"/>
          <w:sz w:val="15"/>
          <w:szCs w:val="15"/>
          <w:color w:val="auto"/>
          <w:vertAlign w:val="superscript"/>
        </w:rPr>
      </w:pPr>
      <w:r>
        <w:rPr>
          <w:rFonts w:ascii="Arial" w:cs="Arial" w:eastAsia="Arial" w:hAnsi="Arial"/>
          <w:sz w:val="12"/>
          <w:szCs w:val="12"/>
          <w:color w:val="auto"/>
        </w:rPr>
        <w:t>Total compensation is comprised of base salary, cash bonus paid and long-term incentive compensation (target value) in connection with the performance year, which may be different from amounts reported in the Summary Compensation Table. Refer to Note 1 on page 66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191770</wp:posOffset>
            </wp:positionV>
            <wp:extent cx="2743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39  </w:t>
      </w:r>
      <w:r>
        <w:rPr>
          <w:sz w:val="1"/>
          <w:szCs w:val="1"/>
          <w:color w:val="auto"/>
        </w:rPr>
        <w:drawing>
          <wp:inline distT="0" distB="0" distL="0" distR="0">
            <wp:extent cx="2203450" cy="154305"/>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718"/>
        </w:trPr>
        <w:tc>
          <w:tcPr>
            <w:tcW w:w="1440" w:type="dxa"/>
            <w:vAlign w:val="bottom"/>
            <w:vMerge w:val="restart"/>
            <w:shd w:val="clear" w:color="auto" w:fill="E7E7E8"/>
          </w:tcPr>
          <w:p>
            <w:pPr>
              <w:jc w:val="right"/>
              <w:spacing w:after="0" w:line="894" w:lineRule="exact"/>
              <w:rPr>
                <w:sz w:val="20"/>
                <w:szCs w:val="20"/>
                <w:color w:val="auto"/>
              </w:rPr>
            </w:pPr>
            <w:r>
              <w:rPr>
                <w:rFonts w:ascii="Arial" w:cs="Arial" w:eastAsia="Arial" w:hAnsi="Arial"/>
                <w:sz w:val="103"/>
                <w:szCs w:val="103"/>
                <w:color w:val="074A75"/>
              </w:rPr>
              <w:t>1</w:t>
            </w:r>
          </w:p>
        </w:tc>
        <w:tc>
          <w:tcPr>
            <w:tcW w:w="9800" w:type="dxa"/>
            <w:vAlign w:val="bottom"/>
          </w:tcPr>
          <w:p>
            <w:pPr>
              <w:ind w:left="180"/>
              <w:spacing w:after="0"/>
              <w:rPr>
                <w:sz w:val="20"/>
                <w:szCs w:val="20"/>
                <w:color w:val="auto"/>
              </w:rPr>
            </w:pPr>
            <w:r>
              <w:rPr>
                <w:rFonts w:ascii="Arial" w:cs="Arial" w:eastAsia="Arial" w:hAnsi="Arial"/>
                <w:sz w:val="40"/>
                <w:szCs w:val="40"/>
                <w:color w:val="074A75"/>
              </w:rPr>
              <w:t>How we think about pay decisions</w:t>
            </w:r>
          </w:p>
        </w:tc>
        <w:tc>
          <w:tcPr>
            <w:tcW w:w="0" w:type="dxa"/>
            <w:vAlign w:val="bottom"/>
          </w:tcPr>
          <w:p>
            <w:pPr>
              <w:spacing w:after="0"/>
              <w:rPr>
                <w:sz w:val="1"/>
                <w:szCs w:val="1"/>
                <w:color w:val="auto"/>
              </w:rPr>
            </w:pPr>
          </w:p>
        </w:tc>
      </w:tr>
      <w:tr>
        <w:trPr>
          <w:trHeight w:val="179"/>
        </w:trPr>
        <w:tc>
          <w:tcPr>
            <w:tcW w:w="1440" w:type="dxa"/>
            <w:vAlign w:val="bottom"/>
            <w:vMerge w:val="continue"/>
            <w:shd w:val="clear" w:color="auto" w:fill="E7E7E8"/>
          </w:tcPr>
          <w:p>
            <w:pPr>
              <w:spacing w:after="0"/>
              <w:rPr>
                <w:sz w:val="15"/>
                <w:szCs w:val="15"/>
                <w:color w:val="auto"/>
              </w:rPr>
            </w:pPr>
          </w:p>
        </w:tc>
        <w:tc>
          <w:tcPr>
            <w:tcW w:w="9800" w:type="dxa"/>
            <w:vAlign w:val="bottom"/>
            <w:vMerge w:val="restart"/>
          </w:tcPr>
          <w:p>
            <w:pPr>
              <w:ind w:left="180"/>
              <w:spacing w:after="0"/>
              <w:rPr>
                <w:sz w:val="20"/>
                <w:szCs w:val="20"/>
                <w:color w:val="auto"/>
              </w:rPr>
            </w:pPr>
            <w:r>
              <w:rPr>
                <w:rFonts w:ascii="Arial" w:cs="Arial" w:eastAsia="Arial" w:hAnsi="Arial"/>
                <w:sz w:val="18"/>
                <w:szCs w:val="18"/>
                <w:i w:val="1"/>
                <w:iCs w:val="1"/>
                <w:color w:val="074A75"/>
              </w:rPr>
              <w:t>The Firm’s Business Principles and strategic framework form the basis of our OC members’ strategic priorities. The</w:t>
            </w:r>
          </w:p>
        </w:tc>
        <w:tc>
          <w:tcPr>
            <w:tcW w:w="0" w:type="dxa"/>
            <w:vAlign w:val="bottom"/>
          </w:tcPr>
          <w:p>
            <w:pPr>
              <w:spacing w:after="0"/>
              <w:rPr>
                <w:sz w:val="1"/>
                <w:szCs w:val="1"/>
                <w:color w:val="auto"/>
              </w:rPr>
            </w:pPr>
          </w:p>
        </w:tc>
      </w:tr>
      <w:tr>
        <w:trPr>
          <w:trHeight w:val="37"/>
        </w:trPr>
        <w:tc>
          <w:tcPr>
            <w:tcW w:w="1440" w:type="dxa"/>
            <w:vAlign w:val="bottom"/>
            <w:shd w:val="clear" w:color="auto" w:fill="E7E7E8"/>
          </w:tcPr>
          <w:p>
            <w:pPr>
              <w:spacing w:after="0"/>
              <w:rPr>
                <w:sz w:val="3"/>
                <w:szCs w:val="3"/>
                <w:color w:val="auto"/>
              </w:rPr>
            </w:pPr>
          </w:p>
        </w:tc>
        <w:tc>
          <w:tcPr>
            <w:tcW w:w="9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E7E7E8"/>
          </w:tcPr>
          <w:p>
            <w:pPr>
              <w:spacing w:after="0"/>
              <w:rPr>
                <w:sz w:val="18"/>
                <w:szCs w:val="18"/>
                <w:color w:val="auto"/>
              </w:rPr>
            </w:pPr>
          </w:p>
        </w:tc>
        <w:tc>
          <w:tcPr>
            <w:tcW w:w="9800" w:type="dxa"/>
            <w:vAlign w:val="bottom"/>
          </w:tcPr>
          <w:p>
            <w:pPr>
              <w:ind w:left="180"/>
              <w:spacing w:after="0"/>
              <w:rPr>
                <w:sz w:val="20"/>
                <w:szCs w:val="20"/>
                <w:color w:val="auto"/>
              </w:rPr>
            </w:pPr>
            <w:r>
              <w:rPr>
                <w:rFonts w:ascii="Arial" w:cs="Arial" w:eastAsia="Arial" w:hAnsi="Arial"/>
                <w:sz w:val="18"/>
                <w:szCs w:val="18"/>
                <w:i w:val="1"/>
                <w:iCs w:val="1"/>
                <w:color w:val="074A75"/>
              </w:rPr>
              <w:t>CMDC references those strategic priorities and the Firm’s compensation philosophy to assess OC members’</w:t>
            </w:r>
          </w:p>
        </w:tc>
        <w:tc>
          <w:tcPr>
            <w:tcW w:w="0" w:type="dxa"/>
            <w:vAlign w:val="bottom"/>
          </w:tcPr>
          <w:p>
            <w:pPr>
              <w:spacing w:after="0"/>
              <w:rPr>
                <w:sz w:val="1"/>
                <w:szCs w:val="1"/>
                <w:color w:val="auto"/>
              </w:rPr>
            </w:pPr>
          </w:p>
        </w:tc>
      </w:tr>
      <w:tr>
        <w:trPr>
          <w:trHeight w:val="237"/>
        </w:trPr>
        <w:tc>
          <w:tcPr>
            <w:tcW w:w="1440" w:type="dxa"/>
            <w:vAlign w:val="bottom"/>
            <w:shd w:val="clear" w:color="auto" w:fill="E7E7E8"/>
          </w:tcPr>
          <w:p>
            <w:pPr>
              <w:spacing w:after="0"/>
              <w:rPr>
                <w:sz w:val="20"/>
                <w:szCs w:val="20"/>
                <w:color w:val="auto"/>
              </w:rPr>
            </w:pPr>
          </w:p>
        </w:tc>
        <w:tc>
          <w:tcPr>
            <w:tcW w:w="9800" w:type="dxa"/>
            <w:vAlign w:val="bottom"/>
          </w:tcPr>
          <w:p>
            <w:pPr>
              <w:ind w:left="180"/>
              <w:spacing w:after="0"/>
              <w:rPr>
                <w:sz w:val="20"/>
                <w:szCs w:val="20"/>
                <w:color w:val="auto"/>
              </w:rPr>
            </w:pPr>
            <w:r>
              <w:rPr>
                <w:rFonts w:ascii="Arial" w:cs="Arial" w:eastAsia="Arial" w:hAnsi="Arial"/>
                <w:sz w:val="18"/>
                <w:szCs w:val="18"/>
                <w:i w:val="1"/>
                <w:iCs w:val="1"/>
                <w:color w:val="074A75"/>
              </w:rPr>
              <w:t>performance and to determine their respective total compensation levels and pay mix.</w:t>
            </w:r>
          </w:p>
        </w:tc>
        <w:tc>
          <w:tcPr>
            <w:tcW w:w="0" w:type="dxa"/>
            <w:vAlign w:val="bottom"/>
          </w:tcPr>
          <w:p>
            <w:pPr>
              <w:spacing w:after="0"/>
              <w:rPr>
                <w:sz w:val="1"/>
                <w:szCs w:val="1"/>
                <w:color w:val="auto"/>
              </w:rPr>
            </w:pPr>
          </w:p>
        </w:tc>
      </w:tr>
      <w:tr>
        <w:trPr>
          <w:trHeight w:val="360"/>
        </w:trPr>
        <w:tc>
          <w:tcPr>
            <w:tcW w:w="1440" w:type="dxa"/>
            <w:vAlign w:val="bottom"/>
            <w:shd w:val="clear" w:color="auto" w:fill="E7E7E8"/>
          </w:tcPr>
          <w:p>
            <w:pPr>
              <w:spacing w:after="0"/>
              <w:rPr>
                <w:sz w:val="24"/>
                <w:szCs w:val="24"/>
                <w:color w:val="auto"/>
              </w:rPr>
            </w:pPr>
          </w:p>
        </w:tc>
        <w:tc>
          <w:tcPr>
            <w:tcW w:w="9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9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EEEFEF"/>
          </w:tcPr>
          <w:p>
            <w:pPr>
              <w:spacing w:after="0"/>
              <w:rPr>
                <w:sz w:val="11"/>
                <w:szCs w:val="11"/>
                <w:color w:val="auto"/>
              </w:rPr>
            </w:pPr>
          </w:p>
        </w:tc>
        <w:tc>
          <w:tcPr>
            <w:tcW w:w="9800" w:type="dxa"/>
            <w:vAlign w:val="bottom"/>
            <w:shd w:val="clear" w:color="auto" w:fill="EEEF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2687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ind w:left="280"/>
        <w:spacing w:after="0"/>
        <w:rPr>
          <w:sz w:val="20"/>
          <w:szCs w:val="20"/>
          <w:color w:val="auto"/>
        </w:rPr>
      </w:pPr>
      <w:r>
        <w:rPr>
          <w:rFonts w:ascii="Arial" w:cs="Arial" w:eastAsia="Arial" w:hAnsi="Arial"/>
          <w:sz w:val="29"/>
          <w:szCs w:val="29"/>
          <w:color w:val="074A75"/>
        </w:rPr>
        <w:t>Business Principles</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Firm’s Business Principles and culture are fundamental to our success in the way we do business over the long-term.</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0" w:type="dxa"/>
            <w:vAlign w:val="bottom"/>
          </w:tcPr>
          <w:p>
            <w:pPr>
              <w:spacing w:after="0"/>
              <w:rPr>
                <w:sz w:val="15"/>
                <w:szCs w:val="15"/>
                <w:color w:val="auto"/>
              </w:rPr>
            </w:pPr>
          </w:p>
        </w:tc>
        <w:tc>
          <w:tcPr>
            <w:tcW w:w="440" w:type="dxa"/>
            <w:vAlign w:val="bottom"/>
            <w:shd w:val="clear" w:color="auto" w:fill="EEEFEF"/>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440" w:type="dxa"/>
            <w:vAlign w:val="bottom"/>
            <w:shd w:val="clear" w:color="auto" w:fill="EEEFEF"/>
          </w:tcPr>
          <w:p>
            <w:pPr>
              <w:spacing w:after="0"/>
              <w:rPr>
                <w:sz w:val="19"/>
                <w:szCs w:val="1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8"/>
              </w:rPr>
              <w:t>Exceptional</w:t>
            </w:r>
          </w:p>
        </w:tc>
        <w:tc>
          <w:tcPr>
            <w:tcW w:w="180" w:type="dxa"/>
            <w:vAlign w:val="bottom"/>
            <w:shd w:val="clear" w:color="auto" w:fill="EEEFEF"/>
          </w:tcPr>
          <w:p>
            <w:pPr>
              <w:spacing w:after="0"/>
              <w:rPr>
                <w:sz w:val="19"/>
                <w:szCs w:val="19"/>
                <w:color w:val="auto"/>
              </w:rPr>
            </w:pPr>
          </w:p>
        </w:tc>
        <w:tc>
          <w:tcPr>
            <w:tcW w:w="2320" w:type="dxa"/>
            <w:vAlign w:val="bottom"/>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A Commitment to</w:t>
            </w:r>
          </w:p>
        </w:tc>
        <w:tc>
          <w:tcPr>
            <w:tcW w:w="180" w:type="dxa"/>
            <w:vAlign w:val="bottom"/>
            <w:shd w:val="clear" w:color="auto" w:fill="EEEFEF"/>
          </w:tcPr>
          <w:p>
            <w:pPr>
              <w:spacing w:after="0"/>
              <w:rPr>
                <w:sz w:val="19"/>
                <w:szCs w:val="19"/>
                <w:color w:val="auto"/>
              </w:rPr>
            </w:pPr>
          </w:p>
        </w:tc>
        <w:tc>
          <w:tcPr>
            <w:tcW w:w="234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Operational</w:t>
            </w:r>
          </w:p>
        </w:tc>
        <w:tc>
          <w:tcPr>
            <w:tcW w:w="180" w:type="dxa"/>
            <w:vAlign w:val="bottom"/>
            <w:shd w:val="clear" w:color="auto" w:fill="EEEFEF"/>
          </w:tcPr>
          <w:p>
            <w:pPr>
              <w:spacing w:after="0"/>
              <w:rPr>
                <w:sz w:val="19"/>
                <w:szCs w:val="19"/>
                <w:color w:val="auto"/>
              </w:rPr>
            </w:pPr>
          </w:p>
        </w:tc>
        <w:tc>
          <w:tcPr>
            <w:tcW w:w="2380" w:type="dxa"/>
            <w:vAlign w:val="bottom"/>
            <w:vMerge w:val="restart"/>
            <w:shd w:val="clear" w:color="auto" w:fill="074A75"/>
          </w:tcPr>
          <w:p>
            <w:pPr>
              <w:ind w:left="520"/>
              <w:spacing w:after="0"/>
              <w:rPr>
                <w:sz w:val="20"/>
                <w:szCs w:val="20"/>
                <w:color w:val="auto"/>
              </w:rPr>
            </w:pPr>
            <w:r>
              <w:rPr>
                <w:rFonts w:ascii="Arial" w:cs="Arial" w:eastAsia="Arial" w:hAnsi="Arial"/>
                <w:sz w:val="18"/>
                <w:szCs w:val="18"/>
                <w:b w:val="1"/>
                <w:bCs w:val="1"/>
                <w:color w:val="FFFFFF"/>
              </w:rPr>
              <w:t>Great Team and</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shd w:val="clear" w:color="auto" w:fill="EEEFEF"/>
          </w:tcPr>
          <w:p>
            <w:pPr>
              <w:spacing w:after="0"/>
              <w:rPr>
                <w:sz w:val="9"/>
                <w:szCs w:val="9"/>
                <w:color w:val="auto"/>
              </w:rPr>
            </w:pPr>
          </w:p>
        </w:tc>
        <w:tc>
          <w:tcPr>
            <w:tcW w:w="232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Integrity, Fairness</w:t>
            </w:r>
          </w:p>
        </w:tc>
        <w:tc>
          <w:tcPr>
            <w:tcW w:w="180" w:type="dxa"/>
            <w:vAlign w:val="bottom"/>
            <w:shd w:val="clear" w:color="auto" w:fill="EEEFEF"/>
          </w:tcPr>
          <w:p>
            <w:pPr>
              <w:spacing w:after="0"/>
              <w:rPr>
                <w:sz w:val="9"/>
                <w:szCs w:val="9"/>
                <w:color w:val="auto"/>
              </w:rPr>
            </w:pPr>
          </w:p>
        </w:tc>
        <w:tc>
          <w:tcPr>
            <w:tcW w:w="234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80" w:type="dxa"/>
            <w:vAlign w:val="bottom"/>
            <w:vMerge w:val="continue"/>
            <w:shd w:val="clear" w:color="auto" w:fill="074A75"/>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shd w:val="clear" w:color="auto" w:fill="EEEFEF"/>
          </w:tcPr>
          <w:p>
            <w:pPr>
              <w:spacing w:after="0"/>
              <w:rPr>
                <w:sz w:val="9"/>
                <w:szCs w:val="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rPr>
              <w:t>Client Service</w:t>
            </w:r>
          </w:p>
        </w:tc>
        <w:tc>
          <w:tcPr>
            <w:tcW w:w="180" w:type="dxa"/>
            <w:vAlign w:val="bottom"/>
            <w:shd w:val="clear" w:color="auto" w:fill="EEEFEF"/>
          </w:tcPr>
          <w:p>
            <w:pPr>
              <w:spacing w:after="0"/>
              <w:rPr>
                <w:sz w:val="9"/>
                <w:szCs w:val="9"/>
                <w:color w:val="auto"/>
              </w:rPr>
            </w:pPr>
          </w:p>
        </w:tc>
        <w:tc>
          <w:tcPr>
            <w:tcW w:w="232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4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rPr>
              <w:t>Excellence</w:t>
            </w:r>
          </w:p>
        </w:tc>
        <w:tc>
          <w:tcPr>
            <w:tcW w:w="180" w:type="dxa"/>
            <w:vAlign w:val="bottom"/>
            <w:shd w:val="clear" w:color="auto" w:fill="EEEFEF"/>
          </w:tcPr>
          <w:p>
            <w:pPr>
              <w:spacing w:after="0"/>
              <w:rPr>
                <w:sz w:val="9"/>
                <w:szCs w:val="9"/>
                <w:color w:val="auto"/>
              </w:rPr>
            </w:pPr>
          </w:p>
        </w:tc>
        <w:tc>
          <w:tcPr>
            <w:tcW w:w="2380" w:type="dxa"/>
            <w:vAlign w:val="bottom"/>
            <w:vMerge w:val="restart"/>
            <w:shd w:val="clear" w:color="auto" w:fill="074A75"/>
          </w:tcPr>
          <w:p>
            <w:pPr>
              <w:ind w:left="500"/>
              <w:spacing w:after="0"/>
              <w:rPr>
                <w:sz w:val="20"/>
                <w:szCs w:val="20"/>
                <w:color w:val="auto"/>
              </w:rPr>
            </w:pPr>
            <w:r>
              <w:rPr>
                <w:rFonts w:ascii="Arial" w:cs="Arial" w:eastAsia="Arial" w:hAnsi="Arial"/>
                <w:sz w:val="18"/>
                <w:szCs w:val="18"/>
                <w:b w:val="1"/>
                <w:bCs w:val="1"/>
                <w:color w:val="FFFFFF"/>
              </w:rPr>
              <w:t>Winning Culture</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440" w:type="dxa"/>
            <w:vAlign w:val="bottom"/>
            <w:shd w:val="clear" w:color="auto" w:fill="EEEFEF"/>
          </w:tcPr>
          <w:p>
            <w:pPr>
              <w:spacing w:after="0"/>
              <w:rPr>
                <w:sz w:val="12"/>
                <w:szCs w:val="12"/>
                <w:color w:val="auto"/>
              </w:rPr>
            </w:pPr>
          </w:p>
        </w:tc>
        <w:tc>
          <w:tcPr>
            <w:tcW w:w="2320" w:type="dxa"/>
            <w:vAlign w:val="bottom"/>
            <w:vMerge w:val="continue"/>
            <w:shd w:val="clear" w:color="auto" w:fill="074A75"/>
          </w:tcPr>
          <w:p>
            <w:pPr>
              <w:spacing w:after="0"/>
              <w:rPr>
                <w:sz w:val="12"/>
                <w:szCs w:val="12"/>
                <w:color w:val="auto"/>
              </w:rPr>
            </w:pPr>
          </w:p>
        </w:tc>
        <w:tc>
          <w:tcPr>
            <w:tcW w:w="180" w:type="dxa"/>
            <w:vAlign w:val="bottom"/>
            <w:shd w:val="clear" w:color="auto" w:fill="EEEFEF"/>
          </w:tcPr>
          <w:p>
            <w:pPr>
              <w:spacing w:after="0"/>
              <w:rPr>
                <w:sz w:val="12"/>
                <w:szCs w:val="12"/>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and Responsibility</w:t>
            </w:r>
          </w:p>
        </w:tc>
        <w:tc>
          <w:tcPr>
            <w:tcW w:w="180" w:type="dxa"/>
            <w:vAlign w:val="bottom"/>
            <w:shd w:val="clear" w:color="auto" w:fill="EEEFEF"/>
          </w:tcPr>
          <w:p>
            <w:pPr>
              <w:spacing w:after="0"/>
              <w:rPr>
                <w:sz w:val="12"/>
                <w:szCs w:val="12"/>
                <w:color w:val="auto"/>
              </w:rPr>
            </w:pPr>
          </w:p>
        </w:tc>
        <w:tc>
          <w:tcPr>
            <w:tcW w:w="2340" w:type="dxa"/>
            <w:vAlign w:val="bottom"/>
            <w:vMerge w:val="continue"/>
            <w:shd w:val="clear" w:color="auto" w:fill="074A75"/>
          </w:tcPr>
          <w:p>
            <w:pPr>
              <w:spacing w:after="0"/>
              <w:rPr>
                <w:sz w:val="12"/>
                <w:szCs w:val="12"/>
                <w:color w:val="auto"/>
              </w:rPr>
            </w:pPr>
          </w:p>
        </w:tc>
        <w:tc>
          <w:tcPr>
            <w:tcW w:w="180" w:type="dxa"/>
            <w:vAlign w:val="bottom"/>
            <w:shd w:val="clear" w:color="auto" w:fill="EEEFEF"/>
          </w:tcPr>
          <w:p>
            <w:pPr>
              <w:spacing w:after="0"/>
              <w:rPr>
                <w:sz w:val="12"/>
                <w:szCs w:val="12"/>
                <w:color w:val="auto"/>
              </w:rPr>
            </w:pPr>
          </w:p>
        </w:tc>
        <w:tc>
          <w:tcPr>
            <w:tcW w:w="2380" w:type="dxa"/>
            <w:vAlign w:val="bottom"/>
            <w:vMerge w:val="continue"/>
            <w:shd w:val="clear" w:color="auto" w:fill="074A75"/>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440" w:type="dxa"/>
            <w:vAlign w:val="bottom"/>
            <w:shd w:val="clear" w:color="auto" w:fill="EEEFEF"/>
          </w:tcPr>
          <w:p>
            <w:pPr>
              <w:spacing w:after="0"/>
              <w:rPr>
                <w:sz w:val="10"/>
                <w:szCs w:val="10"/>
                <w:color w:val="auto"/>
              </w:rPr>
            </w:pPr>
          </w:p>
        </w:tc>
        <w:tc>
          <w:tcPr>
            <w:tcW w:w="2320" w:type="dxa"/>
            <w:vAlign w:val="bottom"/>
            <w:shd w:val="clear" w:color="auto" w:fill="074A75"/>
          </w:tcPr>
          <w:p>
            <w:pPr>
              <w:spacing w:after="0"/>
              <w:rPr>
                <w:sz w:val="10"/>
                <w:szCs w:val="10"/>
                <w:color w:val="auto"/>
              </w:rPr>
            </w:pPr>
          </w:p>
        </w:tc>
        <w:tc>
          <w:tcPr>
            <w:tcW w:w="180" w:type="dxa"/>
            <w:vAlign w:val="bottom"/>
            <w:shd w:val="clear" w:color="auto" w:fill="EEEFEF"/>
          </w:tcPr>
          <w:p>
            <w:pPr>
              <w:spacing w:after="0"/>
              <w:rPr>
                <w:sz w:val="10"/>
                <w:szCs w:val="10"/>
                <w:color w:val="auto"/>
              </w:rPr>
            </w:pPr>
          </w:p>
        </w:tc>
        <w:tc>
          <w:tcPr>
            <w:tcW w:w="2320" w:type="dxa"/>
            <w:vAlign w:val="bottom"/>
            <w:vMerge w:val="continue"/>
            <w:shd w:val="clear" w:color="auto" w:fill="074A75"/>
          </w:tcPr>
          <w:p>
            <w:pPr>
              <w:spacing w:after="0"/>
              <w:rPr>
                <w:sz w:val="10"/>
                <w:szCs w:val="10"/>
                <w:color w:val="auto"/>
              </w:rPr>
            </w:pPr>
          </w:p>
        </w:tc>
        <w:tc>
          <w:tcPr>
            <w:tcW w:w="180" w:type="dxa"/>
            <w:vAlign w:val="bottom"/>
            <w:shd w:val="clear" w:color="auto" w:fill="EEEFEF"/>
          </w:tcPr>
          <w:p>
            <w:pPr>
              <w:spacing w:after="0"/>
              <w:rPr>
                <w:sz w:val="10"/>
                <w:szCs w:val="10"/>
                <w:color w:val="auto"/>
              </w:rPr>
            </w:pPr>
          </w:p>
        </w:tc>
        <w:tc>
          <w:tcPr>
            <w:tcW w:w="2340" w:type="dxa"/>
            <w:vAlign w:val="bottom"/>
            <w:shd w:val="clear" w:color="auto" w:fill="074A75"/>
          </w:tcPr>
          <w:p>
            <w:pPr>
              <w:spacing w:after="0"/>
              <w:rPr>
                <w:sz w:val="10"/>
                <w:szCs w:val="10"/>
                <w:color w:val="auto"/>
              </w:rPr>
            </w:pPr>
          </w:p>
        </w:tc>
        <w:tc>
          <w:tcPr>
            <w:tcW w:w="180" w:type="dxa"/>
            <w:vAlign w:val="bottom"/>
            <w:shd w:val="clear" w:color="auto" w:fill="EEEFEF"/>
          </w:tcPr>
          <w:p>
            <w:pPr>
              <w:spacing w:after="0"/>
              <w:rPr>
                <w:sz w:val="10"/>
                <w:szCs w:val="10"/>
                <w:color w:val="auto"/>
              </w:rPr>
            </w:pPr>
          </w:p>
        </w:tc>
        <w:tc>
          <w:tcPr>
            <w:tcW w:w="2380" w:type="dxa"/>
            <w:vAlign w:val="bottom"/>
            <w:shd w:val="clear" w:color="auto" w:fill="074A75"/>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4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80" w:type="dxa"/>
            <w:vAlign w:val="bottom"/>
            <w:shd w:val="clear" w:color="auto" w:fill="EEEFEF"/>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EEEFEF"/>
          </w:tcPr>
          <w:p>
            <w:pPr>
              <w:spacing w:after="0"/>
              <w:rPr>
                <w:sz w:val="11"/>
                <w:szCs w:val="11"/>
                <w:color w:val="auto"/>
              </w:rPr>
            </w:pPr>
          </w:p>
        </w:tc>
        <w:tc>
          <w:tcPr>
            <w:tcW w:w="44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80" w:type="dxa"/>
            <w:vAlign w:val="bottom"/>
            <w:shd w:val="clear" w:color="auto" w:fill="EEEFEF"/>
          </w:tcPr>
          <w:p>
            <w:pPr>
              <w:spacing w:after="0"/>
              <w:rPr>
                <w:sz w:val="11"/>
                <w:szCs w:val="11"/>
                <w:color w:val="auto"/>
              </w:rPr>
            </w:pPr>
          </w:p>
        </w:tc>
        <w:tc>
          <w:tcPr>
            <w:tcW w:w="640" w:type="dxa"/>
            <w:vAlign w:val="bottom"/>
            <w:shd w:val="clear" w:color="auto" w:fill="EEEF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49034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4903470"/>
                    </a:xfrm>
                    <a:prstGeom prst="rect">
                      <a:avLst/>
                    </a:prstGeom>
                    <a:noFill/>
                  </pic:spPr>
                </pic:pic>
              </a:graphicData>
            </a:graphic>
          </wp:anchor>
        </w:drawing>
      </w:r>
    </w:p>
    <w:p>
      <w:pPr>
        <w:ind w:left="300"/>
        <w:spacing w:after="0"/>
        <w:rPr>
          <w:sz w:val="20"/>
          <w:szCs w:val="20"/>
          <w:color w:val="auto"/>
        </w:rPr>
      </w:pPr>
      <w:r>
        <w:rPr>
          <w:rFonts w:ascii="Arial" w:cs="Arial" w:eastAsia="Arial" w:hAnsi="Arial"/>
          <w:sz w:val="29"/>
          <w:szCs w:val="29"/>
          <w:color w:val="074A75"/>
        </w:rPr>
        <w:t>Strategic Framework</w:t>
      </w:r>
    </w:p>
    <w:p>
      <w:pPr>
        <w:spacing w:after="0" w:line="255" w:lineRule="exact"/>
        <w:rPr>
          <w:sz w:val="20"/>
          <w:szCs w:val="20"/>
          <w:color w:val="auto"/>
        </w:rPr>
      </w:pPr>
    </w:p>
    <w:p>
      <w:pPr>
        <w:ind w:left="300" w:right="920"/>
        <w:spacing w:after="0" w:line="287" w:lineRule="auto"/>
        <w:rPr>
          <w:sz w:val="20"/>
          <w:szCs w:val="20"/>
          <w:color w:val="auto"/>
        </w:rPr>
      </w:pPr>
      <w:r>
        <w:rPr>
          <w:rFonts w:ascii="Arial" w:cs="Arial" w:eastAsia="Arial" w:hAnsi="Arial"/>
          <w:sz w:val="18"/>
          <w:szCs w:val="18"/>
          <w:color w:val="auto"/>
        </w:rPr>
        <w:t>Guided by our Business Principles, our strategic framework provides holistic direction for the Firm and focuses on four primary strategic tenets:</w:t>
      </w:r>
    </w:p>
    <w:p>
      <w:pPr>
        <w:spacing w:after="0" w:line="18" w:lineRule="exact"/>
        <w:rPr>
          <w:sz w:val="20"/>
          <w:szCs w:val="20"/>
          <w:color w:val="auto"/>
        </w:rPr>
      </w:pPr>
    </w:p>
    <w:p>
      <w:pPr>
        <w:ind w:left="480" w:hanging="184"/>
        <w:spacing w:after="0"/>
        <w:tabs>
          <w:tab w:leader="none" w:pos="480" w:val="left"/>
        </w:tabs>
        <w:numPr>
          <w:ilvl w:val="0"/>
          <w:numId w:val="115"/>
        </w:numPr>
        <w:rPr>
          <w:rFonts w:ascii="Arial" w:cs="Arial" w:eastAsia="Arial" w:hAnsi="Arial"/>
          <w:sz w:val="16"/>
          <w:szCs w:val="16"/>
          <w:color w:val="074A75"/>
        </w:rPr>
      </w:pPr>
      <w:r>
        <w:rPr>
          <w:rFonts w:ascii="Arial" w:cs="Arial" w:eastAsia="Arial" w:hAnsi="Arial"/>
          <w:sz w:val="18"/>
          <w:szCs w:val="18"/>
          <w:color w:val="auto"/>
        </w:rPr>
        <w:t>Operating exceptional client franchises;</w:t>
      </w:r>
    </w:p>
    <w:p>
      <w:pPr>
        <w:spacing w:after="0" w:line="76" w:lineRule="exact"/>
        <w:rPr>
          <w:rFonts w:ascii="Arial" w:cs="Arial" w:eastAsia="Arial" w:hAnsi="Arial"/>
          <w:sz w:val="16"/>
          <w:szCs w:val="16"/>
          <w:color w:val="074A75"/>
        </w:rPr>
      </w:pPr>
    </w:p>
    <w:p>
      <w:pPr>
        <w:ind w:left="480" w:hanging="184"/>
        <w:spacing w:after="0"/>
        <w:tabs>
          <w:tab w:leader="none" w:pos="480" w:val="left"/>
        </w:tabs>
        <w:numPr>
          <w:ilvl w:val="0"/>
          <w:numId w:val="115"/>
        </w:numPr>
        <w:rPr>
          <w:rFonts w:ascii="Arial" w:cs="Arial" w:eastAsia="Arial" w:hAnsi="Arial"/>
          <w:sz w:val="16"/>
          <w:szCs w:val="16"/>
          <w:color w:val="074A75"/>
        </w:rPr>
      </w:pPr>
      <w:r>
        <w:rPr>
          <w:rFonts w:ascii="Arial" w:cs="Arial" w:eastAsia="Arial" w:hAnsi="Arial"/>
          <w:sz w:val="18"/>
          <w:szCs w:val="18"/>
          <w:color w:val="auto"/>
        </w:rPr>
        <w:t>Maintaining our unwavering principles;</w:t>
      </w:r>
    </w:p>
    <w:p>
      <w:pPr>
        <w:spacing w:after="0" w:line="76" w:lineRule="exact"/>
        <w:rPr>
          <w:rFonts w:ascii="Arial" w:cs="Arial" w:eastAsia="Arial" w:hAnsi="Arial"/>
          <w:sz w:val="16"/>
          <w:szCs w:val="16"/>
          <w:color w:val="074A75"/>
        </w:rPr>
      </w:pPr>
    </w:p>
    <w:p>
      <w:pPr>
        <w:ind w:left="480" w:hanging="184"/>
        <w:spacing w:after="0"/>
        <w:tabs>
          <w:tab w:leader="none" w:pos="480" w:val="left"/>
        </w:tabs>
        <w:numPr>
          <w:ilvl w:val="0"/>
          <w:numId w:val="115"/>
        </w:numPr>
        <w:rPr>
          <w:rFonts w:ascii="Arial" w:cs="Arial" w:eastAsia="Arial" w:hAnsi="Arial"/>
          <w:sz w:val="16"/>
          <w:szCs w:val="16"/>
          <w:color w:val="074A75"/>
        </w:rPr>
      </w:pPr>
      <w:r>
        <w:rPr>
          <w:rFonts w:ascii="Arial" w:cs="Arial" w:eastAsia="Arial" w:hAnsi="Arial"/>
          <w:sz w:val="18"/>
          <w:szCs w:val="18"/>
          <w:color w:val="auto"/>
        </w:rPr>
        <w:t>Adding long-term shareholder value; and</w:t>
      </w:r>
    </w:p>
    <w:p>
      <w:pPr>
        <w:spacing w:after="0" w:line="90" w:lineRule="exact"/>
        <w:rPr>
          <w:rFonts w:ascii="Arial" w:cs="Arial" w:eastAsia="Arial" w:hAnsi="Arial"/>
          <w:sz w:val="16"/>
          <w:szCs w:val="16"/>
          <w:color w:val="074A75"/>
        </w:rPr>
      </w:pPr>
    </w:p>
    <w:p>
      <w:pPr>
        <w:ind w:left="500" w:hanging="204"/>
        <w:spacing w:after="0"/>
        <w:tabs>
          <w:tab w:leader="none" w:pos="500" w:val="left"/>
        </w:tabs>
        <w:numPr>
          <w:ilvl w:val="0"/>
          <w:numId w:val="115"/>
        </w:numPr>
        <w:rPr>
          <w:rFonts w:ascii="Arial" w:cs="Arial" w:eastAsia="Arial" w:hAnsi="Arial"/>
          <w:sz w:val="18"/>
          <w:szCs w:val="18"/>
          <w:color w:val="00497F"/>
        </w:rPr>
      </w:pPr>
      <w:r>
        <w:rPr>
          <w:rFonts w:ascii="Arial" w:cs="Arial" w:eastAsia="Arial" w:hAnsi="Arial"/>
          <w:sz w:val="18"/>
          <w:szCs w:val="18"/>
          <w:color w:val="auto"/>
        </w:rPr>
        <w:t>Promoting sustainable business practices</w:t>
      </w:r>
    </w:p>
    <w:p>
      <w:pPr>
        <w:spacing w:after="0" w:line="117" w:lineRule="exact"/>
        <w:rPr>
          <w:sz w:val="20"/>
          <w:szCs w:val="20"/>
          <w:color w:val="auto"/>
        </w:rPr>
      </w:pPr>
    </w:p>
    <w:p>
      <w:pPr>
        <w:ind w:left="300" w:right="440"/>
        <w:spacing w:after="0" w:line="259" w:lineRule="auto"/>
        <w:rPr>
          <w:sz w:val="20"/>
          <w:szCs w:val="20"/>
          <w:color w:val="auto"/>
        </w:rPr>
      </w:pPr>
      <w:r>
        <w:rPr>
          <w:rFonts w:ascii="Arial" w:cs="Arial" w:eastAsia="Arial" w:hAnsi="Arial"/>
          <w:sz w:val="18"/>
          <w:szCs w:val="18"/>
          <w:color w:val="auto"/>
        </w:rPr>
        <w:t>Each year, the Operating Committee reviews the strategic framework to consider enhancements to the framework and its underlying tenets and priorities, and to adapt to changes in the competitive and market landscape if necessary, by considering the Firm’s strengths and challenges and the Firm’s performance over the prior year. In 2021, the CMDC approved the Firm’s updated strategic framework, which added a Sustainable Business Practices tenet and expanded the Unwavering Principles tenet, as the priorities of the CEO, including the 15 strategic priorities listed in the chart below.</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304"/>
        </w:trPr>
        <w:tc>
          <w:tcPr>
            <w:tcW w:w="260" w:type="dxa"/>
            <w:vAlign w:val="bottom"/>
          </w:tcPr>
          <w:p>
            <w:pPr>
              <w:spacing w:after="0"/>
              <w:rPr>
                <w:sz w:val="24"/>
                <w:szCs w:val="24"/>
                <w:color w:val="auto"/>
              </w:rPr>
            </w:pPr>
          </w:p>
        </w:tc>
        <w:tc>
          <w:tcPr>
            <w:tcW w:w="1760" w:type="dxa"/>
            <w:vAlign w:val="bottom"/>
            <w:tcBorders>
              <w:bottom w:val="single" w:sz="8" w:color="3E693D"/>
            </w:tcBorders>
            <w:gridSpan w:val="2"/>
            <w:shd w:val="clear" w:color="auto" w:fill="3E693D"/>
          </w:tcPr>
          <w:p>
            <w:pPr>
              <w:jc w:val="center"/>
              <w:spacing w:after="0"/>
              <w:rPr>
                <w:sz w:val="20"/>
                <w:szCs w:val="20"/>
                <w:color w:val="auto"/>
              </w:rPr>
            </w:pPr>
            <w:r>
              <w:rPr>
                <w:rFonts w:ascii="Arial" w:cs="Arial" w:eastAsia="Arial" w:hAnsi="Arial"/>
                <w:sz w:val="18"/>
                <w:szCs w:val="18"/>
                <w:b w:val="1"/>
                <w:bCs w:val="1"/>
                <w:color w:val="FFFFFF"/>
                <w:w w:val="98"/>
              </w:rPr>
              <w:t>Exceptional</w:t>
            </w:r>
          </w:p>
        </w:tc>
        <w:tc>
          <w:tcPr>
            <w:tcW w:w="320" w:type="dxa"/>
            <w:vAlign w:val="bottom"/>
            <w:tcBorders>
              <w:bottom w:val="single" w:sz="8" w:color="3E693D"/>
            </w:tcBorders>
            <w:shd w:val="clear" w:color="auto" w:fill="EEEFEF"/>
          </w:tcPr>
          <w:p>
            <w:pPr>
              <w:spacing w:after="0"/>
              <w:rPr>
                <w:sz w:val="24"/>
                <w:szCs w:val="24"/>
                <w:color w:val="auto"/>
              </w:rPr>
            </w:pPr>
          </w:p>
        </w:tc>
        <w:tc>
          <w:tcPr>
            <w:tcW w:w="4400" w:type="dxa"/>
            <w:vAlign w:val="bottom"/>
            <w:gridSpan w:val="4"/>
          </w:tcPr>
          <w:p>
            <w:pPr>
              <w:ind w:left="2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b w:val="1"/>
                <w:bCs w:val="1"/>
                <w:color w:val="000000"/>
              </w:rPr>
              <w:t>Customer centric</w:t>
            </w:r>
            <w:r>
              <w:rPr>
                <w:rFonts w:ascii="Arial" w:cs="Arial" w:eastAsia="Arial" w:hAnsi="Arial"/>
                <w:sz w:val="18"/>
                <w:szCs w:val="18"/>
                <w:color w:val="064A75"/>
              </w:rPr>
              <w:t xml:space="preserve"> </w:t>
            </w:r>
            <w:r>
              <w:rPr>
                <w:rFonts w:ascii="Arial" w:cs="Arial" w:eastAsia="Arial" w:hAnsi="Arial"/>
                <w:sz w:val="18"/>
                <w:szCs w:val="18"/>
                <w:color w:val="000000"/>
              </w:rPr>
              <w:t>and</w:t>
            </w:r>
            <w:r>
              <w:rPr>
                <w:rFonts w:ascii="Arial" w:cs="Arial" w:eastAsia="Arial" w:hAnsi="Arial"/>
                <w:sz w:val="18"/>
                <w:szCs w:val="18"/>
                <w:color w:val="064A75"/>
              </w:rPr>
              <w:t xml:space="preserve"> </w:t>
            </w:r>
            <w:r>
              <w:rPr>
                <w:rFonts w:ascii="Arial" w:cs="Arial" w:eastAsia="Arial" w:hAnsi="Arial"/>
                <w:sz w:val="18"/>
                <w:szCs w:val="18"/>
                <w:b w:val="1"/>
                <w:bCs w:val="1"/>
                <w:color w:val="000000"/>
              </w:rPr>
              <w:t>easy to do business with</w:t>
            </w:r>
            <w:r>
              <w:rPr>
                <w:rFonts w:ascii="Arial" w:cs="Arial" w:eastAsia="Arial" w:hAnsi="Arial"/>
                <w:sz w:val="18"/>
                <w:szCs w:val="18"/>
                <w:color w:val="064A75"/>
              </w:rPr>
              <w:t xml:space="preserve"> •</w:t>
            </w:r>
          </w:p>
        </w:tc>
        <w:tc>
          <w:tcPr>
            <w:tcW w:w="2940" w:type="dxa"/>
            <w:vAlign w:val="bottom"/>
            <w:gridSpan w:val="2"/>
          </w:tcPr>
          <w:p>
            <w:pPr>
              <w:ind w:left="60"/>
              <w:spacing w:after="0"/>
              <w:rPr>
                <w:sz w:val="20"/>
                <w:szCs w:val="20"/>
                <w:color w:val="auto"/>
              </w:rPr>
            </w:pPr>
            <w:r>
              <w:rPr>
                <w:rFonts w:ascii="Arial" w:cs="Arial" w:eastAsia="Arial" w:hAnsi="Arial"/>
                <w:sz w:val="18"/>
                <w:szCs w:val="18"/>
                <w:color w:val="auto"/>
              </w:rPr>
              <w:t xml:space="preserve">Focus on </w:t>
            </w:r>
            <w:r>
              <w:rPr>
                <w:rFonts w:ascii="Arial" w:cs="Arial" w:eastAsia="Arial" w:hAnsi="Arial"/>
                <w:sz w:val="18"/>
                <w:szCs w:val="18"/>
                <w:b w:val="1"/>
                <w:bCs w:val="1"/>
                <w:color w:val="auto"/>
              </w:rPr>
              <w:t>safety</w:t>
            </w:r>
            <w:r>
              <w:rPr>
                <w:rFonts w:ascii="Arial" w:cs="Arial" w:eastAsia="Arial" w:hAnsi="Arial"/>
                <w:sz w:val="18"/>
                <w:szCs w:val="18"/>
                <w:color w:val="auto"/>
              </w:rPr>
              <w:t xml:space="preserve"> and </w:t>
            </w:r>
            <w:r>
              <w:rPr>
                <w:rFonts w:ascii="Arial" w:cs="Arial" w:eastAsia="Arial" w:hAnsi="Arial"/>
                <w:sz w:val="18"/>
                <w:szCs w:val="18"/>
                <w:b w:val="1"/>
                <w:bCs w:val="1"/>
                <w:color w:val="auto"/>
              </w:rPr>
              <w:t>security</w:t>
            </w:r>
          </w:p>
        </w:tc>
        <w:tc>
          <w:tcPr>
            <w:tcW w:w="1220" w:type="dxa"/>
            <w:vAlign w:val="bottom"/>
            <w:tcBorders>
              <w:bottom w:val="single" w:sz="8" w:color="EEEFEF"/>
            </w:tcBorders>
            <w:shd w:val="clear" w:color="auto" w:fill="EEEFEF"/>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1760" w:type="dxa"/>
            <w:vAlign w:val="bottom"/>
            <w:gridSpan w:val="2"/>
            <w:shd w:val="clear" w:color="auto" w:fill="3E693D"/>
          </w:tcPr>
          <w:p>
            <w:pPr>
              <w:jc w:val="center"/>
              <w:ind w:right="20"/>
              <w:spacing w:after="0"/>
              <w:rPr>
                <w:sz w:val="20"/>
                <w:szCs w:val="20"/>
                <w:color w:val="auto"/>
              </w:rPr>
            </w:pPr>
            <w:r>
              <w:rPr>
                <w:rFonts w:ascii="Arial" w:cs="Arial" w:eastAsia="Arial" w:hAnsi="Arial"/>
                <w:sz w:val="18"/>
                <w:szCs w:val="18"/>
                <w:b w:val="1"/>
                <w:bCs w:val="1"/>
                <w:color w:val="FFFFFF"/>
                <w:w w:val="99"/>
              </w:rPr>
              <w:t>Client Franchises</w:t>
            </w:r>
          </w:p>
        </w:tc>
        <w:tc>
          <w:tcPr>
            <w:tcW w:w="320" w:type="dxa"/>
            <w:vAlign w:val="bottom"/>
            <w:shd w:val="clear" w:color="auto" w:fill="EEEFEF"/>
          </w:tcPr>
          <w:p>
            <w:pPr>
              <w:spacing w:after="0"/>
              <w:rPr>
                <w:sz w:val="19"/>
                <w:szCs w:val="19"/>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b w:val="1"/>
                <w:bCs w:val="1"/>
                <w:color w:val="000000"/>
              </w:rPr>
              <w:t>Comprehensive</w:t>
            </w:r>
            <w:r>
              <w:rPr>
                <w:rFonts w:ascii="Arial" w:cs="Arial" w:eastAsia="Arial" w:hAnsi="Arial"/>
                <w:sz w:val="18"/>
                <w:szCs w:val="18"/>
                <w:color w:val="064A75"/>
              </w:rPr>
              <w:t xml:space="preserve"> </w:t>
            </w:r>
            <w:r>
              <w:rPr>
                <w:rFonts w:ascii="Arial" w:cs="Arial" w:eastAsia="Arial" w:hAnsi="Arial"/>
                <w:sz w:val="18"/>
                <w:szCs w:val="18"/>
                <w:color w:val="000000"/>
              </w:rPr>
              <w:t>set of products and services</w:t>
            </w:r>
          </w:p>
        </w:tc>
        <w:tc>
          <w:tcPr>
            <w:tcW w:w="200" w:type="dxa"/>
            <w:vAlign w:val="bottom"/>
          </w:tcPr>
          <w:p>
            <w:pPr>
              <w:ind w:left="60"/>
              <w:spacing w:after="0"/>
              <w:rPr>
                <w:sz w:val="20"/>
                <w:szCs w:val="20"/>
                <w:color w:val="auto"/>
              </w:rPr>
            </w:pPr>
            <w:r>
              <w:rPr>
                <w:rFonts w:ascii="Arial" w:cs="Arial" w:eastAsia="Arial" w:hAnsi="Arial"/>
                <w:sz w:val="18"/>
                <w:szCs w:val="18"/>
                <w:color w:val="064A75"/>
              </w:rPr>
              <w:t>•</w:t>
            </w:r>
          </w:p>
        </w:tc>
        <w:tc>
          <w:tcPr>
            <w:tcW w:w="2940" w:type="dxa"/>
            <w:vAlign w:val="bottom"/>
            <w:gridSpan w:val="2"/>
          </w:tcPr>
          <w:p>
            <w:pPr>
              <w:ind w:left="60"/>
              <w:spacing w:after="0"/>
              <w:rPr>
                <w:sz w:val="20"/>
                <w:szCs w:val="20"/>
                <w:color w:val="auto"/>
              </w:rPr>
            </w:pPr>
            <w:r>
              <w:rPr>
                <w:rFonts w:ascii="Arial" w:cs="Arial" w:eastAsia="Arial" w:hAnsi="Arial"/>
                <w:sz w:val="18"/>
                <w:szCs w:val="18"/>
                <w:b w:val="1"/>
                <w:bCs w:val="1"/>
                <w:color w:val="auto"/>
              </w:rPr>
              <w:t>Powerful brands</w:t>
            </w:r>
          </w:p>
        </w:tc>
        <w:tc>
          <w:tcPr>
            <w:tcW w:w="1220" w:type="dxa"/>
            <w:vAlign w:val="bottom"/>
            <w:shd w:val="clear" w:color="auto" w:fill="EEEFE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60" w:type="dxa"/>
            <w:vAlign w:val="bottom"/>
          </w:tcPr>
          <w:p>
            <w:pPr>
              <w:spacing w:after="0"/>
              <w:rPr>
                <w:sz w:val="7"/>
                <w:szCs w:val="7"/>
                <w:color w:val="auto"/>
              </w:rPr>
            </w:pPr>
          </w:p>
        </w:tc>
        <w:tc>
          <w:tcPr>
            <w:tcW w:w="1660" w:type="dxa"/>
            <w:vAlign w:val="bottom"/>
            <w:tcBorders>
              <w:bottom w:val="single" w:sz="8" w:color="3E693D"/>
            </w:tcBorders>
            <w:shd w:val="clear" w:color="auto" w:fill="3E693D"/>
          </w:tcPr>
          <w:p>
            <w:pPr>
              <w:spacing w:after="0"/>
              <w:rPr>
                <w:sz w:val="7"/>
                <w:szCs w:val="7"/>
                <w:color w:val="auto"/>
              </w:rPr>
            </w:pPr>
          </w:p>
        </w:tc>
        <w:tc>
          <w:tcPr>
            <w:tcW w:w="100" w:type="dxa"/>
            <w:vAlign w:val="bottom"/>
            <w:tcBorders>
              <w:bottom w:val="single" w:sz="8" w:color="3E693D"/>
            </w:tcBorders>
            <w:shd w:val="clear" w:color="auto" w:fill="3E693D"/>
          </w:tcPr>
          <w:p>
            <w:pPr>
              <w:spacing w:after="0"/>
              <w:rPr>
                <w:sz w:val="7"/>
                <w:szCs w:val="7"/>
                <w:color w:val="auto"/>
              </w:rPr>
            </w:pPr>
          </w:p>
        </w:tc>
        <w:tc>
          <w:tcPr>
            <w:tcW w:w="320" w:type="dxa"/>
            <w:vAlign w:val="bottom"/>
            <w:tcBorders>
              <w:bottom w:val="single" w:sz="8" w:color="EEEFEF"/>
            </w:tcBorders>
            <w:shd w:val="clear" w:color="auto" w:fill="EEEFEF"/>
          </w:tcPr>
          <w:p>
            <w:pPr>
              <w:spacing w:after="0"/>
              <w:rPr>
                <w:sz w:val="7"/>
                <w:szCs w:val="7"/>
                <w:color w:val="auto"/>
              </w:rPr>
            </w:pPr>
          </w:p>
        </w:tc>
        <w:tc>
          <w:tcPr>
            <w:tcW w:w="3060" w:type="dxa"/>
            <w:vAlign w:val="bottom"/>
            <w:tcBorders>
              <w:bottom w:val="single" w:sz="8" w:color="EEEFEF"/>
            </w:tcBorders>
          </w:tcPr>
          <w:p>
            <w:pPr>
              <w:spacing w:after="0"/>
              <w:rPr>
                <w:sz w:val="7"/>
                <w:szCs w:val="7"/>
                <w:color w:val="auto"/>
              </w:rPr>
            </w:pPr>
          </w:p>
        </w:tc>
        <w:tc>
          <w:tcPr>
            <w:tcW w:w="420" w:type="dxa"/>
            <w:vAlign w:val="bottom"/>
            <w:tcBorders>
              <w:bottom w:val="single" w:sz="8" w:color="EEEFEF"/>
            </w:tcBorders>
          </w:tcPr>
          <w:p>
            <w:pPr>
              <w:spacing w:after="0"/>
              <w:rPr>
                <w:sz w:val="7"/>
                <w:szCs w:val="7"/>
                <w:color w:val="auto"/>
              </w:rPr>
            </w:pPr>
          </w:p>
        </w:tc>
        <w:tc>
          <w:tcPr>
            <w:tcW w:w="720" w:type="dxa"/>
            <w:vAlign w:val="bottom"/>
            <w:tcBorders>
              <w:bottom w:val="single" w:sz="8" w:color="EEEFEF"/>
            </w:tcBorders>
          </w:tcPr>
          <w:p>
            <w:pPr>
              <w:spacing w:after="0"/>
              <w:rPr>
                <w:sz w:val="7"/>
                <w:szCs w:val="7"/>
                <w:color w:val="auto"/>
              </w:rPr>
            </w:pPr>
          </w:p>
        </w:tc>
        <w:tc>
          <w:tcPr>
            <w:tcW w:w="200" w:type="dxa"/>
            <w:vAlign w:val="bottom"/>
            <w:tcBorders>
              <w:bottom w:val="single" w:sz="8" w:color="EEEFEF"/>
            </w:tcBorders>
          </w:tcPr>
          <w:p>
            <w:pPr>
              <w:spacing w:after="0"/>
              <w:rPr>
                <w:sz w:val="7"/>
                <w:szCs w:val="7"/>
                <w:color w:val="auto"/>
              </w:rPr>
            </w:pPr>
          </w:p>
        </w:tc>
        <w:tc>
          <w:tcPr>
            <w:tcW w:w="2540" w:type="dxa"/>
            <w:vAlign w:val="bottom"/>
            <w:tcBorders>
              <w:bottom w:val="single" w:sz="8" w:color="EEEFEF"/>
            </w:tcBorders>
          </w:tcPr>
          <w:p>
            <w:pPr>
              <w:spacing w:after="0"/>
              <w:rPr>
                <w:sz w:val="7"/>
                <w:szCs w:val="7"/>
                <w:color w:val="auto"/>
              </w:rPr>
            </w:pPr>
          </w:p>
        </w:tc>
        <w:tc>
          <w:tcPr>
            <w:tcW w:w="400" w:type="dxa"/>
            <w:vAlign w:val="bottom"/>
            <w:tcBorders>
              <w:bottom w:val="single" w:sz="8" w:color="EEEFEF"/>
            </w:tcBorders>
          </w:tcPr>
          <w:p>
            <w:pPr>
              <w:spacing w:after="0"/>
              <w:rPr>
                <w:sz w:val="7"/>
                <w:szCs w:val="7"/>
                <w:color w:val="auto"/>
              </w:rPr>
            </w:pPr>
          </w:p>
        </w:tc>
        <w:tc>
          <w:tcPr>
            <w:tcW w:w="1220" w:type="dxa"/>
            <w:vAlign w:val="bottom"/>
            <w:tcBorders>
              <w:bottom w:val="single" w:sz="8" w:color="EEEFEF"/>
            </w:tcBorders>
            <w:shd w:val="clear" w:color="auto" w:fill="EEEFEF"/>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1660" w:type="dxa"/>
            <w:vAlign w:val="bottom"/>
            <w:shd w:val="clear" w:color="auto" w:fill="EEEFEF"/>
          </w:tcPr>
          <w:p>
            <w:pPr>
              <w:spacing w:after="0"/>
              <w:rPr>
                <w:sz w:val="11"/>
                <w:szCs w:val="11"/>
                <w:color w:val="auto"/>
              </w:rPr>
            </w:pPr>
          </w:p>
        </w:tc>
        <w:tc>
          <w:tcPr>
            <w:tcW w:w="100" w:type="dxa"/>
            <w:vAlign w:val="bottom"/>
            <w:shd w:val="clear" w:color="auto" w:fill="EEEFEF"/>
          </w:tcPr>
          <w:p>
            <w:pPr>
              <w:spacing w:after="0"/>
              <w:rPr>
                <w:sz w:val="11"/>
                <w:szCs w:val="11"/>
                <w:color w:val="auto"/>
              </w:rPr>
            </w:pPr>
          </w:p>
        </w:tc>
        <w:tc>
          <w:tcPr>
            <w:tcW w:w="320" w:type="dxa"/>
            <w:vAlign w:val="bottom"/>
            <w:shd w:val="clear" w:color="auto" w:fill="EEEFEF"/>
          </w:tcPr>
          <w:p>
            <w:pPr>
              <w:spacing w:after="0"/>
              <w:rPr>
                <w:sz w:val="11"/>
                <w:szCs w:val="11"/>
                <w:color w:val="auto"/>
              </w:rPr>
            </w:pPr>
          </w:p>
        </w:tc>
        <w:tc>
          <w:tcPr>
            <w:tcW w:w="3060" w:type="dxa"/>
            <w:vAlign w:val="bottom"/>
            <w:tcBorders>
              <w:right w:val="single" w:sz="8" w:color="EEEFEF"/>
            </w:tcBorders>
            <w:shd w:val="clear" w:color="auto" w:fill="EEEFEF"/>
          </w:tcPr>
          <w:p>
            <w:pPr>
              <w:spacing w:after="0"/>
              <w:rPr>
                <w:sz w:val="11"/>
                <w:szCs w:val="11"/>
                <w:color w:val="auto"/>
              </w:rPr>
            </w:pPr>
          </w:p>
        </w:tc>
        <w:tc>
          <w:tcPr>
            <w:tcW w:w="420" w:type="dxa"/>
            <w:vAlign w:val="bottom"/>
            <w:tcBorders>
              <w:right w:val="single" w:sz="8" w:color="EEEFEF"/>
            </w:tcBorders>
            <w:shd w:val="clear" w:color="auto" w:fill="EEEFEF"/>
          </w:tcPr>
          <w:p>
            <w:pPr>
              <w:spacing w:after="0"/>
              <w:rPr>
                <w:sz w:val="11"/>
                <w:szCs w:val="11"/>
                <w:color w:val="auto"/>
              </w:rPr>
            </w:pPr>
          </w:p>
        </w:tc>
        <w:tc>
          <w:tcPr>
            <w:tcW w:w="720" w:type="dxa"/>
            <w:vAlign w:val="bottom"/>
            <w:shd w:val="clear" w:color="auto" w:fill="EEEFEF"/>
          </w:tcPr>
          <w:p>
            <w:pPr>
              <w:spacing w:after="0"/>
              <w:rPr>
                <w:sz w:val="11"/>
                <w:szCs w:val="11"/>
                <w:color w:val="auto"/>
              </w:rPr>
            </w:pPr>
          </w:p>
        </w:tc>
        <w:tc>
          <w:tcPr>
            <w:tcW w:w="200" w:type="dxa"/>
            <w:vAlign w:val="bottom"/>
            <w:shd w:val="clear" w:color="auto" w:fill="EEEFEF"/>
          </w:tcPr>
          <w:p>
            <w:pPr>
              <w:spacing w:after="0"/>
              <w:rPr>
                <w:sz w:val="11"/>
                <w:szCs w:val="11"/>
                <w:color w:val="auto"/>
              </w:rPr>
            </w:pPr>
          </w:p>
        </w:tc>
        <w:tc>
          <w:tcPr>
            <w:tcW w:w="2540" w:type="dxa"/>
            <w:vAlign w:val="bottom"/>
            <w:shd w:val="clear" w:color="auto" w:fill="EEEFEF"/>
          </w:tcPr>
          <w:p>
            <w:pPr>
              <w:spacing w:after="0"/>
              <w:rPr>
                <w:sz w:val="11"/>
                <w:szCs w:val="11"/>
                <w:color w:val="auto"/>
              </w:rPr>
            </w:pPr>
          </w:p>
        </w:tc>
        <w:tc>
          <w:tcPr>
            <w:tcW w:w="400" w:type="dxa"/>
            <w:vAlign w:val="bottom"/>
            <w:shd w:val="clear" w:color="auto" w:fill="EEEFEF"/>
          </w:tcPr>
          <w:p>
            <w:pPr>
              <w:spacing w:after="0"/>
              <w:rPr>
                <w:sz w:val="11"/>
                <w:szCs w:val="11"/>
                <w:color w:val="auto"/>
              </w:rPr>
            </w:pPr>
          </w:p>
        </w:tc>
        <w:tc>
          <w:tcPr>
            <w:tcW w:w="1220" w:type="dxa"/>
            <w:vAlign w:val="bottom"/>
            <w:shd w:val="clear" w:color="auto" w:fill="EEEFEF"/>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760" w:type="dxa"/>
            <w:vAlign w:val="bottom"/>
            <w:gridSpan w:val="2"/>
            <w:shd w:val="clear" w:color="auto" w:fill="3E693D"/>
          </w:tcPr>
          <w:p>
            <w:pPr>
              <w:jc w:val="center"/>
              <w:ind w:right="20"/>
              <w:spacing w:after="0"/>
              <w:rPr>
                <w:sz w:val="20"/>
                <w:szCs w:val="20"/>
                <w:color w:val="auto"/>
              </w:rPr>
            </w:pPr>
            <w:r>
              <w:rPr>
                <w:rFonts w:ascii="Arial" w:cs="Arial" w:eastAsia="Arial" w:hAnsi="Arial"/>
                <w:sz w:val="18"/>
                <w:szCs w:val="18"/>
                <w:b w:val="1"/>
                <w:bCs w:val="1"/>
                <w:color w:val="FFFFFF"/>
                <w:w w:val="99"/>
              </w:rPr>
              <w:t>Unwavering</w:t>
            </w:r>
          </w:p>
        </w:tc>
        <w:tc>
          <w:tcPr>
            <w:tcW w:w="320" w:type="dxa"/>
            <w:vAlign w:val="bottom"/>
            <w:shd w:val="clear" w:color="auto" w:fill="EEEFEF"/>
          </w:tcPr>
          <w:p>
            <w:pPr>
              <w:spacing w:after="0"/>
              <w:rPr>
                <w:sz w:val="21"/>
                <w:szCs w:val="21"/>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b w:val="1"/>
                <w:bCs w:val="1"/>
                <w:color w:val="000000"/>
              </w:rPr>
              <w:t>Fortress balance sheet</w:t>
            </w:r>
          </w:p>
        </w:tc>
        <w:tc>
          <w:tcPr>
            <w:tcW w:w="200" w:type="dxa"/>
            <w:vAlign w:val="bottom"/>
          </w:tcPr>
          <w:p>
            <w:pPr>
              <w:ind w:left="60"/>
              <w:spacing w:after="0"/>
              <w:rPr>
                <w:sz w:val="20"/>
                <w:szCs w:val="20"/>
                <w:color w:val="auto"/>
              </w:rPr>
            </w:pPr>
            <w:r>
              <w:rPr>
                <w:rFonts w:ascii="Arial" w:cs="Arial" w:eastAsia="Arial" w:hAnsi="Arial"/>
                <w:sz w:val="18"/>
                <w:szCs w:val="18"/>
                <w:color w:val="064A75"/>
              </w:rPr>
              <w:t>•</w:t>
            </w:r>
          </w:p>
        </w:tc>
        <w:tc>
          <w:tcPr>
            <w:tcW w:w="294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Culture </w:t>
            </w:r>
            <w:r>
              <w:rPr>
                <w:rFonts w:ascii="Arial" w:cs="Arial" w:eastAsia="Arial" w:hAnsi="Arial"/>
                <w:sz w:val="18"/>
                <w:szCs w:val="18"/>
                <w:color w:val="auto"/>
              </w:rPr>
              <w:t>and</w:t>
            </w:r>
            <w:r>
              <w:rPr>
                <w:rFonts w:ascii="Arial" w:cs="Arial" w:eastAsia="Arial" w:hAnsi="Arial"/>
                <w:sz w:val="18"/>
                <w:szCs w:val="18"/>
                <w:b w:val="1"/>
                <w:bCs w:val="1"/>
                <w:color w:val="auto"/>
              </w:rPr>
              <w:t xml:space="preserve"> conduct</w:t>
            </w:r>
          </w:p>
        </w:tc>
        <w:tc>
          <w:tcPr>
            <w:tcW w:w="1220" w:type="dxa"/>
            <w:vAlign w:val="bottom"/>
            <w:shd w:val="clear" w:color="auto" w:fill="EEEFE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1760" w:type="dxa"/>
            <w:vAlign w:val="bottom"/>
            <w:tcBorders>
              <w:bottom w:val="single" w:sz="8" w:color="3E693D"/>
            </w:tcBorders>
            <w:gridSpan w:val="2"/>
            <w:vMerge w:val="restart"/>
            <w:shd w:val="clear" w:color="auto" w:fill="3E693D"/>
          </w:tcPr>
          <w:p>
            <w:pPr>
              <w:jc w:val="center"/>
              <w:ind w:right="20"/>
              <w:spacing w:after="0"/>
              <w:rPr>
                <w:sz w:val="20"/>
                <w:szCs w:val="20"/>
                <w:color w:val="auto"/>
              </w:rPr>
            </w:pPr>
            <w:r>
              <w:rPr>
                <w:rFonts w:ascii="Arial" w:cs="Arial" w:eastAsia="Arial" w:hAnsi="Arial"/>
                <w:sz w:val="18"/>
                <w:szCs w:val="18"/>
                <w:b w:val="1"/>
                <w:bCs w:val="1"/>
                <w:color w:val="FFFFFF"/>
                <w:w w:val="99"/>
              </w:rPr>
              <w:t>Principles</w:t>
            </w:r>
          </w:p>
        </w:tc>
        <w:tc>
          <w:tcPr>
            <w:tcW w:w="320" w:type="dxa"/>
            <w:vAlign w:val="bottom"/>
            <w:tcBorders>
              <w:bottom w:val="single" w:sz="8" w:color="3E693D"/>
            </w:tcBorders>
            <w:shd w:val="clear" w:color="auto" w:fill="EEEFEF"/>
          </w:tcPr>
          <w:p>
            <w:pPr>
              <w:spacing w:after="0"/>
              <w:rPr>
                <w:sz w:val="5"/>
                <w:szCs w:val="5"/>
                <w:color w:val="auto"/>
              </w:rPr>
            </w:pPr>
          </w:p>
        </w:tc>
        <w:tc>
          <w:tcPr>
            <w:tcW w:w="4200" w:type="dxa"/>
            <w:vAlign w:val="bottom"/>
            <w:gridSpan w:val="3"/>
            <w:vMerge w:val="restart"/>
          </w:tcPr>
          <w:p>
            <w:pPr>
              <w:ind w:left="2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b w:val="1"/>
                <w:bCs w:val="1"/>
                <w:color w:val="000000"/>
              </w:rPr>
              <w:t>Risk governance</w:t>
            </w:r>
            <w:r>
              <w:rPr>
                <w:rFonts w:ascii="Arial" w:cs="Arial" w:eastAsia="Arial" w:hAnsi="Arial"/>
                <w:sz w:val="18"/>
                <w:szCs w:val="18"/>
                <w:color w:val="064A75"/>
              </w:rPr>
              <w:t xml:space="preserve"> </w:t>
            </w:r>
            <w:r>
              <w:rPr>
                <w:rFonts w:ascii="Arial" w:cs="Arial" w:eastAsia="Arial" w:hAnsi="Arial"/>
                <w:sz w:val="18"/>
                <w:szCs w:val="18"/>
                <w:color w:val="000000"/>
              </w:rPr>
              <w:t>and</w:t>
            </w:r>
            <w:r>
              <w:rPr>
                <w:rFonts w:ascii="Arial" w:cs="Arial" w:eastAsia="Arial" w:hAnsi="Arial"/>
                <w:sz w:val="18"/>
                <w:szCs w:val="18"/>
                <w:color w:val="064A75"/>
              </w:rPr>
              <w:t xml:space="preserve"> </w:t>
            </w:r>
            <w:r>
              <w:rPr>
                <w:rFonts w:ascii="Arial" w:cs="Arial" w:eastAsia="Arial" w:hAnsi="Arial"/>
                <w:sz w:val="18"/>
                <w:szCs w:val="18"/>
                <w:b w:val="1"/>
                <w:bCs w:val="1"/>
                <w:color w:val="000000"/>
              </w:rPr>
              <w:t>controls</w:t>
            </w:r>
          </w:p>
        </w:tc>
        <w:tc>
          <w:tcPr>
            <w:tcW w:w="200" w:type="dxa"/>
            <w:vAlign w:val="bottom"/>
            <w:vMerge w:val="restart"/>
          </w:tcPr>
          <w:p>
            <w:pPr>
              <w:ind w:left="60"/>
              <w:spacing w:after="0"/>
              <w:rPr>
                <w:sz w:val="20"/>
                <w:szCs w:val="20"/>
                <w:color w:val="auto"/>
              </w:rPr>
            </w:pPr>
            <w:r>
              <w:rPr>
                <w:rFonts w:ascii="Arial" w:cs="Arial" w:eastAsia="Arial" w:hAnsi="Arial"/>
                <w:sz w:val="18"/>
                <w:szCs w:val="18"/>
                <w:color w:val="064A75"/>
              </w:rPr>
              <w:t>•</w:t>
            </w: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Operational resilience</w:t>
            </w:r>
          </w:p>
        </w:tc>
        <w:tc>
          <w:tcPr>
            <w:tcW w:w="1220" w:type="dxa"/>
            <w:vAlign w:val="bottom"/>
            <w:tcBorders>
              <w:bottom w:val="single" w:sz="8" w:color="EEEFEF"/>
            </w:tcBorders>
            <w:shd w:val="clear" w:color="auto" w:fill="EEEFEF"/>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760" w:type="dxa"/>
            <w:vAlign w:val="bottom"/>
            <w:gridSpan w:val="2"/>
            <w:vMerge w:val="continue"/>
            <w:shd w:val="clear" w:color="auto" w:fill="3E693D"/>
          </w:tcPr>
          <w:p>
            <w:pPr>
              <w:spacing w:after="0"/>
              <w:rPr>
                <w:sz w:val="16"/>
                <w:szCs w:val="16"/>
                <w:color w:val="auto"/>
              </w:rPr>
            </w:pPr>
          </w:p>
        </w:tc>
        <w:tc>
          <w:tcPr>
            <w:tcW w:w="320" w:type="dxa"/>
            <w:vAlign w:val="bottom"/>
            <w:shd w:val="clear" w:color="auto" w:fill="EEEFEF"/>
          </w:tcPr>
          <w:p>
            <w:pPr>
              <w:spacing w:after="0"/>
              <w:rPr>
                <w:sz w:val="16"/>
                <w:szCs w:val="16"/>
                <w:color w:val="auto"/>
              </w:rPr>
            </w:pPr>
          </w:p>
        </w:tc>
        <w:tc>
          <w:tcPr>
            <w:tcW w:w="4200" w:type="dxa"/>
            <w:vAlign w:val="bottom"/>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1220" w:type="dxa"/>
            <w:vAlign w:val="bottom"/>
            <w:shd w:val="clear" w:color="auto" w:fill="EEEFE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60" w:type="dxa"/>
            <w:vAlign w:val="bottom"/>
          </w:tcPr>
          <w:p>
            <w:pPr>
              <w:spacing w:after="0"/>
              <w:rPr>
                <w:sz w:val="6"/>
                <w:szCs w:val="6"/>
                <w:color w:val="auto"/>
              </w:rPr>
            </w:pPr>
          </w:p>
        </w:tc>
        <w:tc>
          <w:tcPr>
            <w:tcW w:w="1660" w:type="dxa"/>
            <w:vAlign w:val="bottom"/>
            <w:tcBorders>
              <w:bottom w:val="single" w:sz="8" w:color="3E693D"/>
            </w:tcBorders>
            <w:shd w:val="clear" w:color="auto" w:fill="3E693D"/>
          </w:tcPr>
          <w:p>
            <w:pPr>
              <w:spacing w:after="0"/>
              <w:rPr>
                <w:sz w:val="6"/>
                <w:szCs w:val="6"/>
                <w:color w:val="auto"/>
              </w:rPr>
            </w:pPr>
          </w:p>
        </w:tc>
        <w:tc>
          <w:tcPr>
            <w:tcW w:w="100" w:type="dxa"/>
            <w:vAlign w:val="bottom"/>
            <w:tcBorders>
              <w:bottom w:val="single" w:sz="8" w:color="3E693D"/>
            </w:tcBorders>
            <w:shd w:val="clear" w:color="auto" w:fill="3E693D"/>
          </w:tcPr>
          <w:p>
            <w:pPr>
              <w:spacing w:after="0"/>
              <w:rPr>
                <w:sz w:val="6"/>
                <w:szCs w:val="6"/>
                <w:color w:val="auto"/>
              </w:rPr>
            </w:pPr>
          </w:p>
        </w:tc>
        <w:tc>
          <w:tcPr>
            <w:tcW w:w="320" w:type="dxa"/>
            <w:vAlign w:val="bottom"/>
            <w:tcBorders>
              <w:bottom w:val="single" w:sz="8" w:color="EEEFEF"/>
            </w:tcBorders>
            <w:shd w:val="clear" w:color="auto" w:fill="EEEFEF"/>
          </w:tcPr>
          <w:p>
            <w:pPr>
              <w:spacing w:after="0"/>
              <w:rPr>
                <w:sz w:val="6"/>
                <w:szCs w:val="6"/>
                <w:color w:val="auto"/>
              </w:rPr>
            </w:pPr>
          </w:p>
        </w:tc>
        <w:tc>
          <w:tcPr>
            <w:tcW w:w="3060" w:type="dxa"/>
            <w:vAlign w:val="bottom"/>
            <w:tcBorders>
              <w:bottom w:val="single" w:sz="8" w:color="EEEFEF"/>
            </w:tcBorders>
          </w:tcPr>
          <w:p>
            <w:pPr>
              <w:spacing w:after="0"/>
              <w:rPr>
                <w:sz w:val="6"/>
                <w:szCs w:val="6"/>
                <w:color w:val="auto"/>
              </w:rPr>
            </w:pPr>
          </w:p>
        </w:tc>
        <w:tc>
          <w:tcPr>
            <w:tcW w:w="420" w:type="dxa"/>
            <w:vAlign w:val="bottom"/>
            <w:tcBorders>
              <w:bottom w:val="single" w:sz="8" w:color="EEEFEF"/>
            </w:tcBorders>
          </w:tcPr>
          <w:p>
            <w:pPr>
              <w:spacing w:after="0"/>
              <w:rPr>
                <w:sz w:val="6"/>
                <w:szCs w:val="6"/>
                <w:color w:val="auto"/>
              </w:rPr>
            </w:pPr>
          </w:p>
        </w:tc>
        <w:tc>
          <w:tcPr>
            <w:tcW w:w="720" w:type="dxa"/>
            <w:vAlign w:val="bottom"/>
            <w:tcBorders>
              <w:bottom w:val="single" w:sz="8" w:color="EEEFEF"/>
            </w:tcBorders>
          </w:tcPr>
          <w:p>
            <w:pPr>
              <w:spacing w:after="0"/>
              <w:rPr>
                <w:sz w:val="6"/>
                <w:szCs w:val="6"/>
                <w:color w:val="auto"/>
              </w:rPr>
            </w:pPr>
          </w:p>
        </w:tc>
        <w:tc>
          <w:tcPr>
            <w:tcW w:w="200" w:type="dxa"/>
            <w:vAlign w:val="bottom"/>
            <w:tcBorders>
              <w:bottom w:val="single" w:sz="8" w:color="EEEFEF"/>
            </w:tcBorders>
          </w:tcPr>
          <w:p>
            <w:pPr>
              <w:spacing w:after="0"/>
              <w:rPr>
                <w:sz w:val="6"/>
                <w:szCs w:val="6"/>
                <w:color w:val="auto"/>
              </w:rPr>
            </w:pPr>
          </w:p>
        </w:tc>
        <w:tc>
          <w:tcPr>
            <w:tcW w:w="2540" w:type="dxa"/>
            <w:vAlign w:val="bottom"/>
            <w:tcBorders>
              <w:bottom w:val="single" w:sz="8" w:color="EEEFEF"/>
            </w:tcBorders>
          </w:tcPr>
          <w:p>
            <w:pPr>
              <w:spacing w:after="0"/>
              <w:rPr>
                <w:sz w:val="6"/>
                <w:szCs w:val="6"/>
                <w:color w:val="auto"/>
              </w:rPr>
            </w:pPr>
          </w:p>
        </w:tc>
        <w:tc>
          <w:tcPr>
            <w:tcW w:w="400" w:type="dxa"/>
            <w:vAlign w:val="bottom"/>
            <w:tcBorders>
              <w:bottom w:val="single" w:sz="8" w:color="EEEFEF"/>
            </w:tcBorders>
          </w:tcPr>
          <w:p>
            <w:pPr>
              <w:spacing w:after="0"/>
              <w:rPr>
                <w:sz w:val="6"/>
                <w:szCs w:val="6"/>
                <w:color w:val="auto"/>
              </w:rPr>
            </w:pPr>
          </w:p>
        </w:tc>
        <w:tc>
          <w:tcPr>
            <w:tcW w:w="1220" w:type="dxa"/>
            <w:vAlign w:val="bottom"/>
            <w:tcBorders>
              <w:bottom w:val="single" w:sz="8" w:color="EEEFEF"/>
            </w:tcBorders>
            <w:shd w:val="clear" w:color="auto" w:fill="EEEFEF"/>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660" w:type="dxa"/>
            <w:vAlign w:val="bottom"/>
            <w:shd w:val="clear" w:color="auto" w:fill="EEEFEF"/>
          </w:tcPr>
          <w:p>
            <w:pPr>
              <w:spacing w:after="0"/>
              <w:rPr>
                <w:sz w:val="11"/>
                <w:szCs w:val="11"/>
                <w:color w:val="auto"/>
              </w:rPr>
            </w:pPr>
          </w:p>
        </w:tc>
        <w:tc>
          <w:tcPr>
            <w:tcW w:w="100" w:type="dxa"/>
            <w:vAlign w:val="bottom"/>
            <w:shd w:val="clear" w:color="auto" w:fill="EEEFEF"/>
          </w:tcPr>
          <w:p>
            <w:pPr>
              <w:spacing w:after="0"/>
              <w:rPr>
                <w:sz w:val="11"/>
                <w:szCs w:val="11"/>
                <w:color w:val="auto"/>
              </w:rPr>
            </w:pPr>
          </w:p>
        </w:tc>
        <w:tc>
          <w:tcPr>
            <w:tcW w:w="320" w:type="dxa"/>
            <w:vAlign w:val="bottom"/>
            <w:shd w:val="clear" w:color="auto" w:fill="EEEFEF"/>
          </w:tcPr>
          <w:p>
            <w:pPr>
              <w:spacing w:after="0"/>
              <w:rPr>
                <w:sz w:val="11"/>
                <w:szCs w:val="11"/>
                <w:color w:val="auto"/>
              </w:rPr>
            </w:pPr>
          </w:p>
        </w:tc>
        <w:tc>
          <w:tcPr>
            <w:tcW w:w="3060" w:type="dxa"/>
            <w:vAlign w:val="bottom"/>
            <w:tcBorders>
              <w:right w:val="single" w:sz="8" w:color="EEEFEF"/>
            </w:tcBorders>
            <w:shd w:val="clear" w:color="auto" w:fill="EEEFEF"/>
          </w:tcPr>
          <w:p>
            <w:pPr>
              <w:spacing w:after="0"/>
              <w:rPr>
                <w:sz w:val="11"/>
                <w:szCs w:val="11"/>
                <w:color w:val="auto"/>
              </w:rPr>
            </w:pPr>
          </w:p>
        </w:tc>
        <w:tc>
          <w:tcPr>
            <w:tcW w:w="420" w:type="dxa"/>
            <w:vAlign w:val="bottom"/>
            <w:tcBorders>
              <w:right w:val="single" w:sz="8" w:color="EEEFEF"/>
            </w:tcBorders>
            <w:shd w:val="clear" w:color="auto" w:fill="EEEFEF"/>
          </w:tcPr>
          <w:p>
            <w:pPr>
              <w:spacing w:after="0"/>
              <w:rPr>
                <w:sz w:val="11"/>
                <w:szCs w:val="11"/>
                <w:color w:val="auto"/>
              </w:rPr>
            </w:pPr>
          </w:p>
        </w:tc>
        <w:tc>
          <w:tcPr>
            <w:tcW w:w="720" w:type="dxa"/>
            <w:vAlign w:val="bottom"/>
            <w:shd w:val="clear" w:color="auto" w:fill="EEEFEF"/>
          </w:tcPr>
          <w:p>
            <w:pPr>
              <w:spacing w:after="0"/>
              <w:rPr>
                <w:sz w:val="11"/>
                <w:szCs w:val="11"/>
                <w:color w:val="auto"/>
              </w:rPr>
            </w:pPr>
          </w:p>
        </w:tc>
        <w:tc>
          <w:tcPr>
            <w:tcW w:w="200" w:type="dxa"/>
            <w:vAlign w:val="bottom"/>
            <w:shd w:val="clear" w:color="auto" w:fill="EEEFEF"/>
          </w:tcPr>
          <w:p>
            <w:pPr>
              <w:spacing w:after="0"/>
              <w:rPr>
                <w:sz w:val="11"/>
                <w:szCs w:val="11"/>
                <w:color w:val="auto"/>
              </w:rPr>
            </w:pPr>
          </w:p>
        </w:tc>
        <w:tc>
          <w:tcPr>
            <w:tcW w:w="2540" w:type="dxa"/>
            <w:vAlign w:val="bottom"/>
            <w:shd w:val="clear" w:color="auto" w:fill="EEEFEF"/>
          </w:tcPr>
          <w:p>
            <w:pPr>
              <w:spacing w:after="0"/>
              <w:rPr>
                <w:sz w:val="11"/>
                <w:szCs w:val="11"/>
                <w:color w:val="auto"/>
              </w:rPr>
            </w:pPr>
          </w:p>
        </w:tc>
        <w:tc>
          <w:tcPr>
            <w:tcW w:w="400" w:type="dxa"/>
            <w:vAlign w:val="bottom"/>
            <w:shd w:val="clear" w:color="auto" w:fill="EEEFEF"/>
          </w:tcPr>
          <w:p>
            <w:pPr>
              <w:spacing w:after="0"/>
              <w:rPr>
                <w:sz w:val="11"/>
                <w:szCs w:val="11"/>
                <w:color w:val="auto"/>
              </w:rPr>
            </w:pPr>
          </w:p>
        </w:tc>
        <w:tc>
          <w:tcPr>
            <w:tcW w:w="1220" w:type="dxa"/>
            <w:vAlign w:val="bottom"/>
            <w:shd w:val="clear" w:color="auto" w:fill="EEEFEF"/>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760" w:type="dxa"/>
            <w:vAlign w:val="bottom"/>
            <w:gridSpan w:val="2"/>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w w:val="97"/>
              </w:rPr>
              <w:t>Long-Term</w:t>
            </w:r>
          </w:p>
        </w:tc>
        <w:tc>
          <w:tcPr>
            <w:tcW w:w="320" w:type="dxa"/>
            <w:vAlign w:val="bottom"/>
            <w:shd w:val="clear" w:color="auto" w:fill="EEEFEF"/>
          </w:tcPr>
          <w:p>
            <w:pPr>
              <w:spacing w:after="0"/>
              <w:rPr>
                <w:sz w:val="19"/>
                <w:szCs w:val="19"/>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color w:val="000000"/>
              </w:rPr>
              <w:t>Continuously</w:t>
            </w:r>
            <w:r>
              <w:rPr>
                <w:rFonts w:ascii="Arial" w:cs="Arial" w:eastAsia="Arial" w:hAnsi="Arial"/>
                <w:sz w:val="18"/>
                <w:szCs w:val="18"/>
                <w:color w:val="064A75"/>
              </w:rPr>
              <w:t xml:space="preserve"> </w:t>
            </w:r>
            <w:r>
              <w:rPr>
                <w:rFonts w:ascii="Arial" w:cs="Arial" w:eastAsia="Arial" w:hAnsi="Arial"/>
                <w:sz w:val="18"/>
                <w:szCs w:val="18"/>
                <w:b w:val="1"/>
                <w:bCs w:val="1"/>
                <w:color w:val="000000"/>
              </w:rPr>
              <w:t>investing</w:t>
            </w:r>
            <w:r>
              <w:rPr>
                <w:rFonts w:ascii="Arial" w:cs="Arial" w:eastAsia="Arial" w:hAnsi="Arial"/>
                <w:sz w:val="18"/>
                <w:szCs w:val="18"/>
                <w:color w:val="064A75"/>
              </w:rPr>
              <w:t xml:space="preserve"> </w:t>
            </w:r>
            <w:r>
              <w:rPr>
                <w:rFonts w:ascii="Arial" w:cs="Arial" w:eastAsia="Arial" w:hAnsi="Arial"/>
                <w:sz w:val="18"/>
                <w:szCs w:val="18"/>
                <w:color w:val="000000"/>
              </w:rPr>
              <w:t>in the future while</w:t>
            </w:r>
          </w:p>
        </w:tc>
        <w:tc>
          <w:tcPr>
            <w:tcW w:w="200" w:type="dxa"/>
            <w:vAlign w:val="bottom"/>
            <w:vMerge w:val="restart"/>
          </w:tcPr>
          <w:p>
            <w:pPr>
              <w:ind w:left="60"/>
              <w:spacing w:after="0"/>
              <w:rPr>
                <w:sz w:val="20"/>
                <w:szCs w:val="20"/>
                <w:color w:val="auto"/>
              </w:rPr>
            </w:pPr>
            <w:r>
              <w:rPr>
                <w:rFonts w:ascii="Arial" w:cs="Arial" w:eastAsia="Arial" w:hAnsi="Arial"/>
                <w:sz w:val="18"/>
                <w:szCs w:val="18"/>
                <w:color w:val="064A75"/>
              </w:rPr>
              <w:t>•</w:t>
            </w: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 xml:space="preserve">Employer of choice </w:t>
            </w:r>
            <w:r>
              <w:rPr>
                <w:rFonts w:ascii="Arial" w:cs="Arial" w:eastAsia="Arial" w:hAnsi="Arial"/>
                <w:sz w:val="18"/>
                <w:szCs w:val="18"/>
                <w:color w:val="auto"/>
              </w:rPr>
              <w:t>for top and</w:t>
            </w:r>
          </w:p>
        </w:tc>
        <w:tc>
          <w:tcPr>
            <w:tcW w:w="1220" w:type="dxa"/>
            <w:vAlign w:val="bottom"/>
            <w:shd w:val="clear" w:color="auto" w:fill="EEEFE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760" w:type="dxa"/>
            <w:vAlign w:val="bottom"/>
            <w:tcBorders>
              <w:bottom w:val="single" w:sz="8" w:color="3E693D"/>
            </w:tcBorders>
            <w:gridSpan w:val="2"/>
            <w:vMerge w:val="continue"/>
            <w:shd w:val="clear" w:color="auto" w:fill="3E693D"/>
          </w:tcPr>
          <w:p>
            <w:pPr>
              <w:spacing w:after="0"/>
              <w:rPr>
                <w:sz w:val="11"/>
                <w:szCs w:val="11"/>
                <w:color w:val="auto"/>
              </w:rPr>
            </w:pPr>
          </w:p>
        </w:tc>
        <w:tc>
          <w:tcPr>
            <w:tcW w:w="320" w:type="dxa"/>
            <w:vAlign w:val="bottom"/>
            <w:tcBorders>
              <w:bottom w:val="single" w:sz="8" w:color="3E693D"/>
            </w:tcBorders>
            <w:shd w:val="clear" w:color="auto" w:fill="EEEFEF"/>
          </w:tcPr>
          <w:p>
            <w:pPr>
              <w:spacing w:after="0"/>
              <w:rPr>
                <w:sz w:val="11"/>
                <w:szCs w:val="11"/>
                <w:color w:val="auto"/>
              </w:rPr>
            </w:pPr>
          </w:p>
        </w:tc>
        <w:tc>
          <w:tcPr>
            <w:tcW w:w="4200" w:type="dxa"/>
            <w:vAlign w:val="bottom"/>
            <w:gridSpan w:val="3"/>
            <w:vMerge w:val="restart"/>
          </w:tcPr>
          <w:p>
            <w:pPr>
              <w:ind w:left="200"/>
              <w:spacing w:after="0"/>
              <w:rPr>
                <w:sz w:val="20"/>
                <w:szCs w:val="20"/>
                <w:color w:val="auto"/>
              </w:rPr>
            </w:pPr>
            <w:r>
              <w:rPr>
                <w:rFonts w:ascii="Arial" w:cs="Arial" w:eastAsia="Arial" w:hAnsi="Arial"/>
                <w:sz w:val="18"/>
                <w:szCs w:val="18"/>
                <w:color w:val="auto"/>
              </w:rPr>
              <w:t xml:space="preserve">maintaining </w:t>
            </w:r>
            <w:r>
              <w:rPr>
                <w:rFonts w:ascii="Arial" w:cs="Arial" w:eastAsia="Arial" w:hAnsi="Arial"/>
                <w:sz w:val="18"/>
                <w:szCs w:val="18"/>
                <w:b w:val="1"/>
                <w:bCs w:val="1"/>
                <w:color w:val="auto"/>
              </w:rPr>
              <w:t>expense discipline</w:t>
            </w:r>
          </w:p>
        </w:tc>
        <w:tc>
          <w:tcPr>
            <w:tcW w:w="200" w:type="dxa"/>
            <w:vAlign w:val="bottom"/>
            <w:vMerge w:val="continue"/>
          </w:tcPr>
          <w:p>
            <w:pPr>
              <w:spacing w:after="0"/>
              <w:rPr>
                <w:sz w:val="11"/>
                <w:szCs w:val="11"/>
                <w:color w:val="auto"/>
              </w:rPr>
            </w:pPr>
          </w:p>
        </w:tc>
        <w:tc>
          <w:tcPr>
            <w:tcW w:w="2940" w:type="dxa"/>
            <w:vAlign w:val="bottom"/>
            <w:gridSpan w:val="2"/>
            <w:vMerge w:val="continue"/>
          </w:tcPr>
          <w:p>
            <w:pPr>
              <w:spacing w:after="0"/>
              <w:rPr>
                <w:sz w:val="11"/>
                <w:szCs w:val="11"/>
                <w:color w:val="auto"/>
              </w:rPr>
            </w:pPr>
          </w:p>
        </w:tc>
        <w:tc>
          <w:tcPr>
            <w:tcW w:w="1220" w:type="dxa"/>
            <w:vAlign w:val="bottom"/>
            <w:tcBorders>
              <w:bottom w:val="single" w:sz="8" w:color="EEEFEF"/>
            </w:tcBorders>
            <w:shd w:val="clear" w:color="auto" w:fill="EEEFEF"/>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60" w:type="dxa"/>
            <w:vAlign w:val="bottom"/>
          </w:tcPr>
          <w:p>
            <w:pPr>
              <w:spacing w:after="0"/>
              <w:rPr>
                <w:sz w:val="5"/>
                <w:szCs w:val="5"/>
                <w:color w:val="auto"/>
              </w:rPr>
            </w:pPr>
          </w:p>
        </w:tc>
        <w:tc>
          <w:tcPr>
            <w:tcW w:w="1760" w:type="dxa"/>
            <w:vAlign w:val="bottom"/>
            <w:gridSpan w:val="2"/>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w w:val="98"/>
              </w:rPr>
              <w:t>Shareholder Value</w:t>
            </w:r>
          </w:p>
        </w:tc>
        <w:tc>
          <w:tcPr>
            <w:tcW w:w="320" w:type="dxa"/>
            <w:vAlign w:val="bottom"/>
            <w:shd w:val="clear" w:color="auto" w:fill="EEEFEF"/>
          </w:tcPr>
          <w:p>
            <w:pPr>
              <w:spacing w:after="0"/>
              <w:rPr>
                <w:sz w:val="5"/>
                <w:szCs w:val="5"/>
                <w:color w:val="auto"/>
              </w:rPr>
            </w:pPr>
          </w:p>
        </w:tc>
        <w:tc>
          <w:tcPr>
            <w:tcW w:w="4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auto"/>
              </w:rPr>
              <w:t>diverse talent</w:t>
            </w:r>
          </w:p>
        </w:tc>
        <w:tc>
          <w:tcPr>
            <w:tcW w:w="1220" w:type="dxa"/>
            <w:vAlign w:val="bottom"/>
            <w:shd w:val="clear" w:color="auto" w:fill="EEEFEF"/>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1760" w:type="dxa"/>
            <w:vAlign w:val="bottom"/>
            <w:gridSpan w:val="2"/>
            <w:vMerge w:val="continue"/>
            <w:shd w:val="clear" w:color="auto" w:fill="3E693D"/>
          </w:tcPr>
          <w:p>
            <w:pPr>
              <w:spacing w:after="0"/>
              <w:rPr>
                <w:sz w:val="13"/>
                <w:szCs w:val="13"/>
                <w:color w:val="auto"/>
              </w:rPr>
            </w:pPr>
          </w:p>
        </w:tc>
        <w:tc>
          <w:tcPr>
            <w:tcW w:w="320" w:type="dxa"/>
            <w:vAlign w:val="bottom"/>
            <w:shd w:val="clear" w:color="auto" w:fill="EEEFEF"/>
          </w:tcPr>
          <w:p>
            <w:pPr>
              <w:spacing w:after="0"/>
              <w:rPr>
                <w:sz w:val="13"/>
                <w:szCs w:val="13"/>
                <w:color w:val="auto"/>
              </w:rPr>
            </w:pPr>
          </w:p>
        </w:tc>
        <w:tc>
          <w:tcPr>
            <w:tcW w:w="4200" w:type="dxa"/>
            <w:vAlign w:val="bottom"/>
            <w:gridSpan w:val="3"/>
            <w:vMerge w:val="restart"/>
          </w:tcPr>
          <w:p>
            <w:pPr>
              <w:ind w:left="2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color w:val="000000"/>
              </w:rPr>
              <w:t>Focus on</w:t>
            </w:r>
            <w:r>
              <w:rPr>
                <w:rFonts w:ascii="Arial" w:cs="Arial" w:eastAsia="Arial" w:hAnsi="Arial"/>
                <w:sz w:val="18"/>
                <w:szCs w:val="18"/>
                <w:color w:val="064A75"/>
              </w:rPr>
              <w:t xml:space="preserve"> </w:t>
            </w:r>
            <w:r>
              <w:rPr>
                <w:rFonts w:ascii="Arial" w:cs="Arial" w:eastAsia="Arial" w:hAnsi="Arial"/>
                <w:sz w:val="18"/>
                <w:szCs w:val="18"/>
                <w:b w:val="1"/>
                <w:bCs w:val="1"/>
                <w:color w:val="000000"/>
              </w:rPr>
              <w:t>customer experience</w:t>
            </w:r>
            <w:r>
              <w:rPr>
                <w:rFonts w:ascii="Arial" w:cs="Arial" w:eastAsia="Arial" w:hAnsi="Arial"/>
                <w:sz w:val="18"/>
                <w:szCs w:val="18"/>
                <w:color w:val="064A75"/>
              </w:rPr>
              <w:t xml:space="preserve"> </w:t>
            </w:r>
            <w:r>
              <w:rPr>
                <w:rFonts w:ascii="Arial" w:cs="Arial" w:eastAsia="Arial" w:hAnsi="Arial"/>
                <w:sz w:val="18"/>
                <w:szCs w:val="18"/>
                <w:color w:val="000000"/>
              </w:rPr>
              <w:t>and</w:t>
            </w:r>
            <w:r>
              <w:rPr>
                <w:rFonts w:ascii="Arial" w:cs="Arial" w:eastAsia="Arial" w:hAnsi="Arial"/>
                <w:sz w:val="18"/>
                <w:szCs w:val="18"/>
                <w:color w:val="064A75"/>
              </w:rPr>
              <w:t xml:space="preserve"> </w:t>
            </w:r>
            <w:r>
              <w:rPr>
                <w:rFonts w:ascii="Arial" w:cs="Arial" w:eastAsia="Arial" w:hAnsi="Arial"/>
                <w:sz w:val="18"/>
                <w:szCs w:val="18"/>
                <w:b w:val="1"/>
                <w:bCs w:val="1"/>
                <w:color w:val="000000"/>
              </w:rPr>
              <w:t>innovation</w:t>
            </w:r>
          </w:p>
        </w:tc>
        <w:tc>
          <w:tcPr>
            <w:tcW w:w="20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1220" w:type="dxa"/>
            <w:vAlign w:val="bottom"/>
            <w:shd w:val="clear" w:color="auto" w:fill="EEEFE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1660" w:type="dxa"/>
            <w:vAlign w:val="bottom"/>
            <w:shd w:val="clear" w:color="auto" w:fill="3E693D"/>
          </w:tcPr>
          <w:p>
            <w:pPr>
              <w:spacing w:after="0"/>
              <w:rPr>
                <w:sz w:val="8"/>
                <w:szCs w:val="8"/>
                <w:color w:val="auto"/>
              </w:rPr>
            </w:pPr>
          </w:p>
        </w:tc>
        <w:tc>
          <w:tcPr>
            <w:tcW w:w="100" w:type="dxa"/>
            <w:vAlign w:val="bottom"/>
            <w:shd w:val="clear" w:color="auto" w:fill="3E693D"/>
          </w:tcPr>
          <w:p>
            <w:pPr>
              <w:spacing w:after="0"/>
              <w:rPr>
                <w:sz w:val="8"/>
                <w:szCs w:val="8"/>
                <w:color w:val="auto"/>
              </w:rPr>
            </w:pPr>
          </w:p>
        </w:tc>
        <w:tc>
          <w:tcPr>
            <w:tcW w:w="320" w:type="dxa"/>
            <w:vAlign w:val="bottom"/>
            <w:shd w:val="clear" w:color="auto" w:fill="EEEFEF"/>
          </w:tcPr>
          <w:p>
            <w:pPr>
              <w:spacing w:after="0"/>
              <w:rPr>
                <w:sz w:val="8"/>
                <w:szCs w:val="8"/>
                <w:color w:val="auto"/>
              </w:rPr>
            </w:pPr>
          </w:p>
        </w:tc>
        <w:tc>
          <w:tcPr>
            <w:tcW w:w="42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shd w:val="clear" w:color="auto" w:fill="EEEFEF"/>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60" w:type="dxa"/>
            <w:vAlign w:val="bottom"/>
          </w:tcPr>
          <w:p>
            <w:pPr>
              <w:spacing w:after="0"/>
              <w:rPr>
                <w:sz w:val="3"/>
                <w:szCs w:val="3"/>
                <w:color w:val="auto"/>
              </w:rPr>
            </w:pPr>
          </w:p>
        </w:tc>
        <w:tc>
          <w:tcPr>
            <w:tcW w:w="1660" w:type="dxa"/>
            <w:vAlign w:val="bottom"/>
            <w:tcBorders>
              <w:bottom w:val="single" w:sz="8" w:color="3E693D"/>
            </w:tcBorders>
            <w:shd w:val="clear" w:color="auto" w:fill="3E693D"/>
          </w:tcPr>
          <w:p>
            <w:pPr>
              <w:spacing w:after="0"/>
              <w:rPr>
                <w:sz w:val="3"/>
                <w:szCs w:val="3"/>
                <w:color w:val="auto"/>
              </w:rPr>
            </w:pPr>
          </w:p>
        </w:tc>
        <w:tc>
          <w:tcPr>
            <w:tcW w:w="100" w:type="dxa"/>
            <w:vAlign w:val="bottom"/>
            <w:tcBorders>
              <w:bottom w:val="single" w:sz="8" w:color="3E693D"/>
            </w:tcBorders>
            <w:shd w:val="clear" w:color="auto" w:fill="3E693D"/>
          </w:tcPr>
          <w:p>
            <w:pPr>
              <w:spacing w:after="0"/>
              <w:rPr>
                <w:sz w:val="3"/>
                <w:szCs w:val="3"/>
                <w:color w:val="auto"/>
              </w:rPr>
            </w:pPr>
          </w:p>
        </w:tc>
        <w:tc>
          <w:tcPr>
            <w:tcW w:w="320" w:type="dxa"/>
            <w:vAlign w:val="bottom"/>
            <w:tcBorders>
              <w:bottom w:val="single" w:sz="8" w:color="EEEFEF"/>
            </w:tcBorders>
            <w:shd w:val="clear" w:color="auto" w:fill="EEEFEF"/>
          </w:tcPr>
          <w:p>
            <w:pPr>
              <w:spacing w:after="0"/>
              <w:rPr>
                <w:sz w:val="3"/>
                <w:szCs w:val="3"/>
                <w:color w:val="auto"/>
              </w:rPr>
            </w:pPr>
          </w:p>
        </w:tc>
        <w:tc>
          <w:tcPr>
            <w:tcW w:w="3060" w:type="dxa"/>
            <w:vAlign w:val="bottom"/>
            <w:tcBorders>
              <w:bottom w:val="single" w:sz="8" w:color="EEEFEF"/>
            </w:tcBorders>
          </w:tcPr>
          <w:p>
            <w:pPr>
              <w:spacing w:after="0"/>
              <w:rPr>
                <w:sz w:val="3"/>
                <w:szCs w:val="3"/>
                <w:color w:val="auto"/>
              </w:rPr>
            </w:pPr>
          </w:p>
        </w:tc>
        <w:tc>
          <w:tcPr>
            <w:tcW w:w="420" w:type="dxa"/>
            <w:vAlign w:val="bottom"/>
            <w:tcBorders>
              <w:bottom w:val="single" w:sz="8" w:color="EEEFEF"/>
            </w:tcBorders>
          </w:tcPr>
          <w:p>
            <w:pPr>
              <w:spacing w:after="0"/>
              <w:rPr>
                <w:sz w:val="3"/>
                <w:szCs w:val="3"/>
                <w:color w:val="auto"/>
              </w:rPr>
            </w:pPr>
          </w:p>
        </w:tc>
        <w:tc>
          <w:tcPr>
            <w:tcW w:w="720" w:type="dxa"/>
            <w:vAlign w:val="bottom"/>
            <w:tcBorders>
              <w:bottom w:val="single" w:sz="8" w:color="EEEFEF"/>
            </w:tcBorders>
          </w:tcPr>
          <w:p>
            <w:pPr>
              <w:spacing w:after="0"/>
              <w:rPr>
                <w:sz w:val="3"/>
                <w:szCs w:val="3"/>
                <w:color w:val="auto"/>
              </w:rPr>
            </w:pPr>
          </w:p>
        </w:tc>
        <w:tc>
          <w:tcPr>
            <w:tcW w:w="200" w:type="dxa"/>
            <w:vAlign w:val="bottom"/>
            <w:tcBorders>
              <w:bottom w:val="single" w:sz="8" w:color="EEEFEF"/>
            </w:tcBorders>
          </w:tcPr>
          <w:p>
            <w:pPr>
              <w:spacing w:after="0"/>
              <w:rPr>
                <w:sz w:val="3"/>
                <w:szCs w:val="3"/>
                <w:color w:val="auto"/>
              </w:rPr>
            </w:pPr>
          </w:p>
        </w:tc>
        <w:tc>
          <w:tcPr>
            <w:tcW w:w="2540" w:type="dxa"/>
            <w:vAlign w:val="bottom"/>
            <w:tcBorders>
              <w:bottom w:val="single" w:sz="8" w:color="EEEFEF"/>
            </w:tcBorders>
          </w:tcPr>
          <w:p>
            <w:pPr>
              <w:spacing w:after="0"/>
              <w:rPr>
                <w:sz w:val="3"/>
                <w:szCs w:val="3"/>
                <w:color w:val="auto"/>
              </w:rPr>
            </w:pPr>
          </w:p>
        </w:tc>
        <w:tc>
          <w:tcPr>
            <w:tcW w:w="400" w:type="dxa"/>
            <w:vAlign w:val="bottom"/>
            <w:tcBorders>
              <w:bottom w:val="single" w:sz="8" w:color="EEEFEF"/>
            </w:tcBorders>
          </w:tcPr>
          <w:p>
            <w:pPr>
              <w:spacing w:after="0"/>
              <w:rPr>
                <w:sz w:val="3"/>
                <w:szCs w:val="3"/>
                <w:color w:val="auto"/>
              </w:rPr>
            </w:pPr>
          </w:p>
        </w:tc>
        <w:tc>
          <w:tcPr>
            <w:tcW w:w="1220" w:type="dxa"/>
            <w:vAlign w:val="bottom"/>
            <w:tcBorders>
              <w:bottom w:val="single" w:sz="8" w:color="EEEFEF"/>
            </w:tcBorders>
            <w:shd w:val="clear" w:color="auto" w:fill="EEEFEF"/>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1660" w:type="dxa"/>
            <w:vAlign w:val="bottom"/>
            <w:shd w:val="clear" w:color="auto" w:fill="EEEFEF"/>
          </w:tcPr>
          <w:p>
            <w:pPr>
              <w:spacing w:after="0"/>
              <w:rPr>
                <w:sz w:val="7"/>
                <w:szCs w:val="7"/>
                <w:color w:val="auto"/>
              </w:rPr>
            </w:pPr>
          </w:p>
        </w:tc>
        <w:tc>
          <w:tcPr>
            <w:tcW w:w="100" w:type="dxa"/>
            <w:vAlign w:val="bottom"/>
            <w:shd w:val="clear" w:color="auto" w:fill="EEEFEF"/>
          </w:tcPr>
          <w:p>
            <w:pPr>
              <w:spacing w:after="0"/>
              <w:rPr>
                <w:sz w:val="7"/>
                <w:szCs w:val="7"/>
                <w:color w:val="auto"/>
              </w:rPr>
            </w:pPr>
          </w:p>
        </w:tc>
        <w:tc>
          <w:tcPr>
            <w:tcW w:w="320" w:type="dxa"/>
            <w:vAlign w:val="bottom"/>
            <w:shd w:val="clear" w:color="auto" w:fill="EEEFEF"/>
          </w:tcPr>
          <w:p>
            <w:pPr>
              <w:spacing w:after="0"/>
              <w:rPr>
                <w:sz w:val="7"/>
                <w:szCs w:val="7"/>
                <w:color w:val="auto"/>
              </w:rPr>
            </w:pPr>
          </w:p>
        </w:tc>
        <w:tc>
          <w:tcPr>
            <w:tcW w:w="3060" w:type="dxa"/>
            <w:vAlign w:val="bottom"/>
            <w:tcBorders>
              <w:right w:val="single" w:sz="8" w:color="EEEFEF"/>
            </w:tcBorders>
            <w:shd w:val="clear" w:color="auto" w:fill="EEEFEF"/>
          </w:tcPr>
          <w:p>
            <w:pPr>
              <w:spacing w:after="0"/>
              <w:rPr>
                <w:sz w:val="7"/>
                <w:szCs w:val="7"/>
                <w:color w:val="auto"/>
              </w:rPr>
            </w:pPr>
          </w:p>
        </w:tc>
        <w:tc>
          <w:tcPr>
            <w:tcW w:w="420" w:type="dxa"/>
            <w:vAlign w:val="bottom"/>
            <w:tcBorders>
              <w:right w:val="single" w:sz="8" w:color="EEEFEF"/>
            </w:tcBorders>
            <w:shd w:val="clear" w:color="auto" w:fill="EEEFEF"/>
          </w:tcPr>
          <w:p>
            <w:pPr>
              <w:spacing w:after="0"/>
              <w:rPr>
                <w:sz w:val="7"/>
                <w:szCs w:val="7"/>
                <w:color w:val="auto"/>
              </w:rPr>
            </w:pPr>
          </w:p>
        </w:tc>
        <w:tc>
          <w:tcPr>
            <w:tcW w:w="720" w:type="dxa"/>
            <w:vAlign w:val="bottom"/>
            <w:shd w:val="clear" w:color="auto" w:fill="EEEFEF"/>
          </w:tcPr>
          <w:p>
            <w:pPr>
              <w:spacing w:after="0"/>
              <w:rPr>
                <w:sz w:val="7"/>
                <w:szCs w:val="7"/>
                <w:color w:val="auto"/>
              </w:rPr>
            </w:pPr>
          </w:p>
        </w:tc>
        <w:tc>
          <w:tcPr>
            <w:tcW w:w="200" w:type="dxa"/>
            <w:vAlign w:val="bottom"/>
            <w:shd w:val="clear" w:color="auto" w:fill="EEEFEF"/>
          </w:tcPr>
          <w:p>
            <w:pPr>
              <w:spacing w:after="0"/>
              <w:rPr>
                <w:sz w:val="7"/>
                <w:szCs w:val="7"/>
                <w:color w:val="auto"/>
              </w:rPr>
            </w:pPr>
          </w:p>
        </w:tc>
        <w:tc>
          <w:tcPr>
            <w:tcW w:w="2540" w:type="dxa"/>
            <w:vAlign w:val="bottom"/>
            <w:shd w:val="clear" w:color="auto" w:fill="EEEFEF"/>
          </w:tcPr>
          <w:p>
            <w:pPr>
              <w:spacing w:after="0"/>
              <w:rPr>
                <w:sz w:val="7"/>
                <w:szCs w:val="7"/>
                <w:color w:val="auto"/>
              </w:rPr>
            </w:pPr>
          </w:p>
        </w:tc>
        <w:tc>
          <w:tcPr>
            <w:tcW w:w="400" w:type="dxa"/>
            <w:vAlign w:val="bottom"/>
            <w:shd w:val="clear" w:color="auto" w:fill="EEEFEF"/>
          </w:tcPr>
          <w:p>
            <w:pPr>
              <w:spacing w:after="0"/>
              <w:rPr>
                <w:sz w:val="7"/>
                <w:szCs w:val="7"/>
                <w:color w:val="auto"/>
              </w:rPr>
            </w:pPr>
          </w:p>
        </w:tc>
        <w:tc>
          <w:tcPr>
            <w:tcW w:w="1220" w:type="dxa"/>
            <w:vAlign w:val="bottom"/>
            <w:shd w:val="clear" w:color="auto" w:fill="EEEFEF"/>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1760" w:type="dxa"/>
            <w:vAlign w:val="bottom"/>
            <w:gridSpan w:val="2"/>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w w:val="98"/>
              </w:rPr>
              <w:t>Sustainable</w:t>
            </w:r>
          </w:p>
        </w:tc>
        <w:tc>
          <w:tcPr>
            <w:tcW w:w="320" w:type="dxa"/>
            <w:vAlign w:val="bottom"/>
            <w:shd w:val="clear" w:color="auto" w:fill="EEEFEF"/>
          </w:tcPr>
          <w:p>
            <w:pPr>
              <w:spacing w:after="0"/>
              <w:rPr>
                <w:sz w:val="20"/>
                <w:szCs w:val="20"/>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color w:val="000000"/>
              </w:rPr>
              <w:t>Investing in and</w:t>
            </w:r>
            <w:r>
              <w:rPr>
                <w:rFonts w:ascii="Arial" w:cs="Arial" w:eastAsia="Arial" w:hAnsi="Arial"/>
                <w:sz w:val="18"/>
                <w:szCs w:val="18"/>
                <w:color w:val="064A75"/>
              </w:rPr>
              <w:t xml:space="preserve"> </w:t>
            </w:r>
            <w:r>
              <w:rPr>
                <w:rFonts w:ascii="Arial" w:cs="Arial" w:eastAsia="Arial" w:hAnsi="Arial"/>
                <w:sz w:val="18"/>
                <w:szCs w:val="18"/>
                <w:b w:val="1"/>
                <w:bCs w:val="1"/>
                <w:color w:val="000000"/>
              </w:rPr>
              <w:t>supporting</w:t>
            </w:r>
            <w:r>
              <w:rPr>
                <w:rFonts w:ascii="Arial" w:cs="Arial" w:eastAsia="Arial" w:hAnsi="Arial"/>
                <w:sz w:val="18"/>
                <w:szCs w:val="18"/>
                <w:color w:val="064A75"/>
              </w:rPr>
              <w:t xml:space="preserve"> </w:t>
            </w:r>
            <w:r>
              <w:rPr>
                <w:rFonts w:ascii="Arial" w:cs="Arial" w:eastAsia="Arial" w:hAnsi="Arial"/>
                <w:sz w:val="18"/>
                <w:szCs w:val="18"/>
                <w:color w:val="000000"/>
              </w:rPr>
              <w:t>our</w:t>
            </w:r>
            <w:r>
              <w:rPr>
                <w:rFonts w:ascii="Arial" w:cs="Arial" w:eastAsia="Arial" w:hAnsi="Arial"/>
                <w:sz w:val="18"/>
                <w:szCs w:val="18"/>
                <w:color w:val="064A75"/>
              </w:rPr>
              <w:t xml:space="preserve"> </w:t>
            </w:r>
            <w:r>
              <w:rPr>
                <w:rFonts w:ascii="Arial" w:cs="Arial" w:eastAsia="Arial" w:hAnsi="Arial"/>
                <w:sz w:val="18"/>
                <w:szCs w:val="18"/>
                <w:b w:val="1"/>
                <w:bCs w:val="1"/>
                <w:color w:val="000000"/>
              </w:rPr>
              <w:t>communities</w:t>
            </w:r>
          </w:p>
        </w:tc>
        <w:tc>
          <w:tcPr>
            <w:tcW w:w="200" w:type="dxa"/>
            <w:vAlign w:val="bottom"/>
            <w:vMerge w:val="restart"/>
          </w:tcPr>
          <w:p>
            <w:pPr>
              <w:ind w:left="60"/>
              <w:spacing w:after="0"/>
              <w:rPr>
                <w:sz w:val="20"/>
                <w:szCs w:val="20"/>
                <w:color w:val="auto"/>
              </w:rPr>
            </w:pPr>
            <w:r>
              <w:rPr>
                <w:rFonts w:ascii="Arial" w:cs="Arial" w:eastAsia="Arial" w:hAnsi="Arial"/>
                <w:sz w:val="18"/>
                <w:szCs w:val="18"/>
                <w:color w:val="064A75"/>
              </w:rPr>
              <w:t>•</w:t>
            </w: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auto"/>
              </w:rPr>
              <w:t xml:space="preserve">Serving a </w:t>
            </w:r>
            <w:r>
              <w:rPr>
                <w:rFonts w:ascii="Arial" w:cs="Arial" w:eastAsia="Arial" w:hAnsi="Arial"/>
                <w:sz w:val="18"/>
                <w:szCs w:val="18"/>
                <w:b w:val="1"/>
                <w:bCs w:val="1"/>
                <w:color w:val="auto"/>
              </w:rPr>
              <w:t>diverse</w:t>
            </w:r>
            <w:r>
              <w:rPr>
                <w:rFonts w:ascii="Arial" w:cs="Arial" w:eastAsia="Arial" w:hAnsi="Arial"/>
                <w:sz w:val="18"/>
                <w:szCs w:val="18"/>
                <w:color w:val="auto"/>
              </w:rPr>
              <w:t xml:space="preserve"> customer base</w:t>
            </w:r>
          </w:p>
        </w:tc>
        <w:tc>
          <w:tcPr>
            <w:tcW w:w="1220" w:type="dxa"/>
            <w:vAlign w:val="bottom"/>
            <w:shd w:val="clear" w:color="auto" w:fill="EEEFEF"/>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760" w:type="dxa"/>
            <w:vAlign w:val="bottom"/>
            <w:tcBorders>
              <w:bottom w:val="single" w:sz="8" w:color="3E693D"/>
            </w:tcBorders>
            <w:gridSpan w:val="2"/>
            <w:vMerge w:val="continue"/>
            <w:shd w:val="clear" w:color="auto" w:fill="3E693D"/>
          </w:tcPr>
          <w:p>
            <w:pPr>
              <w:spacing w:after="0"/>
              <w:rPr>
                <w:sz w:val="10"/>
                <w:szCs w:val="10"/>
                <w:color w:val="auto"/>
              </w:rPr>
            </w:pPr>
          </w:p>
        </w:tc>
        <w:tc>
          <w:tcPr>
            <w:tcW w:w="320" w:type="dxa"/>
            <w:vAlign w:val="bottom"/>
            <w:tcBorders>
              <w:bottom w:val="single" w:sz="8" w:color="3E693D"/>
            </w:tcBorders>
            <w:shd w:val="clear" w:color="auto" w:fill="EEEFEF"/>
          </w:tcPr>
          <w:p>
            <w:pPr>
              <w:spacing w:after="0"/>
              <w:rPr>
                <w:sz w:val="10"/>
                <w:szCs w:val="10"/>
                <w:color w:val="auto"/>
              </w:rPr>
            </w:pPr>
          </w:p>
        </w:tc>
        <w:tc>
          <w:tcPr>
            <w:tcW w:w="4200" w:type="dxa"/>
            <w:vAlign w:val="bottom"/>
            <w:gridSpan w:val="3"/>
            <w:vMerge w:val="restart"/>
          </w:tcPr>
          <w:p>
            <w:pPr>
              <w:ind w:left="20"/>
              <w:spacing w:after="0"/>
              <w:rPr>
                <w:sz w:val="20"/>
                <w:szCs w:val="20"/>
                <w:color w:val="auto"/>
              </w:rPr>
            </w:pPr>
            <w:r>
              <w:rPr>
                <w:rFonts w:ascii="Arial" w:cs="Arial" w:eastAsia="Arial" w:hAnsi="Arial"/>
                <w:sz w:val="18"/>
                <w:szCs w:val="18"/>
                <w:color w:val="064A75"/>
              </w:rPr>
              <w:t xml:space="preserve">•  </w:t>
            </w:r>
            <w:r>
              <w:rPr>
                <w:rFonts w:ascii="Arial" w:cs="Arial" w:eastAsia="Arial" w:hAnsi="Arial"/>
                <w:sz w:val="18"/>
                <w:szCs w:val="18"/>
                <w:color w:val="000000"/>
              </w:rPr>
              <w:t>Integrating</w:t>
            </w:r>
            <w:r>
              <w:rPr>
                <w:rFonts w:ascii="Arial" w:cs="Arial" w:eastAsia="Arial" w:hAnsi="Arial"/>
                <w:sz w:val="18"/>
                <w:szCs w:val="18"/>
                <w:color w:val="064A75"/>
              </w:rPr>
              <w:t xml:space="preserve"> </w:t>
            </w:r>
            <w:r>
              <w:rPr>
                <w:rFonts w:ascii="Arial" w:cs="Arial" w:eastAsia="Arial" w:hAnsi="Arial"/>
                <w:sz w:val="18"/>
                <w:szCs w:val="18"/>
                <w:b w:val="1"/>
                <w:bCs w:val="1"/>
                <w:color w:val="000000"/>
              </w:rPr>
              <w:t>environmental sustainability</w:t>
            </w:r>
            <w:r>
              <w:rPr>
                <w:rFonts w:ascii="Arial" w:cs="Arial" w:eastAsia="Arial" w:hAnsi="Arial"/>
                <w:sz w:val="18"/>
                <w:szCs w:val="18"/>
                <w:color w:val="064A75"/>
              </w:rPr>
              <w:t xml:space="preserve"> </w:t>
            </w:r>
            <w:r>
              <w:rPr>
                <w:rFonts w:ascii="Arial" w:cs="Arial" w:eastAsia="Arial" w:hAnsi="Arial"/>
                <w:sz w:val="18"/>
                <w:szCs w:val="18"/>
                <w:color w:val="000000"/>
              </w:rPr>
              <w:t>into</w:t>
            </w:r>
          </w:p>
        </w:tc>
        <w:tc>
          <w:tcPr>
            <w:tcW w:w="200" w:type="dxa"/>
            <w:vAlign w:val="bottom"/>
            <w:vMerge w:val="continue"/>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1220" w:type="dxa"/>
            <w:vAlign w:val="bottom"/>
            <w:tcBorders>
              <w:bottom w:val="single" w:sz="8" w:color="EEEFEF"/>
            </w:tcBorders>
            <w:shd w:val="clear" w:color="auto" w:fill="EEEFEF"/>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1760" w:type="dxa"/>
            <w:vAlign w:val="bottom"/>
            <w:gridSpan w:val="2"/>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w w:val="99"/>
              </w:rPr>
              <w:t>Business Practices</w:t>
            </w:r>
          </w:p>
        </w:tc>
        <w:tc>
          <w:tcPr>
            <w:tcW w:w="320" w:type="dxa"/>
            <w:vAlign w:val="bottom"/>
            <w:shd w:val="clear" w:color="auto" w:fill="EEEFEF"/>
          </w:tcPr>
          <w:p>
            <w:pPr>
              <w:spacing w:after="0"/>
              <w:rPr>
                <w:sz w:val="6"/>
                <w:szCs w:val="6"/>
                <w:color w:val="auto"/>
              </w:rPr>
            </w:pPr>
          </w:p>
        </w:tc>
        <w:tc>
          <w:tcPr>
            <w:tcW w:w="4200" w:type="dxa"/>
            <w:vAlign w:val="bottom"/>
            <w:gridSpan w:val="3"/>
            <w:vMerge w:val="continue"/>
          </w:tcPr>
          <w:p>
            <w:pPr>
              <w:spacing w:after="0"/>
              <w:rPr>
                <w:sz w:val="6"/>
                <w:szCs w:val="6"/>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064A75"/>
              </w:rPr>
              <w:t>•</w:t>
            </w: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auto"/>
              </w:rPr>
              <w:t xml:space="preserve">Promoting </w:t>
            </w:r>
            <w:r>
              <w:rPr>
                <w:rFonts w:ascii="Arial" w:cs="Arial" w:eastAsia="Arial" w:hAnsi="Arial"/>
                <w:sz w:val="18"/>
                <w:szCs w:val="18"/>
                <w:b w:val="1"/>
                <w:bCs w:val="1"/>
                <w:color w:val="auto"/>
              </w:rPr>
              <w:t>sound governance</w:t>
            </w:r>
          </w:p>
        </w:tc>
        <w:tc>
          <w:tcPr>
            <w:tcW w:w="1220" w:type="dxa"/>
            <w:vAlign w:val="bottom"/>
            <w:shd w:val="clear" w:color="auto" w:fill="EEEFEF"/>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760" w:type="dxa"/>
            <w:vAlign w:val="bottom"/>
            <w:gridSpan w:val="2"/>
            <w:vMerge w:val="continue"/>
            <w:shd w:val="clear" w:color="auto" w:fill="3E693D"/>
          </w:tcPr>
          <w:p>
            <w:pPr>
              <w:spacing w:after="0"/>
              <w:rPr>
                <w:sz w:val="12"/>
                <w:szCs w:val="12"/>
                <w:color w:val="auto"/>
              </w:rPr>
            </w:pPr>
          </w:p>
        </w:tc>
        <w:tc>
          <w:tcPr>
            <w:tcW w:w="320" w:type="dxa"/>
            <w:vAlign w:val="bottom"/>
            <w:shd w:val="clear" w:color="auto" w:fill="EEEFEF"/>
          </w:tcPr>
          <w:p>
            <w:pPr>
              <w:spacing w:after="0"/>
              <w:rPr>
                <w:sz w:val="12"/>
                <w:szCs w:val="12"/>
                <w:color w:val="auto"/>
              </w:rPr>
            </w:pPr>
          </w:p>
        </w:tc>
        <w:tc>
          <w:tcPr>
            <w:tcW w:w="4200" w:type="dxa"/>
            <w:vAlign w:val="bottom"/>
            <w:gridSpan w:val="3"/>
            <w:vMerge w:val="restart"/>
          </w:tcPr>
          <w:p>
            <w:pPr>
              <w:ind w:left="200"/>
              <w:spacing w:after="0"/>
              <w:rPr>
                <w:sz w:val="20"/>
                <w:szCs w:val="20"/>
                <w:color w:val="auto"/>
              </w:rPr>
            </w:pPr>
            <w:r>
              <w:rPr>
                <w:rFonts w:ascii="Arial" w:cs="Arial" w:eastAsia="Arial" w:hAnsi="Arial"/>
                <w:sz w:val="18"/>
                <w:szCs w:val="18"/>
                <w:color w:val="auto"/>
              </w:rPr>
              <w:t>business and operating decisions</w:t>
            </w:r>
          </w:p>
        </w:tc>
        <w:tc>
          <w:tcPr>
            <w:tcW w:w="200" w:type="dxa"/>
            <w:vAlign w:val="bottom"/>
            <w:vMerge w:val="continue"/>
          </w:tcPr>
          <w:p>
            <w:pPr>
              <w:spacing w:after="0"/>
              <w:rPr>
                <w:sz w:val="12"/>
                <w:szCs w:val="12"/>
                <w:color w:val="auto"/>
              </w:rPr>
            </w:pPr>
          </w:p>
        </w:tc>
        <w:tc>
          <w:tcPr>
            <w:tcW w:w="2940" w:type="dxa"/>
            <w:vAlign w:val="bottom"/>
            <w:gridSpan w:val="2"/>
            <w:vMerge w:val="continue"/>
          </w:tcPr>
          <w:p>
            <w:pPr>
              <w:spacing w:after="0"/>
              <w:rPr>
                <w:sz w:val="12"/>
                <w:szCs w:val="12"/>
                <w:color w:val="auto"/>
              </w:rPr>
            </w:pPr>
          </w:p>
        </w:tc>
        <w:tc>
          <w:tcPr>
            <w:tcW w:w="1220" w:type="dxa"/>
            <w:vAlign w:val="bottom"/>
            <w:shd w:val="clear" w:color="auto" w:fill="EEEFEF"/>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60" w:type="dxa"/>
            <w:vAlign w:val="bottom"/>
          </w:tcPr>
          <w:p>
            <w:pPr>
              <w:spacing w:after="0"/>
              <w:rPr>
                <w:sz w:val="8"/>
                <w:szCs w:val="8"/>
                <w:color w:val="auto"/>
              </w:rPr>
            </w:pPr>
          </w:p>
        </w:tc>
        <w:tc>
          <w:tcPr>
            <w:tcW w:w="1660" w:type="dxa"/>
            <w:vAlign w:val="bottom"/>
            <w:shd w:val="clear" w:color="auto" w:fill="3E693D"/>
          </w:tcPr>
          <w:p>
            <w:pPr>
              <w:spacing w:after="0"/>
              <w:rPr>
                <w:sz w:val="8"/>
                <w:szCs w:val="8"/>
                <w:color w:val="auto"/>
              </w:rPr>
            </w:pPr>
          </w:p>
        </w:tc>
        <w:tc>
          <w:tcPr>
            <w:tcW w:w="100" w:type="dxa"/>
            <w:vAlign w:val="bottom"/>
            <w:shd w:val="clear" w:color="auto" w:fill="3E693D"/>
          </w:tcPr>
          <w:p>
            <w:pPr>
              <w:spacing w:after="0"/>
              <w:rPr>
                <w:sz w:val="8"/>
                <w:szCs w:val="8"/>
                <w:color w:val="auto"/>
              </w:rPr>
            </w:pPr>
          </w:p>
        </w:tc>
        <w:tc>
          <w:tcPr>
            <w:tcW w:w="320" w:type="dxa"/>
            <w:vAlign w:val="bottom"/>
            <w:shd w:val="clear" w:color="auto" w:fill="EEEFEF"/>
          </w:tcPr>
          <w:p>
            <w:pPr>
              <w:spacing w:after="0"/>
              <w:rPr>
                <w:sz w:val="8"/>
                <w:szCs w:val="8"/>
                <w:color w:val="auto"/>
              </w:rPr>
            </w:pPr>
          </w:p>
        </w:tc>
        <w:tc>
          <w:tcPr>
            <w:tcW w:w="42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shd w:val="clear" w:color="auto" w:fill="EEEFEF"/>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1660" w:type="dxa"/>
            <w:vAlign w:val="bottom"/>
            <w:tcBorders>
              <w:bottom w:val="single" w:sz="8" w:color="3E693D"/>
            </w:tcBorders>
            <w:shd w:val="clear" w:color="auto" w:fill="3E693D"/>
          </w:tcPr>
          <w:p>
            <w:pPr>
              <w:spacing w:after="0"/>
              <w:rPr>
                <w:sz w:val="3"/>
                <w:szCs w:val="3"/>
                <w:color w:val="auto"/>
              </w:rPr>
            </w:pPr>
          </w:p>
        </w:tc>
        <w:tc>
          <w:tcPr>
            <w:tcW w:w="100" w:type="dxa"/>
            <w:vAlign w:val="bottom"/>
            <w:tcBorders>
              <w:bottom w:val="single" w:sz="8" w:color="3E693D"/>
            </w:tcBorders>
            <w:shd w:val="clear" w:color="auto" w:fill="3E693D"/>
          </w:tcPr>
          <w:p>
            <w:pPr>
              <w:spacing w:after="0"/>
              <w:rPr>
                <w:sz w:val="3"/>
                <w:szCs w:val="3"/>
                <w:color w:val="auto"/>
              </w:rPr>
            </w:pPr>
          </w:p>
        </w:tc>
        <w:tc>
          <w:tcPr>
            <w:tcW w:w="320" w:type="dxa"/>
            <w:vAlign w:val="bottom"/>
            <w:tcBorders>
              <w:bottom w:val="single" w:sz="8" w:color="EEEFEF"/>
            </w:tcBorders>
            <w:shd w:val="clear" w:color="auto" w:fill="EEEFEF"/>
          </w:tcPr>
          <w:p>
            <w:pPr>
              <w:spacing w:after="0"/>
              <w:rPr>
                <w:sz w:val="3"/>
                <w:szCs w:val="3"/>
                <w:color w:val="auto"/>
              </w:rPr>
            </w:pPr>
          </w:p>
        </w:tc>
        <w:tc>
          <w:tcPr>
            <w:tcW w:w="3060" w:type="dxa"/>
            <w:vAlign w:val="bottom"/>
            <w:tcBorders>
              <w:bottom w:val="single" w:sz="8" w:color="EEEFEF"/>
            </w:tcBorders>
          </w:tcPr>
          <w:p>
            <w:pPr>
              <w:spacing w:after="0"/>
              <w:rPr>
                <w:sz w:val="3"/>
                <w:szCs w:val="3"/>
                <w:color w:val="auto"/>
              </w:rPr>
            </w:pPr>
          </w:p>
        </w:tc>
        <w:tc>
          <w:tcPr>
            <w:tcW w:w="420" w:type="dxa"/>
            <w:vAlign w:val="bottom"/>
            <w:tcBorders>
              <w:bottom w:val="single" w:sz="8" w:color="EEEFEF"/>
            </w:tcBorders>
          </w:tcPr>
          <w:p>
            <w:pPr>
              <w:spacing w:after="0"/>
              <w:rPr>
                <w:sz w:val="3"/>
                <w:szCs w:val="3"/>
                <w:color w:val="auto"/>
              </w:rPr>
            </w:pPr>
          </w:p>
        </w:tc>
        <w:tc>
          <w:tcPr>
            <w:tcW w:w="3460" w:type="dxa"/>
            <w:vAlign w:val="bottom"/>
            <w:tcBorders>
              <w:bottom w:val="single" w:sz="8" w:color="EEEFEF"/>
            </w:tcBorders>
            <w:gridSpan w:val="3"/>
          </w:tcPr>
          <w:p>
            <w:pPr>
              <w:spacing w:after="0"/>
              <w:rPr>
                <w:sz w:val="3"/>
                <w:szCs w:val="3"/>
                <w:color w:val="auto"/>
              </w:rPr>
            </w:pPr>
          </w:p>
        </w:tc>
        <w:tc>
          <w:tcPr>
            <w:tcW w:w="400" w:type="dxa"/>
            <w:vAlign w:val="bottom"/>
            <w:tcBorders>
              <w:bottom w:val="single" w:sz="8" w:color="EEEFEF"/>
            </w:tcBorders>
          </w:tcPr>
          <w:p>
            <w:pPr>
              <w:spacing w:after="0"/>
              <w:rPr>
                <w:sz w:val="3"/>
                <w:szCs w:val="3"/>
                <w:color w:val="auto"/>
              </w:rPr>
            </w:pPr>
          </w:p>
        </w:tc>
        <w:tc>
          <w:tcPr>
            <w:tcW w:w="1220" w:type="dxa"/>
            <w:vAlign w:val="bottom"/>
            <w:tcBorders>
              <w:bottom w:val="single" w:sz="8" w:color="EEEFEF"/>
            </w:tcBorders>
            <w:shd w:val="clear" w:color="auto" w:fill="EEEFEF"/>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260" w:type="dxa"/>
            <w:vAlign w:val="bottom"/>
          </w:tcPr>
          <w:p>
            <w:pPr>
              <w:spacing w:after="0"/>
              <w:rPr>
                <w:sz w:val="24"/>
                <w:szCs w:val="24"/>
                <w:color w:val="auto"/>
              </w:rPr>
            </w:pPr>
          </w:p>
        </w:tc>
        <w:tc>
          <w:tcPr>
            <w:tcW w:w="10640" w:type="dxa"/>
            <w:vAlign w:val="bottom"/>
            <w:gridSpan w:val="10"/>
            <w:shd w:val="clear" w:color="auto" w:fill="EEEFEF"/>
          </w:tcPr>
          <w:p>
            <w:pPr>
              <w:ind w:left="20"/>
              <w:spacing w:after="0"/>
              <w:rPr>
                <w:sz w:val="20"/>
                <w:szCs w:val="20"/>
                <w:color w:val="auto"/>
              </w:rPr>
            </w:pPr>
            <w:r>
              <w:rPr>
                <w:rFonts w:ascii="Arial" w:cs="Arial" w:eastAsia="Arial" w:hAnsi="Arial"/>
                <w:sz w:val="18"/>
                <w:szCs w:val="18"/>
                <w:color w:val="auto"/>
              </w:rPr>
              <w:t>Businesses develop strategic initiatives that map to the strategic framework and are designed to reinforce the Firm’s operating</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6280" w:type="dxa"/>
            <w:vAlign w:val="bottom"/>
            <w:gridSpan w:val="6"/>
            <w:shd w:val="clear" w:color="auto" w:fill="EEEFEF"/>
          </w:tcPr>
          <w:p>
            <w:pPr>
              <w:ind w:left="20"/>
              <w:spacing w:after="0"/>
              <w:rPr>
                <w:sz w:val="20"/>
                <w:szCs w:val="20"/>
                <w:color w:val="auto"/>
              </w:rPr>
            </w:pPr>
            <w:r>
              <w:rPr>
                <w:rFonts w:ascii="Arial" w:cs="Arial" w:eastAsia="Arial" w:hAnsi="Arial"/>
                <w:sz w:val="18"/>
                <w:szCs w:val="18"/>
                <w:color w:val="auto"/>
              </w:rPr>
              <w:t>principles to be complete, global, diversified, and at scale.</w:t>
            </w:r>
          </w:p>
        </w:tc>
        <w:tc>
          <w:tcPr>
            <w:tcW w:w="200" w:type="dxa"/>
            <w:vAlign w:val="bottom"/>
            <w:shd w:val="clear" w:color="auto" w:fill="EEEFEF"/>
          </w:tcPr>
          <w:p>
            <w:pPr>
              <w:spacing w:after="0"/>
              <w:rPr>
                <w:sz w:val="20"/>
                <w:szCs w:val="20"/>
                <w:color w:val="auto"/>
              </w:rPr>
            </w:pPr>
          </w:p>
        </w:tc>
        <w:tc>
          <w:tcPr>
            <w:tcW w:w="2540" w:type="dxa"/>
            <w:vAlign w:val="bottom"/>
            <w:shd w:val="clear" w:color="auto" w:fill="EEEFEF"/>
          </w:tcPr>
          <w:p>
            <w:pPr>
              <w:spacing w:after="0"/>
              <w:rPr>
                <w:sz w:val="20"/>
                <w:szCs w:val="20"/>
                <w:color w:val="auto"/>
              </w:rPr>
            </w:pPr>
          </w:p>
        </w:tc>
        <w:tc>
          <w:tcPr>
            <w:tcW w:w="400" w:type="dxa"/>
            <w:vAlign w:val="bottom"/>
            <w:shd w:val="clear" w:color="auto" w:fill="EEEFEF"/>
          </w:tcPr>
          <w:p>
            <w:pPr>
              <w:spacing w:after="0"/>
              <w:rPr>
                <w:sz w:val="20"/>
                <w:szCs w:val="20"/>
                <w:color w:val="auto"/>
              </w:rPr>
            </w:pPr>
          </w:p>
        </w:tc>
        <w:tc>
          <w:tcPr>
            <w:tcW w:w="1220" w:type="dxa"/>
            <w:vAlign w:val="bottom"/>
            <w:shd w:val="clear" w:color="auto" w:fill="EEEFEF"/>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1660" w:type="dxa"/>
            <w:vAlign w:val="bottom"/>
            <w:shd w:val="clear" w:color="auto" w:fill="EEEFEF"/>
          </w:tcPr>
          <w:p>
            <w:pPr>
              <w:spacing w:after="0"/>
              <w:rPr>
                <w:sz w:val="13"/>
                <w:szCs w:val="13"/>
                <w:color w:val="auto"/>
              </w:rPr>
            </w:pPr>
          </w:p>
        </w:tc>
        <w:tc>
          <w:tcPr>
            <w:tcW w:w="100" w:type="dxa"/>
            <w:vAlign w:val="bottom"/>
            <w:shd w:val="clear" w:color="auto" w:fill="EEEFEF"/>
          </w:tcPr>
          <w:p>
            <w:pPr>
              <w:spacing w:after="0"/>
              <w:rPr>
                <w:sz w:val="13"/>
                <w:szCs w:val="13"/>
                <w:color w:val="auto"/>
              </w:rPr>
            </w:pPr>
          </w:p>
        </w:tc>
        <w:tc>
          <w:tcPr>
            <w:tcW w:w="3380" w:type="dxa"/>
            <w:vAlign w:val="bottom"/>
            <w:tcBorders>
              <w:right w:val="single" w:sz="8" w:color="EEEFEF"/>
            </w:tcBorders>
            <w:gridSpan w:val="2"/>
            <w:shd w:val="clear" w:color="auto" w:fill="EEEFEF"/>
          </w:tcPr>
          <w:p>
            <w:pPr>
              <w:spacing w:after="0"/>
              <w:rPr>
                <w:sz w:val="13"/>
                <w:szCs w:val="13"/>
                <w:color w:val="auto"/>
              </w:rPr>
            </w:pPr>
          </w:p>
        </w:tc>
        <w:tc>
          <w:tcPr>
            <w:tcW w:w="420" w:type="dxa"/>
            <w:vAlign w:val="bottom"/>
            <w:tcBorders>
              <w:right w:val="single" w:sz="8" w:color="EEEFEF"/>
            </w:tcBorders>
            <w:shd w:val="clear" w:color="auto" w:fill="EEEFEF"/>
          </w:tcPr>
          <w:p>
            <w:pPr>
              <w:spacing w:after="0"/>
              <w:rPr>
                <w:sz w:val="13"/>
                <w:szCs w:val="13"/>
                <w:color w:val="auto"/>
              </w:rPr>
            </w:pPr>
          </w:p>
        </w:tc>
        <w:tc>
          <w:tcPr>
            <w:tcW w:w="720" w:type="dxa"/>
            <w:vAlign w:val="bottom"/>
            <w:shd w:val="clear" w:color="auto" w:fill="EEEFEF"/>
          </w:tcPr>
          <w:p>
            <w:pPr>
              <w:spacing w:after="0"/>
              <w:rPr>
                <w:sz w:val="13"/>
                <w:szCs w:val="13"/>
                <w:color w:val="auto"/>
              </w:rPr>
            </w:pPr>
          </w:p>
        </w:tc>
        <w:tc>
          <w:tcPr>
            <w:tcW w:w="200" w:type="dxa"/>
            <w:vAlign w:val="bottom"/>
            <w:shd w:val="clear" w:color="auto" w:fill="EEEFEF"/>
          </w:tcPr>
          <w:p>
            <w:pPr>
              <w:spacing w:after="0"/>
              <w:rPr>
                <w:sz w:val="13"/>
                <w:szCs w:val="13"/>
                <w:color w:val="auto"/>
              </w:rPr>
            </w:pPr>
          </w:p>
        </w:tc>
        <w:tc>
          <w:tcPr>
            <w:tcW w:w="2540" w:type="dxa"/>
            <w:vAlign w:val="bottom"/>
            <w:shd w:val="clear" w:color="auto" w:fill="EEEFEF"/>
          </w:tcPr>
          <w:p>
            <w:pPr>
              <w:spacing w:after="0"/>
              <w:rPr>
                <w:sz w:val="13"/>
                <w:szCs w:val="13"/>
                <w:color w:val="auto"/>
              </w:rPr>
            </w:pPr>
          </w:p>
        </w:tc>
        <w:tc>
          <w:tcPr>
            <w:tcW w:w="1620" w:type="dxa"/>
            <w:vAlign w:val="bottom"/>
            <w:gridSpan w:val="2"/>
            <w:shd w:val="clear" w:color="auto" w:fill="EEEFE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5"/>
        </w:trPr>
        <w:tc>
          <w:tcPr>
            <w:tcW w:w="1920" w:type="dxa"/>
            <w:vAlign w:val="bottom"/>
            <w:gridSpan w:val="2"/>
            <w:vMerge w:val="restart"/>
          </w:tcPr>
          <w:p>
            <w:pPr>
              <w:spacing w:after="0"/>
              <w:rPr>
                <w:sz w:val="20"/>
                <w:szCs w:val="20"/>
                <w:color w:val="auto"/>
              </w:rPr>
            </w:pPr>
            <w:r>
              <w:rPr>
                <w:rFonts w:ascii="Arial" w:cs="Arial" w:eastAsia="Arial" w:hAnsi="Arial"/>
                <w:sz w:val="14"/>
                <w:szCs w:val="14"/>
                <w:color w:val="074A75"/>
              </w:rPr>
              <w:t>JPMORGAN CHASE &amp; CO.</w:t>
            </w:r>
          </w:p>
        </w:tc>
        <w:tc>
          <w:tcPr>
            <w:tcW w:w="100" w:type="dxa"/>
            <w:vAlign w:val="bottom"/>
          </w:tcPr>
          <w:p>
            <w:pPr>
              <w:spacing w:after="0"/>
              <w:rPr>
                <w:sz w:val="24"/>
                <w:szCs w:val="24"/>
                <w:color w:val="auto"/>
              </w:rPr>
            </w:pPr>
          </w:p>
        </w:tc>
        <w:tc>
          <w:tcPr>
            <w:tcW w:w="33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20" w:type="dxa"/>
            <w:vAlign w:val="bottom"/>
            <w:gridSpan w:val="3"/>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88"/>
        </w:trPr>
        <w:tc>
          <w:tcPr>
            <w:tcW w:w="1920" w:type="dxa"/>
            <w:vAlign w:val="bottom"/>
            <w:gridSpan w:val="2"/>
            <w:vMerge w:val="continue"/>
          </w:tcPr>
          <w:p>
            <w:pPr>
              <w:spacing w:after="0"/>
              <w:rPr>
                <w:sz w:val="7"/>
                <w:szCs w:val="7"/>
                <w:color w:val="auto"/>
              </w:rPr>
            </w:pPr>
          </w:p>
        </w:tc>
        <w:tc>
          <w:tcPr>
            <w:tcW w:w="100" w:type="dxa"/>
            <w:vAlign w:val="bottom"/>
            <w:tcBorders>
              <w:bottom w:val="single" w:sz="8" w:color="8A8C8F"/>
            </w:tcBorders>
          </w:tcPr>
          <w:p>
            <w:pPr>
              <w:spacing w:after="0"/>
              <w:rPr>
                <w:sz w:val="7"/>
                <w:szCs w:val="7"/>
                <w:color w:val="auto"/>
              </w:rPr>
            </w:pPr>
          </w:p>
        </w:tc>
        <w:tc>
          <w:tcPr>
            <w:tcW w:w="320" w:type="dxa"/>
            <w:vAlign w:val="bottom"/>
            <w:tcBorders>
              <w:bottom w:val="single" w:sz="8" w:color="8A8C8F"/>
            </w:tcBorders>
          </w:tcPr>
          <w:p>
            <w:pPr>
              <w:spacing w:after="0"/>
              <w:rPr>
                <w:sz w:val="7"/>
                <w:szCs w:val="7"/>
                <w:color w:val="auto"/>
              </w:rPr>
            </w:pPr>
          </w:p>
        </w:tc>
        <w:tc>
          <w:tcPr>
            <w:tcW w:w="3060" w:type="dxa"/>
            <w:vAlign w:val="bottom"/>
            <w:tcBorders>
              <w:bottom w:val="single" w:sz="8" w:color="8A8C8F"/>
              <w:right w:val="single" w:sz="8" w:color="8A8C8F"/>
            </w:tcBorders>
          </w:tcPr>
          <w:p>
            <w:pPr>
              <w:spacing w:after="0"/>
              <w:rPr>
                <w:sz w:val="7"/>
                <w:szCs w:val="7"/>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40</w:t>
            </w:r>
          </w:p>
        </w:tc>
        <w:tc>
          <w:tcPr>
            <w:tcW w:w="720" w:type="dxa"/>
            <w:vAlign w:val="bottom"/>
            <w:tcBorders>
              <w:bottom w:val="single" w:sz="8" w:color="8A8C8F"/>
            </w:tcBorders>
          </w:tcPr>
          <w:p>
            <w:pPr>
              <w:spacing w:after="0"/>
              <w:rPr>
                <w:sz w:val="7"/>
                <w:szCs w:val="7"/>
                <w:color w:val="auto"/>
              </w:rPr>
            </w:pPr>
          </w:p>
        </w:tc>
        <w:tc>
          <w:tcPr>
            <w:tcW w:w="200" w:type="dxa"/>
            <w:vAlign w:val="bottom"/>
            <w:tcBorders>
              <w:bottom w:val="single" w:sz="8" w:color="8A8C8F"/>
            </w:tcBorders>
          </w:tcPr>
          <w:p>
            <w:pPr>
              <w:spacing w:after="0"/>
              <w:rPr>
                <w:sz w:val="7"/>
                <w:szCs w:val="7"/>
                <w:color w:val="auto"/>
              </w:rPr>
            </w:pPr>
          </w:p>
        </w:tc>
        <w:tc>
          <w:tcPr>
            <w:tcW w:w="2540" w:type="dxa"/>
            <w:vAlign w:val="bottom"/>
            <w:tcBorders>
              <w:bottom w:val="single" w:sz="8" w:color="8A8C8F"/>
            </w:tcBorders>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380" w:type="dxa"/>
            <w:vAlign w:val="bottom"/>
            <w:tcBorders>
              <w:right w:val="single" w:sz="8" w:color="8A8C8F"/>
            </w:tcBorders>
            <w:gridSpan w:val="2"/>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9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1685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2168525"/>
                    </a:xfrm>
                    <a:prstGeom prst="rect">
                      <a:avLst/>
                    </a:prstGeom>
                    <a:noFill/>
                  </pic:spPr>
                </pic:pic>
              </a:graphicData>
            </a:graphic>
          </wp:anchor>
        </w:drawing>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29"/>
          <w:szCs w:val="29"/>
          <w:color w:val="074A75"/>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-207645</wp:posOffset>
            </wp:positionV>
            <wp:extent cx="6960870" cy="8312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60870" cy="831215"/>
                    </a:xfrm>
                    <a:prstGeom prst="rect">
                      <a:avLst/>
                    </a:prstGeom>
                    <a:noFill/>
                  </pic:spPr>
                </pic:pic>
              </a:graphicData>
            </a:graphic>
          </wp:anchor>
        </w:drawing>
      </w:r>
    </w:p>
    <w:p>
      <w:pPr>
        <w:spacing w:after="0" w:line="321" w:lineRule="exact"/>
        <w:rPr>
          <w:sz w:val="20"/>
          <w:szCs w:val="20"/>
          <w:color w:val="auto"/>
        </w:rPr>
      </w:pPr>
    </w:p>
    <w:p>
      <w:pPr>
        <w:ind w:left="300" w:right="540"/>
        <w:spacing w:after="0" w:line="277" w:lineRule="auto"/>
        <w:rPr>
          <w:sz w:val="20"/>
          <w:szCs w:val="20"/>
          <w:color w:val="auto"/>
        </w:rPr>
      </w:pPr>
      <w:r>
        <w:rPr>
          <w:rFonts w:ascii="Arial" w:cs="Arial" w:eastAsia="Arial" w:hAnsi="Arial"/>
          <w:sz w:val="18"/>
          <w:szCs w:val="18"/>
          <w:color w:val="auto"/>
        </w:rPr>
        <w:t>Also guided by our Business Principles, our compensation philosophy is fundamental to our goal to attract, retain, and motivate our workforce in a competitive market.</w:t>
      </w: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3E693D"/>
                <w:w w:val="99"/>
              </w:rPr>
              <w:t>Paying for performance</w:t>
            </w:r>
          </w:p>
        </w:tc>
        <w:tc>
          <w:tcPr>
            <w:tcW w:w="300" w:type="dxa"/>
            <w:vAlign w:val="bottom"/>
          </w:tcPr>
          <w:p>
            <w:pPr>
              <w:spacing w:after="0"/>
              <w:rPr>
                <w:sz w:val="14"/>
                <w:szCs w:val="14"/>
                <w:color w:val="auto"/>
              </w:rPr>
            </w:pPr>
          </w:p>
        </w:tc>
        <w:tc>
          <w:tcPr>
            <w:tcW w:w="2260" w:type="dxa"/>
            <w:vAlign w:val="bottom"/>
            <w:gridSpan w:val="3"/>
            <w:vMerge w:val="restart"/>
          </w:tcPr>
          <w:p>
            <w:pPr>
              <w:jc w:val="center"/>
              <w:ind w:left="270"/>
              <w:spacing w:after="0"/>
              <w:rPr>
                <w:sz w:val="20"/>
                <w:szCs w:val="20"/>
                <w:color w:val="auto"/>
              </w:rPr>
            </w:pPr>
            <w:r>
              <w:rPr>
                <w:rFonts w:ascii="Arial" w:cs="Arial" w:eastAsia="Arial" w:hAnsi="Arial"/>
                <w:sz w:val="18"/>
                <w:szCs w:val="18"/>
                <w:b w:val="1"/>
                <w:bCs w:val="1"/>
                <w:color w:val="3E693D"/>
              </w:rPr>
              <w:t>Encouraging a shared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gridSpan w:val="3"/>
            <w:vMerge w:val="restart"/>
          </w:tcPr>
          <w:p>
            <w:pPr>
              <w:jc w:val="center"/>
              <w:ind w:right="590"/>
              <w:spacing w:after="0"/>
              <w:rPr>
                <w:sz w:val="20"/>
                <w:szCs w:val="20"/>
                <w:color w:val="auto"/>
              </w:rPr>
            </w:pPr>
            <w:r>
              <w:rPr>
                <w:rFonts w:ascii="Arial" w:cs="Arial" w:eastAsia="Arial" w:hAnsi="Arial"/>
                <w:sz w:val="18"/>
                <w:szCs w:val="18"/>
                <w:b w:val="1"/>
                <w:bCs w:val="1"/>
                <w:color w:val="3E693D"/>
                <w:w w:val="99"/>
              </w:rPr>
              <w:t>Attracting and</w:t>
            </w:r>
          </w:p>
        </w:tc>
        <w:tc>
          <w:tcPr>
            <w:tcW w:w="1200" w:type="dxa"/>
            <w:vAlign w:val="bottom"/>
          </w:tcPr>
          <w:p>
            <w:pPr>
              <w:spacing w:after="0"/>
              <w:rPr>
                <w:sz w:val="14"/>
                <w:szCs w:val="14"/>
                <w:color w:val="auto"/>
              </w:rPr>
            </w:pPr>
          </w:p>
        </w:tc>
        <w:tc>
          <w:tcPr>
            <w:tcW w:w="160" w:type="dxa"/>
            <w:vAlign w:val="bottom"/>
            <w:shd w:val="clear" w:color="auto" w:fill="EEEEE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160" w:type="dxa"/>
            <w:vAlign w:val="bottom"/>
            <w:shd w:val="clear" w:color="auto" w:fill="EEEEEF"/>
          </w:tcPr>
          <w:p>
            <w:pPr>
              <w:spacing w:after="0"/>
              <w:rPr>
                <w:sz w:val="19"/>
                <w:szCs w:val="19"/>
                <w:color w:val="auto"/>
              </w:rPr>
            </w:pPr>
          </w:p>
        </w:tc>
        <w:tc>
          <w:tcPr>
            <w:tcW w:w="2600" w:type="dxa"/>
            <w:vAlign w:val="bottom"/>
            <w:gridSpan w:val="3"/>
            <w:vMerge w:val="continue"/>
          </w:tcPr>
          <w:p>
            <w:pPr>
              <w:spacing w:after="0"/>
              <w:rPr>
                <w:sz w:val="19"/>
                <w:szCs w:val="19"/>
                <w:color w:val="auto"/>
              </w:rPr>
            </w:pPr>
          </w:p>
        </w:tc>
        <w:tc>
          <w:tcPr>
            <w:tcW w:w="300" w:type="dxa"/>
            <w:vAlign w:val="bottom"/>
            <w:shd w:val="clear" w:color="auto" w:fill="EEEEEF"/>
          </w:tcPr>
          <w:p>
            <w:pPr>
              <w:spacing w:after="0"/>
              <w:rPr>
                <w:sz w:val="19"/>
                <w:szCs w:val="19"/>
                <w:color w:val="auto"/>
              </w:rPr>
            </w:pPr>
          </w:p>
        </w:tc>
        <w:tc>
          <w:tcPr>
            <w:tcW w:w="226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shd w:val="clear" w:color="auto" w:fill="EEEEEF"/>
          </w:tcPr>
          <w:p>
            <w:pPr>
              <w:spacing w:after="0"/>
              <w:rPr>
                <w:sz w:val="19"/>
                <w:szCs w:val="19"/>
                <w:color w:val="auto"/>
              </w:rPr>
            </w:pPr>
          </w:p>
        </w:tc>
        <w:tc>
          <w:tcPr>
            <w:tcW w:w="680" w:type="dxa"/>
            <w:vAlign w:val="bottom"/>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1200" w:type="dxa"/>
            <w:vAlign w:val="bottom"/>
            <w:shd w:val="clear" w:color="auto" w:fill="EEEEEF"/>
          </w:tcPr>
          <w:p>
            <w:pPr>
              <w:spacing w:after="0"/>
              <w:rPr>
                <w:sz w:val="19"/>
                <w:szCs w:val="19"/>
                <w:color w:val="auto"/>
              </w:rPr>
            </w:pPr>
          </w:p>
        </w:tc>
        <w:tc>
          <w:tcPr>
            <w:tcW w:w="160" w:type="dxa"/>
            <w:vAlign w:val="bottom"/>
            <w:shd w:val="clear" w:color="auto" w:fill="EEEEE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60" w:type="dxa"/>
            <w:vAlign w:val="bottom"/>
            <w:shd w:val="clear" w:color="auto" w:fill="EEEEEF"/>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3E693D"/>
              </w:rPr>
              <w:t>and aligning with</w:t>
            </w:r>
          </w:p>
        </w:tc>
        <w:tc>
          <w:tcPr>
            <w:tcW w:w="300" w:type="dxa"/>
            <w:vAlign w:val="bottom"/>
            <w:shd w:val="clear" w:color="auto" w:fill="EEEEEF"/>
          </w:tcPr>
          <w:p>
            <w:pPr>
              <w:spacing w:after="0"/>
              <w:rPr>
                <w:sz w:val="18"/>
                <w:szCs w:val="18"/>
                <w:color w:val="auto"/>
              </w:rPr>
            </w:pPr>
          </w:p>
        </w:tc>
        <w:tc>
          <w:tcPr>
            <w:tcW w:w="22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3E693D"/>
                <w:w w:val="99"/>
              </w:rPr>
              <w:t>success culture</w:t>
            </w:r>
          </w:p>
        </w:tc>
        <w:tc>
          <w:tcPr>
            <w:tcW w:w="360" w:type="dxa"/>
            <w:vAlign w:val="bottom"/>
          </w:tcPr>
          <w:p>
            <w:pPr>
              <w:spacing w:after="0"/>
              <w:rPr>
                <w:sz w:val="18"/>
                <w:szCs w:val="18"/>
                <w:color w:val="auto"/>
              </w:rPr>
            </w:pPr>
          </w:p>
        </w:tc>
        <w:tc>
          <w:tcPr>
            <w:tcW w:w="300" w:type="dxa"/>
            <w:vAlign w:val="bottom"/>
            <w:shd w:val="clear" w:color="auto" w:fill="EEEEEF"/>
          </w:tcPr>
          <w:p>
            <w:pPr>
              <w:spacing w:after="0"/>
              <w:rPr>
                <w:sz w:val="18"/>
                <w:szCs w:val="18"/>
                <w:color w:val="auto"/>
              </w:rPr>
            </w:pPr>
          </w:p>
        </w:tc>
        <w:tc>
          <w:tcPr>
            <w:tcW w:w="2620" w:type="dxa"/>
            <w:vAlign w:val="bottom"/>
            <w:gridSpan w:val="4"/>
          </w:tcPr>
          <w:p>
            <w:pPr>
              <w:jc w:val="center"/>
              <w:spacing w:after="0"/>
              <w:rPr>
                <w:sz w:val="20"/>
                <w:szCs w:val="20"/>
                <w:color w:val="auto"/>
              </w:rPr>
            </w:pPr>
            <w:r>
              <w:rPr>
                <w:rFonts w:ascii="Arial" w:cs="Arial" w:eastAsia="Arial" w:hAnsi="Arial"/>
                <w:sz w:val="18"/>
                <w:szCs w:val="18"/>
                <w:b w:val="1"/>
                <w:bCs w:val="1"/>
                <w:color w:val="3E693D"/>
                <w:w w:val="99"/>
              </w:rPr>
              <w:t>retaining top and diverse</w:t>
            </w:r>
          </w:p>
        </w:tc>
        <w:tc>
          <w:tcPr>
            <w:tcW w:w="1200" w:type="dxa"/>
            <w:vAlign w:val="bottom"/>
            <w:shd w:val="clear" w:color="auto" w:fill="EEEEEF"/>
          </w:tcPr>
          <w:p>
            <w:pPr>
              <w:spacing w:after="0"/>
              <w:rPr>
                <w:sz w:val="18"/>
                <w:szCs w:val="18"/>
                <w:color w:val="auto"/>
              </w:rPr>
            </w:pPr>
          </w:p>
        </w:tc>
        <w:tc>
          <w:tcPr>
            <w:tcW w:w="160" w:type="dxa"/>
            <w:vAlign w:val="bottom"/>
            <w:shd w:val="clear" w:color="auto" w:fill="EEEEE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1160" w:type="dxa"/>
            <w:vAlign w:val="bottom"/>
            <w:tcBorders>
              <w:bottom w:val="single" w:sz="8" w:color="EEEEEF"/>
            </w:tcBorders>
            <w:shd w:val="clear" w:color="auto" w:fill="EEEEEF"/>
          </w:tcPr>
          <w:p>
            <w:pPr>
              <w:spacing w:after="0"/>
              <w:rPr>
                <w:sz w:val="22"/>
                <w:szCs w:val="22"/>
                <w:color w:val="auto"/>
              </w:rPr>
            </w:pPr>
          </w:p>
        </w:tc>
        <w:tc>
          <w:tcPr>
            <w:tcW w:w="2600" w:type="dxa"/>
            <w:vAlign w:val="bottom"/>
            <w:tcBorders>
              <w:bottom w:val="single" w:sz="8" w:color="1F5122"/>
            </w:tcBorders>
            <w:gridSpan w:val="3"/>
          </w:tcPr>
          <w:p>
            <w:pPr>
              <w:jc w:val="center"/>
              <w:spacing w:after="0"/>
              <w:rPr>
                <w:sz w:val="20"/>
                <w:szCs w:val="20"/>
                <w:color w:val="auto"/>
              </w:rPr>
            </w:pPr>
            <w:r>
              <w:rPr>
                <w:rFonts w:ascii="Arial" w:cs="Arial" w:eastAsia="Arial" w:hAnsi="Arial"/>
                <w:sz w:val="18"/>
                <w:szCs w:val="18"/>
                <w:b w:val="1"/>
                <w:bCs w:val="1"/>
                <w:color w:val="3E693D"/>
                <w:w w:val="99"/>
              </w:rPr>
              <w:t>shareholders’ interests</w:t>
            </w:r>
          </w:p>
        </w:tc>
        <w:tc>
          <w:tcPr>
            <w:tcW w:w="300" w:type="dxa"/>
            <w:vAlign w:val="bottom"/>
            <w:tcBorders>
              <w:bottom w:val="single" w:sz="8" w:color="EEEEEF"/>
            </w:tcBorders>
            <w:shd w:val="clear" w:color="auto" w:fill="EEEEEF"/>
          </w:tcPr>
          <w:p>
            <w:pPr>
              <w:spacing w:after="0"/>
              <w:rPr>
                <w:sz w:val="22"/>
                <w:szCs w:val="22"/>
                <w:color w:val="auto"/>
              </w:rPr>
            </w:pPr>
          </w:p>
        </w:tc>
        <w:tc>
          <w:tcPr>
            <w:tcW w:w="1180" w:type="dxa"/>
            <w:vAlign w:val="bottom"/>
            <w:tcBorders>
              <w:bottom w:val="single" w:sz="8" w:color="1F5122"/>
            </w:tcBorders>
          </w:tcPr>
          <w:p>
            <w:pPr>
              <w:spacing w:after="0"/>
              <w:rPr>
                <w:sz w:val="22"/>
                <w:szCs w:val="22"/>
                <w:color w:val="auto"/>
              </w:rPr>
            </w:pPr>
          </w:p>
        </w:tc>
        <w:tc>
          <w:tcPr>
            <w:tcW w:w="260" w:type="dxa"/>
            <w:vAlign w:val="bottom"/>
            <w:tcBorders>
              <w:bottom w:val="single" w:sz="8" w:color="1F5122"/>
            </w:tcBorders>
          </w:tcPr>
          <w:p>
            <w:pPr>
              <w:spacing w:after="0"/>
              <w:rPr>
                <w:sz w:val="22"/>
                <w:szCs w:val="22"/>
                <w:color w:val="auto"/>
              </w:rPr>
            </w:pPr>
          </w:p>
        </w:tc>
        <w:tc>
          <w:tcPr>
            <w:tcW w:w="820" w:type="dxa"/>
            <w:vAlign w:val="bottom"/>
            <w:tcBorders>
              <w:bottom w:val="single" w:sz="8" w:color="1F5122"/>
            </w:tcBorders>
          </w:tcPr>
          <w:p>
            <w:pPr>
              <w:spacing w:after="0"/>
              <w:rPr>
                <w:sz w:val="22"/>
                <w:szCs w:val="22"/>
                <w:color w:val="auto"/>
              </w:rPr>
            </w:pPr>
          </w:p>
        </w:tc>
        <w:tc>
          <w:tcPr>
            <w:tcW w:w="360" w:type="dxa"/>
            <w:vAlign w:val="bottom"/>
            <w:tcBorders>
              <w:bottom w:val="single" w:sz="8" w:color="1F5122"/>
            </w:tcBorders>
          </w:tcPr>
          <w:p>
            <w:pPr>
              <w:spacing w:after="0"/>
              <w:rPr>
                <w:sz w:val="22"/>
                <w:szCs w:val="22"/>
                <w:color w:val="auto"/>
              </w:rPr>
            </w:pPr>
          </w:p>
        </w:tc>
        <w:tc>
          <w:tcPr>
            <w:tcW w:w="300" w:type="dxa"/>
            <w:vAlign w:val="bottom"/>
            <w:tcBorders>
              <w:bottom w:val="single" w:sz="8" w:color="EEEEEF"/>
            </w:tcBorders>
            <w:shd w:val="clear" w:color="auto" w:fill="EEEEEF"/>
          </w:tcPr>
          <w:p>
            <w:pPr>
              <w:spacing w:after="0"/>
              <w:rPr>
                <w:sz w:val="22"/>
                <w:szCs w:val="22"/>
                <w:color w:val="auto"/>
              </w:rPr>
            </w:pPr>
          </w:p>
        </w:tc>
        <w:tc>
          <w:tcPr>
            <w:tcW w:w="680" w:type="dxa"/>
            <w:vAlign w:val="bottom"/>
            <w:tcBorders>
              <w:bottom w:val="single" w:sz="8" w:color="1F5122"/>
            </w:tcBorders>
          </w:tcPr>
          <w:p>
            <w:pPr>
              <w:spacing w:after="0"/>
              <w:rPr>
                <w:sz w:val="22"/>
                <w:szCs w:val="22"/>
                <w:color w:val="auto"/>
              </w:rPr>
            </w:pPr>
          </w:p>
        </w:tc>
        <w:tc>
          <w:tcPr>
            <w:tcW w:w="1940" w:type="dxa"/>
            <w:vAlign w:val="bottom"/>
            <w:tcBorders>
              <w:bottom w:val="single" w:sz="8" w:color="1F5122"/>
            </w:tcBorders>
            <w:gridSpan w:val="3"/>
          </w:tcPr>
          <w:p>
            <w:pPr>
              <w:jc w:val="center"/>
              <w:ind w:right="570"/>
              <w:spacing w:after="0"/>
              <w:rPr>
                <w:sz w:val="20"/>
                <w:szCs w:val="20"/>
                <w:color w:val="auto"/>
              </w:rPr>
            </w:pPr>
            <w:r>
              <w:rPr>
                <w:rFonts w:ascii="Arial" w:cs="Arial" w:eastAsia="Arial" w:hAnsi="Arial"/>
                <w:sz w:val="18"/>
                <w:szCs w:val="18"/>
                <w:b w:val="1"/>
                <w:bCs w:val="1"/>
                <w:color w:val="3E693D"/>
                <w:w w:val="99"/>
              </w:rPr>
              <w:t>talent</w:t>
            </w:r>
          </w:p>
        </w:tc>
        <w:tc>
          <w:tcPr>
            <w:tcW w:w="1200" w:type="dxa"/>
            <w:vAlign w:val="bottom"/>
            <w:tcBorders>
              <w:bottom w:val="single" w:sz="8" w:color="EEEEEF"/>
            </w:tcBorders>
            <w:shd w:val="clear" w:color="auto" w:fill="EEEEEF"/>
          </w:tcPr>
          <w:p>
            <w:pPr>
              <w:spacing w:after="0"/>
              <w:rPr>
                <w:sz w:val="22"/>
                <w:szCs w:val="22"/>
                <w:color w:val="auto"/>
              </w:rPr>
            </w:pPr>
          </w:p>
        </w:tc>
        <w:tc>
          <w:tcPr>
            <w:tcW w:w="160" w:type="dxa"/>
            <w:vAlign w:val="bottom"/>
            <w:tcBorders>
              <w:bottom w:val="single" w:sz="8" w:color="EEEEEF"/>
            </w:tcBorders>
            <w:shd w:val="clear" w:color="auto" w:fill="EEEEE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160" w:type="dxa"/>
            <w:vAlign w:val="bottom"/>
            <w:shd w:val="clear" w:color="auto" w:fill="EEEEEF"/>
          </w:tcPr>
          <w:p>
            <w:pPr>
              <w:spacing w:after="0"/>
              <w:rPr>
                <w:sz w:val="21"/>
                <w:szCs w:val="21"/>
                <w:color w:val="auto"/>
              </w:rPr>
            </w:pPr>
          </w:p>
        </w:tc>
        <w:tc>
          <w:tcPr>
            <w:tcW w:w="1180" w:type="dxa"/>
            <w:vAlign w:val="bottom"/>
            <w:shd w:val="clear" w:color="auto" w:fill="EEEEEF"/>
          </w:tcPr>
          <w:p>
            <w:pPr>
              <w:spacing w:after="0"/>
              <w:rPr>
                <w:sz w:val="21"/>
                <w:szCs w:val="21"/>
                <w:color w:val="auto"/>
              </w:rPr>
            </w:pPr>
          </w:p>
        </w:tc>
        <w:tc>
          <w:tcPr>
            <w:tcW w:w="260" w:type="dxa"/>
            <w:vAlign w:val="bottom"/>
            <w:shd w:val="clear" w:color="auto" w:fill="EEEEEF"/>
          </w:tcPr>
          <w:p>
            <w:pPr>
              <w:spacing w:after="0"/>
              <w:rPr>
                <w:sz w:val="21"/>
                <w:szCs w:val="21"/>
                <w:color w:val="auto"/>
              </w:rPr>
            </w:pPr>
          </w:p>
        </w:tc>
        <w:tc>
          <w:tcPr>
            <w:tcW w:w="1160" w:type="dxa"/>
            <w:vAlign w:val="bottom"/>
            <w:shd w:val="clear" w:color="auto" w:fill="EEEEEF"/>
          </w:tcPr>
          <w:p>
            <w:pPr>
              <w:spacing w:after="0"/>
              <w:rPr>
                <w:sz w:val="21"/>
                <w:szCs w:val="21"/>
                <w:color w:val="auto"/>
              </w:rPr>
            </w:pPr>
          </w:p>
        </w:tc>
        <w:tc>
          <w:tcPr>
            <w:tcW w:w="300" w:type="dxa"/>
            <w:vAlign w:val="bottom"/>
            <w:shd w:val="clear" w:color="auto" w:fill="EEEEEF"/>
          </w:tcPr>
          <w:p>
            <w:pPr>
              <w:spacing w:after="0"/>
              <w:rPr>
                <w:sz w:val="21"/>
                <w:szCs w:val="21"/>
                <w:color w:val="auto"/>
              </w:rPr>
            </w:pPr>
          </w:p>
        </w:tc>
        <w:tc>
          <w:tcPr>
            <w:tcW w:w="1180" w:type="dxa"/>
            <w:vAlign w:val="bottom"/>
            <w:shd w:val="clear" w:color="auto" w:fill="EEEEEF"/>
          </w:tcPr>
          <w:p>
            <w:pPr>
              <w:spacing w:after="0"/>
              <w:rPr>
                <w:sz w:val="21"/>
                <w:szCs w:val="21"/>
                <w:color w:val="auto"/>
              </w:rPr>
            </w:pPr>
          </w:p>
        </w:tc>
        <w:tc>
          <w:tcPr>
            <w:tcW w:w="260" w:type="dxa"/>
            <w:vAlign w:val="bottom"/>
            <w:shd w:val="clear" w:color="auto" w:fill="EEEEEF"/>
          </w:tcPr>
          <w:p>
            <w:pPr>
              <w:spacing w:after="0"/>
              <w:rPr>
                <w:sz w:val="21"/>
                <w:szCs w:val="21"/>
                <w:color w:val="auto"/>
              </w:rPr>
            </w:pPr>
          </w:p>
        </w:tc>
        <w:tc>
          <w:tcPr>
            <w:tcW w:w="820" w:type="dxa"/>
            <w:vAlign w:val="bottom"/>
            <w:shd w:val="clear" w:color="auto" w:fill="EEEEEF"/>
          </w:tcPr>
          <w:p>
            <w:pPr>
              <w:spacing w:after="0"/>
              <w:rPr>
                <w:sz w:val="21"/>
                <w:szCs w:val="21"/>
                <w:color w:val="auto"/>
              </w:rPr>
            </w:pPr>
          </w:p>
        </w:tc>
        <w:tc>
          <w:tcPr>
            <w:tcW w:w="360" w:type="dxa"/>
            <w:vAlign w:val="bottom"/>
            <w:shd w:val="clear" w:color="auto" w:fill="EEEEEF"/>
          </w:tcPr>
          <w:p>
            <w:pPr>
              <w:spacing w:after="0"/>
              <w:rPr>
                <w:sz w:val="21"/>
                <w:szCs w:val="21"/>
                <w:color w:val="auto"/>
              </w:rPr>
            </w:pPr>
          </w:p>
        </w:tc>
        <w:tc>
          <w:tcPr>
            <w:tcW w:w="300" w:type="dxa"/>
            <w:vAlign w:val="bottom"/>
            <w:shd w:val="clear" w:color="auto" w:fill="EEEEEF"/>
          </w:tcPr>
          <w:p>
            <w:pPr>
              <w:spacing w:after="0"/>
              <w:rPr>
                <w:sz w:val="21"/>
                <w:szCs w:val="21"/>
                <w:color w:val="auto"/>
              </w:rPr>
            </w:pPr>
          </w:p>
        </w:tc>
        <w:tc>
          <w:tcPr>
            <w:tcW w:w="680" w:type="dxa"/>
            <w:vAlign w:val="bottom"/>
            <w:shd w:val="clear" w:color="auto" w:fill="EEEEEF"/>
          </w:tcPr>
          <w:p>
            <w:pPr>
              <w:spacing w:after="0"/>
              <w:rPr>
                <w:sz w:val="21"/>
                <w:szCs w:val="21"/>
                <w:color w:val="auto"/>
              </w:rPr>
            </w:pPr>
          </w:p>
        </w:tc>
        <w:tc>
          <w:tcPr>
            <w:tcW w:w="500" w:type="dxa"/>
            <w:vAlign w:val="bottom"/>
            <w:shd w:val="clear" w:color="auto" w:fill="EEEEEF"/>
          </w:tcPr>
          <w:p>
            <w:pPr>
              <w:spacing w:after="0"/>
              <w:rPr>
                <w:sz w:val="21"/>
                <w:szCs w:val="21"/>
                <w:color w:val="auto"/>
              </w:rPr>
            </w:pPr>
          </w:p>
        </w:tc>
        <w:tc>
          <w:tcPr>
            <w:tcW w:w="260" w:type="dxa"/>
            <w:vAlign w:val="bottom"/>
            <w:shd w:val="clear" w:color="auto" w:fill="EEEEEF"/>
          </w:tcPr>
          <w:p>
            <w:pPr>
              <w:spacing w:after="0"/>
              <w:rPr>
                <w:sz w:val="21"/>
                <w:szCs w:val="21"/>
                <w:color w:val="auto"/>
              </w:rPr>
            </w:pPr>
          </w:p>
        </w:tc>
        <w:tc>
          <w:tcPr>
            <w:tcW w:w="1180" w:type="dxa"/>
            <w:vAlign w:val="bottom"/>
            <w:shd w:val="clear" w:color="auto" w:fill="EEEEEF"/>
          </w:tcPr>
          <w:p>
            <w:pPr>
              <w:spacing w:after="0"/>
              <w:rPr>
                <w:sz w:val="21"/>
                <w:szCs w:val="21"/>
                <w:color w:val="auto"/>
              </w:rPr>
            </w:pPr>
          </w:p>
        </w:tc>
        <w:tc>
          <w:tcPr>
            <w:tcW w:w="1200" w:type="dxa"/>
            <w:vAlign w:val="bottom"/>
            <w:shd w:val="clear" w:color="auto" w:fill="EEEEEF"/>
          </w:tcPr>
          <w:p>
            <w:pPr>
              <w:spacing w:after="0"/>
              <w:rPr>
                <w:sz w:val="21"/>
                <w:szCs w:val="21"/>
                <w:color w:val="auto"/>
              </w:rPr>
            </w:pPr>
          </w:p>
        </w:tc>
        <w:tc>
          <w:tcPr>
            <w:tcW w:w="160" w:type="dxa"/>
            <w:vAlign w:val="bottom"/>
            <w:shd w:val="clear" w:color="auto" w:fill="EEEEE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Integrating risk</w:t>
            </w:r>
          </w:p>
        </w:tc>
        <w:tc>
          <w:tcPr>
            <w:tcW w:w="260" w:type="dxa"/>
            <w:vAlign w:val="bottom"/>
            <w:shd w:val="clear" w:color="auto" w:fill="EEEEEF"/>
          </w:tcPr>
          <w:p>
            <w:pPr>
              <w:spacing w:after="0"/>
              <w:rPr>
                <w:sz w:val="19"/>
                <w:szCs w:val="19"/>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3E693D"/>
              </w:rPr>
              <w:t>No special perquisites</w:t>
            </w:r>
          </w:p>
        </w:tc>
        <w:tc>
          <w:tcPr>
            <w:tcW w:w="260" w:type="dxa"/>
            <w:vAlign w:val="bottom"/>
            <w:shd w:val="clear" w:color="auto" w:fill="EEEEEF"/>
          </w:tcPr>
          <w:p>
            <w:pPr>
              <w:spacing w:after="0"/>
              <w:rPr>
                <w:sz w:val="19"/>
                <w:szCs w:val="19"/>
                <w:color w:val="auto"/>
              </w:rPr>
            </w:pPr>
          </w:p>
        </w:tc>
        <w:tc>
          <w:tcPr>
            <w:tcW w:w="216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3E693D"/>
              </w:rPr>
              <w:t>Maintaining strong</w:t>
            </w:r>
          </w:p>
        </w:tc>
        <w:tc>
          <w:tcPr>
            <w:tcW w:w="500" w:type="dxa"/>
            <w:vAlign w:val="bottom"/>
          </w:tcPr>
          <w:p>
            <w:pPr>
              <w:spacing w:after="0"/>
              <w:rPr>
                <w:sz w:val="19"/>
                <w:szCs w:val="19"/>
                <w:color w:val="auto"/>
              </w:rPr>
            </w:pPr>
          </w:p>
        </w:tc>
        <w:tc>
          <w:tcPr>
            <w:tcW w:w="260" w:type="dxa"/>
            <w:vAlign w:val="bottom"/>
            <w:shd w:val="clear" w:color="auto" w:fill="EEEEEF"/>
          </w:tcPr>
          <w:p>
            <w:pPr>
              <w:spacing w:after="0"/>
              <w:rPr>
                <w:sz w:val="19"/>
                <w:szCs w:val="19"/>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Transparency with</w:t>
            </w:r>
          </w:p>
        </w:tc>
        <w:tc>
          <w:tcPr>
            <w:tcW w:w="160" w:type="dxa"/>
            <w:vAlign w:val="bottom"/>
            <w:shd w:val="clear" w:color="auto" w:fill="EEEEE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management and</w:t>
            </w:r>
          </w:p>
        </w:tc>
        <w:tc>
          <w:tcPr>
            <w:tcW w:w="260" w:type="dxa"/>
            <w:vAlign w:val="bottom"/>
            <w:shd w:val="clear" w:color="auto" w:fill="EEEEEF"/>
          </w:tcPr>
          <w:p>
            <w:pPr>
              <w:spacing w:after="0"/>
              <w:rPr>
                <w:sz w:val="18"/>
                <w:szCs w:val="18"/>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3E693D"/>
                <w:w w:val="99"/>
              </w:rPr>
              <w:t>and non-performance</w:t>
            </w:r>
          </w:p>
        </w:tc>
        <w:tc>
          <w:tcPr>
            <w:tcW w:w="260" w:type="dxa"/>
            <w:vAlign w:val="bottom"/>
            <w:shd w:val="clear" w:color="auto" w:fill="EEEEEF"/>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3E693D"/>
              </w:rPr>
              <w:t>governance</w:t>
            </w:r>
          </w:p>
        </w:tc>
        <w:tc>
          <w:tcPr>
            <w:tcW w:w="500" w:type="dxa"/>
            <w:vAlign w:val="bottom"/>
          </w:tcPr>
          <w:p>
            <w:pPr>
              <w:spacing w:after="0"/>
              <w:rPr>
                <w:sz w:val="18"/>
                <w:szCs w:val="18"/>
                <w:color w:val="auto"/>
              </w:rPr>
            </w:pPr>
          </w:p>
        </w:tc>
        <w:tc>
          <w:tcPr>
            <w:tcW w:w="260" w:type="dxa"/>
            <w:vAlign w:val="bottom"/>
            <w:shd w:val="clear" w:color="auto" w:fill="EEEEEF"/>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3E693D"/>
              </w:rPr>
              <w:t>shareholders</w:t>
            </w:r>
          </w:p>
        </w:tc>
        <w:tc>
          <w:tcPr>
            <w:tcW w:w="160" w:type="dxa"/>
            <w:vAlign w:val="bottom"/>
            <w:shd w:val="clear" w:color="auto" w:fill="EEEEE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80" w:type="dxa"/>
            <w:vAlign w:val="bottom"/>
          </w:tcPr>
          <w:p>
            <w:pPr>
              <w:spacing w:after="0"/>
              <w:rPr>
                <w:sz w:val="22"/>
                <w:szCs w:val="22"/>
                <w:color w:val="auto"/>
              </w:rPr>
            </w:pPr>
          </w:p>
        </w:tc>
        <w:tc>
          <w:tcPr>
            <w:tcW w:w="2340" w:type="dxa"/>
            <w:vAlign w:val="bottom"/>
            <w:tcBorders>
              <w:bottom w:val="single" w:sz="8" w:color="1F5122"/>
            </w:tcBorders>
            <w:gridSpan w:val="2"/>
          </w:tcPr>
          <w:p>
            <w:pPr>
              <w:jc w:val="center"/>
              <w:spacing w:after="0"/>
              <w:rPr>
                <w:sz w:val="20"/>
                <w:szCs w:val="20"/>
                <w:color w:val="auto"/>
              </w:rPr>
            </w:pPr>
            <w:r>
              <w:rPr>
                <w:rFonts w:ascii="Arial" w:cs="Arial" w:eastAsia="Arial" w:hAnsi="Arial"/>
                <w:sz w:val="18"/>
                <w:szCs w:val="18"/>
                <w:b w:val="1"/>
                <w:bCs w:val="1"/>
                <w:color w:val="3E693D"/>
                <w:w w:val="99"/>
              </w:rPr>
              <w:t>compensation</w:t>
            </w:r>
          </w:p>
        </w:tc>
        <w:tc>
          <w:tcPr>
            <w:tcW w:w="260" w:type="dxa"/>
            <w:vAlign w:val="bottom"/>
            <w:tcBorders>
              <w:bottom w:val="single" w:sz="8" w:color="EEEEEF"/>
            </w:tcBorders>
            <w:shd w:val="clear" w:color="auto" w:fill="EEEEEF"/>
          </w:tcPr>
          <w:p>
            <w:pPr>
              <w:spacing w:after="0"/>
              <w:rPr>
                <w:sz w:val="22"/>
                <w:szCs w:val="22"/>
                <w:color w:val="auto"/>
              </w:rPr>
            </w:pPr>
          </w:p>
        </w:tc>
        <w:tc>
          <w:tcPr>
            <w:tcW w:w="2640" w:type="dxa"/>
            <w:vAlign w:val="bottom"/>
            <w:tcBorders>
              <w:bottom w:val="single" w:sz="8" w:color="1F5122"/>
            </w:tcBorders>
            <w:gridSpan w:val="3"/>
          </w:tcPr>
          <w:p>
            <w:pPr>
              <w:jc w:val="center"/>
              <w:spacing w:after="0"/>
              <w:rPr>
                <w:sz w:val="20"/>
                <w:szCs w:val="20"/>
                <w:color w:val="auto"/>
              </w:rPr>
            </w:pPr>
            <w:r>
              <w:rPr>
                <w:rFonts w:ascii="Arial" w:cs="Arial" w:eastAsia="Arial" w:hAnsi="Arial"/>
                <w:sz w:val="18"/>
                <w:szCs w:val="18"/>
                <w:b w:val="1"/>
                <w:bCs w:val="1"/>
                <w:color w:val="3E693D"/>
              </w:rPr>
              <w:t>based compensation</w:t>
            </w:r>
          </w:p>
        </w:tc>
        <w:tc>
          <w:tcPr>
            <w:tcW w:w="260" w:type="dxa"/>
            <w:vAlign w:val="bottom"/>
            <w:tcBorders>
              <w:bottom w:val="single" w:sz="8" w:color="EEEEEF"/>
            </w:tcBorders>
            <w:shd w:val="clear" w:color="auto" w:fill="EEEEEF"/>
          </w:tcPr>
          <w:p>
            <w:pPr>
              <w:spacing w:after="0"/>
              <w:rPr>
                <w:sz w:val="22"/>
                <w:szCs w:val="22"/>
                <w:color w:val="auto"/>
              </w:rPr>
            </w:pPr>
          </w:p>
        </w:tc>
        <w:tc>
          <w:tcPr>
            <w:tcW w:w="820" w:type="dxa"/>
            <w:vAlign w:val="bottom"/>
            <w:tcBorders>
              <w:bottom w:val="single" w:sz="8" w:color="1F5122"/>
            </w:tcBorders>
          </w:tcPr>
          <w:p>
            <w:pPr>
              <w:spacing w:after="0"/>
              <w:rPr>
                <w:sz w:val="22"/>
                <w:szCs w:val="22"/>
                <w:color w:val="auto"/>
              </w:rPr>
            </w:pPr>
          </w:p>
        </w:tc>
        <w:tc>
          <w:tcPr>
            <w:tcW w:w="360" w:type="dxa"/>
            <w:vAlign w:val="bottom"/>
            <w:tcBorders>
              <w:bottom w:val="single" w:sz="8" w:color="1F5122"/>
            </w:tcBorders>
          </w:tcPr>
          <w:p>
            <w:pPr>
              <w:spacing w:after="0"/>
              <w:rPr>
                <w:sz w:val="22"/>
                <w:szCs w:val="22"/>
                <w:color w:val="auto"/>
              </w:rPr>
            </w:pPr>
          </w:p>
        </w:tc>
        <w:tc>
          <w:tcPr>
            <w:tcW w:w="300" w:type="dxa"/>
            <w:vAlign w:val="bottom"/>
            <w:tcBorders>
              <w:bottom w:val="single" w:sz="8" w:color="1F5122"/>
            </w:tcBorders>
          </w:tcPr>
          <w:p>
            <w:pPr>
              <w:spacing w:after="0"/>
              <w:rPr>
                <w:sz w:val="22"/>
                <w:szCs w:val="22"/>
                <w:color w:val="auto"/>
              </w:rPr>
            </w:pPr>
          </w:p>
        </w:tc>
        <w:tc>
          <w:tcPr>
            <w:tcW w:w="680" w:type="dxa"/>
            <w:vAlign w:val="bottom"/>
            <w:tcBorders>
              <w:bottom w:val="single" w:sz="8" w:color="1F5122"/>
            </w:tcBorders>
          </w:tcPr>
          <w:p>
            <w:pPr>
              <w:spacing w:after="0"/>
              <w:rPr>
                <w:sz w:val="22"/>
                <w:szCs w:val="22"/>
                <w:color w:val="auto"/>
              </w:rPr>
            </w:pPr>
          </w:p>
        </w:tc>
        <w:tc>
          <w:tcPr>
            <w:tcW w:w="500" w:type="dxa"/>
            <w:vAlign w:val="bottom"/>
            <w:tcBorders>
              <w:bottom w:val="single" w:sz="8" w:color="1F5122"/>
            </w:tcBorders>
          </w:tcPr>
          <w:p>
            <w:pPr>
              <w:spacing w:after="0"/>
              <w:rPr>
                <w:sz w:val="22"/>
                <w:szCs w:val="22"/>
                <w:color w:val="auto"/>
              </w:rPr>
            </w:pPr>
          </w:p>
        </w:tc>
        <w:tc>
          <w:tcPr>
            <w:tcW w:w="260" w:type="dxa"/>
            <w:vAlign w:val="bottom"/>
            <w:tcBorders>
              <w:bottom w:val="single" w:sz="8" w:color="EEEEEF"/>
            </w:tcBorders>
            <w:shd w:val="clear" w:color="auto" w:fill="EEEEEF"/>
          </w:tcPr>
          <w:p>
            <w:pPr>
              <w:spacing w:after="0"/>
              <w:rPr>
                <w:sz w:val="22"/>
                <w:szCs w:val="22"/>
                <w:color w:val="auto"/>
              </w:rPr>
            </w:pPr>
          </w:p>
        </w:tc>
        <w:tc>
          <w:tcPr>
            <w:tcW w:w="1180" w:type="dxa"/>
            <w:vAlign w:val="bottom"/>
            <w:tcBorders>
              <w:bottom w:val="single" w:sz="8" w:color="1F5122"/>
            </w:tcBorders>
          </w:tcPr>
          <w:p>
            <w:pPr>
              <w:spacing w:after="0"/>
              <w:rPr>
                <w:sz w:val="22"/>
                <w:szCs w:val="22"/>
                <w:color w:val="auto"/>
              </w:rPr>
            </w:pPr>
          </w:p>
        </w:tc>
        <w:tc>
          <w:tcPr>
            <w:tcW w:w="1200" w:type="dxa"/>
            <w:vAlign w:val="bottom"/>
            <w:tcBorders>
              <w:bottom w:val="single" w:sz="8" w:color="1F5122"/>
            </w:tcBorders>
          </w:tcPr>
          <w:p>
            <w:pPr>
              <w:spacing w:after="0"/>
              <w:rPr>
                <w:sz w:val="22"/>
                <w:szCs w:val="22"/>
                <w:color w:val="auto"/>
              </w:rPr>
            </w:pPr>
          </w:p>
        </w:tc>
        <w:tc>
          <w:tcPr>
            <w:tcW w:w="160" w:type="dxa"/>
            <w:vAlign w:val="bottom"/>
            <w:tcBorders>
              <w:bottom w:val="single" w:sz="8" w:color="EEEEEF"/>
            </w:tcBorders>
            <w:shd w:val="clear" w:color="auto" w:fill="EEEEE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160" w:type="dxa"/>
            <w:vAlign w:val="bottom"/>
            <w:shd w:val="clear" w:color="auto" w:fill="EEEEEF"/>
          </w:tcPr>
          <w:p>
            <w:pPr>
              <w:spacing w:after="0"/>
              <w:rPr>
                <w:sz w:val="12"/>
                <w:szCs w:val="12"/>
                <w:color w:val="auto"/>
              </w:rPr>
            </w:pPr>
          </w:p>
        </w:tc>
        <w:tc>
          <w:tcPr>
            <w:tcW w:w="1180" w:type="dxa"/>
            <w:vAlign w:val="bottom"/>
            <w:shd w:val="clear" w:color="auto" w:fill="EEEEEF"/>
          </w:tcPr>
          <w:p>
            <w:pPr>
              <w:spacing w:after="0"/>
              <w:rPr>
                <w:sz w:val="12"/>
                <w:szCs w:val="12"/>
                <w:color w:val="auto"/>
              </w:rPr>
            </w:pPr>
          </w:p>
        </w:tc>
        <w:tc>
          <w:tcPr>
            <w:tcW w:w="260" w:type="dxa"/>
            <w:vAlign w:val="bottom"/>
            <w:shd w:val="clear" w:color="auto" w:fill="EEEEEF"/>
          </w:tcPr>
          <w:p>
            <w:pPr>
              <w:spacing w:after="0"/>
              <w:rPr>
                <w:sz w:val="12"/>
                <w:szCs w:val="12"/>
                <w:color w:val="auto"/>
              </w:rPr>
            </w:pPr>
          </w:p>
        </w:tc>
        <w:tc>
          <w:tcPr>
            <w:tcW w:w="1160" w:type="dxa"/>
            <w:vAlign w:val="bottom"/>
            <w:shd w:val="clear" w:color="auto" w:fill="EEEEEF"/>
          </w:tcPr>
          <w:p>
            <w:pPr>
              <w:spacing w:after="0"/>
              <w:rPr>
                <w:sz w:val="12"/>
                <w:szCs w:val="12"/>
                <w:color w:val="auto"/>
              </w:rPr>
            </w:pPr>
          </w:p>
        </w:tc>
        <w:tc>
          <w:tcPr>
            <w:tcW w:w="300" w:type="dxa"/>
            <w:vAlign w:val="bottom"/>
            <w:shd w:val="clear" w:color="auto" w:fill="EEEEEF"/>
          </w:tcPr>
          <w:p>
            <w:pPr>
              <w:spacing w:after="0"/>
              <w:rPr>
                <w:sz w:val="12"/>
                <w:szCs w:val="12"/>
                <w:color w:val="auto"/>
              </w:rPr>
            </w:pPr>
          </w:p>
        </w:tc>
        <w:tc>
          <w:tcPr>
            <w:tcW w:w="1180" w:type="dxa"/>
            <w:vAlign w:val="bottom"/>
            <w:shd w:val="clear" w:color="auto" w:fill="EEEEEF"/>
          </w:tcPr>
          <w:p>
            <w:pPr>
              <w:spacing w:after="0"/>
              <w:rPr>
                <w:sz w:val="12"/>
                <w:szCs w:val="12"/>
                <w:color w:val="auto"/>
              </w:rPr>
            </w:pPr>
          </w:p>
        </w:tc>
        <w:tc>
          <w:tcPr>
            <w:tcW w:w="260" w:type="dxa"/>
            <w:vAlign w:val="bottom"/>
            <w:shd w:val="clear" w:color="auto" w:fill="EEEEEF"/>
          </w:tcPr>
          <w:p>
            <w:pPr>
              <w:spacing w:after="0"/>
              <w:rPr>
                <w:sz w:val="12"/>
                <w:szCs w:val="12"/>
                <w:color w:val="auto"/>
              </w:rPr>
            </w:pPr>
          </w:p>
        </w:tc>
        <w:tc>
          <w:tcPr>
            <w:tcW w:w="820" w:type="dxa"/>
            <w:vAlign w:val="bottom"/>
            <w:shd w:val="clear" w:color="auto" w:fill="EEEEEF"/>
          </w:tcPr>
          <w:p>
            <w:pPr>
              <w:spacing w:after="0"/>
              <w:rPr>
                <w:sz w:val="12"/>
                <w:szCs w:val="12"/>
                <w:color w:val="auto"/>
              </w:rPr>
            </w:pPr>
          </w:p>
        </w:tc>
        <w:tc>
          <w:tcPr>
            <w:tcW w:w="360" w:type="dxa"/>
            <w:vAlign w:val="bottom"/>
            <w:shd w:val="clear" w:color="auto" w:fill="EEEEEF"/>
          </w:tcPr>
          <w:p>
            <w:pPr>
              <w:spacing w:after="0"/>
              <w:rPr>
                <w:sz w:val="12"/>
                <w:szCs w:val="12"/>
                <w:color w:val="auto"/>
              </w:rPr>
            </w:pPr>
          </w:p>
        </w:tc>
        <w:tc>
          <w:tcPr>
            <w:tcW w:w="300" w:type="dxa"/>
            <w:vAlign w:val="bottom"/>
            <w:shd w:val="clear" w:color="auto" w:fill="EEEEEF"/>
          </w:tcPr>
          <w:p>
            <w:pPr>
              <w:spacing w:after="0"/>
              <w:rPr>
                <w:sz w:val="12"/>
                <w:szCs w:val="12"/>
                <w:color w:val="auto"/>
              </w:rPr>
            </w:pPr>
          </w:p>
        </w:tc>
        <w:tc>
          <w:tcPr>
            <w:tcW w:w="680" w:type="dxa"/>
            <w:vAlign w:val="bottom"/>
            <w:shd w:val="clear" w:color="auto" w:fill="EEEEEF"/>
          </w:tcPr>
          <w:p>
            <w:pPr>
              <w:spacing w:after="0"/>
              <w:rPr>
                <w:sz w:val="12"/>
                <w:szCs w:val="12"/>
                <w:color w:val="auto"/>
              </w:rPr>
            </w:pPr>
          </w:p>
        </w:tc>
        <w:tc>
          <w:tcPr>
            <w:tcW w:w="500" w:type="dxa"/>
            <w:vAlign w:val="bottom"/>
            <w:shd w:val="clear" w:color="auto" w:fill="EEEEEF"/>
          </w:tcPr>
          <w:p>
            <w:pPr>
              <w:spacing w:after="0"/>
              <w:rPr>
                <w:sz w:val="12"/>
                <w:szCs w:val="12"/>
                <w:color w:val="auto"/>
              </w:rPr>
            </w:pPr>
          </w:p>
        </w:tc>
        <w:tc>
          <w:tcPr>
            <w:tcW w:w="260" w:type="dxa"/>
            <w:vAlign w:val="bottom"/>
            <w:shd w:val="clear" w:color="auto" w:fill="EEEEEF"/>
          </w:tcPr>
          <w:p>
            <w:pPr>
              <w:spacing w:after="0"/>
              <w:rPr>
                <w:sz w:val="12"/>
                <w:szCs w:val="12"/>
                <w:color w:val="auto"/>
              </w:rPr>
            </w:pPr>
          </w:p>
        </w:tc>
        <w:tc>
          <w:tcPr>
            <w:tcW w:w="1180" w:type="dxa"/>
            <w:vAlign w:val="bottom"/>
            <w:shd w:val="clear" w:color="auto" w:fill="EEEEEF"/>
          </w:tcPr>
          <w:p>
            <w:pPr>
              <w:spacing w:after="0"/>
              <w:rPr>
                <w:sz w:val="12"/>
                <w:szCs w:val="12"/>
                <w:color w:val="auto"/>
              </w:rPr>
            </w:pPr>
          </w:p>
        </w:tc>
        <w:tc>
          <w:tcPr>
            <w:tcW w:w="1200" w:type="dxa"/>
            <w:vAlign w:val="bottom"/>
            <w:shd w:val="clear" w:color="auto" w:fill="EEEEEF"/>
          </w:tcPr>
          <w:p>
            <w:pPr>
              <w:spacing w:after="0"/>
              <w:rPr>
                <w:sz w:val="12"/>
                <w:szCs w:val="12"/>
                <w:color w:val="auto"/>
              </w:rPr>
            </w:pPr>
          </w:p>
        </w:tc>
        <w:tc>
          <w:tcPr>
            <w:tcW w:w="160" w:type="dxa"/>
            <w:vAlign w:val="bottom"/>
            <w:shd w:val="clear" w:color="auto" w:fill="EEEEE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EFEFEF"/>
          </w:tcPr>
          <w:p>
            <w:pPr>
              <w:spacing w:after="0"/>
              <w:rPr>
                <w:sz w:val="14"/>
                <w:szCs w:val="14"/>
                <w:color w:val="auto"/>
              </w:rPr>
            </w:pPr>
          </w:p>
        </w:tc>
        <w:tc>
          <w:tcPr>
            <w:tcW w:w="1160" w:type="dxa"/>
            <w:vAlign w:val="bottom"/>
            <w:shd w:val="clear" w:color="auto" w:fill="EFEFEF"/>
          </w:tcPr>
          <w:p>
            <w:pPr>
              <w:spacing w:after="0"/>
              <w:rPr>
                <w:sz w:val="14"/>
                <w:szCs w:val="14"/>
                <w:color w:val="auto"/>
              </w:rPr>
            </w:pPr>
          </w:p>
        </w:tc>
        <w:tc>
          <w:tcPr>
            <w:tcW w:w="1180" w:type="dxa"/>
            <w:vAlign w:val="bottom"/>
            <w:shd w:val="clear" w:color="auto" w:fill="EFEFEF"/>
          </w:tcPr>
          <w:p>
            <w:pPr>
              <w:spacing w:after="0"/>
              <w:rPr>
                <w:sz w:val="14"/>
                <w:szCs w:val="14"/>
                <w:color w:val="auto"/>
              </w:rPr>
            </w:pPr>
          </w:p>
        </w:tc>
        <w:tc>
          <w:tcPr>
            <w:tcW w:w="260" w:type="dxa"/>
            <w:vAlign w:val="bottom"/>
            <w:shd w:val="clear" w:color="auto" w:fill="EFEFEF"/>
          </w:tcPr>
          <w:p>
            <w:pPr>
              <w:spacing w:after="0"/>
              <w:rPr>
                <w:sz w:val="14"/>
                <w:szCs w:val="14"/>
                <w:color w:val="auto"/>
              </w:rPr>
            </w:pPr>
          </w:p>
        </w:tc>
        <w:tc>
          <w:tcPr>
            <w:tcW w:w="1160" w:type="dxa"/>
            <w:vAlign w:val="bottom"/>
            <w:shd w:val="clear" w:color="auto" w:fill="EFEFEF"/>
          </w:tcPr>
          <w:p>
            <w:pPr>
              <w:spacing w:after="0"/>
              <w:rPr>
                <w:sz w:val="14"/>
                <w:szCs w:val="14"/>
                <w:color w:val="auto"/>
              </w:rPr>
            </w:pPr>
          </w:p>
        </w:tc>
        <w:tc>
          <w:tcPr>
            <w:tcW w:w="300" w:type="dxa"/>
            <w:vAlign w:val="bottom"/>
            <w:shd w:val="clear" w:color="auto" w:fill="EFEFEF"/>
          </w:tcPr>
          <w:p>
            <w:pPr>
              <w:spacing w:after="0"/>
              <w:rPr>
                <w:sz w:val="14"/>
                <w:szCs w:val="14"/>
                <w:color w:val="auto"/>
              </w:rPr>
            </w:pPr>
          </w:p>
        </w:tc>
        <w:tc>
          <w:tcPr>
            <w:tcW w:w="1180" w:type="dxa"/>
            <w:vAlign w:val="bottom"/>
            <w:shd w:val="clear" w:color="auto" w:fill="EFEFEF"/>
          </w:tcPr>
          <w:p>
            <w:pPr>
              <w:spacing w:after="0"/>
              <w:rPr>
                <w:sz w:val="14"/>
                <w:szCs w:val="14"/>
                <w:color w:val="auto"/>
              </w:rPr>
            </w:pPr>
          </w:p>
        </w:tc>
        <w:tc>
          <w:tcPr>
            <w:tcW w:w="260" w:type="dxa"/>
            <w:vAlign w:val="bottom"/>
            <w:shd w:val="clear" w:color="auto" w:fill="EFEFEF"/>
          </w:tcPr>
          <w:p>
            <w:pPr>
              <w:spacing w:after="0"/>
              <w:rPr>
                <w:sz w:val="14"/>
                <w:szCs w:val="14"/>
                <w:color w:val="auto"/>
              </w:rPr>
            </w:pPr>
          </w:p>
        </w:tc>
        <w:tc>
          <w:tcPr>
            <w:tcW w:w="820" w:type="dxa"/>
            <w:vAlign w:val="bottom"/>
            <w:shd w:val="clear" w:color="auto" w:fill="EFEFEF"/>
          </w:tcPr>
          <w:p>
            <w:pPr>
              <w:spacing w:after="0"/>
              <w:rPr>
                <w:sz w:val="14"/>
                <w:szCs w:val="14"/>
                <w:color w:val="auto"/>
              </w:rPr>
            </w:pPr>
          </w:p>
        </w:tc>
        <w:tc>
          <w:tcPr>
            <w:tcW w:w="360" w:type="dxa"/>
            <w:vAlign w:val="bottom"/>
            <w:shd w:val="clear" w:color="auto" w:fill="EFEFEF"/>
          </w:tcPr>
          <w:p>
            <w:pPr>
              <w:spacing w:after="0"/>
              <w:rPr>
                <w:sz w:val="14"/>
                <w:szCs w:val="14"/>
                <w:color w:val="auto"/>
              </w:rPr>
            </w:pPr>
          </w:p>
        </w:tc>
        <w:tc>
          <w:tcPr>
            <w:tcW w:w="300" w:type="dxa"/>
            <w:vAlign w:val="bottom"/>
            <w:shd w:val="clear" w:color="auto" w:fill="EFEFEF"/>
          </w:tcPr>
          <w:p>
            <w:pPr>
              <w:spacing w:after="0"/>
              <w:rPr>
                <w:sz w:val="14"/>
                <w:szCs w:val="14"/>
                <w:color w:val="auto"/>
              </w:rPr>
            </w:pPr>
          </w:p>
        </w:tc>
        <w:tc>
          <w:tcPr>
            <w:tcW w:w="680" w:type="dxa"/>
            <w:vAlign w:val="bottom"/>
            <w:shd w:val="clear" w:color="auto" w:fill="EFEFEF"/>
          </w:tcPr>
          <w:p>
            <w:pPr>
              <w:spacing w:after="0"/>
              <w:rPr>
                <w:sz w:val="14"/>
                <w:szCs w:val="14"/>
                <w:color w:val="auto"/>
              </w:rPr>
            </w:pPr>
          </w:p>
        </w:tc>
        <w:tc>
          <w:tcPr>
            <w:tcW w:w="500" w:type="dxa"/>
            <w:vAlign w:val="bottom"/>
            <w:shd w:val="clear" w:color="auto" w:fill="EFEFEF"/>
          </w:tcPr>
          <w:p>
            <w:pPr>
              <w:spacing w:after="0"/>
              <w:rPr>
                <w:sz w:val="14"/>
                <w:szCs w:val="14"/>
                <w:color w:val="auto"/>
              </w:rPr>
            </w:pPr>
          </w:p>
        </w:tc>
        <w:tc>
          <w:tcPr>
            <w:tcW w:w="260" w:type="dxa"/>
            <w:vAlign w:val="bottom"/>
            <w:shd w:val="clear" w:color="auto" w:fill="EFEFEF"/>
          </w:tcPr>
          <w:p>
            <w:pPr>
              <w:spacing w:after="0"/>
              <w:rPr>
                <w:sz w:val="14"/>
                <w:szCs w:val="14"/>
                <w:color w:val="auto"/>
              </w:rPr>
            </w:pPr>
          </w:p>
        </w:tc>
        <w:tc>
          <w:tcPr>
            <w:tcW w:w="1180" w:type="dxa"/>
            <w:vAlign w:val="bottom"/>
            <w:shd w:val="clear" w:color="auto" w:fill="EFEFEF"/>
          </w:tcPr>
          <w:p>
            <w:pPr>
              <w:spacing w:after="0"/>
              <w:rPr>
                <w:sz w:val="14"/>
                <w:szCs w:val="14"/>
                <w:color w:val="auto"/>
              </w:rPr>
            </w:pPr>
          </w:p>
        </w:tc>
        <w:tc>
          <w:tcPr>
            <w:tcW w:w="1200" w:type="dxa"/>
            <w:vAlign w:val="bottom"/>
            <w:shd w:val="clear" w:color="auto" w:fill="EFEFEF"/>
          </w:tcPr>
          <w:p>
            <w:pPr>
              <w:spacing w:after="0"/>
              <w:rPr>
                <w:sz w:val="14"/>
                <w:szCs w:val="14"/>
                <w:color w:val="auto"/>
              </w:rPr>
            </w:pPr>
          </w:p>
        </w:tc>
        <w:tc>
          <w:tcPr>
            <w:tcW w:w="160" w:type="dxa"/>
            <w:vAlign w:val="bottom"/>
            <w:shd w:val="clear" w:color="auto" w:fill="EFEFE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28886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2888615"/>
                    </a:xfrm>
                    <a:prstGeom prst="rect">
                      <a:avLst/>
                    </a:prstGeom>
                    <a:noFill/>
                  </pic:spPr>
                </pic:pic>
              </a:graphicData>
            </a:graphic>
          </wp:anchor>
        </w:drawing>
      </w:r>
    </w:p>
    <w:p>
      <w:pPr>
        <w:ind w:left="300"/>
        <w:spacing w:after="0"/>
        <w:rPr>
          <w:sz w:val="20"/>
          <w:szCs w:val="20"/>
          <w:color w:val="auto"/>
        </w:rPr>
      </w:pPr>
      <w:r>
        <w:rPr>
          <w:rFonts w:ascii="Arial" w:cs="Arial" w:eastAsia="Arial" w:hAnsi="Arial"/>
          <w:sz w:val="29"/>
          <w:szCs w:val="29"/>
          <w:color w:val="074A75"/>
        </w:rPr>
        <w:t>Performance Assessment</w:t>
      </w:r>
    </w:p>
    <w:p>
      <w:pPr>
        <w:spacing w:after="0" w:line="282" w:lineRule="exact"/>
        <w:rPr>
          <w:sz w:val="20"/>
          <w:szCs w:val="20"/>
          <w:color w:val="auto"/>
        </w:rPr>
      </w:pPr>
    </w:p>
    <w:p>
      <w:pPr>
        <w:ind w:left="300" w:right="880"/>
        <w:spacing w:after="0" w:line="287" w:lineRule="auto"/>
        <w:rPr>
          <w:sz w:val="20"/>
          <w:szCs w:val="20"/>
          <w:color w:val="auto"/>
        </w:rPr>
      </w:pPr>
      <w:r>
        <w:rPr>
          <w:rFonts w:ascii="Arial" w:cs="Arial" w:eastAsia="Arial" w:hAnsi="Arial"/>
          <w:sz w:val="18"/>
          <w:szCs w:val="18"/>
          <w:color w:val="auto"/>
        </w:rPr>
        <w:t>In accordance with our compensation philosophy, the CMDC uses a balanced and disciplined approach to assess OC member performance throughout the year against four broad dimensions:</w:t>
      </w:r>
    </w:p>
    <w:p>
      <w:pPr>
        <w:spacing w:after="0" w:line="45" w:lineRule="exact"/>
        <w:rPr>
          <w:sz w:val="20"/>
          <w:szCs w:val="20"/>
          <w:color w:val="auto"/>
        </w:rPr>
      </w:pPr>
    </w:p>
    <w:p>
      <w:pPr>
        <w:ind w:left="500" w:hanging="191"/>
        <w:spacing w:after="0"/>
        <w:tabs>
          <w:tab w:leader="none" w:pos="500" w:val="left"/>
        </w:tabs>
        <w:numPr>
          <w:ilvl w:val="0"/>
          <w:numId w:val="116"/>
        </w:numPr>
        <w:rPr>
          <w:rFonts w:ascii="Arial" w:cs="Arial" w:eastAsia="Arial" w:hAnsi="Arial"/>
          <w:sz w:val="18"/>
          <w:szCs w:val="18"/>
          <w:color w:val="074A75"/>
        </w:rPr>
      </w:pPr>
      <w:r>
        <w:rPr>
          <w:rFonts w:ascii="Arial" w:cs="Arial" w:eastAsia="Arial" w:hAnsi="Arial"/>
          <w:sz w:val="18"/>
          <w:szCs w:val="18"/>
          <w:b w:val="1"/>
          <w:bCs w:val="1"/>
          <w:color w:val="auto"/>
        </w:rPr>
        <w:t xml:space="preserve">Business Results, </w:t>
      </w:r>
      <w:r>
        <w:rPr>
          <w:rFonts w:ascii="Arial" w:cs="Arial" w:eastAsia="Arial" w:hAnsi="Arial"/>
          <w:sz w:val="18"/>
          <w:szCs w:val="18"/>
          <w:color w:val="auto"/>
        </w:rPr>
        <w:t>including absolute and relative performance over multiple years</w:t>
      </w:r>
    </w:p>
    <w:p>
      <w:pPr>
        <w:spacing w:after="0" w:line="76" w:lineRule="exact"/>
        <w:rPr>
          <w:rFonts w:ascii="Arial" w:cs="Arial" w:eastAsia="Arial" w:hAnsi="Arial"/>
          <w:sz w:val="18"/>
          <w:szCs w:val="18"/>
          <w:color w:val="074A75"/>
        </w:rPr>
      </w:pPr>
    </w:p>
    <w:p>
      <w:pPr>
        <w:ind w:left="500" w:hanging="191"/>
        <w:spacing w:after="0"/>
        <w:tabs>
          <w:tab w:leader="none" w:pos="500" w:val="left"/>
        </w:tabs>
        <w:numPr>
          <w:ilvl w:val="0"/>
          <w:numId w:val="116"/>
        </w:numPr>
        <w:rPr>
          <w:rFonts w:ascii="Arial" w:cs="Arial" w:eastAsia="Arial" w:hAnsi="Arial"/>
          <w:sz w:val="18"/>
          <w:szCs w:val="18"/>
          <w:color w:val="074A75"/>
        </w:rPr>
      </w:pPr>
      <w:r>
        <w:rPr>
          <w:rFonts w:ascii="Arial" w:cs="Arial" w:eastAsia="Arial" w:hAnsi="Arial"/>
          <w:sz w:val="18"/>
          <w:szCs w:val="18"/>
          <w:b w:val="1"/>
          <w:bCs w:val="1"/>
          <w:color w:val="auto"/>
        </w:rPr>
        <w:t xml:space="preserve">Risk, Controls &amp; Conduct, </w:t>
      </w:r>
      <w:r>
        <w:rPr>
          <w:rFonts w:ascii="Arial" w:cs="Arial" w:eastAsia="Arial" w:hAnsi="Arial"/>
          <w:sz w:val="18"/>
          <w:szCs w:val="18"/>
          <w:color w:val="auto"/>
        </w:rPr>
        <w:t>including feedback received from the Firm’s risk and control professionals</w:t>
      </w:r>
    </w:p>
    <w:p>
      <w:pPr>
        <w:spacing w:after="0" w:line="76" w:lineRule="exact"/>
        <w:rPr>
          <w:rFonts w:ascii="Arial" w:cs="Arial" w:eastAsia="Arial" w:hAnsi="Arial"/>
          <w:sz w:val="18"/>
          <w:szCs w:val="18"/>
          <w:color w:val="074A75"/>
        </w:rPr>
      </w:pPr>
    </w:p>
    <w:p>
      <w:pPr>
        <w:ind w:left="500" w:right="680" w:hanging="191"/>
        <w:spacing w:after="0" w:line="287" w:lineRule="auto"/>
        <w:tabs>
          <w:tab w:leader="none" w:pos="503" w:val="left"/>
        </w:tabs>
        <w:numPr>
          <w:ilvl w:val="0"/>
          <w:numId w:val="116"/>
        </w:numPr>
        <w:rPr>
          <w:rFonts w:ascii="Arial" w:cs="Arial" w:eastAsia="Arial" w:hAnsi="Arial"/>
          <w:sz w:val="18"/>
          <w:szCs w:val="18"/>
          <w:color w:val="074A75"/>
        </w:rPr>
      </w:pPr>
      <w:r>
        <w:rPr>
          <w:rFonts w:ascii="Arial" w:cs="Arial" w:eastAsia="Arial" w:hAnsi="Arial"/>
          <w:sz w:val="18"/>
          <w:szCs w:val="18"/>
          <w:b w:val="1"/>
          <w:bCs w:val="1"/>
          <w:color w:val="auto"/>
        </w:rPr>
        <w:t xml:space="preserve">Client/Customer/Stakeholder, </w:t>
      </w:r>
      <w:r>
        <w:rPr>
          <w:rFonts w:ascii="Arial" w:cs="Arial" w:eastAsia="Arial" w:hAnsi="Arial"/>
          <w:sz w:val="18"/>
          <w:szCs w:val="18"/>
          <w:color w:val="auto"/>
        </w:rPr>
        <w:t>including our engagement in communities and commitment to provide economic opportunity to</w:t>
      </w:r>
      <w:r>
        <w:rPr>
          <w:rFonts w:ascii="Arial" w:cs="Arial" w:eastAsia="Arial" w:hAnsi="Arial"/>
          <w:sz w:val="18"/>
          <w:szCs w:val="18"/>
          <w:b w:val="1"/>
          <w:bCs w:val="1"/>
          <w:color w:val="auto"/>
        </w:rPr>
        <w:t xml:space="preserve"> </w:t>
      </w:r>
      <w:r>
        <w:rPr>
          <w:rFonts w:ascii="Arial" w:cs="Arial" w:eastAsia="Arial" w:hAnsi="Arial"/>
          <w:sz w:val="18"/>
          <w:szCs w:val="18"/>
          <w:color w:val="auto"/>
        </w:rPr>
        <w:t>underserved communities, and address environmental and social issues such as climate change and racial equity</w:t>
      </w:r>
    </w:p>
    <w:p>
      <w:pPr>
        <w:spacing w:after="0" w:line="17" w:lineRule="exact"/>
        <w:rPr>
          <w:rFonts w:ascii="Arial" w:cs="Arial" w:eastAsia="Arial" w:hAnsi="Arial"/>
          <w:sz w:val="18"/>
          <w:szCs w:val="18"/>
          <w:color w:val="074A75"/>
        </w:rPr>
      </w:pPr>
    </w:p>
    <w:p>
      <w:pPr>
        <w:ind w:left="500" w:right="980" w:hanging="191"/>
        <w:spacing w:after="0" w:line="287" w:lineRule="auto"/>
        <w:tabs>
          <w:tab w:leader="none" w:pos="503" w:val="left"/>
        </w:tabs>
        <w:numPr>
          <w:ilvl w:val="0"/>
          <w:numId w:val="116"/>
        </w:numPr>
        <w:rPr>
          <w:rFonts w:ascii="Arial" w:cs="Arial" w:eastAsia="Arial" w:hAnsi="Arial"/>
          <w:sz w:val="18"/>
          <w:szCs w:val="18"/>
          <w:color w:val="074A75"/>
        </w:rPr>
      </w:pPr>
      <w:r>
        <w:rPr>
          <w:rFonts w:ascii="Arial" w:cs="Arial" w:eastAsia="Arial" w:hAnsi="Arial"/>
          <w:sz w:val="18"/>
          <w:szCs w:val="18"/>
          <w:b w:val="1"/>
          <w:bCs w:val="1"/>
          <w:color w:val="auto"/>
        </w:rPr>
        <w:t xml:space="preserve">Teamwork &amp; Leadership, </w:t>
      </w:r>
      <w:r>
        <w:rPr>
          <w:rFonts w:ascii="Arial" w:cs="Arial" w:eastAsia="Arial" w:hAnsi="Arial"/>
          <w:sz w:val="18"/>
          <w:szCs w:val="18"/>
          <w:color w:val="auto"/>
        </w:rPr>
        <w:t>including creating a diverse, inclusive, respectful and accountable environment, and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managers and leaders as key drivers of our human capital management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27171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Arial" w:cs="Arial" w:eastAsia="Arial" w:hAnsi="Arial"/>
          <w:sz w:val="29"/>
          <w:szCs w:val="29"/>
          <w:color w:val="074A75"/>
        </w:rPr>
        <w:t>Pay Determination and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-207645</wp:posOffset>
            </wp:positionV>
            <wp:extent cx="6960870" cy="25374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60870" cy="253746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-207645</wp:posOffset>
            </wp:positionV>
            <wp:extent cx="6960870" cy="25374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60870" cy="2537460"/>
                    </a:xfrm>
                    <a:prstGeom prst="rect">
                      <a:avLst/>
                    </a:prstGeom>
                    <a:noFill/>
                  </pic:spPr>
                </pic:pic>
              </a:graphicData>
            </a:graphic>
          </wp:anchor>
        </w:drawing>
      </w:r>
    </w:p>
    <w:p>
      <w:pPr>
        <w:spacing w:after="0" w:line="267" w:lineRule="exact"/>
        <w:rPr>
          <w:sz w:val="20"/>
          <w:szCs w:val="20"/>
          <w:color w:val="auto"/>
        </w:rPr>
      </w:pPr>
    </w:p>
    <w:p>
      <w:pPr>
        <w:jc w:val="both"/>
        <w:ind w:left="300" w:right="320"/>
        <w:spacing w:after="0" w:line="268" w:lineRule="auto"/>
        <w:rPr>
          <w:sz w:val="20"/>
          <w:szCs w:val="20"/>
          <w:color w:val="auto"/>
        </w:rPr>
      </w:pPr>
      <w:r>
        <w:rPr>
          <w:rFonts w:ascii="Arial" w:cs="Arial" w:eastAsia="Arial" w:hAnsi="Arial"/>
          <w:sz w:val="18"/>
          <w:szCs w:val="18"/>
          <w:color w:val="auto"/>
        </w:rPr>
        <w:t>Following the performance assessment process, the CMDC determines the total compensation for each OC member, as well as their respective pay mix. Pay mix may include salary, cash incentive, Restricted Stock Units ("RSUs") and formula-based PSUs. Pay levels and pay mix are determined in the context of competitive market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right="560"/>
        <w:spacing w:after="0" w:line="277" w:lineRule="auto"/>
        <w:rPr>
          <w:sz w:val="20"/>
          <w:szCs w:val="20"/>
          <w:color w:val="auto"/>
        </w:rPr>
      </w:pPr>
      <w:r>
        <w:rPr>
          <w:rFonts w:ascii="Arial" w:cs="Arial" w:eastAsia="Arial" w:hAnsi="Arial"/>
          <w:sz w:val="18"/>
          <w:szCs w:val="18"/>
          <w:color w:val="auto"/>
        </w:rPr>
        <w:t>In summary, the CMDC believes that the disciplined and holistic process it follows for determining OC member pay is appropriately balanced by the formula used in our PSU program that ultimately determines OC member payout.</w:t>
      </w:r>
    </w:p>
    <w:tbl>
      <w:tblPr>
        <w:tblLayout w:type="fixed"/>
        <w:tblInd w:w="280" w:type="dxa"/>
        <w:tblCellMar>
          <w:top w:w="0" w:type="dxa"/>
          <w:left w:w="0" w:type="dxa"/>
          <w:bottom w:w="0" w:type="dxa"/>
          <w:right w:w="0" w:type="dxa"/>
        </w:tblCellMar>
      </w:tblPr>
      <w:tr>
        <w:trPr>
          <w:trHeight w:val="363"/>
        </w:trPr>
        <w:tc>
          <w:tcPr>
            <w:tcW w:w="5020" w:type="dxa"/>
            <w:vAlign w:val="bottom"/>
            <w:shd w:val="clear" w:color="auto" w:fill="074A75"/>
          </w:tcPr>
          <w:p>
            <w:pPr>
              <w:ind w:left="680"/>
              <w:spacing w:after="0"/>
              <w:rPr>
                <w:sz w:val="20"/>
                <w:szCs w:val="20"/>
                <w:color w:val="auto"/>
              </w:rPr>
            </w:pPr>
            <w:r>
              <w:rPr>
                <w:rFonts w:ascii="Arial" w:cs="Arial" w:eastAsia="Arial" w:hAnsi="Arial"/>
                <w:sz w:val="16"/>
                <w:szCs w:val="16"/>
                <w:color w:val="FFFFFF"/>
              </w:rPr>
              <w:t>DISCIPLINED DISCRETION TO DETERMINE PAY</w:t>
            </w:r>
          </w:p>
        </w:tc>
        <w:tc>
          <w:tcPr>
            <w:tcW w:w="560" w:type="dxa"/>
            <w:vAlign w:val="bottom"/>
            <w:shd w:val="clear" w:color="auto" w:fill="EFEFEF"/>
          </w:tcPr>
          <w:p>
            <w:pPr>
              <w:spacing w:after="0"/>
              <w:rPr>
                <w:sz w:val="24"/>
                <w:szCs w:val="24"/>
                <w:color w:val="auto"/>
              </w:rPr>
            </w:pPr>
          </w:p>
        </w:tc>
        <w:tc>
          <w:tcPr>
            <w:tcW w:w="5040" w:type="dxa"/>
            <w:vAlign w:val="bottom"/>
            <w:shd w:val="clear" w:color="auto" w:fill="074A75"/>
          </w:tcPr>
          <w:p>
            <w:pPr>
              <w:ind w:left="740"/>
              <w:spacing w:after="0"/>
              <w:rPr>
                <w:sz w:val="20"/>
                <w:szCs w:val="20"/>
                <w:color w:val="auto"/>
              </w:rPr>
            </w:pPr>
            <w:r>
              <w:rPr>
                <w:rFonts w:ascii="Arial" w:cs="Arial" w:eastAsia="Arial" w:hAnsi="Arial"/>
                <w:sz w:val="16"/>
                <w:szCs w:val="16"/>
                <w:color w:val="FFFFFF"/>
              </w:rPr>
              <w:t>FORMULA TO DETERMINE ULTIMATE PAYOUT</w:t>
            </w:r>
          </w:p>
        </w:tc>
        <w:tc>
          <w:tcPr>
            <w:tcW w:w="340" w:type="dxa"/>
            <w:vAlign w:val="bottom"/>
            <w:shd w:val="clear" w:color="auto" w:fill="EFEFEF"/>
          </w:tcPr>
          <w:p>
            <w:pPr>
              <w:spacing w:after="0"/>
              <w:rPr>
                <w:sz w:val="24"/>
                <w:szCs w:val="24"/>
                <w:color w:val="auto"/>
              </w:rPr>
            </w:pPr>
          </w:p>
        </w:tc>
      </w:tr>
      <w:tr>
        <w:trPr>
          <w:trHeight w:val="150"/>
        </w:trPr>
        <w:tc>
          <w:tcPr>
            <w:tcW w:w="5020" w:type="dxa"/>
            <w:vAlign w:val="bottom"/>
            <w:shd w:val="clear" w:color="auto" w:fill="074A75"/>
          </w:tcPr>
          <w:p>
            <w:pPr>
              <w:spacing w:after="0"/>
              <w:rPr>
                <w:sz w:val="13"/>
                <w:szCs w:val="13"/>
                <w:color w:val="auto"/>
              </w:rPr>
            </w:pPr>
          </w:p>
        </w:tc>
        <w:tc>
          <w:tcPr>
            <w:tcW w:w="560" w:type="dxa"/>
            <w:vAlign w:val="bottom"/>
            <w:shd w:val="clear" w:color="auto" w:fill="EFEFEF"/>
          </w:tcPr>
          <w:p>
            <w:pPr>
              <w:spacing w:after="0"/>
              <w:rPr>
                <w:sz w:val="13"/>
                <w:szCs w:val="13"/>
                <w:color w:val="auto"/>
              </w:rPr>
            </w:pPr>
          </w:p>
        </w:tc>
        <w:tc>
          <w:tcPr>
            <w:tcW w:w="5040" w:type="dxa"/>
            <w:vAlign w:val="bottom"/>
            <w:shd w:val="clear" w:color="auto" w:fill="074A75"/>
          </w:tcPr>
          <w:p>
            <w:pPr>
              <w:spacing w:after="0"/>
              <w:rPr>
                <w:sz w:val="13"/>
                <w:szCs w:val="13"/>
                <w:color w:val="auto"/>
              </w:rPr>
            </w:pPr>
          </w:p>
        </w:tc>
        <w:tc>
          <w:tcPr>
            <w:tcW w:w="340" w:type="dxa"/>
            <w:vAlign w:val="bottom"/>
            <w:shd w:val="clear" w:color="auto" w:fill="EFEFEF"/>
          </w:tcPr>
          <w:p>
            <w:pPr>
              <w:spacing w:after="0"/>
              <w:rPr>
                <w:sz w:val="13"/>
                <w:szCs w:val="13"/>
                <w:color w:val="auto"/>
              </w:rPr>
            </w:pPr>
          </w:p>
        </w:tc>
      </w:tr>
      <w:tr>
        <w:trPr>
          <w:trHeight w:val="95"/>
        </w:trPr>
        <w:tc>
          <w:tcPr>
            <w:tcW w:w="5020" w:type="dxa"/>
            <w:vAlign w:val="bottom"/>
            <w:shd w:val="clear" w:color="auto" w:fill="EFEFEF"/>
          </w:tcPr>
          <w:p>
            <w:pPr>
              <w:spacing w:after="0"/>
              <w:rPr>
                <w:sz w:val="8"/>
                <w:szCs w:val="8"/>
                <w:color w:val="auto"/>
              </w:rPr>
            </w:pPr>
          </w:p>
        </w:tc>
        <w:tc>
          <w:tcPr>
            <w:tcW w:w="560" w:type="dxa"/>
            <w:vAlign w:val="bottom"/>
            <w:shd w:val="clear" w:color="auto" w:fill="EFEFEF"/>
          </w:tcPr>
          <w:p>
            <w:pPr>
              <w:spacing w:after="0"/>
              <w:rPr>
                <w:sz w:val="8"/>
                <w:szCs w:val="8"/>
                <w:color w:val="auto"/>
              </w:rPr>
            </w:pPr>
          </w:p>
        </w:tc>
        <w:tc>
          <w:tcPr>
            <w:tcW w:w="5040" w:type="dxa"/>
            <w:vAlign w:val="bottom"/>
            <w:shd w:val="clear" w:color="auto" w:fill="EFEFEF"/>
          </w:tcPr>
          <w:p>
            <w:pPr>
              <w:spacing w:after="0"/>
              <w:rPr>
                <w:sz w:val="8"/>
                <w:szCs w:val="8"/>
                <w:color w:val="auto"/>
              </w:rPr>
            </w:pPr>
          </w:p>
        </w:tc>
        <w:tc>
          <w:tcPr>
            <w:tcW w:w="340" w:type="dxa"/>
            <w:vAlign w:val="bottom"/>
            <w:shd w:val="clear" w:color="auto" w:fill="EFEFE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257175</wp:posOffset>
            </wp:positionV>
            <wp:extent cx="27432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41  </w:t>
      </w:r>
      <w:r>
        <w:rPr>
          <w:sz w:val="1"/>
          <w:szCs w:val="1"/>
          <w:color w:val="auto"/>
        </w:rPr>
        <w:drawing>
          <wp:inline distT="0" distB="0" distL="0" distR="0">
            <wp:extent cx="2203450" cy="15430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Our compensation philosophy, pay practices and governance process</w:t>
      </w:r>
    </w:p>
    <w:p>
      <w:pPr>
        <w:spacing w:after="0" w:line="1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pay-for-performance compensation program is designed to align the long-term interests of our employees with those of our shareholders by emphasizing sustained value and reinforcing personal accountability.</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074A75"/>
        </w:rPr>
        <w:t>COMPENSATION PHILOSOPHY</w:t>
      </w:r>
    </w:p>
    <w:p>
      <w:pPr>
        <w:spacing w:after="0" w:line="11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compensation philosophy provides the guiding principles that drive compensation-related decisions across all levels of the Firm. We believe our compensation philosophy promotes an equitable and well-governed approach to compensation, which includes pay-for-performance practices that attract and retain top and diverse talent in a competitive market, is responsive to and aligned with shareholders, reinforces our culture and Business Principles, and integrates risk, controls and conduct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602740" cy="7715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602740" cy="77152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17" w:lineRule="exact"/>
        <w:rPr>
          <w:sz w:val="20"/>
          <w:szCs w:val="20"/>
          <w:color w:val="auto"/>
        </w:rPr>
      </w:pPr>
    </w:p>
    <w:p>
      <w:pPr>
        <w:jc w:val="right"/>
        <w:ind w:left="400"/>
        <w:spacing w:after="0" w:line="267" w:lineRule="auto"/>
        <w:rPr>
          <w:sz w:val="20"/>
          <w:szCs w:val="20"/>
          <w:color w:val="auto"/>
        </w:rPr>
      </w:pPr>
      <w:r>
        <w:rPr>
          <w:rFonts w:ascii="Arial" w:cs="Arial" w:eastAsia="Arial" w:hAnsi="Arial"/>
          <w:sz w:val="19"/>
          <w:szCs w:val="19"/>
          <w:b w:val="1"/>
          <w:bCs w:val="1"/>
          <w:color w:val="FFFFFF"/>
        </w:rPr>
        <w:t>PAYING FOR PERFORMANCE AND ALIGNING WITH SHAREHOLDERS’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602740" cy="6515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602740"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92" w:right="160" w:hanging="192"/>
        <w:spacing w:after="0" w:line="266" w:lineRule="auto"/>
        <w:tabs>
          <w:tab w:leader="none" w:pos="189" w:val="left"/>
        </w:tabs>
        <w:numPr>
          <w:ilvl w:val="0"/>
          <w:numId w:val="117"/>
        </w:numPr>
        <w:rPr>
          <w:rFonts w:ascii="Arial" w:cs="Arial" w:eastAsia="Arial" w:hAnsi="Arial"/>
          <w:sz w:val="16"/>
          <w:szCs w:val="16"/>
          <w:color w:val="074A75"/>
        </w:rPr>
      </w:pPr>
      <w:r>
        <w:rPr>
          <w:rFonts w:ascii="Arial" w:cs="Arial" w:eastAsia="Arial" w:hAnsi="Arial"/>
          <w:sz w:val="16"/>
          <w:szCs w:val="16"/>
          <w:color w:val="auto"/>
        </w:rPr>
        <w:t>In making compensation-related decisions, we focus on risk-adjusted performance (the Firm’s risk and control professionals help contextualize the risk taken to achieve the return) and reward behaviors that generate sustained value for the Firm. This means that compensation should not be overly formulaic, rigid or focused on the short-term.</w:t>
      </w:r>
    </w:p>
    <w:p>
      <w:pPr>
        <w:spacing w:after="0" w:line="22" w:lineRule="exact"/>
        <w:rPr>
          <w:rFonts w:ascii="Arial" w:cs="Arial" w:eastAsia="Arial" w:hAnsi="Arial"/>
          <w:sz w:val="16"/>
          <w:szCs w:val="16"/>
          <w:color w:val="074A75"/>
        </w:rPr>
      </w:pPr>
    </w:p>
    <w:p>
      <w:pPr>
        <w:ind w:left="192" w:right="440" w:hanging="192"/>
        <w:spacing w:after="0" w:line="286" w:lineRule="auto"/>
        <w:tabs>
          <w:tab w:leader="none" w:pos="189" w:val="left"/>
        </w:tabs>
        <w:numPr>
          <w:ilvl w:val="0"/>
          <w:numId w:val="117"/>
        </w:numPr>
        <w:rPr>
          <w:rFonts w:ascii="Arial" w:cs="Arial" w:eastAsia="Arial" w:hAnsi="Arial"/>
          <w:sz w:val="16"/>
          <w:szCs w:val="16"/>
          <w:color w:val="074A75"/>
        </w:rPr>
      </w:pPr>
      <w:r>
        <w:rPr>
          <w:rFonts w:ascii="Arial" w:cs="Arial" w:eastAsia="Arial" w:hAnsi="Arial"/>
          <w:sz w:val="16"/>
          <w:szCs w:val="16"/>
          <w:color w:val="auto"/>
        </w:rPr>
        <w:t>A majority of OC member incentive compensation should be in equity that vests over multiple years to align with sustained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107950</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2420" w:space="208"/>
            <w:col w:w="8632"/>
          </w:cols>
          <w:pgMar w:left="320" w:top="157" w:right="319" w:bottom="1440" w:gutter="0" w:footer="0" w:header="0"/>
          <w:type w:val="continuous"/>
        </w:sectPr>
      </w:pPr>
    </w:p>
    <w:p>
      <w:pPr>
        <w:spacing w:after="0" w:line="29" w:lineRule="exact"/>
        <w:rPr>
          <w:sz w:val="20"/>
          <w:szCs w:val="20"/>
          <w:color w:val="auto"/>
        </w:rPr>
      </w:pPr>
    </w:p>
    <w:p>
      <w:pPr>
        <w:jc w:val="right"/>
        <w:ind w:left="560"/>
        <w:spacing w:after="0" w:line="282" w:lineRule="auto"/>
        <w:rPr>
          <w:sz w:val="20"/>
          <w:szCs w:val="20"/>
          <w:color w:val="auto"/>
        </w:rPr>
      </w:pPr>
      <w:r>
        <w:rPr>
          <w:rFonts w:ascii="Arial" w:cs="Arial" w:eastAsia="Arial" w:hAnsi="Arial"/>
          <w:sz w:val="19"/>
          <w:szCs w:val="19"/>
          <w:b w:val="1"/>
          <w:bCs w:val="1"/>
          <w:color w:val="FFFFFF"/>
        </w:rPr>
        <w:t>ENCOURAGING A SHARED SUCCESS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602740" cy="9347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602740" cy="934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192" w:right="660" w:hanging="192"/>
        <w:spacing w:after="0" w:line="286" w:lineRule="auto"/>
        <w:tabs>
          <w:tab w:leader="none" w:pos="189" w:val="left"/>
        </w:tabs>
        <w:numPr>
          <w:ilvl w:val="0"/>
          <w:numId w:val="118"/>
        </w:numPr>
        <w:rPr>
          <w:rFonts w:ascii="Arial" w:cs="Arial" w:eastAsia="Arial" w:hAnsi="Arial"/>
          <w:sz w:val="16"/>
          <w:szCs w:val="16"/>
          <w:color w:val="074A75"/>
        </w:rPr>
      </w:pPr>
      <w:r>
        <w:rPr>
          <w:rFonts w:ascii="Arial" w:cs="Arial" w:eastAsia="Arial" w:hAnsi="Arial"/>
          <w:sz w:val="16"/>
          <w:szCs w:val="16"/>
          <w:color w:val="auto"/>
        </w:rPr>
        <w:t>Teamwork and leadership should be encouraged and rewarded to foster a culture that supports our Business Principles.</w:t>
      </w:r>
    </w:p>
    <w:p>
      <w:pPr>
        <w:spacing w:after="0" w:line="7" w:lineRule="exact"/>
        <w:rPr>
          <w:rFonts w:ascii="Arial" w:cs="Arial" w:eastAsia="Arial" w:hAnsi="Arial"/>
          <w:sz w:val="16"/>
          <w:szCs w:val="16"/>
          <w:color w:val="074A75"/>
        </w:rPr>
      </w:pPr>
    </w:p>
    <w:p>
      <w:pPr>
        <w:ind w:left="192" w:right="80" w:hanging="192"/>
        <w:spacing w:after="0" w:line="286" w:lineRule="auto"/>
        <w:tabs>
          <w:tab w:leader="none" w:pos="189" w:val="left"/>
        </w:tabs>
        <w:numPr>
          <w:ilvl w:val="0"/>
          <w:numId w:val="118"/>
        </w:numPr>
        <w:rPr>
          <w:rFonts w:ascii="Arial" w:cs="Arial" w:eastAsia="Arial" w:hAnsi="Arial"/>
          <w:sz w:val="16"/>
          <w:szCs w:val="16"/>
          <w:color w:val="074A75"/>
        </w:rPr>
      </w:pPr>
      <w:r>
        <w:rPr>
          <w:rFonts w:ascii="Arial" w:cs="Arial" w:eastAsia="Arial" w:hAnsi="Arial"/>
          <w:sz w:val="16"/>
          <w:szCs w:val="16"/>
          <w:color w:val="auto"/>
        </w:rPr>
        <w:t>Contributions should be considered across the Firm, within business units, and at an individual level when evaluating an employee’s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107950</wp:posOffset>
            </wp:positionV>
            <wp:extent cx="7132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208"/>
            <w:col w:w="8632"/>
          </w:cols>
          <w:pgMar w:left="320" w:top="157" w:right="319" w:bottom="1440" w:gutter="0" w:footer="0" w:header="0"/>
          <w:type w:val="continuous"/>
        </w:sectPr>
      </w:pPr>
    </w:p>
    <w:p>
      <w:pPr>
        <w:spacing w:after="0" w:line="95" w:lineRule="exact"/>
        <w:rPr>
          <w:sz w:val="20"/>
          <w:szCs w:val="20"/>
          <w:color w:val="auto"/>
        </w:rPr>
      </w:pPr>
    </w:p>
    <w:p>
      <w:pPr>
        <w:jc w:val="right"/>
        <w:ind w:left="620"/>
        <w:spacing w:after="0" w:line="254" w:lineRule="auto"/>
        <w:rPr>
          <w:sz w:val="20"/>
          <w:szCs w:val="20"/>
          <w:color w:val="auto"/>
        </w:rPr>
      </w:pPr>
      <w:r>
        <w:rPr>
          <w:rFonts w:ascii="Arial" w:cs="Arial" w:eastAsia="Arial" w:hAnsi="Arial"/>
          <w:sz w:val="20"/>
          <w:szCs w:val="20"/>
          <w:b w:val="1"/>
          <w:bCs w:val="1"/>
          <w:color w:val="FFFFFF"/>
        </w:rPr>
        <w:t>ATTRACTING AND RETAINING TOP AND DIVERSE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1602740" cy="9861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602740" cy="98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92" w:right="280" w:hanging="192"/>
        <w:spacing w:after="0" w:line="286" w:lineRule="auto"/>
        <w:tabs>
          <w:tab w:leader="none" w:pos="189" w:val="left"/>
        </w:tabs>
        <w:numPr>
          <w:ilvl w:val="0"/>
          <w:numId w:val="119"/>
        </w:numPr>
        <w:rPr>
          <w:rFonts w:ascii="Arial" w:cs="Arial" w:eastAsia="Arial" w:hAnsi="Arial"/>
          <w:sz w:val="16"/>
          <w:szCs w:val="16"/>
          <w:color w:val="074A75"/>
        </w:rPr>
      </w:pPr>
      <w:r>
        <w:rPr>
          <w:rFonts w:ascii="Arial" w:cs="Arial" w:eastAsia="Arial" w:hAnsi="Arial"/>
          <w:sz w:val="16"/>
          <w:szCs w:val="16"/>
          <w:color w:val="auto"/>
        </w:rPr>
        <w:t>Our long-term success depends on the talents of our employees. Our compensation philosophy plays a significant role in our ability to attract, properly motivate and retain top and diverse talent.</w:t>
      </w:r>
    </w:p>
    <w:p>
      <w:pPr>
        <w:spacing w:after="0" w:line="7" w:lineRule="exact"/>
        <w:rPr>
          <w:rFonts w:ascii="Arial" w:cs="Arial" w:eastAsia="Arial" w:hAnsi="Arial"/>
          <w:sz w:val="16"/>
          <w:szCs w:val="16"/>
          <w:color w:val="074A75"/>
        </w:rPr>
      </w:pPr>
    </w:p>
    <w:p>
      <w:pPr>
        <w:ind w:left="192" w:right="440" w:hanging="192"/>
        <w:spacing w:after="0" w:line="286" w:lineRule="auto"/>
        <w:tabs>
          <w:tab w:leader="none" w:pos="189" w:val="left"/>
        </w:tabs>
        <w:numPr>
          <w:ilvl w:val="0"/>
          <w:numId w:val="119"/>
        </w:numPr>
        <w:rPr>
          <w:rFonts w:ascii="Arial" w:cs="Arial" w:eastAsia="Arial" w:hAnsi="Arial"/>
          <w:sz w:val="16"/>
          <w:szCs w:val="16"/>
          <w:color w:val="074A75"/>
        </w:rPr>
      </w:pPr>
      <w:r>
        <w:rPr>
          <w:rFonts w:ascii="Arial" w:cs="Arial" w:eastAsia="Arial" w:hAnsi="Arial"/>
          <w:sz w:val="16"/>
          <w:szCs w:val="16"/>
          <w:color w:val="auto"/>
        </w:rPr>
        <w:t>Competitive and reasonable compensation should help attract and retain the best talent to grow and sustain our business.</w:t>
      </w:r>
    </w:p>
    <w:p>
      <w:pPr>
        <w:spacing w:after="0" w:line="20" w:lineRule="exact"/>
        <w:rPr>
          <w:rFonts w:ascii="Arial" w:cs="Arial" w:eastAsia="Arial" w:hAnsi="Arial"/>
          <w:sz w:val="16"/>
          <w:szCs w:val="16"/>
          <w:color w:val="074A75"/>
        </w:rPr>
      </w:pPr>
    </w:p>
    <w:p>
      <w:pPr>
        <w:ind w:left="192" w:right="320" w:hanging="192"/>
        <w:spacing w:after="0" w:line="286" w:lineRule="auto"/>
        <w:tabs>
          <w:tab w:leader="none" w:pos="189" w:val="left"/>
        </w:tabs>
        <w:numPr>
          <w:ilvl w:val="0"/>
          <w:numId w:val="119"/>
        </w:numPr>
        <w:rPr>
          <w:rFonts w:ascii="Arial" w:cs="Arial" w:eastAsia="Arial" w:hAnsi="Arial"/>
          <w:sz w:val="16"/>
          <w:szCs w:val="16"/>
          <w:color w:val="00497F"/>
        </w:rPr>
      </w:pPr>
      <w:r>
        <w:rPr>
          <w:rFonts w:ascii="Arial" w:cs="Arial" w:eastAsia="Arial" w:hAnsi="Arial"/>
          <w:sz w:val="16"/>
          <w:szCs w:val="16"/>
          <w:color w:val="auto"/>
        </w:rPr>
        <w:t>Diversity, equity and inclusion priorities and progress are incorporated into year-end performance evaluations and compensation decisions for OC members and a select group of senior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99060</wp:posOffset>
            </wp:positionV>
            <wp:extent cx="71323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208"/>
            <w:col w:w="8632"/>
          </w:cols>
          <w:pgMar w:left="320" w:top="157" w:right="319" w:bottom="1440" w:gutter="0" w:footer="0" w:header="0"/>
          <w:type w:val="continuous"/>
        </w:sectPr>
      </w:pPr>
    </w:p>
    <w:p>
      <w:pPr>
        <w:spacing w:after="0" w:line="81" w:lineRule="exact"/>
        <w:rPr>
          <w:sz w:val="20"/>
          <w:szCs w:val="20"/>
          <w:color w:val="auto"/>
        </w:rPr>
      </w:pPr>
    </w:p>
    <w:p>
      <w:pPr>
        <w:jc w:val="right"/>
        <w:ind w:left="480"/>
        <w:spacing w:after="0" w:line="282" w:lineRule="auto"/>
        <w:rPr>
          <w:sz w:val="20"/>
          <w:szCs w:val="20"/>
          <w:color w:val="auto"/>
        </w:rPr>
      </w:pPr>
      <w:r>
        <w:rPr>
          <w:rFonts w:ascii="Arial" w:cs="Arial" w:eastAsia="Arial" w:hAnsi="Arial"/>
          <w:sz w:val="19"/>
          <w:szCs w:val="19"/>
          <w:b w:val="1"/>
          <w:bCs w:val="1"/>
          <w:color w:val="FFFFFF"/>
        </w:rPr>
        <w:t>INTEGRATING RISK MANAGEMENT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1602740" cy="7632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602740" cy="763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92" w:right="280" w:hanging="192"/>
        <w:spacing w:after="0" w:line="266" w:lineRule="auto"/>
        <w:tabs>
          <w:tab w:leader="none" w:pos="189" w:val="left"/>
        </w:tabs>
        <w:numPr>
          <w:ilvl w:val="0"/>
          <w:numId w:val="120"/>
        </w:numPr>
        <w:rPr>
          <w:rFonts w:ascii="Arial" w:cs="Arial" w:eastAsia="Arial" w:hAnsi="Arial"/>
          <w:sz w:val="16"/>
          <w:szCs w:val="16"/>
          <w:color w:val="074A75"/>
        </w:rPr>
      </w:pPr>
      <w:r>
        <w:rPr>
          <w:rFonts w:ascii="Arial" w:cs="Arial" w:eastAsia="Arial" w:hAnsi="Arial"/>
          <w:sz w:val="16"/>
          <w:szCs w:val="16"/>
          <w:color w:val="auto"/>
        </w:rPr>
        <w:t>Risk management, compensation recovery, and repayment policies should be robust and designed to encourage behaving with standards of integrity that are required by our culture and Business Principles. Excessive risk-taking should be deterred.</w:t>
      </w:r>
    </w:p>
    <w:p>
      <w:pPr>
        <w:spacing w:after="0" w:line="22" w:lineRule="exact"/>
        <w:rPr>
          <w:rFonts w:ascii="Arial" w:cs="Arial" w:eastAsia="Arial" w:hAnsi="Arial"/>
          <w:sz w:val="16"/>
          <w:szCs w:val="16"/>
          <w:color w:val="074A75"/>
        </w:rPr>
      </w:pPr>
    </w:p>
    <w:p>
      <w:pPr>
        <w:ind w:left="192" w:hanging="192"/>
        <w:spacing w:after="0"/>
        <w:tabs>
          <w:tab w:leader="none" w:pos="192" w:val="left"/>
        </w:tabs>
        <w:numPr>
          <w:ilvl w:val="0"/>
          <w:numId w:val="120"/>
        </w:numPr>
        <w:rPr>
          <w:rFonts w:ascii="Arial" w:cs="Arial" w:eastAsia="Arial" w:hAnsi="Arial"/>
          <w:sz w:val="16"/>
          <w:szCs w:val="16"/>
          <w:color w:val="074A75"/>
        </w:rPr>
      </w:pPr>
      <w:r>
        <w:rPr>
          <w:rFonts w:ascii="Arial" w:cs="Arial" w:eastAsia="Arial" w:hAnsi="Arial"/>
          <w:sz w:val="16"/>
          <w:szCs w:val="16"/>
          <w:color w:val="auto"/>
        </w:rPr>
        <w:t>Conduct matters should be reviewed following Firmwide frameworks.</w:t>
      </w:r>
    </w:p>
    <w:p>
      <w:pPr>
        <w:spacing w:after="0" w:line="86" w:lineRule="exact"/>
        <w:rPr>
          <w:rFonts w:ascii="Arial" w:cs="Arial" w:eastAsia="Arial" w:hAnsi="Arial"/>
          <w:sz w:val="16"/>
          <w:szCs w:val="16"/>
          <w:color w:val="074A75"/>
        </w:rPr>
      </w:pPr>
    </w:p>
    <w:p>
      <w:pPr>
        <w:ind w:left="192" w:hanging="192"/>
        <w:spacing w:after="0"/>
        <w:tabs>
          <w:tab w:leader="none" w:pos="192" w:val="left"/>
        </w:tabs>
        <w:numPr>
          <w:ilvl w:val="0"/>
          <w:numId w:val="120"/>
        </w:numPr>
        <w:rPr>
          <w:rFonts w:ascii="Arial" w:cs="Arial" w:eastAsia="Arial" w:hAnsi="Arial"/>
          <w:sz w:val="16"/>
          <w:szCs w:val="16"/>
          <w:color w:val="074A75"/>
        </w:rPr>
      </w:pPr>
      <w:r>
        <w:rPr>
          <w:rFonts w:ascii="Arial" w:cs="Arial" w:eastAsia="Arial" w:hAnsi="Arial"/>
          <w:sz w:val="16"/>
          <w:szCs w:val="16"/>
          <w:color w:val="auto"/>
        </w:rPr>
        <w:t>Recoupment policies should include recovery of cash and equity compensation.</w:t>
      </w:r>
    </w:p>
    <w:p>
      <w:pPr>
        <w:spacing w:after="0" w:line="72" w:lineRule="exact"/>
        <w:rPr>
          <w:rFonts w:ascii="Arial" w:cs="Arial" w:eastAsia="Arial" w:hAnsi="Arial"/>
          <w:sz w:val="16"/>
          <w:szCs w:val="16"/>
          <w:color w:val="074A75"/>
        </w:rPr>
      </w:pPr>
    </w:p>
    <w:p>
      <w:pPr>
        <w:ind w:left="192" w:hanging="192"/>
        <w:spacing w:after="0"/>
        <w:tabs>
          <w:tab w:leader="none" w:pos="192" w:val="left"/>
        </w:tabs>
        <w:numPr>
          <w:ilvl w:val="0"/>
          <w:numId w:val="120"/>
        </w:numPr>
        <w:rPr>
          <w:rFonts w:ascii="Arial" w:cs="Arial" w:eastAsia="Arial" w:hAnsi="Arial"/>
          <w:sz w:val="16"/>
          <w:szCs w:val="16"/>
          <w:color w:val="074A75"/>
        </w:rPr>
      </w:pPr>
      <w:r>
        <w:rPr>
          <w:rFonts w:ascii="Arial" w:cs="Arial" w:eastAsia="Arial" w:hAnsi="Arial"/>
          <w:sz w:val="16"/>
          <w:szCs w:val="16"/>
          <w:color w:val="auto"/>
        </w:rPr>
        <w:t>Our pay practices must comply with applicable rules and regulations, both in the U.S.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149225</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208"/>
            <w:col w:w="8632"/>
          </w:cols>
          <w:pgMar w:left="320" w:top="157" w:right="319" w:bottom="1440" w:gutter="0" w:footer="0" w:header="0"/>
          <w:type w:val="continuous"/>
        </w:sectPr>
      </w:pPr>
    </w:p>
    <w:p>
      <w:pPr>
        <w:spacing w:after="0" w:line="16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FFFF"/>
        </w:rPr>
        <w:t>NO SPECIAL</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FFFF"/>
        </w:rPr>
        <w:t>PERQUISITES AND</w:t>
      </w:r>
    </w:p>
    <w:p>
      <w:pPr>
        <w:jc w:val="right"/>
        <w:spacing w:after="0"/>
        <w:rPr>
          <w:sz w:val="20"/>
          <w:szCs w:val="20"/>
          <w:color w:val="auto"/>
        </w:rPr>
      </w:pPr>
      <w:r>
        <w:rPr>
          <w:rFonts w:ascii="Arial" w:cs="Arial" w:eastAsia="Arial" w:hAnsi="Arial"/>
          <w:sz w:val="19"/>
          <w:szCs w:val="19"/>
          <w:b w:val="1"/>
          <w:bCs w:val="1"/>
          <w:color w:val="FFFFFF"/>
        </w:rPr>
        <w:t>NON-PERFORMANCE</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FFFF"/>
        </w:rPr>
        <w:t>BASED</w:t>
      </w:r>
    </w:p>
    <w:p>
      <w:pPr>
        <w:jc w:val="right"/>
        <w:spacing w:after="0"/>
        <w:rPr>
          <w:sz w:val="20"/>
          <w:szCs w:val="20"/>
          <w:color w:val="auto"/>
        </w:rPr>
      </w:pPr>
      <w:r>
        <w:rPr>
          <w:rFonts w:ascii="Arial" w:cs="Arial" w:eastAsia="Arial" w:hAnsi="Arial"/>
          <w:sz w:val="20"/>
          <w:szCs w:val="20"/>
          <w:b w:val="1"/>
          <w:bCs w:val="1"/>
          <w:color w:val="FFFFFF"/>
        </w:rPr>
        <w:t>COMPENSATION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192" w:hanging="192"/>
        <w:spacing w:after="0"/>
        <w:tabs>
          <w:tab w:leader="none" w:pos="192" w:val="left"/>
        </w:tabs>
        <w:numPr>
          <w:ilvl w:val="0"/>
          <w:numId w:val="121"/>
        </w:numPr>
        <w:rPr>
          <w:rFonts w:ascii="Arial" w:cs="Arial" w:eastAsia="Arial" w:hAnsi="Arial"/>
          <w:sz w:val="16"/>
          <w:szCs w:val="16"/>
          <w:color w:val="074A75"/>
        </w:rPr>
      </w:pPr>
      <w:r>
        <w:rPr>
          <w:rFonts w:ascii="Arial" w:cs="Arial" w:eastAsia="Arial" w:hAnsi="Arial"/>
          <w:sz w:val="16"/>
          <w:szCs w:val="16"/>
          <w:color w:val="auto"/>
        </w:rPr>
        <w:t>Compensation should be straightforward and consist primarily of cash and equity incentives.</w:t>
      </w:r>
    </w:p>
    <w:p>
      <w:pPr>
        <w:spacing w:after="0" w:line="72" w:lineRule="exact"/>
        <w:rPr>
          <w:rFonts w:ascii="Arial" w:cs="Arial" w:eastAsia="Arial" w:hAnsi="Arial"/>
          <w:sz w:val="16"/>
          <w:szCs w:val="16"/>
          <w:color w:val="074A75"/>
        </w:rPr>
      </w:pPr>
    </w:p>
    <w:p>
      <w:pPr>
        <w:ind w:left="192" w:right="360" w:hanging="192"/>
        <w:spacing w:after="0" w:line="266" w:lineRule="auto"/>
        <w:tabs>
          <w:tab w:leader="none" w:pos="189" w:val="left"/>
        </w:tabs>
        <w:numPr>
          <w:ilvl w:val="0"/>
          <w:numId w:val="121"/>
        </w:numPr>
        <w:rPr>
          <w:rFonts w:ascii="Arial" w:cs="Arial" w:eastAsia="Arial" w:hAnsi="Arial"/>
          <w:sz w:val="16"/>
          <w:szCs w:val="16"/>
          <w:color w:val="074A75"/>
        </w:rPr>
      </w:pPr>
      <w:r>
        <w:rPr>
          <w:rFonts w:ascii="Arial" w:cs="Arial" w:eastAsia="Arial" w:hAnsi="Arial"/>
          <w:sz w:val="16"/>
          <w:szCs w:val="16"/>
          <w:color w:val="auto"/>
        </w:rPr>
        <w:t>We do not have special supplemental retirement or other special benefits just for executives, nor do we have any change-in-control agreements, golden parachutes, merger bonuses, or other special severance benefit arrangements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229235</wp:posOffset>
            </wp:positionV>
            <wp:extent cx="71323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2420" w:space="208"/>
            <w:col w:w="8632"/>
          </w:cols>
          <w:pgMar w:left="320" w:top="157" w:right="31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40" w:type="dxa"/>
            <w:vAlign w:val="bottom"/>
            <w:shd w:val="clear" w:color="auto" w:fill="3E693D"/>
          </w:tcPr>
          <w:p>
            <w:pPr>
              <w:jc w:val="right"/>
              <w:ind w:right="21"/>
              <w:spacing w:after="0"/>
              <w:rPr>
                <w:sz w:val="20"/>
                <w:szCs w:val="20"/>
                <w:color w:val="auto"/>
              </w:rPr>
            </w:pPr>
            <w:r>
              <w:rPr>
                <w:rFonts w:ascii="Arial" w:cs="Arial" w:eastAsia="Arial" w:hAnsi="Arial"/>
                <w:sz w:val="20"/>
                <w:szCs w:val="20"/>
                <w:b w:val="1"/>
                <w:bCs w:val="1"/>
                <w:color w:val="FFFFFF"/>
              </w:rPr>
              <w:t>MAINTAINING</w:t>
            </w:r>
          </w:p>
        </w:tc>
        <w:tc>
          <w:tcPr>
            <w:tcW w:w="870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Strong corporate governance is fostered by independent Board oversight of our executive compensation program by</w:t>
            </w:r>
          </w:p>
        </w:tc>
      </w:tr>
      <w:tr>
        <w:trPr>
          <w:trHeight w:val="215"/>
        </w:trPr>
        <w:tc>
          <w:tcPr>
            <w:tcW w:w="2540" w:type="dxa"/>
            <w:vAlign w:val="bottom"/>
            <w:shd w:val="clear" w:color="auto" w:fill="3E693D"/>
          </w:tcPr>
          <w:p>
            <w:pPr>
              <w:jc w:val="right"/>
              <w:ind w:right="21"/>
              <w:spacing w:after="0" w:line="215" w:lineRule="exact"/>
              <w:rPr>
                <w:sz w:val="20"/>
                <w:szCs w:val="20"/>
                <w:color w:val="auto"/>
              </w:rPr>
            </w:pPr>
            <w:r>
              <w:rPr>
                <w:rFonts w:ascii="Arial" w:cs="Arial" w:eastAsia="Arial" w:hAnsi="Arial"/>
                <w:sz w:val="20"/>
                <w:szCs w:val="20"/>
                <w:b w:val="1"/>
                <w:bCs w:val="1"/>
                <w:color w:val="FFFFFF"/>
              </w:rPr>
              <w:t>STRONG</w:t>
            </w:r>
          </w:p>
        </w:tc>
        <w:tc>
          <w:tcPr>
            <w:tcW w:w="8700" w:type="dxa"/>
            <w:vAlign w:val="bottom"/>
          </w:tcPr>
          <w:p>
            <w:pPr>
              <w:ind w:left="280"/>
              <w:spacing w:after="0"/>
              <w:rPr>
                <w:sz w:val="20"/>
                <w:szCs w:val="20"/>
                <w:color w:val="auto"/>
              </w:rPr>
            </w:pPr>
            <w:r>
              <w:rPr>
                <w:rFonts w:ascii="Arial" w:cs="Arial" w:eastAsia="Arial" w:hAnsi="Arial"/>
                <w:sz w:val="16"/>
                <w:szCs w:val="16"/>
                <w:color w:val="auto"/>
              </w:rPr>
              <w:t>the CMDC, including defining the Firm’s compensation philosophy, reviewing and approving the Firm’s overall</w:t>
            </w:r>
          </w:p>
        </w:tc>
      </w:tr>
      <w:tr>
        <w:trPr>
          <w:trHeight w:val="203"/>
        </w:trPr>
        <w:tc>
          <w:tcPr>
            <w:tcW w:w="2540" w:type="dxa"/>
            <w:vAlign w:val="bottom"/>
            <w:shd w:val="clear" w:color="auto" w:fill="3E693D"/>
          </w:tcPr>
          <w:p>
            <w:pPr>
              <w:jc w:val="right"/>
              <w:ind w:right="21"/>
              <w:spacing w:after="0" w:line="203" w:lineRule="exact"/>
              <w:rPr>
                <w:sz w:val="20"/>
                <w:szCs w:val="20"/>
                <w:color w:val="auto"/>
              </w:rPr>
            </w:pPr>
            <w:r>
              <w:rPr>
                <w:rFonts w:ascii="Arial" w:cs="Arial" w:eastAsia="Arial" w:hAnsi="Arial"/>
                <w:sz w:val="20"/>
                <w:szCs w:val="20"/>
                <w:b w:val="1"/>
                <w:bCs w:val="1"/>
                <w:color w:val="FFFFFF"/>
              </w:rPr>
              <w:t>GOVERNANCE</w:t>
            </w:r>
          </w:p>
        </w:tc>
        <w:tc>
          <w:tcPr>
            <w:tcW w:w="8700" w:type="dxa"/>
            <w:vAlign w:val="bottom"/>
          </w:tcPr>
          <w:p>
            <w:pPr>
              <w:ind w:left="280"/>
              <w:spacing w:after="0"/>
              <w:rPr>
                <w:sz w:val="20"/>
                <w:szCs w:val="20"/>
                <w:color w:val="auto"/>
              </w:rPr>
            </w:pPr>
            <w:r>
              <w:rPr>
                <w:rFonts w:ascii="Arial" w:cs="Arial" w:eastAsia="Arial" w:hAnsi="Arial"/>
                <w:sz w:val="16"/>
                <w:szCs w:val="16"/>
                <w:color w:val="auto"/>
              </w:rPr>
              <w:t>incentive compensation pools, and approving compensation for our OC, including the terms of compensation awards;</w:t>
            </w:r>
          </w:p>
        </w:tc>
      </w:tr>
      <w:tr>
        <w:trPr>
          <w:trHeight w:val="215"/>
        </w:trPr>
        <w:tc>
          <w:tcPr>
            <w:tcW w:w="2540" w:type="dxa"/>
            <w:vAlign w:val="bottom"/>
            <w:shd w:val="clear" w:color="auto" w:fill="3E693D"/>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CEO compensation is subject to full Board ratification.</w:t>
            </w:r>
          </w:p>
        </w:tc>
      </w:tr>
      <w:tr>
        <w:trPr>
          <w:trHeight w:val="217"/>
        </w:trPr>
        <w:tc>
          <w:tcPr>
            <w:tcW w:w="2540" w:type="dxa"/>
            <w:vAlign w:val="bottom"/>
            <w:shd w:val="clear" w:color="auto" w:fill="3E693D"/>
          </w:tcPr>
          <w:p>
            <w:pPr>
              <w:spacing w:after="0"/>
              <w:rPr>
                <w:sz w:val="18"/>
                <w:szCs w:val="18"/>
                <w:color w:val="auto"/>
              </w:rPr>
            </w:pPr>
          </w:p>
        </w:tc>
        <w:tc>
          <w:tcPr>
            <w:tcW w:w="870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We have a rigorous process in place to review risk, controls and conduct issues at the Firm, line of business,</w:t>
            </w:r>
          </w:p>
        </w:tc>
      </w:tr>
      <w:tr>
        <w:trPr>
          <w:trHeight w:val="189"/>
        </w:trPr>
        <w:tc>
          <w:tcPr>
            <w:tcW w:w="2540" w:type="dxa"/>
            <w:vAlign w:val="bottom"/>
            <w:shd w:val="clear" w:color="auto" w:fill="3E693D"/>
          </w:tcPr>
          <w:p>
            <w:pPr>
              <w:spacing w:after="0"/>
              <w:rPr>
                <w:sz w:val="16"/>
                <w:szCs w:val="16"/>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functional, and regional levels, which can impact compensation pools as well as reduce compensation at the</w:t>
            </w:r>
          </w:p>
        </w:tc>
      </w:tr>
      <w:tr>
        <w:trPr>
          <w:trHeight w:val="215"/>
        </w:trPr>
        <w:tc>
          <w:tcPr>
            <w:tcW w:w="2540" w:type="dxa"/>
            <w:vAlign w:val="bottom"/>
            <w:shd w:val="clear" w:color="auto" w:fill="3E693D"/>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individual level, in addition to other employee actions.</w:t>
            </w:r>
          </w:p>
        </w:tc>
      </w:tr>
      <w:tr>
        <w:trPr>
          <w:trHeight w:val="96"/>
        </w:trPr>
        <w:tc>
          <w:tcPr>
            <w:tcW w:w="2540" w:type="dxa"/>
            <w:vAlign w:val="bottom"/>
            <w:shd w:val="clear" w:color="auto" w:fill="3E693D"/>
          </w:tcPr>
          <w:p>
            <w:pPr>
              <w:spacing w:after="0"/>
              <w:rPr>
                <w:sz w:val="8"/>
                <w:szCs w:val="8"/>
                <w:color w:val="auto"/>
              </w:rPr>
            </w:pPr>
          </w:p>
        </w:tc>
        <w:tc>
          <w:tcPr>
            <w:tcW w:w="8700" w:type="dxa"/>
            <w:vAlign w:val="bottom"/>
          </w:tcPr>
          <w:p>
            <w:pPr>
              <w:spacing w:after="0"/>
              <w:rPr>
                <w:sz w:val="8"/>
                <w:szCs w:val="8"/>
                <w:color w:val="auto"/>
              </w:rPr>
            </w:pPr>
          </w:p>
        </w:tc>
      </w:tr>
      <w:tr>
        <w:trPr>
          <w:trHeight w:val="108"/>
        </w:trPr>
        <w:tc>
          <w:tcPr>
            <w:tcW w:w="2540" w:type="dxa"/>
            <w:vAlign w:val="bottom"/>
            <w:tcBorders>
              <w:bottom w:val="single" w:sz="8" w:color="494949"/>
            </w:tcBorders>
          </w:tcPr>
          <w:p>
            <w:pPr>
              <w:spacing w:after="0"/>
              <w:rPr>
                <w:sz w:val="9"/>
                <w:szCs w:val="9"/>
                <w:color w:val="auto"/>
              </w:rPr>
            </w:pPr>
          </w:p>
        </w:tc>
        <w:tc>
          <w:tcPr>
            <w:tcW w:w="8700" w:type="dxa"/>
            <w:vAlign w:val="bottom"/>
            <w:tcBorders>
              <w:bottom w:val="single" w:sz="8" w:color="494949"/>
            </w:tcBorders>
          </w:tcPr>
          <w:p>
            <w:pPr>
              <w:spacing w:after="0"/>
              <w:rPr>
                <w:sz w:val="9"/>
                <w:szCs w:val="9"/>
                <w:color w:val="auto"/>
              </w:rPr>
            </w:pPr>
          </w:p>
        </w:tc>
      </w:tr>
      <w:tr>
        <w:trPr>
          <w:trHeight w:val="101"/>
        </w:trPr>
        <w:tc>
          <w:tcPr>
            <w:tcW w:w="2540" w:type="dxa"/>
            <w:vAlign w:val="bottom"/>
          </w:tcPr>
          <w:p>
            <w:pPr>
              <w:spacing w:after="0"/>
              <w:rPr>
                <w:sz w:val="8"/>
                <w:szCs w:val="8"/>
                <w:color w:val="auto"/>
              </w:rPr>
            </w:pPr>
          </w:p>
        </w:tc>
        <w:tc>
          <w:tcPr>
            <w:tcW w:w="8700" w:type="dxa"/>
            <w:vAlign w:val="bottom"/>
          </w:tcPr>
          <w:p>
            <w:pPr>
              <w:spacing w:after="0"/>
              <w:rPr>
                <w:sz w:val="8"/>
                <w:szCs w:val="8"/>
                <w:color w:val="auto"/>
              </w:rPr>
            </w:pPr>
          </w:p>
        </w:tc>
      </w:tr>
      <w:tr>
        <w:trPr>
          <w:trHeight w:val="203"/>
        </w:trPr>
        <w:tc>
          <w:tcPr>
            <w:tcW w:w="2540" w:type="dxa"/>
            <w:vAlign w:val="bottom"/>
            <w:shd w:val="clear" w:color="auto" w:fill="3E693D"/>
          </w:tcPr>
          <w:p>
            <w:pPr>
              <w:jc w:val="right"/>
              <w:ind w:right="21"/>
              <w:spacing w:after="0" w:line="203" w:lineRule="exact"/>
              <w:rPr>
                <w:sz w:val="20"/>
                <w:szCs w:val="20"/>
                <w:color w:val="auto"/>
              </w:rPr>
            </w:pPr>
            <w:r>
              <w:rPr>
                <w:rFonts w:ascii="Arial" w:cs="Arial" w:eastAsia="Arial" w:hAnsi="Arial"/>
                <w:sz w:val="20"/>
                <w:szCs w:val="20"/>
                <w:b w:val="1"/>
                <w:bCs w:val="1"/>
                <w:color w:val="FFFFFF"/>
              </w:rPr>
              <w:t>TRANSPARENCY WITH</w:t>
            </w:r>
          </w:p>
        </w:tc>
        <w:tc>
          <w:tcPr>
            <w:tcW w:w="8700" w:type="dxa"/>
            <w:vAlign w:val="bottom"/>
          </w:tcPr>
          <w:p>
            <w:pPr>
              <w:ind w:left="80"/>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Transparency to shareholders regarding our executive compensation program is important. We disclose all material</w:t>
            </w:r>
          </w:p>
        </w:tc>
      </w:tr>
      <w:tr>
        <w:trPr>
          <w:trHeight w:val="311"/>
        </w:trPr>
        <w:tc>
          <w:tcPr>
            <w:tcW w:w="2540" w:type="dxa"/>
            <w:vAlign w:val="bottom"/>
            <w:shd w:val="clear" w:color="auto" w:fill="3E693D"/>
          </w:tcPr>
          <w:p>
            <w:pPr>
              <w:jc w:val="right"/>
              <w:ind w:right="21"/>
              <w:spacing w:after="0"/>
              <w:rPr>
                <w:sz w:val="20"/>
                <w:szCs w:val="20"/>
                <w:color w:val="auto"/>
              </w:rPr>
            </w:pPr>
            <w:r>
              <w:rPr>
                <w:rFonts w:ascii="Arial" w:cs="Arial" w:eastAsia="Arial" w:hAnsi="Arial"/>
                <w:sz w:val="20"/>
                <w:szCs w:val="20"/>
                <w:b w:val="1"/>
                <w:bCs w:val="1"/>
                <w:color w:val="FFFFFF"/>
              </w:rPr>
              <w:t>SHAREHOLDERS</w:t>
            </w:r>
          </w:p>
        </w:tc>
        <w:tc>
          <w:tcPr>
            <w:tcW w:w="8700" w:type="dxa"/>
            <w:vAlign w:val="bottom"/>
          </w:tcPr>
          <w:p>
            <w:pPr>
              <w:ind w:left="280"/>
              <w:spacing w:after="0"/>
              <w:rPr>
                <w:sz w:val="20"/>
                <w:szCs w:val="20"/>
                <w:color w:val="auto"/>
              </w:rPr>
            </w:pPr>
            <w:r>
              <w:rPr>
                <w:rFonts w:ascii="Arial" w:cs="Arial" w:eastAsia="Arial" w:hAnsi="Arial"/>
                <w:sz w:val="16"/>
                <w:szCs w:val="16"/>
                <w:color w:val="auto"/>
              </w:rPr>
              <w:t>terms of our executive pay program and any actions on our part in response to significant events, as appropriate.</w:t>
            </w:r>
          </w:p>
        </w:tc>
      </w:tr>
      <w:tr>
        <w:trPr>
          <w:trHeight w:val="108"/>
        </w:trPr>
        <w:tc>
          <w:tcPr>
            <w:tcW w:w="2540" w:type="dxa"/>
            <w:vAlign w:val="bottom"/>
            <w:tcBorders>
              <w:bottom w:val="single" w:sz="8" w:color="494949"/>
            </w:tcBorders>
          </w:tcPr>
          <w:p>
            <w:pPr>
              <w:spacing w:after="0"/>
              <w:rPr>
                <w:sz w:val="9"/>
                <w:szCs w:val="9"/>
                <w:color w:val="auto"/>
              </w:rPr>
            </w:pPr>
          </w:p>
        </w:tc>
        <w:tc>
          <w:tcPr>
            <w:tcW w:w="8700" w:type="dxa"/>
            <w:vAlign w:val="bottom"/>
            <w:tcBorders>
              <w:bottom w:val="single" w:sz="8" w:color="494949"/>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effectiveness of our compensation program is dependent upon the alignment of sound pay-for-performance practices with our compensation philosophy. Highlighted below are pay practices that are integral to our compensation program, as well as certain pay practices that we chose not to implement.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WE ADOPT SOUND PAY PRACTICES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0" w:type="dxa"/>
            <w:vAlign w:val="bottom"/>
            <w:shd w:val="clear" w:color="auto" w:fill="EEEFEF"/>
          </w:tcPr>
          <w:p>
            <w:pPr>
              <w:spacing w:after="0"/>
              <w:rPr>
                <w:sz w:val="22"/>
                <w:szCs w:val="22"/>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Principles-based compensation philosophy </w:t>
            </w:r>
            <w:r>
              <w:rPr>
                <w:rFonts w:ascii="Arial" w:cs="Arial" w:eastAsia="Arial" w:hAnsi="Arial"/>
                <w:sz w:val="16"/>
                <w:szCs w:val="16"/>
                <w:color w:val="000000"/>
              </w:rPr>
              <w:t>– Guiding principles</w:t>
            </w:r>
          </w:p>
        </w:tc>
        <w:tc>
          <w:tcPr>
            <w:tcW w:w="620" w:type="dxa"/>
            <w:vAlign w:val="bottom"/>
            <w:shd w:val="clear" w:color="auto" w:fill="EEEFEF"/>
          </w:tcPr>
          <w:p>
            <w:pPr>
              <w:spacing w:after="0"/>
              <w:rPr>
                <w:sz w:val="22"/>
                <w:szCs w:val="22"/>
                <w:color w:val="auto"/>
              </w:rPr>
            </w:pPr>
          </w:p>
        </w:tc>
        <w:tc>
          <w:tcPr>
            <w:tcW w:w="5140" w:type="dxa"/>
            <w:vAlign w:val="bottom"/>
            <w:vMerge w:val="restart"/>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Competitive benchmarking </w:t>
            </w:r>
            <w:r>
              <w:rPr>
                <w:rFonts w:ascii="Arial" w:cs="Arial" w:eastAsia="Arial" w:hAnsi="Arial"/>
                <w:sz w:val="16"/>
                <w:szCs w:val="16"/>
                <w:b w:val="1"/>
                <w:bCs w:val="1"/>
                <w:color w:val="000000"/>
              </w:rPr>
              <w:t>–</w:t>
            </w:r>
            <w:r>
              <w:rPr>
                <w:rFonts w:ascii="Arial" w:cs="Arial" w:eastAsia="Arial" w:hAnsi="Arial"/>
                <w:sz w:val="16"/>
                <w:szCs w:val="16"/>
                <w:b w:val="1"/>
                <w:bCs w:val="1"/>
                <w:color w:val="074A75"/>
              </w:rPr>
              <w:t xml:space="preserve"> </w:t>
            </w:r>
            <w:r>
              <w:rPr>
                <w:rFonts w:ascii="Arial" w:cs="Arial" w:eastAsia="Arial" w:hAnsi="Arial"/>
                <w:sz w:val="16"/>
                <w:szCs w:val="16"/>
                <w:color w:val="000000"/>
              </w:rPr>
              <w:t>We evaluate pay levels and pay</w:t>
            </w:r>
          </w:p>
        </w:tc>
        <w:tc>
          <w:tcPr>
            <w:tcW w:w="0" w:type="dxa"/>
            <w:vAlign w:val="bottom"/>
          </w:tcPr>
          <w:p>
            <w:pPr>
              <w:spacing w:after="0"/>
              <w:rPr>
                <w:sz w:val="1"/>
                <w:szCs w:val="1"/>
                <w:color w:val="auto"/>
              </w:rPr>
            </w:pPr>
          </w:p>
        </w:tc>
      </w:tr>
      <w:tr>
        <w:trPr>
          <w:trHeight w:val="108"/>
        </w:trPr>
        <w:tc>
          <w:tcPr>
            <w:tcW w:w="380" w:type="dxa"/>
            <w:vAlign w:val="bottom"/>
            <w:shd w:val="clear" w:color="auto" w:fill="EEEFEF"/>
          </w:tcPr>
          <w:p>
            <w:pPr>
              <w:spacing w:after="0"/>
              <w:rPr>
                <w:sz w:val="9"/>
                <w:szCs w:val="9"/>
                <w:color w:val="auto"/>
              </w:rPr>
            </w:pPr>
          </w:p>
        </w:tc>
        <w:tc>
          <w:tcPr>
            <w:tcW w:w="51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that drive compensation-related decision-making across all levels of</w:t>
            </w:r>
          </w:p>
        </w:tc>
        <w:tc>
          <w:tcPr>
            <w:tcW w:w="620" w:type="dxa"/>
            <w:vAlign w:val="bottom"/>
            <w:shd w:val="clear" w:color="auto" w:fill="EEEFEF"/>
          </w:tcPr>
          <w:p>
            <w:pPr>
              <w:spacing w:after="0"/>
              <w:rPr>
                <w:sz w:val="9"/>
                <w:szCs w:val="9"/>
                <w:color w:val="auto"/>
              </w:rPr>
            </w:pPr>
          </w:p>
        </w:tc>
        <w:tc>
          <w:tcPr>
            <w:tcW w:w="5140" w:type="dxa"/>
            <w:vAlign w:val="bottom"/>
            <w:vMerge w:val="continue"/>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80" w:type="dxa"/>
            <w:vAlign w:val="bottom"/>
            <w:shd w:val="clear" w:color="auto" w:fill="EEEFEF"/>
          </w:tcPr>
          <w:p>
            <w:pPr>
              <w:spacing w:after="0"/>
              <w:rPr>
                <w:sz w:val="7"/>
                <w:szCs w:val="7"/>
                <w:color w:val="auto"/>
              </w:rPr>
            </w:pPr>
          </w:p>
        </w:tc>
        <w:tc>
          <w:tcPr>
            <w:tcW w:w="5100" w:type="dxa"/>
            <w:vAlign w:val="bottom"/>
            <w:vMerge w:val="continue"/>
            <w:shd w:val="clear" w:color="auto" w:fill="EEEFEF"/>
          </w:tcPr>
          <w:p>
            <w:pPr>
              <w:spacing w:after="0"/>
              <w:rPr>
                <w:sz w:val="7"/>
                <w:szCs w:val="7"/>
                <w:color w:val="auto"/>
              </w:rPr>
            </w:pPr>
          </w:p>
        </w:tc>
        <w:tc>
          <w:tcPr>
            <w:tcW w:w="620" w:type="dxa"/>
            <w:vAlign w:val="bottom"/>
            <w:shd w:val="clear" w:color="auto" w:fill="EEEFEF"/>
          </w:tcPr>
          <w:p>
            <w:pPr>
              <w:spacing w:after="0"/>
              <w:rPr>
                <w:sz w:val="7"/>
                <w:szCs w:val="7"/>
                <w:color w:val="auto"/>
              </w:rPr>
            </w:pPr>
          </w:p>
        </w:tc>
        <w:tc>
          <w:tcPr>
            <w:tcW w:w="514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practices against relevant market data</w:t>
            </w:r>
          </w:p>
        </w:tc>
        <w:tc>
          <w:tcPr>
            <w:tcW w:w="0" w:type="dxa"/>
            <w:vAlign w:val="bottom"/>
          </w:tcPr>
          <w:p>
            <w:pPr>
              <w:spacing w:after="0"/>
              <w:rPr>
                <w:sz w:val="1"/>
                <w:szCs w:val="1"/>
                <w:color w:val="auto"/>
              </w:rPr>
            </w:pPr>
          </w:p>
        </w:tc>
      </w:tr>
      <w:tr>
        <w:trPr>
          <w:trHeight w:val="134"/>
        </w:trPr>
        <w:tc>
          <w:tcPr>
            <w:tcW w:w="380" w:type="dxa"/>
            <w:vAlign w:val="bottom"/>
            <w:shd w:val="clear" w:color="auto" w:fill="EEEFEF"/>
          </w:tcPr>
          <w:p>
            <w:pPr>
              <w:spacing w:after="0"/>
              <w:rPr>
                <w:sz w:val="11"/>
                <w:szCs w:val="11"/>
                <w:color w:val="auto"/>
              </w:rPr>
            </w:pPr>
          </w:p>
        </w:tc>
        <w:tc>
          <w:tcPr>
            <w:tcW w:w="51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the Firm</w:t>
            </w:r>
          </w:p>
        </w:tc>
        <w:tc>
          <w:tcPr>
            <w:tcW w:w="620" w:type="dxa"/>
            <w:vAlign w:val="bottom"/>
            <w:shd w:val="clear" w:color="auto" w:fill="EEEFEF"/>
          </w:tcPr>
          <w:p>
            <w:pPr>
              <w:spacing w:after="0"/>
              <w:rPr>
                <w:sz w:val="11"/>
                <w:szCs w:val="11"/>
                <w:color w:val="auto"/>
              </w:rPr>
            </w:pPr>
          </w:p>
        </w:tc>
        <w:tc>
          <w:tcPr>
            <w:tcW w:w="5140" w:type="dxa"/>
            <w:vAlign w:val="bottom"/>
            <w:vMerge w:val="continue"/>
            <w:shd w:val="clear" w:color="auto" w:fill="EEEFE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80" w:type="dxa"/>
            <w:vAlign w:val="bottom"/>
            <w:shd w:val="clear" w:color="auto" w:fill="EEEFEF"/>
          </w:tcPr>
          <w:p>
            <w:pPr>
              <w:spacing w:after="0"/>
              <w:rPr>
                <w:sz w:val="7"/>
                <w:szCs w:val="7"/>
                <w:color w:val="auto"/>
              </w:rPr>
            </w:pPr>
          </w:p>
        </w:tc>
        <w:tc>
          <w:tcPr>
            <w:tcW w:w="5100" w:type="dxa"/>
            <w:vAlign w:val="bottom"/>
            <w:vMerge w:val="continue"/>
            <w:shd w:val="clear" w:color="auto" w:fill="EEEFEF"/>
          </w:tcPr>
          <w:p>
            <w:pPr>
              <w:spacing w:after="0"/>
              <w:rPr>
                <w:sz w:val="7"/>
                <w:szCs w:val="7"/>
                <w:color w:val="auto"/>
              </w:rPr>
            </w:pPr>
          </w:p>
        </w:tc>
        <w:tc>
          <w:tcPr>
            <w:tcW w:w="620" w:type="dxa"/>
            <w:vAlign w:val="bottom"/>
            <w:shd w:val="clear" w:color="auto" w:fill="EEEFEF"/>
          </w:tcPr>
          <w:p>
            <w:pPr>
              <w:spacing w:after="0"/>
              <w:rPr>
                <w:sz w:val="7"/>
                <w:szCs w:val="7"/>
                <w:color w:val="auto"/>
              </w:rPr>
            </w:pPr>
          </w:p>
        </w:tc>
        <w:tc>
          <w:tcPr>
            <w:tcW w:w="5140" w:type="dxa"/>
            <w:vAlign w:val="bottom"/>
            <w:shd w:val="clear" w:color="auto" w:fill="EEEFEF"/>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EEEFEF"/>
          </w:tcPr>
          <w:p>
            <w:pPr>
              <w:spacing w:after="0"/>
              <w:rPr>
                <w:sz w:val="21"/>
                <w:szCs w:val="21"/>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Robust anti-hedging/anti-pledging provisions </w:t>
            </w:r>
            <w:r>
              <w:rPr>
                <w:rFonts w:ascii="Arial" w:cs="Arial" w:eastAsia="Arial" w:hAnsi="Arial"/>
                <w:sz w:val="16"/>
                <w:szCs w:val="16"/>
                <w:color w:val="000000"/>
              </w:rPr>
              <w:t>– Strict prohibition</w:t>
            </w:r>
          </w:p>
        </w:tc>
        <w:tc>
          <w:tcPr>
            <w:tcW w:w="620" w:type="dxa"/>
            <w:vAlign w:val="bottom"/>
            <w:shd w:val="clear" w:color="auto" w:fill="EEEFEF"/>
          </w:tcPr>
          <w:p>
            <w:pPr>
              <w:spacing w:after="0"/>
              <w:rPr>
                <w:sz w:val="21"/>
                <w:szCs w:val="21"/>
                <w:color w:val="auto"/>
              </w:rPr>
            </w:pPr>
          </w:p>
        </w:tc>
        <w:tc>
          <w:tcPr>
            <w:tcW w:w="5140" w:type="dxa"/>
            <w:vAlign w:val="bottom"/>
            <w:vMerge w:val="restart"/>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Responsible use of equity </w:t>
            </w:r>
            <w:r>
              <w:rPr>
                <w:rFonts w:ascii="Arial" w:cs="Arial" w:eastAsia="Arial" w:hAnsi="Arial"/>
                <w:sz w:val="16"/>
                <w:szCs w:val="16"/>
                <w:b w:val="1"/>
                <w:bCs w:val="1"/>
                <w:color w:val="000000"/>
              </w:rPr>
              <w:t>–</w:t>
            </w:r>
            <w:r>
              <w:rPr>
                <w:rFonts w:ascii="Arial" w:cs="Arial" w:eastAsia="Arial" w:hAnsi="Arial"/>
                <w:sz w:val="16"/>
                <w:szCs w:val="16"/>
                <w:b w:val="1"/>
                <w:bCs w:val="1"/>
                <w:color w:val="074A75"/>
              </w:rPr>
              <w:t xml:space="preserve"> </w:t>
            </w:r>
            <w:r>
              <w:rPr>
                <w:rFonts w:ascii="Arial" w:cs="Arial" w:eastAsia="Arial" w:hAnsi="Arial"/>
                <w:sz w:val="16"/>
                <w:szCs w:val="16"/>
                <w:color w:val="242424"/>
              </w:rPr>
              <w:t>We used less than 1% of weighted</w:t>
            </w:r>
          </w:p>
        </w:tc>
        <w:tc>
          <w:tcPr>
            <w:tcW w:w="0" w:type="dxa"/>
            <w:vAlign w:val="bottom"/>
          </w:tcPr>
          <w:p>
            <w:pPr>
              <w:spacing w:after="0"/>
              <w:rPr>
                <w:sz w:val="1"/>
                <w:szCs w:val="1"/>
                <w:color w:val="auto"/>
              </w:rPr>
            </w:pPr>
          </w:p>
        </w:tc>
      </w:tr>
      <w:tr>
        <w:trPr>
          <w:trHeight w:val="108"/>
        </w:trPr>
        <w:tc>
          <w:tcPr>
            <w:tcW w:w="380" w:type="dxa"/>
            <w:vAlign w:val="bottom"/>
            <w:shd w:val="clear" w:color="auto" w:fill="EEEFEF"/>
          </w:tcPr>
          <w:p>
            <w:pPr>
              <w:spacing w:after="0"/>
              <w:rPr>
                <w:sz w:val="9"/>
                <w:szCs w:val="9"/>
                <w:color w:val="auto"/>
              </w:rPr>
            </w:pPr>
          </w:p>
        </w:tc>
        <w:tc>
          <w:tcPr>
            <w:tcW w:w="51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on hedging and pledging of unvested awards and shares owned</w:t>
            </w:r>
          </w:p>
        </w:tc>
        <w:tc>
          <w:tcPr>
            <w:tcW w:w="620" w:type="dxa"/>
            <w:vAlign w:val="bottom"/>
            <w:shd w:val="clear" w:color="auto" w:fill="EEEFEF"/>
          </w:tcPr>
          <w:p>
            <w:pPr>
              <w:spacing w:after="0"/>
              <w:rPr>
                <w:sz w:val="9"/>
                <w:szCs w:val="9"/>
                <w:color w:val="auto"/>
              </w:rPr>
            </w:pPr>
          </w:p>
        </w:tc>
        <w:tc>
          <w:tcPr>
            <w:tcW w:w="5140" w:type="dxa"/>
            <w:vAlign w:val="bottom"/>
            <w:vMerge w:val="continue"/>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80" w:type="dxa"/>
            <w:vAlign w:val="bottom"/>
            <w:shd w:val="clear" w:color="auto" w:fill="EEEFEF"/>
          </w:tcPr>
          <w:p>
            <w:pPr>
              <w:spacing w:after="0"/>
              <w:rPr>
                <w:sz w:val="7"/>
                <w:szCs w:val="7"/>
                <w:color w:val="auto"/>
              </w:rPr>
            </w:pPr>
          </w:p>
        </w:tc>
        <w:tc>
          <w:tcPr>
            <w:tcW w:w="5100" w:type="dxa"/>
            <w:vAlign w:val="bottom"/>
            <w:vMerge w:val="continue"/>
            <w:shd w:val="clear" w:color="auto" w:fill="EEEFEF"/>
          </w:tcPr>
          <w:p>
            <w:pPr>
              <w:spacing w:after="0"/>
              <w:rPr>
                <w:sz w:val="7"/>
                <w:szCs w:val="7"/>
                <w:color w:val="auto"/>
              </w:rPr>
            </w:pPr>
          </w:p>
        </w:tc>
        <w:tc>
          <w:tcPr>
            <w:tcW w:w="620" w:type="dxa"/>
            <w:vAlign w:val="bottom"/>
            <w:shd w:val="clear" w:color="auto" w:fill="EEEFEF"/>
          </w:tcPr>
          <w:p>
            <w:pPr>
              <w:spacing w:after="0"/>
              <w:rPr>
                <w:sz w:val="7"/>
                <w:szCs w:val="7"/>
                <w:color w:val="auto"/>
              </w:rPr>
            </w:pPr>
          </w:p>
        </w:tc>
        <w:tc>
          <w:tcPr>
            <w:tcW w:w="514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242424"/>
              </w:rPr>
              <w:t>average diluted shares in 2021 for employee compensation</w:t>
            </w:r>
          </w:p>
        </w:tc>
        <w:tc>
          <w:tcPr>
            <w:tcW w:w="0" w:type="dxa"/>
            <w:vAlign w:val="bottom"/>
          </w:tcPr>
          <w:p>
            <w:pPr>
              <w:spacing w:after="0"/>
              <w:rPr>
                <w:sz w:val="1"/>
                <w:szCs w:val="1"/>
                <w:color w:val="auto"/>
              </w:rPr>
            </w:pPr>
          </w:p>
        </w:tc>
      </w:tr>
      <w:tr>
        <w:trPr>
          <w:trHeight w:val="134"/>
        </w:trPr>
        <w:tc>
          <w:tcPr>
            <w:tcW w:w="380" w:type="dxa"/>
            <w:vAlign w:val="bottom"/>
            <w:shd w:val="clear" w:color="auto" w:fill="EEEFEF"/>
          </w:tcPr>
          <w:p>
            <w:pPr>
              <w:spacing w:after="0"/>
              <w:rPr>
                <w:sz w:val="11"/>
                <w:szCs w:val="11"/>
                <w:color w:val="auto"/>
              </w:rPr>
            </w:pPr>
          </w:p>
        </w:tc>
        <w:tc>
          <w:tcPr>
            <w:tcW w:w="51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outright</w:t>
            </w:r>
          </w:p>
        </w:tc>
        <w:tc>
          <w:tcPr>
            <w:tcW w:w="620" w:type="dxa"/>
            <w:vAlign w:val="bottom"/>
            <w:shd w:val="clear" w:color="auto" w:fill="EEEFEF"/>
          </w:tcPr>
          <w:p>
            <w:pPr>
              <w:spacing w:after="0"/>
              <w:rPr>
                <w:sz w:val="11"/>
                <w:szCs w:val="11"/>
                <w:color w:val="auto"/>
              </w:rPr>
            </w:pPr>
          </w:p>
        </w:tc>
        <w:tc>
          <w:tcPr>
            <w:tcW w:w="5140" w:type="dxa"/>
            <w:vAlign w:val="bottom"/>
            <w:vMerge w:val="continue"/>
            <w:shd w:val="clear" w:color="auto" w:fill="EEEFE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80" w:type="dxa"/>
            <w:vAlign w:val="bottom"/>
            <w:shd w:val="clear" w:color="auto" w:fill="EEEFEF"/>
          </w:tcPr>
          <w:p>
            <w:pPr>
              <w:spacing w:after="0"/>
              <w:rPr>
                <w:sz w:val="7"/>
                <w:szCs w:val="7"/>
                <w:color w:val="auto"/>
              </w:rPr>
            </w:pPr>
          </w:p>
        </w:tc>
        <w:tc>
          <w:tcPr>
            <w:tcW w:w="5100" w:type="dxa"/>
            <w:vAlign w:val="bottom"/>
            <w:vMerge w:val="continue"/>
            <w:shd w:val="clear" w:color="auto" w:fill="EEEFEF"/>
          </w:tcPr>
          <w:p>
            <w:pPr>
              <w:spacing w:after="0"/>
              <w:rPr>
                <w:sz w:val="7"/>
                <w:szCs w:val="7"/>
                <w:color w:val="auto"/>
              </w:rPr>
            </w:pPr>
          </w:p>
        </w:tc>
        <w:tc>
          <w:tcPr>
            <w:tcW w:w="620" w:type="dxa"/>
            <w:vAlign w:val="bottom"/>
            <w:shd w:val="clear" w:color="auto" w:fill="EEEFEF"/>
          </w:tcPr>
          <w:p>
            <w:pPr>
              <w:spacing w:after="0"/>
              <w:rPr>
                <w:sz w:val="7"/>
                <w:szCs w:val="7"/>
                <w:color w:val="auto"/>
              </w:rPr>
            </w:pPr>
          </w:p>
        </w:tc>
        <w:tc>
          <w:tcPr>
            <w:tcW w:w="5140" w:type="dxa"/>
            <w:vAlign w:val="bottom"/>
            <w:shd w:val="clear" w:color="auto" w:fill="EEEFEF"/>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EEEFEF"/>
          </w:tcPr>
          <w:p>
            <w:pPr>
              <w:spacing w:after="0"/>
              <w:rPr>
                <w:sz w:val="21"/>
                <w:szCs w:val="21"/>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Strong clawback provisions </w:t>
            </w:r>
            <w:r>
              <w:rPr>
                <w:rFonts w:ascii="Arial" w:cs="Arial" w:eastAsia="Arial" w:hAnsi="Arial"/>
                <w:sz w:val="16"/>
                <w:szCs w:val="16"/>
                <w:color w:val="000000"/>
              </w:rPr>
              <w:t>– Comprehensive recovery provisions</w:t>
            </w:r>
          </w:p>
        </w:tc>
        <w:tc>
          <w:tcPr>
            <w:tcW w:w="620" w:type="dxa"/>
            <w:vAlign w:val="bottom"/>
            <w:shd w:val="clear" w:color="auto" w:fill="EEEFEF"/>
          </w:tcPr>
          <w:p>
            <w:pPr>
              <w:spacing w:after="0"/>
              <w:rPr>
                <w:sz w:val="21"/>
                <w:szCs w:val="21"/>
                <w:color w:val="auto"/>
              </w:rPr>
            </w:pPr>
          </w:p>
        </w:tc>
        <w:tc>
          <w:tcPr>
            <w:tcW w:w="514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Risk, controls and conduct impact pay </w:t>
            </w:r>
            <w:r>
              <w:rPr>
                <w:rFonts w:ascii="Arial" w:cs="Arial" w:eastAsia="Arial" w:hAnsi="Arial"/>
                <w:sz w:val="16"/>
                <w:szCs w:val="16"/>
                <w:color w:val="000000"/>
              </w:rPr>
              <w:t>– We consider material risk,</w:t>
            </w:r>
          </w:p>
        </w:tc>
        <w:tc>
          <w:tcPr>
            <w:tcW w:w="0" w:type="dxa"/>
            <w:vAlign w:val="bottom"/>
          </w:tcPr>
          <w:p>
            <w:pPr>
              <w:spacing w:after="0"/>
              <w:rPr>
                <w:sz w:val="1"/>
                <w:szCs w:val="1"/>
                <w:color w:val="auto"/>
              </w:rPr>
            </w:pPr>
          </w:p>
        </w:tc>
      </w:tr>
      <w:tr>
        <w:trPr>
          <w:trHeight w:val="189"/>
        </w:trPr>
        <w:tc>
          <w:tcPr>
            <w:tcW w:w="380" w:type="dxa"/>
            <w:vAlign w:val="bottom"/>
            <w:shd w:val="clear" w:color="auto" w:fill="EEEFEF"/>
          </w:tcPr>
          <w:p>
            <w:pPr>
              <w:spacing w:after="0"/>
              <w:rPr>
                <w:sz w:val="16"/>
                <w:szCs w:val="16"/>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that enable us to cancel or reduce unvested awards and require</w:t>
            </w:r>
          </w:p>
        </w:tc>
        <w:tc>
          <w:tcPr>
            <w:tcW w:w="620" w:type="dxa"/>
            <w:vAlign w:val="bottom"/>
            <w:shd w:val="clear" w:color="auto" w:fill="EEEFEF"/>
          </w:tcPr>
          <w:p>
            <w:pPr>
              <w:spacing w:after="0"/>
              <w:rPr>
                <w:sz w:val="16"/>
                <w:szCs w:val="16"/>
                <w:color w:val="auto"/>
              </w:rPr>
            </w:pPr>
          </w:p>
        </w:tc>
        <w:tc>
          <w:tcPr>
            <w:tcW w:w="5140" w:type="dxa"/>
            <w:vAlign w:val="bottom"/>
            <w:shd w:val="clear" w:color="auto" w:fill="EEEFEF"/>
          </w:tcPr>
          <w:p>
            <w:pPr>
              <w:ind w:left="20"/>
              <w:spacing w:after="0"/>
              <w:rPr>
                <w:sz w:val="20"/>
                <w:szCs w:val="20"/>
                <w:color w:val="auto"/>
              </w:rPr>
            </w:pPr>
            <w:r>
              <w:rPr>
                <w:rFonts w:ascii="Arial" w:cs="Arial" w:eastAsia="Arial" w:hAnsi="Arial"/>
                <w:sz w:val="16"/>
                <w:szCs w:val="16"/>
                <w:color w:val="auto"/>
              </w:rPr>
              <w:t>controls and conduct issues and make adjustments to compensation, if</w:t>
            </w:r>
          </w:p>
        </w:tc>
        <w:tc>
          <w:tcPr>
            <w:tcW w:w="0" w:type="dxa"/>
            <w:vAlign w:val="bottom"/>
          </w:tcPr>
          <w:p>
            <w:pPr>
              <w:spacing w:after="0"/>
              <w:rPr>
                <w:sz w:val="1"/>
                <w:szCs w:val="1"/>
                <w:color w:val="auto"/>
              </w:rPr>
            </w:pPr>
          </w:p>
        </w:tc>
      </w:tr>
      <w:tr>
        <w:trPr>
          <w:trHeight w:val="215"/>
        </w:trPr>
        <w:tc>
          <w:tcPr>
            <w:tcW w:w="380" w:type="dxa"/>
            <w:vAlign w:val="bottom"/>
            <w:shd w:val="clear" w:color="auto" w:fill="EEEFEF"/>
          </w:tcPr>
          <w:p>
            <w:pPr>
              <w:spacing w:after="0"/>
              <w:rPr>
                <w:sz w:val="18"/>
                <w:szCs w:val="18"/>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repayment of previously awarded compensation, if appropriate</w:t>
            </w:r>
          </w:p>
        </w:tc>
        <w:tc>
          <w:tcPr>
            <w:tcW w:w="620" w:type="dxa"/>
            <w:vAlign w:val="bottom"/>
            <w:shd w:val="clear" w:color="auto" w:fill="EEEFEF"/>
          </w:tcPr>
          <w:p>
            <w:pPr>
              <w:spacing w:after="0"/>
              <w:rPr>
                <w:sz w:val="18"/>
                <w:szCs w:val="18"/>
                <w:color w:val="auto"/>
              </w:rPr>
            </w:pPr>
          </w:p>
        </w:tc>
        <w:tc>
          <w:tcPr>
            <w:tcW w:w="5140" w:type="dxa"/>
            <w:vAlign w:val="bottom"/>
            <w:shd w:val="clear" w:color="auto" w:fill="EEEFEF"/>
          </w:tcPr>
          <w:p>
            <w:pPr>
              <w:ind w:left="20"/>
              <w:spacing w:after="0"/>
              <w:rPr>
                <w:sz w:val="20"/>
                <w:szCs w:val="20"/>
                <w:color w:val="auto"/>
              </w:rPr>
            </w:pPr>
            <w:r>
              <w:rPr>
                <w:rFonts w:ascii="Arial" w:cs="Arial" w:eastAsia="Arial" w:hAnsi="Arial"/>
                <w:sz w:val="16"/>
                <w:szCs w:val="16"/>
                <w:color w:val="auto"/>
              </w:rPr>
              <w:t>appropriate</w:t>
            </w:r>
          </w:p>
        </w:tc>
        <w:tc>
          <w:tcPr>
            <w:tcW w:w="0" w:type="dxa"/>
            <w:vAlign w:val="bottom"/>
          </w:tcPr>
          <w:p>
            <w:pPr>
              <w:spacing w:after="0"/>
              <w:rPr>
                <w:sz w:val="1"/>
                <w:szCs w:val="1"/>
                <w:color w:val="auto"/>
              </w:rPr>
            </w:pPr>
          </w:p>
        </w:tc>
      </w:tr>
      <w:tr>
        <w:trPr>
          <w:trHeight w:val="217"/>
        </w:trPr>
        <w:tc>
          <w:tcPr>
            <w:tcW w:w="380" w:type="dxa"/>
            <w:vAlign w:val="bottom"/>
            <w:shd w:val="clear" w:color="auto" w:fill="EEEFEF"/>
          </w:tcPr>
          <w:p>
            <w:pPr>
              <w:spacing w:after="0"/>
              <w:rPr>
                <w:sz w:val="18"/>
                <w:szCs w:val="18"/>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Pay at risk </w:t>
            </w:r>
            <w:r>
              <w:rPr>
                <w:rFonts w:ascii="Arial" w:cs="Arial" w:eastAsia="Arial" w:hAnsi="Arial"/>
                <w:sz w:val="16"/>
                <w:szCs w:val="16"/>
                <w:color w:val="000000"/>
              </w:rPr>
              <w:t>– OC member compensation is predominantly “at-risk” and</w:t>
            </w:r>
          </w:p>
        </w:tc>
        <w:tc>
          <w:tcPr>
            <w:tcW w:w="620" w:type="dxa"/>
            <w:vAlign w:val="bottom"/>
            <w:shd w:val="clear" w:color="auto" w:fill="EEEFEF"/>
          </w:tcPr>
          <w:p>
            <w:pPr>
              <w:spacing w:after="0"/>
              <w:rPr>
                <w:sz w:val="18"/>
                <w:szCs w:val="18"/>
                <w:color w:val="auto"/>
              </w:rPr>
            </w:pPr>
          </w:p>
        </w:tc>
        <w:tc>
          <w:tcPr>
            <w:tcW w:w="514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Strong share holding requirements – </w:t>
            </w:r>
            <w:r>
              <w:rPr>
                <w:rFonts w:ascii="Arial" w:cs="Arial" w:eastAsia="Arial" w:hAnsi="Arial"/>
                <w:sz w:val="16"/>
                <w:szCs w:val="16"/>
                <w:color w:val="000000"/>
              </w:rPr>
              <w:t>OC members are required to</w:t>
            </w:r>
          </w:p>
        </w:tc>
        <w:tc>
          <w:tcPr>
            <w:tcW w:w="0" w:type="dxa"/>
            <w:vAlign w:val="bottom"/>
          </w:tcPr>
          <w:p>
            <w:pPr>
              <w:spacing w:after="0"/>
              <w:rPr>
                <w:sz w:val="1"/>
                <w:szCs w:val="1"/>
                <w:color w:val="auto"/>
              </w:rPr>
            </w:pPr>
          </w:p>
        </w:tc>
      </w:tr>
      <w:tr>
        <w:trPr>
          <w:trHeight w:val="189"/>
        </w:trPr>
        <w:tc>
          <w:tcPr>
            <w:tcW w:w="380" w:type="dxa"/>
            <w:vAlign w:val="bottom"/>
            <w:shd w:val="clear" w:color="auto" w:fill="EEEFEF"/>
          </w:tcPr>
          <w:p>
            <w:pPr>
              <w:spacing w:after="0"/>
              <w:rPr>
                <w:sz w:val="16"/>
                <w:szCs w:val="16"/>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contingent on the achievement of performance goals that are integrally</w:t>
            </w:r>
          </w:p>
        </w:tc>
        <w:tc>
          <w:tcPr>
            <w:tcW w:w="620" w:type="dxa"/>
            <w:vAlign w:val="bottom"/>
            <w:shd w:val="clear" w:color="auto" w:fill="EEEFEF"/>
          </w:tcPr>
          <w:p>
            <w:pPr>
              <w:spacing w:after="0"/>
              <w:rPr>
                <w:sz w:val="16"/>
                <w:szCs w:val="16"/>
                <w:color w:val="auto"/>
              </w:rPr>
            </w:pPr>
          </w:p>
        </w:tc>
        <w:tc>
          <w:tcPr>
            <w:tcW w:w="5140" w:type="dxa"/>
            <w:vAlign w:val="bottom"/>
            <w:shd w:val="clear" w:color="auto" w:fill="EEEFEF"/>
          </w:tcPr>
          <w:p>
            <w:pPr>
              <w:ind w:left="20"/>
              <w:spacing w:after="0"/>
              <w:rPr>
                <w:sz w:val="20"/>
                <w:szCs w:val="20"/>
                <w:color w:val="auto"/>
              </w:rPr>
            </w:pPr>
            <w:r>
              <w:rPr>
                <w:rFonts w:ascii="Arial" w:cs="Arial" w:eastAsia="Arial" w:hAnsi="Arial"/>
                <w:sz w:val="16"/>
                <w:szCs w:val="16"/>
                <w:color w:val="auto"/>
              </w:rPr>
              <w:t>retain significant portions of net shares received from awards to</w:t>
            </w:r>
          </w:p>
        </w:tc>
        <w:tc>
          <w:tcPr>
            <w:tcW w:w="0" w:type="dxa"/>
            <w:vAlign w:val="bottom"/>
          </w:tcPr>
          <w:p>
            <w:pPr>
              <w:spacing w:after="0"/>
              <w:rPr>
                <w:sz w:val="1"/>
                <w:szCs w:val="1"/>
                <w:color w:val="auto"/>
              </w:rPr>
            </w:pPr>
          </w:p>
        </w:tc>
      </w:tr>
      <w:tr>
        <w:trPr>
          <w:trHeight w:val="215"/>
        </w:trPr>
        <w:tc>
          <w:tcPr>
            <w:tcW w:w="380" w:type="dxa"/>
            <w:vAlign w:val="bottom"/>
            <w:shd w:val="clear" w:color="auto" w:fill="EEEFEF"/>
          </w:tcPr>
          <w:p>
            <w:pPr>
              <w:spacing w:after="0"/>
              <w:rPr>
                <w:sz w:val="18"/>
                <w:szCs w:val="18"/>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linked to shareholder value and safety and soundness</w:t>
            </w:r>
          </w:p>
        </w:tc>
        <w:tc>
          <w:tcPr>
            <w:tcW w:w="620" w:type="dxa"/>
            <w:vAlign w:val="bottom"/>
            <w:shd w:val="clear" w:color="auto" w:fill="EEEFEF"/>
          </w:tcPr>
          <w:p>
            <w:pPr>
              <w:spacing w:after="0"/>
              <w:rPr>
                <w:sz w:val="18"/>
                <w:szCs w:val="18"/>
                <w:color w:val="auto"/>
              </w:rPr>
            </w:pPr>
          </w:p>
        </w:tc>
        <w:tc>
          <w:tcPr>
            <w:tcW w:w="5140" w:type="dxa"/>
            <w:vAlign w:val="bottom"/>
            <w:shd w:val="clear" w:color="auto" w:fill="EEEFEF"/>
          </w:tcPr>
          <w:p>
            <w:pPr>
              <w:ind w:left="20"/>
              <w:spacing w:after="0"/>
              <w:rPr>
                <w:sz w:val="20"/>
                <w:szCs w:val="20"/>
                <w:color w:val="auto"/>
              </w:rPr>
            </w:pPr>
            <w:r>
              <w:rPr>
                <w:rFonts w:ascii="Arial" w:cs="Arial" w:eastAsia="Arial" w:hAnsi="Arial"/>
                <w:sz w:val="16"/>
                <w:szCs w:val="16"/>
                <w:color w:val="auto"/>
              </w:rPr>
              <w:t>increase ownership over the long-term</w:t>
            </w:r>
          </w:p>
        </w:tc>
        <w:tc>
          <w:tcPr>
            <w:tcW w:w="0" w:type="dxa"/>
            <w:vAlign w:val="bottom"/>
          </w:tcPr>
          <w:p>
            <w:pPr>
              <w:spacing w:after="0"/>
              <w:rPr>
                <w:sz w:val="1"/>
                <w:szCs w:val="1"/>
                <w:color w:val="auto"/>
              </w:rPr>
            </w:pPr>
          </w:p>
        </w:tc>
      </w:tr>
      <w:tr>
        <w:trPr>
          <w:trHeight w:val="217"/>
        </w:trPr>
        <w:tc>
          <w:tcPr>
            <w:tcW w:w="380" w:type="dxa"/>
            <w:vAlign w:val="bottom"/>
            <w:shd w:val="clear" w:color="auto" w:fill="EEEFEF"/>
          </w:tcPr>
          <w:p>
            <w:pPr>
              <w:spacing w:after="0"/>
              <w:rPr>
                <w:sz w:val="18"/>
                <w:szCs w:val="18"/>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Majority of variable pay is in deferred equity </w:t>
            </w:r>
            <w:r>
              <w:rPr>
                <w:rFonts w:ascii="Arial" w:cs="Arial" w:eastAsia="Arial" w:hAnsi="Arial"/>
                <w:sz w:val="16"/>
                <w:szCs w:val="16"/>
                <w:color w:val="000000"/>
              </w:rPr>
              <w:t>– Most OC member</w:t>
            </w:r>
          </w:p>
        </w:tc>
        <w:tc>
          <w:tcPr>
            <w:tcW w:w="620" w:type="dxa"/>
            <w:vAlign w:val="bottom"/>
            <w:shd w:val="clear" w:color="auto" w:fill="EEEFEF"/>
          </w:tcPr>
          <w:p>
            <w:pPr>
              <w:spacing w:after="0"/>
              <w:rPr>
                <w:sz w:val="18"/>
                <w:szCs w:val="18"/>
                <w:color w:val="auto"/>
              </w:rPr>
            </w:pPr>
          </w:p>
        </w:tc>
        <w:tc>
          <w:tcPr>
            <w:tcW w:w="514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Robust shareholder engagement </w:t>
            </w:r>
            <w:r>
              <w:rPr>
                <w:rFonts w:ascii="Arial" w:cs="Arial" w:eastAsia="Arial" w:hAnsi="Arial"/>
                <w:sz w:val="16"/>
                <w:szCs w:val="16"/>
                <w:color w:val="000000"/>
              </w:rPr>
              <w:t>– Each year we provide the Board</w:t>
            </w:r>
          </w:p>
        </w:tc>
        <w:tc>
          <w:tcPr>
            <w:tcW w:w="0" w:type="dxa"/>
            <w:vAlign w:val="bottom"/>
          </w:tcPr>
          <w:p>
            <w:pPr>
              <w:spacing w:after="0"/>
              <w:rPr>
                <w:sz w:val="1"/>
                <w:szCs w:val="1"/>
                <w:color w:val="auto"/>
              </w:rPr>
            </w:pPr>
          </w:p>
        </w:tc>
      </w:tr>
      <w:tr>
        <w:trPr>
          <w:trHeight w:val="189"/>
        </w:trPr>
        <w:tc>
          <w:tcPr>
            <w:tcW w:w="380" w:type="dxa"/>
            <w:vAlign w:val="bottom"/>
            <w:shd w:val="clear" w:color="auto" w:fill="EEEFEF"/>
          </w:tcPr>
          <w:p>
            <w:pPr>
              <w:spacing w:after="0"/>
              <w:rPr>
                <w:sz w:val="16"/>
                <w:szCs w:val="16"/>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variable compensation is deferred in the form of PSUs and RSUs that</w:t>
            </w:r>
          </w:p>
        </w:tc>
        <w:tc>
          <w:tcPr>
            <w:tcW w:w="620" w:type="dxa"/>
            <w:vAlign w:val="bottom"/>
            <w:shd w:val="clear" w:color="auto" w:fill="EEEFEF"/>
          </w:tcPr>
          <w:p>
            <w:pPr>
              <w:spacing w:after="0"/>
              <w:rPr>
                <w:sz w:val="16"/>
                <w:szCs w:val="16"/>
                <w:color w:val="auto"/>
              </w:rPr>
            </w:pPr>
          </w:p>
        </w:tc>
        <w:tc>
          <w:tcPr>
            <w:tcW w:w="5140" w:type="dxa"/>
            <w:vAlign w:val="bottom"/>
            <w:shd w:val="clear" w:color="auto" w:fill="EEEFEF"/>
          </w:tcPr>
          <w:p>
            <w:pPr>
              <w:ind w:left="20"/>
              <w:spacing w:after="0"/>
              <w:rPr>
                <w:sz w:val="20"/>
                <w:szCs w:val="20"/>
                <w:color w:val="auto"/>
              </w:rPr>
            </w:pPr>
            <w:r>
              <w:rPr>
                <w:rFonts w:ascii="Arial" w:cs="Arial" w:eastAsia="Arial" w:hAnsi="Arial"/>
                <w:sz w:val="16"/>
                <w:szCs w:val="16"/>
                <w:color w:val="auto"/>
              </w:rPr>
              <w:t>with feedback from our shareholders on a variety of topics, including</w:t>
            </w:r>
          </w:p>
        </w:tc>
        <w:tc>
          <w:tcPr>
            <w:tcW w:w="0" w:type="dxa"/>
            <w:vAlign w:val="bottom"/>
          </w:tcPr>
          <w:p>
            <w:pPr>
              <w:spacing w:after="0"/>
              <w:rPr>
                <w:sz w:val="1"/>
                <w:szCs w:val="1"/>
                <w:color w:val="auto"/>
              </w:rPr>
            </w:pPr>
          </w:p>
        </w:tc>
      </w:tr>
      <w:tr>
        <w:trPr>
          <w:trHeight w:val="284"/>
        </w:trPr>
        <w:tc>
          <w:tcPr>
            <w:tcW w:w="380" w:type="dxa"/>
            <w:vAlign w:val="bottom"/>
            <w:shd w:val="clear" w:color="auto" w:fill="EEEFEF"/>
          </w:tcPr>
          <w:p>
            <w:pPr>
              <w:spacing w:after="0"/>
              <w:rPr>
                <w:sz w:val="24"/>
                <w:szCs w:val="24"/>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vest over three years</w:t>
            </w:r>
            <w:r>
              <w:rPr>
                <w:rFonts w:ascii="Arial" w:cs="Arial" w:eastAsia="Arial" w:hAnsi="Arial"/>
                <w:sz w:val="21"/>
                <w:szCs w:val="21"/>
                <w:color w:val="auto"/>
                <w:vertAlign w:val="superscript"/>
              </w:rPr>
              <w:t>1</w:t>
            </w:r>
          </w:p>
        </w:tc>
        <w:tc>
          <w:tcPr>
            <w:tcW w:w="620" w:type="dxa"/>
            <w:vAlign w:val="bottom"/>
            <w:shd w:val="clear" w:color="auto" w:fill="EEEFEF"/>
          </w:tcPr>
          <w:p>
            <w:pPr>
              <w:spacing w:after="0"/>
              <w:rPr>
                <w:sz w:val="24"/>
                <w:szCs w:val="24"/>
                <w:color w:val="auto"/>
              </w:rPr>
            </w:pPr>
          </w:p>
        </w:tc>
        <w:tc>
          <w:tcPr>
            <w:tcW w:w="5140" w:type="dxa"/>
            <w:vAlign w:val="bottom"/>
            <w:shd w:val="clear" w:color="auto" w:fill="EEEFEF"/>
          </w:tcPr>
          <w:p>
            <w:pPr>
              <w:ind w:left="20"/>
              <w:spacing w:after="0"/>
              <w:rPr>
                <w:sz w:val="20"/>
                <w:szCs w:val="20"/>
                <w:color w:val="auto"/>
              </w:rPr>
            </w:pPr>
            <w:r>
              <w:rPr>
                <w:rFonts w:ascii="Arial" w:cs="Arial" w:eastAsia="Arial" w:hAnsi="Arial"/>
                <w:sz w:val="16"/>
                <w:szCs w:val="16"/>
                <w:color w:val="auto"/>
              </w:rPr>
              <w:t>our compensation programs and practices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-1919605</wp:posOffset>
            </wp:positionV>
            <wp:extent cx="137160" cy="1371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-1919605</wp:posOffset>
            </wp:positionV>
            <wp:extent cx="137160" cy="1371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-1508125</wp:posOffset>
            </wp:positionV>
            <wp:extent cx="137160" cy="1371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-1508125</wp:posOffset>
            </wp:positionV>
            <wp:extent cx="137160" cy="1371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-1105535</wp:posOffset>
            </wp:positionV>
            <wp:extent cx="137160" cy="1371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-1105535</wp:posOffset>
            </wp:positionV>
            <wp:extent cx="137160" cy="1371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-711200</wp:posOffset>
            </wp:positionV>
            <wp:extent cx="137160" cy="1371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-711200</wp:posOffset>
            </wp:positionV>
            <wp:extent cx="137160" cy="1371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-316865</wp:posOffset>
            </wp:positionV>
            <wp:extent cx="137160" cy="1371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-316865</wp:posOffset>
            </wp:positionV>
            <wp:extent cx="137160" cy="1371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WE AVOID POOR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40030" cy="1045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40030" cy="1045845"/>
                    </a:xfrm>
                    <a:prstGeom prst="rect">
                      <a:avLst/>
                    </a:prstGeom>
                    <a:noFill/>
                  </pic:spPr>
                </pic:pic>
              </a:graphicData>
            </a:graphic>
          </wp:anchor>
        </w:drawing>
      </w:r>
    </w:p>
    <w:p>
      <w:pPr>
        <w:spacing w:after="0" w:line="71" w:lineRule="exact"/>
        <w:rPr>
          <w:sz w:val="20"/>
          <w:szCs w:val="20"/>
          <w:color w:val="auto"/>
        </w:rPr>
      </w:pPr>
    </w:p>
    <w:tbl>
      <w:tblPr>
        <w:tblLayout w:type="fixed"/>
        <w:tblInd w:w="380" w:type="dxa"/>
        <w:tblCellMar>
          <w:top w:w="0" w:type="dxa"/>
          <w:left w:w="0" w:type="dxa"/>
          <w:bottom w:w="0" w:type="dxa"/>
          <w:right w:w="0" w:type="dxa"/>
        </w:tblCellMar>
      </w:tblPr>
      <w:tr>
        <w:trPr>
          <w:trHeight w:val="256"/>
        </w:trPr>
        <w:tc>
          <w:tcPr>
            <w:tcW w:w="528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No golden parachute agreements </w:t>
            </w:r>
            <w:r>
              <w:rPr>
                <w:rFonts w:ascii="Arial" w:cs="Arial" w:eastAsia="Arial" w:hAnsi="Arial"/>
                <w:sz w:val="16"/>
                <w:szCs w:val="16"/>
                <w:color w:val="000000"/>
              </w:rPr>
              <w:t>– We do not provide additional</w:t>
            </w:r>
          </w:p>
        </w:tc>
        <w:tc>
          <w:tcPr>
            <w:tcW w:w="5560" w:type="dxa"/>
            <w:vAlign w:val="bottom"/>
            <w:shd w:val="clear" w:color="auto" w:fill="EEEFEF"/>
          </w:tcPr>
          <w:p>
            <w:pPr>
              <w:ind w:left="460"/>
              <w:spacing w:after="0"/>
              <w:rPr>
                <w:sz w:val="20"/>
                <w:szCs w:val="20"/>
                <w:color w:val="auto"/>
              </w:rPr>
            </w:pPr>
            <w:r>
              <w:rPr>
                <w:rFonts w:ascii="Arial" w:cs="Arial" w:eastAsia="Arial" w:hAnsi="Arial"/>
                <w:sz w:val="16"/>
                <w:szCs w:val="16"/>
                <w:b w:val="1"/>
                <w:bCs w:val="1"/>
                <w:color w:val="074A75"/>
              </w:rPr>
              <w:t xml:space="preserve">No guaranteed bonuses </w:t>
            </w:r>
            <w:r>
              <w:rPr>
                <w:rFonts w:ascii="Arial" w:cs="Arial" w:eastAsia="Arial" w:hAnsi="Arial"/>
                <w:sz w:val="16"/>
                <w:szCs w:val="16"/>
                <w:color w:val="000000"/>
              </w:rPr>
              <w:t>– We do not provide guaranteed bonuses,</w:t>
            </w:r>
          </w:p>
        </w:tc>
      </w:tr>
      <w:tr>
        <w:trPr>
          <w:trHeight w:val="230"/>
        </w:trPr>
        <w:tc>
          <w:tcPr>
            <w:tcW w:w="5280" w:type="dxa"/>
            <w:vAlign w:val="bottom"/>
            <w:shd w:val="clear" w:color="auto" w:fill="EEEFEF"/>
          </w:tcPr>
          <w:p>
            <w:pPr>
              <w:ind w:left="20"/>
              <w:spacing w:after="0"/>
              <w:rPr>
                <w:sz w:val="20"/>
                <w:szCs w:val="20"/>
                <w:color w:val="auto"/>
              </w:rPr>
            </w:pPr>
            <w:r>
              <w:rPr>
                <w:rFonts w:ascii="Arial" w:cs="Arial" w:eastAsia="Arial" w:hAnsi="Arial"/>
                <w:sz w:val="16"/>
                <w:szCs w:val="16"/>
                <w:color w:val="auto"/>
              </w:rPr>
              <w:t>payments or benefits as a result of a change-in-control event</w:t>
            </w:r>
          </w:p>
        </w:tc>
        <w:tc>
          <w:tcPr>
            <w:tcW w:w="5560" w:type="dxa"/>
            <w:vAlign w:val="bottom"/>
            <w:shd w:val="clear" w:color="auto" w:fill="EEEFEF"/>
          </w:tcPr>
          <w:p>
            <w:pPr>
              <w:ind w:left="460"/>
              <w:spacing w:after="0"/>
              <w:rPr>
                <w:sz w:val="20"/>
                <w:szCs w:val="20"/>
                <w:color w:val="auto"/>
              </w:rPr>
            </w:pPr>
            <w:r>
              <w:rPr>
                <w:rFonts w:ascii="Arial" w:cs="Arial" w:eastAsia="Arial" w:hAnsi="Arial"/>
                <w:sz w:val="16"/>
                <w:szCs w:val="16"/>
                <w:color w:val="auto"/>
              </w:rPr>
              <w:t>except for select individuals at hire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-273685</wp:posOffset>
            </wp:positionV>
            <wp:extent cx="3531870" cy="10115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531870" cy="1011555"/>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184"/>
        </w:trPr>
        <w:tc>
          <w:tcPr>
            <w:tcW w:w="5080" w:type="dxa"/>
            <w:vAlign w:val="bottom"/>
          </w:tcPr>
          <w:p>
            <w:pPr>
              <w:spacing w:after="0"/>
              <w:rPr>
                <w:sz w:val="20"/>
                <w:szCs w:val="20"/>
                <w:color w:val="auto"/>
              </w:rPr>
            </w:pPr>
            <w:r>
              <w:rPr>
                <w:rFonts w:ascii="Arial" w:cs="Arial" w:eastAsia="Arial" w:hAnsi="Arial"/>
                <w:sz w:val="16"/>
                <w:szCs w:val="16"/>
                <w:b w:val="1"/>
                <w:bCs w:val="1"/>
                <w:color w:val="074A75"/>
              </w:rPr>
              <w:t xml:space="preserve">No special severance </w:t>
            </w:r>
            <w:r>
              <w:rPr>
                <w:rFonts w:ascii="Arial" w:cs="Arial" w:eastAsia="Arial" w:hAnsi="Arial"/>
                <w:sz w:val="16"/>
                <w:szCs w:val="16"/>
                <w:color w:val="000000"/>
              </w:rPr>
              <w:t>– We do not provide special severance. All</w:t>
            </w:r>
          </w:p>
        </w:tc>
        <w:tc>
          <w:tcPr>
            <w:tcW w:w="240" w:type="dxa"/>
            <w:vAlign w:val="bottom"/>
            <w:shd w:val="clear" w:color="auto" w:fill="EEEFEF"/>
          </w:tcPr>
          <w:p>
            <w:pPr>
              <w:spacing w:after="0"/>
              <w:rPr>
                <w:sz w:val="16"/>
                <w:szCs w:val="16"/>
                <w:color w:val="auto"/>
              </w:rPr>
            </w:pPr>
          </w:p>
        </w:tc>
        <w:tc>
          <w:tcPr>
            <w:tcW w:w="5500" w:type="dxa"/>
            <w:vAlign w:val="bottom"/>
            <w:vMerge w:val="restart"/>
            <w:shd w:val="clear" w:color="auto" w:fill="EEEFEF"/>
          </w:tcPr>
          <w:p>
            <w:pPr>
              <w:ind w:left="400"/>
              <w:spacing w:after="0"/>
              <w:rPr>
                <w:sz w:val="20"/>
                <w:szCs w:val="20"/>
                <w:color w:val="auto"/>
              </w:rPr>
            </w:pPr>
            <w:r>
              <w:rPr>
                <w:rFonts w:ascii="Arial" w:cs="Arial" w:eastAsia="Arial" w:hAnsi="Arial"/>
                <w:sz w:val="16"/>
                <w:szCs w:val="16"/>
                <w:b w:val="1"/>
                <w:bCs w:val="1"/>
                <w:color w:val="074A75"/>
              </w:rPr>
              <w:t>No special executive benefits</w:t>
            </w:r>
          </w:p>
        </w:tc>
        <w:tc>
          <w:tcPr>
            <w:tcW w:w="0" w:type="dxa"/>
            <w:vAlign w:val="bottom"/>
          </w:tcPr>
          <w:p>
            <w:pPr>
              <w:spacing w:after="0"/>
              <w:rPr>
                <w:sz w:val="1"/>
                <w:szCs w:val="1"/>
                <w:color w:val="auto"/>
              </w:rPr>
            </w:pPr>
          </w:p>
        </w:tc>
      </w:tr>
      <w:tr>
        <w:trPr>
          <w:trHeight w:val="108"/>
        </w:trPr>
        <w:tc>
          <w:tcPr>
            <w:tcW w:w="5080" w:type="dxa"/>
            <w:vAlign w:val="bottom"/>
            <w:vMerge w:val="restart"/>
          </w:tcPr>
          <w:p>
            <w:pPr>
              <w:spacing w:after="0"/>
              <w:rPr>
                <w:sz w:val="20"/>
                <w:szCs w:val="20"/>
                <w:color w:val="auto"/>
              </w:rPr>
            </w:pPr>
            <w:r>
              <w:rPr>
                <w:rFonts w:ascii="Arial" w:cs="Arial" w:eastAsia="Arial" w:hAnsi="Arial"/>
                <w:sz w:val="16"/>
                <w:szCs w:val="16"/>
                <w:color w:val="auto"/>
              </w:rPr>
              <w:t>employees, including OC members, participate at the same level of</w:t>
            </w:r>
          </w:p>
        </w:tc>
        <w:tc>
          <w:tcPr>
            <w:tcW w:w="240" w:type="dxa"/>
            <w:vAlign w:val="bottom"/>
            <w:shd w:val="clear" w:color="auto" w:fill="EEEFEF"/>
          </w:tcPr>
          <w:p>
            <w:pPr>
              <w:spacing w:after="0"/>
              <w:rPr>
                <w:sz w:val="9"/>
                <w:szCs w:val="9"/>
                <w:color w:val="auto"/>
              </w:rPr>
            </w:pPr>
          </w:p>
        </w:tc>
        <w:tc>
          <w:tcPr>
            <w:tcW w:w="5500" w:type="dxa"/>
            <w:vAlign w:val="bottom"/>
            <w:vMerge w:val="continue"/>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080" w:type="dxa"/>
            <w:vAlign w:val="bottom"/>
            <w:vMerge w:val="continue"/>
          </w:tcPr>
          <w:p>
            <w:pPr>
              <w:spacing w:after="0"/>
              <w:rPr>
                <w:sz w:val="7"/>
                <w:szCs w:val="7"/>
                <w:color w:val="auto"/>
              </w:rPr>
            </w:pPr>
          </w:p>
        </w:tc>
        <w:tc>
          <w:tcPr>
            <w:tcW w:w="240" w:type="dxa"/>
            <w:vAlign w:val="bottom"/>
            <w:shd w:val="clear" w:color="auto" w:fill="EEEFEF"/>
          </w:tcPr>
          <w:p>
            <w:pPr>
              <w:spacing w:after="0"/>
              <w:rPr>
                <w:sz w:val="7"/>
                <w:szCs w:val="7"/>
                <w:color w:val="auto"/>
              </w:rPr>
            </w:pPr>
          </w:p>
        </w:tc>
        <w:tc>
          <w:tcPr>
            <w:tcW w:w="5500" w:type="dxa"/>
            <w:vAlign w:val="bottom"/>
            <w:vMerge w:val="restart"/>
            <w:shd w:val="clear" w:color="auto" w:fill="EEEFEF"/>
          </w:tcPr>
          <w:p>
            <w:pPr>
              <w:ind w:left="4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private club dues or excessive tax gross-ups for benefits</w:t>
            </w:r>
          </w:p>
        </w:tc>
        <w:tc>
          <w:tcPr>
            <w:tcW w:w="0" w:type="dxa"/>
            <w:vAlign w:val="bottom"/>
          </w:tcPr>
          <w:p>
            <w:pPr>
              <w:spacing w:after="0"/>
              <w:rPr>
                <w:sz w:val="1"/>
                <w:szCs w:val="1"/>
                <w:color w:val="auto"/>
              </w:rPr>
            </w:pPr>
          </w:p>
        </w:tc>
      </w:tr>
      <w:tr>
        <w:trPr>
          <w:trHeight w:val="108"/>
        </w:trPr>
        <w:tc>
          <w:tcPr>
            <w:tcW w:w="5080" w:type="dxa"/>
            <w:vAlign w:val="bottom"/>
            <w:vMerge w:val="restart"/>
          </w:tcPr>
          <w:p>
            <w:pPr>
              <w:spacing w:after="0"/>
              <w:rPr>
                <w:sz w:val="20"/>
                <w:szCs w:val="20"/>
                <w:color w:val="auto"/>
              </w:rPr>
            </w:pPr>
            <w:r>
              <w:rPr>
                <w:rFonts w:ascii="Arial" w:cs="Arial" w:eastAsia="Arial" w:hAnsi="Arial"/>
                <w:sz w:val="16"/>
                <w:szCs w:val="16"/>
                <w:color w:val="auto"/>
              </w:rPr>
              <w:t>severance, based on years of service, capped at 52 weeks up to a</w:t>
            </w:r>
          </w:p>
        </w:tc>
        <w:tc>
          <w:tcPr>
            <w:tcW w:w="240" w:type="dxa"/>
            <w:vAlign w:val="bottom"/>
            <w:shd w:val="clear" w:color="auto" w:fill="EEEFEF"/>
          </w:tcPr>
          <w:p>
            <w:pPr>
              <w:spacing w:after="0"/>
              <w:rPr>
                <w:sz w:val="9"/>
                <w:szCs w:val="9"/>
                <w:color w:val="auto"/>
              </w:rPr>
            </w:pPr>
          </w:p>
        </w:tc>
        <w:tc>
          <w:tcPr>
            <w:tcW w:w="5500" w:type="dxa"/>
            <w:vAlign w:val="bottom"/>
            <w:vMerge w:val="continue"/>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080" w:type="dxa"/>
            <w:vAlign w:val="bottom"/>
            <w:vMerge w:val="continue"/>
          </w:tcPr>
          <w:p>
            <w:pPr>
              <w:spacing w:after="0"/>
              <w:rPr>
                <w:sz w:val="7"/>
                <w:szCs w:val="7"/>
                <w:color w:val="auto"/>
              </w:rPr>
            </w:pPr>
          </w:p>
        </w:tc>
        <w:tc>
          <w:tcPr>
            <w:tcW w:w="240" w:type="dxa"/>
            <w:vAlign w:val="bottom"/>
            <w:shd w:val="clear" w:color="auto" w:fill="EEEFEF"/>
          </w:tcPr>
          <w:p>
            <w:pPr>
              <w:spacing w:after="0"/>
              <w:rPr>
                <w:sz w:val="7"/>
                <w:szCs w:val="7"/>
                <w:color w:val="auto"/>
              </w:rPr>
            </w:pPr>
          </w:p>
        </w:tc>
        <w:tc>
          <w:tcPr>
            <w:tcW w:w="5500" w:type="dxa"/>
            <w:vAlign w:val="bottom"/>
            <w:vMerge w:val="restart"/>
            <w:shd w:val="clear" w:color="auto" w:fill="EEEFEF"/>
          </w:tcPr>
          <w:p>
            <w:pPr>
              <w:ind w:left="4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401(k) Savings Plan matching contribution</w:t>
            </w:r>
          </w:p>
        </w:tc>
        <w:tc>
          <w:tcPr>
            <w:tcW w:w="0" w:type="dxa"/>
            <w:vAlign w:val="bottom"/>
          </w:tcPr>
          <w:p>
            <w:pPr>
              <w:spacing w:after="0"/>
              <w:rPr>
                <w:sz w:val="1"/>
                <w:szCs w:val="1"/>
                <w:color w:val="auto"/>
              </w:rPr>
            </w:pPr>
          </w:p>
        </w:tc>
      </w:tr>
      <w:tr>
        <w:trPr>
          <w:trHeight w:val="108"/>
        </w:trPr>
        <w:tc>
          <w:tcPr>
            <w:tcW w:w="5080" w:type="dxa"/>
            <w:vAlign w:val="bottom"/>
            <w:vMerge w:val="restart"/>
          </w:tcPr>
          <w:p>
            <w:pPr>
              <w:spacing w:after="0"/>
              <w:rPr>
                <w:sz w:val="20"/>
                <w:szCs w:val="20"/>
                <w:color w:val="auto"/>
              </w:rPr>
            </w:pPr>
            <w:r>
              <w:rPr>
                <w:rFonts w:ascii="Arial" w:cs="Arial" w:eastAsia="Arial" w:hAnsi="Arial"/>
                <w:sz w:val="16"/>
                <w:szCs w:val="16"/>
                <w:color w:val="auto"/>
              </w:rPr>
              <w:t>maximum credited salary</w:t>
            </w:r>
          </w:p>
        </w:tc>
        <w:tc>
          <w:tcPr>
            <w:tcW w:w="240" w:type="dxa"/>
            <w:vAlign w:val="bottom"/>
            <w:shd w:val="clear" w:color="auto" w:fill="EEEFEF"/>
          </w:tcPr>
          <w:p>
            <w:pPr>
              <w:spacing w:after="0"/>
              <w:rPr>
                <w:sz w:val="9"/>
                <w:szCs w:val="9"/>
                <w:color w:val="auto"/>
              </w:rPr>
            </w:pPr>
          </w:p>
        </w:tc>
        <w:tc>
          <w:tcPr>
            <w:tcW w:w="5500" w:type="dxa"/>
            <w:vAlign w:val="bottom"/>
            <w:vMerge w:val="continue"/>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080" w:type="dxa"/>
            <w:vAlign w:val="bottom"/>
            <w:vMerge w:val="continue"/>
          </w:tcPr>
          <w:p>
            <w:pPr>
              <w:spacing w:after="0"/>
              <w:rPr>
                <w:sz w:val="9"/>
                <w:szCs w:val="9"/>
                <w:color w:val="auto"/>
              </w:rPr>
            </w:pPr>
          </w:p>
        </w:tc>
        <w:tc>
          <w:tcPr>
            <w:tcW w:w="240" w:type="dxa"/>
            <w:vAlign w:val="bottom"/>
            <w:shd w:val="clear" w:color="auto" w:fill="EEEFEF"/>
          </w:tcPr>
          <w:p>
            <w:pPr>
              <w:spacing w:after="0"/>
              <w:rPr>
                <w:sz w:val="9"/>
                <w:szCs w:val="9"/>
                <w:color w:val="auto"/>
              </w:rPr>
            </w:pPr>
          </w:p>
        </w:tc>
        <w:tc>
          <w:tcPr>
            <w:tcW w:w="5500" w:type="dxa"/>
            <w:vAlign w:val="bottom"/>
            <w:vMerge w:val="restart"/>
            <w:shd w:val="clear" w:color="auto" w:fill="EEEFEF"/>
          </w:tcPr>
          <w:p>
            <w:pPr>
              <w:ind w:left="4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special health or medical benefits</w:t>
            </w:r>
          </w:p>
        </w:tc>
        <w:tc>
          <w:tcPr>
            <w:tcW w:w="0" w:type="dxa"/>
            <w:vAlign w:val="bottom"/>
          </w:tcPr>
          <w:p>
            <w:pPr>
              <w:spacing w:after="0"/>
              <w:rPr>
                <w:sz w:val="1"/>
                <w:szCs w:val="1"/>
                <w:color w:val="auto"/>
              </w:rPr>
            </w:pPr>
          </w:p>
        </w:tc>
      </w:tr>
      <w:tr>
        <w:trPr>
          <w:trHeight w:val="82"/>
        </w:trPr>
        <w:tc>
          <w:tcPr>
            <w:tcW w:w="5080" w:type="dxa"/>
            <w:vAlign w:val="bottom"/>
          </w:tcPr>
          <w:p>
            <w:pPr>
              <w:spacing w:after="0"/>
              <w:rPr>
                <w:sz w:val="7"/>
                <w:szCs w:val="7"/>
                <w:color w:val="auto"/>
              </w:rPr>
            </w:pPr>
          </w:p>
        </w:tc>
        <w:tc>
          <w:tcPr>
            <w:tcW w:w="240" w:type="dxa"/>
            <w:vAlign w:val="bottom"/>
            <w:shd w:val="clear" w:color="auto" w:fill="EEEFEF"/>
          </w:tcPr>
          <w:p>
            <w:pPr>
              <w:spacing w:after="0"/>
              <w:rPr>
                <w:sz w:val="7"/>
                <w:szCs w:val="7"/>
                <w:color w:val="auto"/>
              </w:rPr>
            </w:pPr>
          </w:p>
        </w:tc>
        <w:tc>
          <w:tcPr>
            <w:tcW w:w="5500" w:type="dxa"/>
            <w:vAlign w:val="bottom"/>
            <w:vMerge w:val="continue"/>
            <w:shd w:val="clear" w:color="auto" w:fill="EEEFE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5080" w:type="dxa"/>
            <w:vAlign w:val="bottom"/>
          </w:tcPr>
          <w:p>
            <w:pPr>
              <w:spacing w:after="0"/>
              <w:rPr>
                <w:sz w:val="18"/>
                <w:szCs w:val="18"/>
                <w:color w:val="auto"/>
              </w:rPr>
            </w:pPr>
          </w:p>
        </w:tc>
        <w:tc>
          <w:tcPr>
            <w:tcW w:w="240" w:type="dxa"/>
            <w:vAlign w:val="bottom"/>
            <w:shd w:val="clear" w:color="auto" w:fill="EEEFEF"/>
          </w:tcPr>
          <w:p>
            <w:pPr>
              <w:spacing w:after="0"/>
              <w:rPr>
                <w:sz w:val="18"/>
                <w:szCs w:val="18"/>
                <w:color w:val="auto"/>
              </w:rPr>
            </w:pPr>
          </w:p>
        </w:tc>
        <w:tc>
          <w:tcPr>
            <w:tcW w:w="5500" w:type="dxa"/>
            <w:vAlign w:val="bottom"/>
            <w:shd w:val="clear" w:color="auto" w:fill="EEEFEF"/>
          </w:tcPr>
          <w:p>
            <w:pPr>
              <w:ind w:left="4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special pension credits</w:t>
            </w:r>
          </w:p>
        </w:tc>
        <w:tc>
          <w:tcPr>
            <w:tcW w:w="0" w:type="dxa"/>
            <w:vAlign w:val="bottom"/>
          </w:tcPr>
          <w:p>
            <w:pPr>
              <w:spacing w:after="0"/>
              <w:rPr>
                <w:sz w:val="1"/>
                <w:szCs w:val="1"/>
                <w:color w:val="auto"/>
              </w:rPr>
            </w:pPr>
          </w:p>
        </w:tc>
      </w:tr>
      <w:tr>
        <w:trPr>
          <w:trHeight w:val="70"/>
        </w:trPr>
        <w:tc>
          <w:tcPr>
            <w:tcW w:w="5080" w:type="dxa"/>
            <w:vAlign w:val="bottom"/>
          </w:tcPr>
          <w:p>
            <w:pPr>
              <w:spacing w:after="0"/>
              <w:rPr>
                <w:sz w:val="6"/>
                <w:szCs w:val="6"/>
                <w:color w:val="auto"/>
              </w:rPr>
            </w:pPr>
          </w:p>
        </w:tc>
        <w:tc>
          <w:tcPr>
            <w:tcW w:w="240" w:type="dxa"/>
            <w:vAlign w:val="bottom"/>
            <w:shd w:val="clear" w:color="auto" w:fill="EEEFEF"/>
          </w:tcPr>
          <w:p>
            <w:pPr>
              <w:spacing w:after="0"/>
              <w:rPr>
                <w:sz w:val="6"/>
                <w:szCs w:val="6"/>
                <w:color w:val="auto"/>
              </w:rPr>
            </w:pPr>
          </w:p>
        </w:tc>
        <w:tc>
          <w:tcPr>
            <w:tcW w:w="5500" w:type="dxa"/>
            <w:vAlign w:val="bottom"/>
            <w:shd w:val="clear" w:color="auto" w:fill="EEEFE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-694055</wp:posOffset>
            </wp:positionV>
            <wp:extent cx="137160" cy="13716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000000"/>
                        </a:clrFrom>
                        <a:clrTo>
                          <a:srgbClr val="000000">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-694055</wp:posOffset>
            </wp:positionV>
            <wp:extent cx="137160" cy="1371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GOVERNANCE RESPONSIBILITIES OF THE CMDC</w:t>
      </w:r>
    </w:p>
    <w:p>
      <w:pPr>
        <w:spacing w:after="0" w:line="99"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CMDC oversees our compensation programs throughout the year, which enables the programs to be proactive in addressing both current and emerging developments or challenges. Key committee responsibilities related to compensation programs include:</w:t>
      </w:r>
    </w:p>
    <w:p>
      <w:pPr>
        <w:sectPr>
          <w:pgSz w:w="11900" w:h="16838" w:orient="portrait"/>
          <w:cols w:equalWidth="0" w:num="1">
            <w:col w:w="11260"/>
          </w:cols>
          <w:pgMar w:left="320" w:top="157" w:right="319" w:bottom="1440" w:gutter="0" w:footer="0" w:header="0"/>
        </w:sectPr>
      </w:pPr>
    </w:p>
    <w:p>
      <w:pPr>
        <w:spacing w:after="0" w:line="99" w:lineRule="exact"/>
        <w:rPr>
          <w:sz w:val="20"/>
          <w:szCs w:val="20"/>
          <w:color w:val="auto"/>
        </w:rPr>
      </w:pPr>
    </w:p>
    <w:p>
      <w:pPr>
        <w:ind w:left="200" w:right="80" w:hanging="192"/>
        <w:spacing w:after="0" w:line="287" w:lineRule="auto"/>
        <w:tabs>
          <w:tab w:leader="none" w:pos="197" w:val="left"/>
        </w:tabs>
        <w:numPr>
          <w:ilvl w:val="0"/>
          <w:numId w:val="122"/>
        </w:numPr>
        <w:rPr>
          <w:rFonts w:ascii="Arial" w:cs="Arial" w:eastAsia="Arial" w:hAnsi="Arial"/>
          <w:sz w:val="16"/>
          <w:szCs w:val="16"/>
          <w:color w:val="074A75"/>
        </w:rPr>
      </w:pPr>
      <w:r>
        <w:rPr>
          <w:rFonts w:ascii="Arial" w:cs="Arial" w:eastAsia="Arial" w:hAnsi="Arial"/>
          <w:sz w:val="18"/>
          <w:szCs w:val="18"/>
          <w:color w:val="auto"/>
        </w:rPr>
        <w:t>Periodically reviewing and approving a statement of the Firm’s compensation philosophy, principles and practices</w:t>
      </w:r>
    </w:p>
    <w:p>
      <w:pPr>
        <w:spacing w:after="0" w:line="4" w:lineRule="exact"/>
        <w:rPr>
          <w:rFonts w:ascii="Arial" w:cs="Arial" w:eastAsia="Arial" w:hAnsi="Arial"/>
          <w:sz w:val="16"/>
          <w:szCs w:val="16"/>
          <w:color w:val="074A75"/>
        </w:rPr>
      </w:pPr>
    </w:p>
    <w:p>
      <w:pPr>
        <w:ind w:left="200" w:right="160" w:hanging="192"/>
        <w:spacing w:after="0" w:line="262" w:lineRule="auto"/>
        <w:tabs>
          <w:tab w:leader="none" w:pos="197" w:val="left"/>
        </w:tabs>
        <w:numPr>
          <w:ilvl w:val="0"/>
          <w:numId w:val="122"/>
        </w:numPr>
        <w:rPr>
          <w:rFonts w:ascii="Arial" w:cs="Arial" w:eastAsia="Arial" w:hAnsi="Arial"/>
          <w:sz w:val="16"/>
          <w:szCs w:val="16"/>
          <w:color w:val="074A75"/>
        </w:rPr>
      </w:pPr>
      <w:r>
        <w:rPr>
          <w:rFonts w:ascii="Arial" w:cs="Arial" w:eastAsia="Arial" w:hAnsi="Arial"/>
          <w:sz w:val="18"/>
          <w:szCs w:val="18"/>
          <w:color w:val="auto"/>
        </w:rPr>
        <w:t>Reviewing the Firm’s compensation practices and the relationship among risk, risk management and compensation (including safety and soundness and avoiding practices that could encourage excessive risk-taking)</w:t>
      </w:r>
    </w:p>
    <w:p>
      <w:pPr>
        <w:spacing w:after="0" w:line="41" w:lineRule="exact"/>
        <w:rPr>
          <w:rFonts w:ascii="Arial" w:cs="Arial" w:eastAsia="Arial" w:hAnsi="Arial"/>
          <w:sz w:val="16"/>
          <w:szCs w:val="16"/>
          <w:color w:val="074A75"/>
        </w:rPr>
      </w:pPr>
    </w:p>
    <w:p>
      <w:pPr>
        <w:ind w:left="200" w:hanging="192"/>
        <w:spacing w:after="0" w:line="262" w:lineRule="auto"/>
        <w:tabs>
          <w:tab w:leader="none" w:pos="197" w:val="left"/>
        </w:tabs>
        <w:numPr>
          <w:ilvl w:val="0"/>
          <w:numId w:val="122"/>
        </w:numPr>
        <w:rPr>
          <w:rFonts w:ascii="Arial" w:cs="Arial" w:eastAsia="Arial" w:hAnsi="Arial"/>
          <w:sz w:val="16"/>
          <w:szCs w:val="16"/>
          <w:color w:val="074A75"/>
        </w:rPr>
      </w:pPr>
      <w:r>
        <w:rPr>
          <w:rFonts w:ascii="Arial" w:cs="Arial" w:eastAsia="Arial" w:hAnsi="Arial"/>
          <w:sz w:val="18"/>
          <w:szCs w:val="18"/>
          <w:color w:val="auto"/>
        </w:rPr>
        <w:t>Adopting pay practices and approving any necessary formulas, performance metrics or pool calculations in compliance with applicable U.S. and global regulatory, statutory or governance requirements</w:t>
      </w:r>
    </w:p>
    <w:p>
      <w:pPr>
        <w:spacing w:after="0" w:line="27" w:lineRule="exact"/>
        <w:rPr>
          <w:rFonts w:ascii="Arial" w:cs="Arial" w:eastAsia="Arial" w:hAnsi="Arial"/>
          <w:sz w:val="16"/>
          <w:szCs w:val="16"/>
          <w:color w:val="074A75"/>
        </w:rPr>
      </w:pPr>
    </w:p>
    <w:p>
      <w:pPr>
        <w:ind w:left="200" w:hanging="192"/>
        <w:spacing w:after="0" w:line="287" w:lineRule="auto"/>
        <w:tabs>
          <w:tab w:leader="none" w:pos="197" w:val="left"/>
        </w:tabs>
        <w:numPr>
          <w:ilvl w:val="0"/>
          <w:numId w:val="122"/>
        </w:numPr>
        <w:rPr>
          <w:rFonts w:ascii="Arial" w:cs="Arial" w:eastAsia="Arial" w:hAnsi="Arial"/>
          <w:sz w:val="16"/>
          <w:szCs w:val="16"/>
          <w:color w:val="074A75"/>
        </w:rPr>
      </w:pPr>
      <w:r>
        <w:rPr>
          <w:rFonts w:ascii="Arial" w:cs="Arial" w:eastAsia="Arial" w:hAnsi="Arial"/>
          <w:sz w:val="18"/>
          <w:szCs w:val="18"/>
          <w:color w:val="auto"/>
        </w:rPr>
        <w:t>Reviewing and approving overall incentive compensation pools (including equity/cash mix)</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96" w:right="480" w:hanging="196"/>
        <w:spacing w:after="0" w:line="287" w:lineRule="auto"/>
        <w:tabs>
          <w:tab w:leader="none" w:pos="194" w:val="left"/>
        </w:tabs>
        <w:numPr>
          <w:ilvl w:val="0"/>
          <w:numId w:val="123"/>
        </w:numPr>
        <w:rPr>
          <w:rFonts w:ascii="Arial" w:cs="Arial" w:eastAsia="Arial" w:hAnsi="Arial"/>
          <w:sz w:val="16"/>
          <w:szCs w:val="16"/>
          <w:color w:val="074A75"/>
        </w:rPr>
      </w:pPr>
      <w:r>
        <w:rPr>
          <w:rFonts w:ascii="Arial" w:cs="Arial" w:eastAsia="Arial" w:hAnsi="Arial"/>
          <w:sz w:val="18"/>
          <w:szCs w:val="18"/>
          <w:color w:val="auto"/>
        </w:rPr>
        <w:t>Reviewing the business-aligned incentive compensation plan governance, design and evaluation framework</w:t>
      </w:r>
    </w:p>
    <w:p>
      <w:pPr>
        <w:spacing w:after="0" w:line="4" w:lineRule="exact"/>
        <w:rPr>
          <w:rFonts w:ascii="Arial" w:cs="Arial" w:eastAsia="Arial" w:hAnsi="Arial"/>
          <w:sz w:val="16"/>
          <w:szCs w:val="16"/>
          <w:color w:val="074A75"/>
        </w:rPr>
      </w:pPr>
    </w:p>
    <w:p>
      <w:pPr>
        <w:ind w:left="196" w:right="280" w:hanging="196"/>
        <w:spacing w:after="0" w:line="262" w:lineRule="auto"/>
        <w:tabs>
          <w:tab w:leader="none" w:pos="194" w:val="left"/>
        </w:tabs>
        <w:numPr>
          <w:ilvl w:val="0"/>
          <w:numId w:val="123"/>
        </w:numPr>
        <w:rPr>
          <w:rFonts w:ascii="Arial" w:cs="Arial" w:eastAsia="Arial" w:hAnsi="Arial"/>
          <w:sz w:val="16"/>
          <w:szCs w:val="16"/>
          <w:color w:val="074A75"/>
        </w:rPr>
      </w:pPr>
      <w:r>
        <w:rPr>
          <w:rFonts w:ascii="Arial" w:cs="Arial" w:eastAsia="Arial" w:hAnsi="Arial"/>
          <w:sz w:val="18"/>
          <w:szCs w:val="18"/>
          <w:color w:val="auto"/>
        </w:rPr>
        <w:t>Reviewing over multiple meetings and approving compensation for our OC and, for the CEO, making a compensation recommendation to the Board for consideration and ratification by the independent directors</w:t>
      </w:r>
    </w:p>
    <w:p>
      <w:pPr>
        <w:spacing w:after="0" w:line="41" w:lineRule="exact"/>
        <w:rPr>
          <w:rFonts w:ascii="Arial" w:cs="Arial" w:eastAsia="Arial" w:hAnsi="Arial"/>
          <w:sz w:val="16"/>
          <w:szCs w:val="16"/>
          <w:color w:val="074A75"/>
        </w:rPr>
      </w:pPr>
    </w:p>
    <w:p>
      <w:pPr>
        <w:ind w:left="196" w:right="240" w:hanging="196"/>
        <w:spacing w:after="0" w:line="259" w:lineRule="auto"/>
        <w:tabs>
          <w:tab w:leader="none" w:pos="194" w:val="left"/>
        </w:tabs>
        <w:numPr>
          <w:ilvl w:val="0"/>
          <w:numId w:val="123"/>
        </w:numPr>
        <w:rPr>
          <w:rFonts w:ascii="Arial" w:cs="Arial" w:eastAsia="Arial" w:hAnsi="Arial"/>
          <w:sz w:val="16"/>
          <w:szCs w:val="16"/>
          <w:color w:val="074A75"/>
        </w:rPr>
      </w:pPr>
      <w:r>
        <w:rPr>
          <w:rFonts w:ascii="Arial" w:cs="Arial" w:eastAsia="Arial" w:hAnsi="Arial"/>
          <w:sz w:val="18"/>
          <w:szCs w:val="18"/>
          <w:color w:val="auto"/>
        </w:rPr>
        <w:t>Reviewing compensation for employees who are material risk-takers identified under Federal Reserve standards (“Tier 1 employees”), U.K. and/or European Union standards (“Identified Staff”) or other similar standards, collectively “Designated Employees”</w:t>
      </w:r>
    </w:p>
    <w:p>
      <w:pPr>
        <w:spacing w:after="0" w:line="30" w:lineRule="exact"/>
        <w:rPr>
          <w:rFonts w:ascii="Arial" w:cs="Arial" w:eastAsia="Arial" w:hAnsi="Arial"/>
          <w:sz w:val="16"/>
          <w:szCs w:val="16"/>
          <w:color w:val="074A75"/>
        </w:rPr>
      </w:pPr>
    </w:p>
    <w:p>
      <w:pPr>
        <w:ind w:left="196" w:right="200" w:hanging="196"/>
        <w:spacing w:after="0" w:line="287" w:lineRule="auto"/>
        <w:tabs>
          <w:tab w:leader="none" w:pos="194" w:val="left"/>
        </w:tabs>
        <w:numPr>
          <w:ilvl w:val="0"/>
          <w:numId w:val="123"/>
        </w:numPr>
        <w:rPr>
          <w:rFonts w:ascii="Arial" w:cs="Arial" w:eastAsia="Arial" w:hAnsi="Arial"/>
          <w:sz w:val="16"/>
          <w:szCs w:val="16"/>
          <w:color w:val="074A75"/>
        </w:rPr>
      </w:pPr>
      <w:r>
        <w:rPr>
          <w:rFonts w:ascii="Arial" w:cs="Arial" w:eastAsia="Arial" w:hAnsi="Arial"/>
          <w:sz w:val="18"/>
          <w:szCs w:val="18"/>
          <w:color w:val="auto"/>
        </w:rPr>
        <w:t>Reviewing and approving the design and terms of compensation awards, including recovery/clawback provisions</w:t>
      </w:r>
    </w:p>
    <w:p>
      <w:pPr>
        <w:spacing w:after="0" w:line="18" w:lineRule="exact"/>
        <w:rPr>
          <w:sz w:val="20"/>
          <w:szCs w:val="20"/>
          <w:color w:val="auto"/>
        </w:rPr>
      </w:pPr>
    </w:p>
    <w:p>
      <w:pPr>
        <w:sectPr>
          <w:pgSz w:w="11900" w:h="16838" w:orient="portrait"/>
          <w:cols w:equalWidth="0" w:num="2">
            <w:col w:w="5220" w:space="524"/>
            <w:col w:w="5516"/>
          </w:cols>
          <w:pgMar w:left="320" w:top="157" w:right="319" w:bottom="1440" w:gutter="0" w:footer="0" w:header="0"/>
          <w:type w:val="continuous"/>
        </w:sectPr>
      </w:pPr>
    </w:p>
    <w:p>
      <w:pPr>
        <w:spacing w:after="0"/>
        <w:rPr>
          <w:sz w:val="20"/>
          <w:szCs w:val="20"/>
          <w:color w:val="auto"/>
        </w:rPr>
      </w:pPr>
      <w:r>
        <w:rPr>
          <w:rFonts w:ascii="Arial" w:cs="Arial" w:eastAsia="Arial" w:hAnsi="Arial"/>
          <w:sz w:val="18"/>
          <w:szCs w:val="18"/>
          <w:color w:val="auto"/>
        </w:rPr>
        <w:t>The CMDC continues to retain the discretion to make awards and pay amounts that may not qualify as tax deductible.</w:t>
      </w:r>
    </w:p>
    <w:p>
      <w:pPr>
        <w:spacing w:after="0" w:line="185" w:lineRule="exact"/>
        <w:rPr>
          <w:sz w:val="20"/>
          <w:szCs w:val="20"/>
          <w:color w:val="auto"/>
        </w:rPr>
      </w:pPr>
    </w:p>
    <w:p>
      <w:pPr>
        <w:ind w:left="200" w:right="260" w:hanging="192"/>
        <w:spacing w:after="0" w:line="226" w:lineRule="auto"/>
        <w:tabs>
          <w:tab w:leader="none" w:pos="200" w:val="left"/>
        </w:tabs>
        <w:numPr>
          <w:ilvl w:val="0"/>
          <w:numId w:val="124"/>
        </w:numPr>
        <w:rPr>
          <w:rFonts w:ascii="Arial" w:cs="Arial" w:eastAsia="Arial" w:hAnsi="Arial"/>
          <w:sz w:val="16"/>
          <w:szCs w:val="16"/>
          <w:color w:val="auto"/>
          <w:vertAlign w:val="superscript"/>
        </w:rPr>
      </w:pPr>
      <w:r>
        <w:rPr>
          <w:rFonts w:ascii="Arial" w:cs="Arial" w:eastAsia="Arial" w:hAnsi="Arial"/>
          <w:sz w:val="13"/>
          <w:szCs w:val="13"/>
          <w:color w:val="auto"/>
        </w:rPr>
        <w:t>PSUs are also subject to a two-year hold after each vesting for a combined holding period of five years. The terms and conditions of Mr. Pinto’s compensation reflect the requirements of E.U. and U.K. regulations. Refer to Note 1 on page 46 for additional information on Mr. Pinto’s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266065</wp:posOffset>
            </wp:positionV>
            <wp:extent cx="2743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43  </w:t>
      </w:r>
      <w:r>
        <w:rPr>
          <w:sz w:val="1"/>
          <w:szCs w:val="1"/>
          <w:color w:val="auto"/>
        </w:rPr>
        <w:drawing>
          <wp:inline distT="0" distB="0" distL="0" distR="0">
            <wp:extent cx="2203450" cy="154305"/>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Our performance assessment cycle starts with planning and priority-setting</w:t>
      </w:r>
    </w:p>
    <w:p>
      <w:pPr>
        <w:spacing w:after="0" w:line="1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CMDC uses a disciplined pay-for-performance framework to make decisions about the compensation of our OC members, so that their compensation is commensurate with the overall performance of the Firm, their respective businesses, and their individual performance. The cycle starts with establishing strategic plans, budgets and priorities at those same levels, with the key elements and timing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38100</wp:posOffset>
            </wp:positionV>
            <wp:extent cx="7012305" cy="50488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012305" cy="504888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80" w:lineRule="exact"/>
        <w:rPr>
          <w:sz w:val="20"/>
          <w:szCs w:val="20"/>
          <w:color w:val="auto"/>
        </w:rPr>
      </w:pPr>
    </w:p>
    <w:p>
      <w:pPr>
        <w:jc w:val="right"/>
        <w:ind w:left="1040"/>
        <w:spacing w:after="0" w:line="310" w:lineRule="auto"/>
        <w:rPr>
          <w:sz w:val="20"/>
          <w:szCs w:val="20"/>
          <w:color w:val="auto"/>
        </w:rPr>
      </w:pPr>
      <w:r>
        <w:rPr>
          <w:rFonts w:ascii="Arial" w:cs="Arial" w:eastAsia="Arial" w:hAnsi="Arial"/>
          <w:sz w:val="21"/>
          <w:szCs w:val="21"/>
          <w:b w:val="1"/>
          <w:bCs w:val="1"/>
          <w:color w:val="074A75"/>
        </w:rPr>
        <w:t>OC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179070</wp:posOffset>
            </wp:positionV>
            <wp:extent cx="1491615" cy="42862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491615" cy="428625"/>
                    </a:xfrm>
                    <a:prstGeom prst="rect">
                      <a:avLst/>
                    </a:prstGeom>
                    <a:noFill/>
                  </pic:spPr>
                </pic:pic>
              </a:graphicData>
            </a:graphic>
          </wp:anchor>
        </w:drawing>
      </w:r>
    </w:p>
    <w:p>
      <w:pPr>
        <w:spacing w:after="0" w:line="328" w:lineRule="exact"/>
        <w:rPr>
          <w:sz w:val="20"/>
          <w:szCs w:val="20"/>
          <w:color w:val="auto"/>
        </w:rPr>
      </w:pPr>
    </w:p>
    <w:p>
      <w:pPr>
        <w:jc w:val="right"/>
        <w:ind w:left="640"/>
        <w:spacing w:after="0" w:line="310" w:lineRule="auto"/>
        <w:rPr>
          <w:sz w:val="20"/>
          <w:szCs w:val="20"/>
          <w:color w:val="auto"/>
        </w:rPr>
      </w:pPr>
      <w:r>
        <w:rPr>
          <w:rFonts w:ascii="Arial" w:cs="Arial" w:eastAsia="Arial" w:hAnsi="Arial"/>
          <w:sz w:val="21"/>
          <w:szCs w:val="21"/>
          <w:b w:val="1"/>
          <w:bCs w:val="1"/>
          <w:color w:val="074A75"/>
        </w:rPr>
        <w:t>BOARD STRATEGY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153670</wp:posOffset>
            </wp:positionV>
            <wp:extent cx="1491615" cy="42862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491615" cy="428625"/>
                    </a:xfrm>
                    <a:prstGeom prst="rect">
                      <a:avLst/>
                    </a:prstGeom>
                    <a:noFill/>
                  </pic:spPr>
                </pic:pic>
              </a:graphicData>
            </a:graphic>
          </wp:anchor>
        </w:drawing>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9FB1C7"/>
        </w:rPr>
        <w:t>PRIORITY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9FB1C7"/>
        </w:rPr>
        <w:t>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212090</wp:posOffset>
            </wp:positionV>
            <wp:extent cx="1491615" cy="42862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491615" cy="428625"/>
                    </a:xfrm>
                    <a:prstGeom prst="rect">
                      <a:avLst/>
                    </a:prstGeom>
                    <a:noFill/>
                  </pic:spPr>
                </pic:pic>
              </a:graphicData>
            </a:graphic>
          </wp:anchor>
        </w:drawing>
      </w:r>
    </w:p>
    <w:p>
      <w:pPr>
        <w:spacing w:after="0" w:line="380" w:lineRule="exact"/>
        <w:rPr>
          <w:sz w:val="20"/>
          <w:szCs w:val="20"/>
          <w:color w:val="auto"/>
        </w:rPr>
      </w:pPr>
    </w:p>
    <w:p>
      <w:pPr>
        <w:jc w:val="right"/>
        <w:ind w:left="460"/>
        <w:spacing w:after="0" w:line="310" w:lineRule="auto"/>
        <w:rPr>
          <w:sz w:val="20"/>
          <w:szCs w:val="20"/>
          <w:color w:val="auto"/>
        </w:rPr>
      </w:pPr>
      <w:r>
        <w:rPr>
          <w:rFonts w:ascii="Arial" w:cs="Arial" w:eastAsia="Arial" w:hAnsi="Arial"/>
          <w:sz w:val="21"/>
          <w:szCs w:val="21"/>
          <w:b w:val="1"/>
          <w:bCs w:val="1"/>
          <w:color w:val="FFFFFF"/>
        </w:rPr>
        <w:t>BUDGET/STRATEGIC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153670</wp:posOffset>
            </wp:positionV>
            <wp:extent cx="1491615" cy="42862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491615" cy="428625"/>
                    </a:xfrm>
                    <a:prstGeom prst="rect">
                      <a:avLst/>
                    </a:prstGeom>
                    <a:noFill/>
                  </pic:spPr>
                </pic:pic>
              </a:graphicData>
            </a:graphic>
          </wp:anchor>
        </w:drawing>
      </w:r>
    </w:p>
    <w:p>
      <w:pPr>
        <w:spacing w:after="0" w:line="288" w:lineRule="exact"/>
        <w:rPr>
          <w:sz w:val="20"/>
          <w:szCs w:val="20"/>
          <w:color w:val="auto"/>
        </w:rPr>
      </w:pPr>
    </w:p>
    <w:p>
      <w:pPr>
        <w:ind w:left="780" w:firstLine="704"/>
        <w:spacing w:after="0" w:line="310" w:lineRule="auto"/>
        <w:rPr>
          <w:sz w:val="20"/>
          <w:szCs w:val="20"/>
          <w:color w:val="auto"/>
        </w:rPr>
      </w:pPr>
      <w:r>
        <w:rPr>
          <w:rFonts w:ascii="Arial" w:cs="Arial" w:eastAsia="Arial" w:hAnsi="Arial"/>
          <w:sz w:val="21"/>
          <w:szCs w:val="21"/>
          <w:b w:val="1"/>
          <w:bCs w:val="1"/>
          <w:color w:val="FFFFFF"/>
        </w:rPr>
        <w:t>EXTERNAL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153670</wp:posOffset>
            </wp:positionV>
            <wp:extent cx="1491615" cy="6343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491615" cy="634365"/>
                    </a:xfrm>
                    <a:prstGeom prst="rect">
                      <a:avLst/>
                    </a:prstGeom>
                    <a:noFill/>
                  </pic:spPr>
                </pic:pic>
              </a:graphicData>
            </a:graphic>
          </wp:anchor>
        </w:drawing>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6484A5"/>
        </w:rPr>
        <w:t>RISK &amp;</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6484A5"/>
        </w:rPr>
        <w:t>CONTROL</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6484A5"/>
        </w:rPr>
        <w:t>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238125</wp:posOffset>
            </wp:positionV>
            <wp:extent cx="1491615" cy="50546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491615" cy="5054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rPr>
        <w:t>DEI</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rPr>
        <w:t>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255270</wp:posOffset>
            </wp:positionV>
            <wp:extent cx="1491615" cy="6254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491615" cy="62547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020" w:hanging="59"/>
        <w:spacing w:after="0" w:line="310" w:lineRule="auto"/>
        <w:rPr>
          <w:sz w:val="20"/>
          <w:szCs w:val="20"/>
          <w:color w:val="auto"/>
        </w:rPr>
      </w:pPr>
      <w:r>
        <w:rPr>
          <w:rFonts w:ascii="Arial" w:cs="Arial" w:eastAsia="Arial" w:hAnsi="Arial"/>
          <w:sz w:val="21"/>
          <w:szCs w:val="21"/>
          <w:b w:val="1"/>
          <w:bCs w:val="1"/>
          <w:color w:val="FFFFFF"/>
          <w:shd w:val="clear" w:color="auto" w:fill="205A85"/>
        </w:rPr>
        <w:t>PERFORMANCE ASSESSMENTS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At their annual strategy meeting typically held in the summer, the Operating Committee defines the Firm's strategic framework, establishes strategic priorities for the Firm, lines of business (“LOB”), and functions, and evaluates progress against the prior year’s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203200</wp:posOffset>
            </wp:positionV>
            <wp:extent cx="4758055" cy="5314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58055" cy="53149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203200</wp:posOffset>
            </wp:positionV>
            <wp:extent cx="4758055" cy="5314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758055" cy="53149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Following the OC strategy meeting, the Board reviews Firm and business unit strategies, business plans and preliminary budgets for the upcoming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227965</wp:posOffset>
            </wp:positionV>
            <wp:extent cx="4758055" cy="5314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58055" cy="53149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227965</wp:posOffset>
            </wp:positionV>
            <wp:extent cx="4758055" cy="5314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758055" cy="5314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OC members establish Firm, business/function and individual performance priorities, which are shared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227965</wp:posOffset>
            </wp:positionV>
            <wp:extent cx="4758055" cy="5314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58055" cy="53149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227965</wp:posOffset>
            </wp:positionV>
            <wp:extent cx="4758055" cy="53149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758055" cy="5314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Board reviews multi-year Firm and business/function budgets against strategic priorities, and the CMDC approves the Firm’s multi-year strategic framework as the goals and objectives for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227965</wp:posOffset>
            </wp:positionV>
            <wp:extent cx="4758055" cy="53149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758055" cy="53149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227965</wp:posOffset>
            </wp:positionV>
            <wp:extent cx="4758055" cy="5314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758055" cy="53149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Key strategic initiatives and medium-term financial targets are communicated externally.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329565</wp:posOffset>
            </wp:positionV>
            <wp:extent cx="5104765" cy="7372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04765" cy="737235"/>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329565</wp:posOffset>
            </wp:positionV>
            <wp:extent cx="5104765" cy="7372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04765" cy="73723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Assessments of workforce conduct-related matters occur throughout the year. The outcomes of these assessments may result in compensation impacts, negative performance ratings, or other appropriate employment actions or decisions.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Feedback on OC members is provided by the Firm's risk and control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226695</wp:posOffset>
            </wp:positionV>
            <wp:extent cx="5104765" cy="6083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04765" cy="608330"/>
                    </a:xfrm>
                    <a:prstGeom prst="rect">
                      <a:avLst/>
                    </a:prstGeom>
                    <a:noFill/>
                  </pic:spPr>
                </pic:pic>
              </a:graphicData>
            </a:graphic>
          </wp:anchor>
        </w:drawing>
        <w:drawing>
          <wp:anchor simplePos="0" relativeHeight="251657728" behindDoc="1" locked="0" layoutInCell="0" allowOverlap="1">
            <wp:simplePos x="0" y="0"/>
            <wp:positionH relativeFrom="column">
              <wp:posOffset>-91440</wp:posOffset>
            </wp:positionH>
            <wp:positionV relativeFrom="paragraph">
              <wp:posOffset>226695</wp:posOffset>
            </wp:positionV>
            <wp:extent cx="5104765" cy="6083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04765" cy="6083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OC members are provided with feedback on behaviors, practices and progress toward goals related to the Firm's diversity, equity and inclusion priorities.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Progress on these priorities are included in OC members' overall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226695</wp:posOffset>
            </wp:positionV>
            <wp:extent cx="4758055" cy="6254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758055" cy="6254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OC members prepare individual self-assessments. At year-end, the Board and CMDC are provided with OC members’ individual self-assessments in support of their holistic assessment throughout the cycle of OC member performance against strategic priorities. Individual performance of our NEOs is discussed in greater detail on pages 67-72.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Q3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483870</wp:posOffset>
            </wp:positionV>
            <wp:extent cx="334010" cy="42862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34010" cy="42862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12065</wp:posOffset>
            </wp:positionV>
            <wp:extent cx="34290" cy="49288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90" cy="492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Q3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432435</wp:posOffset>
            </wp:positionV>
            <wp:extent cx="334010" cy="42862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40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Q4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432435</wp:posOffset>
            </wp:positionV>
            <wp:extent cx="334010" cy="42862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40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Q4-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Q1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302260</wp:posOffset>
            </wp:positionV>
            <wp:extent cx="334010" cy="42862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4010" cy="42862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Q1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Q1-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Q4</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Q4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Q1-</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Q4</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Q4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226695</wp:posOffset>
            </wp:positionV>
            <wp:extent cx="342900" cy="6254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0" cy="6254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Q4</w:t>
      </w:r>
    </w:p>
    <w:p>
      <w:pPr>
        <w:spacing w:after="0" w:line="796" w:lineRule="exact"/>
        <w:rPr>
          <w:sz w:val="20"/>
          <w:szCs w:val="20"/>
          <w:color w:val="auto"/>
        </w:rPr>
      </w:pPr>
    </w:p>
    <w:p>
      <w:pPr>
        <w:sectPr>
          <w:pgSz w:w="11900" w:h="16838" w:orient="portrait"/>
          <w:cols w:equalWidth="0" w:num="3">
            <w:col w:w="2660" w:space="260"/>
            <w:col w:w="7280" w:space="200"/>
            <w:col w:w="860"/>
          </w:cols>
          <w:pgMar w:left="320" w:top="157" w:right="319" w:bottom="1440" w:gutter="0" w:footer="0" w:header="0"/>
          <w:type w:val="continuous"/>
        </w:sectPr>
      </w:pPr>
    </w:p>
    <w:p>
      <w:pPr>
        <w:ind w:right="180"/>
        <w:spacing w:after="0" w:line="287" w:lineRule="auto"/>
        <w:rPr>
          <w:sz w:val="20"/>
          <w:szCs w:val="20"/>
          <w:color w:val="auto"/>
        </w:rPr>
      </w:pPr>
      <w:r>
        <w:rPr>
          <w:rFonts w:ascii="Arial" w:cs="Arial" w:eastAsia="Arial" w:hAnsi="Arial"/>
          <w:sz w:val="18"/>
          <w:szCs w:val="18"/>
          <w:color w:val="auto"/>
        </w:rPr>
        <w:t>Throughout the performance assessment cycle, the Board and CMDC engage in regular discussions with the CEO and the Head of Human Resources ("HR") about individual OC members’ performance, as appropriate.</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approach (rather than determining pay levels during a single year-end process) enables the CMDC and the Board to make balanced and informed OC member pay decisions that are aligned with long-term performance against four broad dimensions, which consider short-, medium- and long-term priorities that drive sustained shareholder value, while accounting for risk, controls and conduct objectives: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309"/>
        </w:trPr>
        <w:tc>
          <w:tcPr>
            <w:tcW w:w="2540" w:type="dxa"/>
            <w:vAlign w:val="bottom"/>
            <w:shd w:val="clear" w:color="auto" w:fill="074A75"/>
          </w:tcPr>
          <w:p>
            <w:pPr>
              <w:ind w:left="520"/>
              <w:spacing w:after="0"/>
              <w:rPr>
                <w:sz w:val="20"/>
                <w:szCs w:val="20"/>
                <w:color w:val="auto"/>
              </w:rPr>
            </w:pPr>
            <w:r>
              <w:rPr>
                <w:rFonts w:ascii="Arial" w:cs="Arial" w:eastAsia="Arial" w:hAnsi="Arial"/>
                <w:sz w:val="18"/>
                <w:szCs w:val="18"/>
                <w:b w:val="1"/>
                <w:bCs w:val="1"/>
                <w:color w:val="FFFFFF"/>
              </w:rPr>
              <w:t>Business Results</w:t>
            </w:r>
          </w:p>
        </w:tc>
        <w:tc>
          <w:tcPr>
            <w:tcW w:w="140" w:type="dxa"/>
            <w:vAlign w:val="bottom"/>
          </w:tcPr>
          <w:p>
            <w:pPr>
              <w:spacing w:after="0"/>
              <w:rPr>
                <w:sz w:val="24"/>
                <w:szCs w:val="24"/>
                <w:color w:val="auto"/>
              </w:rPr>
            </w:pPr>
          </w:p>
        </w:tc>
        <w:tc>
          <w:tcPr>
            <w:tcW w:w="2540" w:type="dxa"/>
            <w:vAlign w:val="bottom"/>
            <w:shd w:val="clear" w:color="auto" w:fill="6484A5"/>
          </w:tcPr>
          <w:p>
            <w:pPr>
              <w:ind w:left="180"/>
              <w:spacing w:after="0"/>
              <w:rPr>
                <w:sz w:val="20"/>
                <w:szCs w:val="20"/>
                <w:color w:val="auto"/>
              </w:rPr>
            </w:pPr>
            <w:r>
              <w:rPr>
                <w:rFonts w:ascii="Arial" w:cs="Arial" w:eastAsia="Arial" w:hAnsi="Arial"/>
                <w:sz w:val="18"/>
                <w:szCs w:val="18"/>
                <w:b w:val="1"/>
                <w:bCs w:val="1"/>
                <w:color w:val="FFFFFF"/>
              </w:rPr>
              <w:t>Risk, Controls &amp; Conduct</w:t>
            </w:r>
          </w:p>
        </w:tc>
        <w:tc>
          <w:tcPr>
            <w:tcW w:w="140" w:type="dxa"/>
            <w:vAlign w:val="bottom"/>
          </w:tcPr>
          <w:p>
            <w:pPr>
              <w:spacing w:after="0"/>
              <w:rPr>
                <w:sz w:val="24"/>
                <w:szCs w:val="24"/>
                <w:color w:val="auto"/>
              </w:rPr>
            </w:pPr>
          </w:p>
        </w:tc>
        <w:tc>
          <w:tcPr>
            <w:tcW w:w="2940" w:type="dxa"/>
            <w:vAlign w:val="bottom"/>
            <w:shd w:val="clear" w:color="auto" w:fill="939598"/>
          </w:tcPr>
          <w:p>
            <w:pPr>
              <w:ind w:left="140"/>
              <w:spacing w:after="0"/>
              <w:rPr>
                <w:sz w:val="20"/>
                <w:szCs w:val="20"/>
                <w:color w:val="auto"/>
              </w:rPr>
            </w:pPr>
            <w:r>
              <w:rPr>
                <w:rFonts w:ascii="Arial" w:cs="Arial" w:eastAsia="Arial" w:hAnsi="Arial"/>
                <w:sz w:val="18"/>
                <w:szCs w:val="18"/>
                <w:b w:val="1"/>
                <w:bCs w:val="1"/>
                <w:color w:val="FFFFFF"/>
              </w:rPr>
              <w:t>Client / Customer / Stakeholder</w:t>
            </w:r>
          </w:p>
        </w:tc>
        <w:tc>
          <w:tcPr>
            <w:tcW w:w="140" w:type="dxa"/>
            <w:vAlign w:val="bottom"/>
          </w:tcPr>
          <w:p>
            <w:pPr>
              <w:spacing w:after="0"/>
              <w:rPr>
                <w:sz w:val="24"/>
                <w:szCs w:val="24"/>
                <w:color w:val="auto"/>
              </w:rPr>
            </w:pPr>
          </w:p>
        </w:tc>
        <w:tc>
          <w:tcPr>
            <w:tcW w:w="2540" w:type="dxa"/>
            <w:vAlign w:val="bottom"/>
            <w:shd w:val="clear" w:color="auto" w:fill="6D6E71"/>
          </w:tcPr>
          <w:p>
            <w:pPr>
              <w:ind w:left="240"/>
              <w:spacing w:after="0"/>
              <w:rPr>
                <w:sz w:val="20"/>
                <w:szCs w:val="20"/>
                <w:color w:val="auto"/>
              </w:rPr>
            </w:pPr>
            <w:r>
              <w:rPr>
                <w:rFonts w:ascii="Arial" w:cs="Arial" w:eastAsia="Arial" w:hAnsi="Arial"/>
                <w:sz w:val="18"/>
                <w:szCs w:val="18"/>
                <w:b w:val="1"/>
                <w:bCs w:val="1"/>
                <w:color w:val="FFFFFF"/>
              </w:rPr>
              <w:t>Teamwork &amp; Leadership</w:t>
            </w:r>
          </w:p>
        </w:tc>
      </w:tr>
      <w:tr>
        <w:trPr>
          <w:trHeight w:val="69"/>
        </w:trPr>
        <w:tc>
          <w:tcPr>
            <w:tcW w:w="2540" w:type="dxa"/>
            <w:vAlign w:val="bottom"/>
            <w:shd w:val="clear" w:color="auto" w:fill="074A75"/>
          </w:tcPr>
          <w:p>
            <w:pPr>
              <w:spacing w:after="0"/>
              <w:rPr>
                <w:sz w:val="6"/>
                <w:szCs w:val="6"/>
                <w:color w:val="auto"/>
              </w:rPr>
            </w:pPr>
          </w:p>
        </w:tc>
        <w:tc>
          <w:tcPr>
            <w:tcW w:w="140" w:type="dxa"/>
            <w:vAlign w:val="bottom"/>
          </w:tcPr>
          <w:p>
            <w:pPr>
              <w:spacing w:after="0"/>
              <w:rPr>
                <w:sz w:val="6"/>
                <w:szCs w:val="6"/>
                <w:color w:val="auto"/>
              </w:rPr>
            </w:pPr>
          </w:p>
        </w:tc>
        <w:tc>
          <w:tcPr>
            <w:tcW w:w="2540" w:type="dxa"/>
            <w:vAlign w:val="bottom"/>
            <w:shd w:val="clear" w:color="auto" w:fill="6484A5"/>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shd w:val="clear" w:color="auto" w:fill="939598"/>
          </w:tcPr>
          <w:p>
            <w:pPr>
              <w:spacing w:after="0"/>
              <w:rPr>
                <w:sz w:val="6"/>
                <w:szCs w:val="6"/>
                <w:color w:val="auto"/>
              </w:rPr>
            </w:pPr>
          </w:p>
        </w:tc>
        <w:tc>
          <w:tcPr>
            <w:tcW w:w="140" w:type="dxa"/>
            <w:vAlign w:val="bottom"/>
          </w:tcPr>
          <w:p>
            <w:pPr>
              <w:spacing w:after="0"/>
              <w:rPr>
                <w:sz w:val="6"/>
                <w:szCs w:val="6"/>
                <w:color w:val="auto"/>
              </w:rPr>
            </w:pPr>
          </w:p>
        </w:tc>
        <w:tc>
          <w:tcPr>
            <w:tcW w:w="2540" w:type="dxa"/>
            <w:vAlign w:val="bottom"/>
            <w:shd w:val="clear" w:color="auto" w:fill="6D6E71"/>
          </w:tcPr>
          <w:p>
            <w:pPr>
              <w:spacing w:after="0"/>
              <w:rPr>
                <w:sz w:val="6"/>
                <w:szCs w:val="6"/>
                <w:color w:val="auto"/>
              </w:rPr>
            </w:pPr>
          </w:p>
        </w:tc>
      </w:tr>
    </w:tbl>
    <w:p>
      <w:pPr>
        <w:spacing w:after="0" w:line="14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To promote a proper pay-for-performance alignment, the CMDC does not assign relative weightings to these dimensions, and also considers other relevant factors, including market practices.</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Pay determination and pay mix</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074A75"/>
        </w:rPr>
        <w:t>EVALUATING MARKET PRACTICES</w:t>
      </w:r>
    </w:p>
    <w:p>
      <w:pPr>
        <w:spacing w:after="0" w:line="11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order to effectively attract, properly motivate and retain our senior executives, the CMDC periodically reviews market data relating to pay levels, pay mix and pay practices.</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evaluating market data for OC members, the CMDC benchmarks against our primary financial services peer group, which consists of large financial services companies with which the Firm directly competes for both talent and business. The following companies comprise our primary financial services peer group, which remains unchanged from last year: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American Express</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w w:val="98"/>
              </w:rPr>
              <w:t>Goldman Sachs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Bank of America</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w w:val="99"/>
              </w:rPr>
              <w:t>Morgan Stanley</w:t>
            </w:r>
          </w:p>
        </w:tc>
      </w:tr>
      <w:tr>
        <w:trPr>
          <w:trHeight w:val="283"/>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Citigroup</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Wells Fargo</w:t>
            </w:r>
          </w:p>
        </w:tc>
      </w:tr>
    </w:tbl>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Given the diversity of the Firm’s businesses, the CMDC may also periodically reference the pay plans and practices of other financial services companies as well as leading large, global firms across multiple industries. The CMDC considers the size, presence, brand and reputation of the companies, and the nature and mix of their businesses in using this data. These companies include some or all of the following: 3M, Alphabet, Amazon, Apple, AT&amp;T, Barclays, BlackRock, BNY Mellon, Boeing, Capital One Financial, Chevron, Coca-Cola, Comcast, Credit Suisse, CVS Health, Deutsche Bank, ExxonMobil, General Electric, HSBC, IBM, Johnson &amp; Johnson, Merck, Meta, Microsoft, Oracle, PayPal, PepsiCo, Pfizer, Procter &amp; Gamble, Raytheon, UBS, Verizon, Wal-Mart and Walt Disney. Although these reference companies are not part of our primary financial services peer group, we believe that their practices can provide a relevant point of reference for maintaining a competitive talent and compensation program.</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074A75"/>
        </w:rPr>
        <w:t>DISCIPLINED PROCESS TO DETERMINE PAY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074A75"/>
        </w:rPr>
        <w:t>Pay level</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 determining total compensation levels for individual OC members, the CMDC evaluates various pay scenarios in light of the following considerations to inform their judgment:</w:t>
      </w:r>
    </w:p>
    <w:p>
      <w:pPr>
        <w:spacing w:after="0" w:line="45" w:lineRule="exact"/>
        <w:rPr>
          <w:sz w:val="20"/>
          <w:szCs w:val="20"/>
          <w:color w:val="auto"/>
        </w:rPr>
      </w:pPr>
    </w:p>
    <w:p>
      <w:pPr>
        <w:ind w:left="200" w:hanging="192"/>
        <w:spacing w:after="0"/>
        <w:tabs>
          <w:tab w:leader="none" w:pos="200"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Performance, based on the four broad assessment dimensions as discussed on pages 53-64, including risk and control</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Value of the position to the organization and shareholders over time (i.e., “value of seat”)</w:t>
      </w:r>
    </w:p>
    <w:p>
      <w:pPr>
        <w:spacing w:after="0" w:line="76" w:lineRule="exact"/>
        <w:rPr>
          <w:rFonts w:ascii="Arial" w:cs="Arial" w:eastAsia="Arial" w:hAnsi="Arial"/>
          <w:sz w:val="18"/>
          <w:szCs w:val="18"/>
          <w:color w:val="074A75"/>
        </w:rPr>
      </w:pPr>
    </w:p>
    <w:p>
      <w:pPr>
        <w:ind w:left="200" w:right="240" w:hanging="192"/>
        <w:spacing w:after="0" w:line="287" w:lineRule="auto"/>
        <w:tabs>
          <w:tab w:leader="none" w:pos="204"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Leadership and the example they set for others by acting with integrity and strengthening the Firm’s culture, including diversity, inclusion and respect</w:t>
      </w:r>
    </w:p>
    <w:p>
      <w:pPr>
        <w:spacing w:after="0" w:line="17" w:lineRule="exact"/>
        <w:rPr>
          <w:rFonts w:ascii="Arial" w:cs="Arial" w:eastAsia="Arial" w:hAnsi="Arial"/>
          <w:sz w:val="18"/>
          <w:szCs w:val="18"/>
          <w:color w:val="074A75"/>
        </w:rPr>
      </w:pPr>
    </w:p>
    <w:p>
      <w:pPr>
        <w:ind w:left="200" w:hanging="192"/>
        <w:spacing w:after="0"/>
        <w:tabs>
          <w:tab w:leader="none" w:pos="200"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External talent market (i.e., market data)</w:t>
      </w:r>
    </w:p>
    <w:p>
      <w:pPr>
        <w:spacing w:after="0" w:line="11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While market data provides the CMDC with useful information regarding our competitors, the CMDC does not target specific positioning (e.g.,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nor does it use a formulaic approach in determining competitive pay levels. Instead, the CMDC uses a range of data as a reference, which is considered in the context of each executive’s performance over a multi-year period, and the CMDC’s assessment of the value the individual delivers to the Firm.</w:t>
      </w:r>
    </w:p>
    <w:p>
      <w:pPr>
        <w:spacing w:after="0" w:line="73"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For 2021, compensation awarded to the OC members also represents a balance between the outstanding efforts and performance of the Firm with the continued impact of the COVID-19 pandemic on the Firm's other stakeholders, as well as the Board’s continued focus on executive retention and succession planning.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074A75"/>
        </w:rPr>
        <w:t>Pay mix</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Once the CMDC determines OC members’ total incentive compensation, it then establishes the appropriate pay mix between an annual cash incentive and long-term equity, including PSUs and RSUs.</w:t>
      </w:r>
    </w:p>
    <w:p>
      <w:pPr>
        <w:spacing w:after="0" w:line="4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For OC members other than the CEO and those located in the U.K., consistent with prior years, the CMDC continued to apply the Firm’s standard cash/equity incentive mix formula to each of their 2021 incentive compensation awards. For the CEO, also consistent with prior years, the Board continued to override the standard cash/equity formula to maintain a lower cash allocation of $5 million, so that a larger majority of his incentive compensation would be comprised of shareholder-aligned equity, with 100% of it in the form of performance-conditioned PSUs. PSUs are 100% at-risk and will result in no payout unless a threshold performance level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254635</wp:posOffset>
            </wp:positionV>
            <wp:extent cx="27432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45  </w:t>
      </w:r>
      <w:r>
        <w:rPr>
          <w:sz w:val="1"/>
          <w:szCs w:val="1"/>
          <w:color w:val="auto"/>
        </w:rPr>
        <w:drawing>
          <wp:inline distT="0" distB="0" distL="0" distR="0">
            <wp:extent cx="2203450" cy="154305"/>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4" w:lineRule="exact"/>
        <w:rPr>
          <w:sz w:val="20"/>
          <w:szCs w:val="20"/>
          <w:color w:val="auto"/>
        </w:rPr>
      </w:pPr>
    </w:p>
    <w:p>
      <w:pPr>
        <w:jc w:val="both"/>
        <w:ind w:right="220"/>
        <w:spacing w:after="0" w:line="291" w:lineRule="auto"/>
        <w:rPr>
          <w:sz w:val="20"/>
          <w:szCs w:val="20"/>
          <w:color w:val="auto"/>
        </w:rPr>
      </w:pPr>
      <w:r>
        <w:rPr>
          <w:rFonts w:ascii="Arial" w:cs="Arial" w:eastAsia="Arial" w:hAnsi="Arial"/>
          <w:sz w:val="17"/>
          <w:szCs w:val="17"/>
          <w:color w:val="auto"/>
        </w:rPr>
        <w:t>For OC members other than the CEO, the CMDC determined that a 50%/50% mix of time-based RSUs and at-risk PSUs would continue to provide an appropriate balance to their equity exposure. Per the Firm’s standard cash/equity incentive mix formula, the OC members were awarded 60% of their incentive compensation in long-term equity (30% in PSUs and 30% in RSUs), with the remaining 40% paid in cash.</w:t>
      </w:r>
    </w:p>
    <w:p>
      <w:pPr>
        <w:spacing w:after="0" w:line="4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CMDC believes that this significant weighting of pay mix to equity encourages OC members to focus on the long-term success of the Firm while mitigating excessive risk-taking, and provides a competitive annual cash incentive opportunity. The CMDC has established a different pay mix for OC members in the U.K., including Mr. Pinto, due to local E.U. and U.K. regulations for Identified Staff under the Capital Requirements Directive. For further details on Mr. Pinto’s pay mix, see Note 1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074A75"/>
        </w:rPr>
        <w:t>Summary of pay elements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compensation program provides for an appropriate mix between base salary, cash and equity incentives that vest over time. The table below summarizes the elements of compensation for the 2021 performance year.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00" w:type="dxa"/>
            <w:vAlign w:val="bottom"/>
          </w:tcPr>
          <w:p>
            <w:pPr>
              <w:spacing w:after="0"/>
              <w:rPr>
                <w:sz w:val="19"/>
                <w:szCs w:val="19"/>
                <w:color w:val="auto"/>
              </w:rPr>
            </w:pPr>
          </w:p>
        </w:tc>
        <w:tc>
          <w:tcPr>
            <w:tcW w:w="1520" w:type="dxa"/>
            <w:vAlign w:val="bottom"/>
            <w:tcBorders>
              <w:bottom w:val="single" w:sz="8" w:color="494949"/>
            </w:tcBorders>
            <w:gridSpan w:val="2"/>
          </w:tcPr>
          <w:p>
            <w:pPr>
              <w:ind w:left="260"/>
              <w:spacing w:after="0"/>
              <w:rPr>
                <w:sz w:val="20"/>
                <w:szCs w:val="20"/>
                <w:color w:val="auto"/>
              </w:rPr>
            </w:pPr>
            <w:r>
              <w:rPr>
                <w:rFonts w:ascii="Arial" w:cs="Arial" w:eastAsia="Arial" w:hAnsi="Arial"/>
                <w:sz w:val="16"/>
                <w:szCs w:val="16"/>
                <w:color w:val="auto"/>
              </w:rPr>
              <w:t>% of Variable</w:t>
            </w:r>
          </w:p>
        </w:tc>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205A85"/>
                <w:w w:val="99"/>
              </w:rPr>
              <w:t>Other</w:t>
            </w:r>
          </w:p>
        </w:tc>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205A85"/>
              </w:rPr>
              <w:t>Subject to</w:t>
            </w:r>
          </w:p>
        </w:tc>
        <w:tc>
          <w:tcPr>
            <w:tcW w:w="0" w:type="dxa"/>
            <w:vAlign w:val="bottom"/>
          </w:tcPr>
          <w:p>
            <w:pPr>
              <w:spacing w:after="0"/>
              <w:rPr>
                <w:sz w:val="1"/>
                <w:szCs w:val="1"/>
                <w:color w:val="auto"/>
              </w:rPr>
            </w:pPr>
          </w:p>
        </w:tc>
      </w:tr>
      <w:tr>
        <w:trPr>
          <w:trHeight w:val="240"/>
        </w:trPr>
        <w:tc>
          <w:tcPr>
            <w:tcW w:w="1000" w:type="dxa"/>
            <w:vAlign w:val="bottom"/>
          </w:tcPr>
          <w:p>
            <w:pPr>
              <w:ind w:left="20"/>
              <w:spacing w:after="0"/>
              <w:rPr>
                <w:sz w:val="20"/>
                <w:szCs w:val="20"/>
                <w:color w:val="auto"/>
              </w:rPr>
            </w:pPr>
            <w:r>
              <w:rPr>
                <w:rFonts w:ascii="Arial" w:cs="Arial" w:eastAsia="Arial" w:hAnsi="Arial"/>
                <w:sz w:val="16"/>
                <w:szCs w:val="16"/>
                <w:color w:val="205A85"/>
              </w:rPr>
              <w:t>Elements</w:t>
            </w:r>
          </w:p>
        </w:tc>
        <w:tc>
          <w:tcPr>
            <w:tcW w:w="760" w:type="dxa"/>
            <w:vAlign w:val="bottom"/>
          </w:tcPr>
          <w:p>
            <w:pPr>
              <w:jc w:val="center"/>
              <w:spacing w:after="0"/>
              <w:rPr>
                <w:sz w:val="20"/>
                <w:szCs w:val="20"/>
                <w:color w:val="auto"/>
              </w:rPr>
            </w:pPr>
            <w:r>
              <w:rPr>
                <w:rFonts w:ascii="Arial" w:cs="Arial" w:eastAsia="Arial" w:hAnsi="Arial"/>
                <w:sz w:val="16"/>
                <w:szCs w:val="16"/>
                <w:color w:val="205A85"/>
                <w:w w:val="97"/>
              </w:rPr>
              <w:t>CEO</w:t>
            </w:r>
          </w:p>
        </w:tc>
        <w:tc>
          <w:tcPr>
            <w:tcW w:w="760" w:type="dxa"/>
            <w:vAlign w:val="bottom"/>
          </w:tcPr>
          <w:p>
            <w:pPr>
              <w:jc w:val="center"/>
              <w:spacing w:after="0" w:line="240" w:lineRule="exact"/>
              <w:rPr>
                <w:sz w:val="20"/>
                <w:szCs w:val="20"/>
                <w:color w:val="auto"/>
              </w:rPr>
            </w:pPr>
            <w:r>
              <w:rPr>
                <w:rFonts w:ascii="Arial" w:cs="Arial" w:eastAsia="Arial" w:hAnsi="Arial"/>
                <w:sz w:val="16"/>
                <w:szCs w:val="16"/>
                <w:color w:val="205A85"/>
                <w:w w:val="95"/>
              </w:rPr>
              <w:t>NEOs</w:t>
            </w:r>
            <w:r>
              <w:rPr>
                <w:rFonts w:ascii="Arial" w:cs="Arial" w:eastAsia="Arial" w:hAnsi="Arial"/>
                <w:sz w:val="21"/>
                <w:szCs w:val="21"/>
                <w:color w:val="205A85"/>
                <w:w w:val="95"/>
                <w:vertAlign w:val="superscript"/>
              </w:rPr>
              <w:t>1</w:t>
            </w:r>
          </w:p>
        </w:tc>
        <w:tc>
          <w:tcPr>
            <w:tcW w:w="5640" w:type="dxa"/>
            <w:vAlign w:val="bottom"/>
          </w:tcPr>
          <w:p>
            <w:pPr>
              <w:ind w:left="2360"/>
              <w:spacing w:after="0" w:line="240" w:lineRule="exact"/>
              <w:rPr>
                <w:sz w:val="20"/>
                <w:szCs w:val="20"/>
                <w:color w:val="auto"/>
              </w:rPr>
            </w:pPr>
            <w:r>
              <w:rPr>
                <w:rFonts w:ascii="Arial" w:cs="Arial" w:eastAsia="Arial" w:hAnsi="Arial"/>
                <w:sz w:val="16"/>
                <w:szCs w:val="16"/>
                <w:color w:val="205A85"/>
              </w:rPr>
              <w:t>Description</w:t>
            </w:r>
            <w:r>
              <w:rPr>
                <w:rFonts w:ascii="Arial" w:cs="Arial" w:eastAsia="Arial" w:hAnsi="Arial"/>
                <w:sz w:val="21"/>
                <w:szCs w:val="21"/>
                <w:color w:val="205A85"/>
                <w:vertAlign w:val="superscript"/>
              </w:rPr>
              <w:t>1</w:t>
            </w:r>
          </w:p>
        </w:tc>
        <w:tc>
          <w:tcPr>
            <w:tcW w:w="140" w:type="dxa"/>
            <w:vAlign w:val="bottom"/>
          </w:tcPr>
          <w:p>
            <w:pPr>
              <w:spacing w:after="0"/>
              <w:rPr>
                <w:sz w:val="20"/>
                <w:szCs w:val="20"/>
                <w:color w:val="auto"/>
              </w:rPr>
            </w:pPr>
          </w:p>
        </w:tc>
        <w:tc>
          <w:tcPr>
            <w:tcW w:w="1880" w:type="dxa"/>
            <w:vAlign w:val="bottom"/>
          </w:tcPr>
          <w:p>
            <w:pPr>
              <w:ind w:left="300"/>
              <w:spacing w:after="0" w:line="240" w:lineRule="exact"/>
              <w:rPr>
                <w:sz w:val="20"/>
                <w:szCs w:val="20"/>
                <w:color w:val="auto"/>
              </w:rPr>
            </w:pPr>
            <w:r>
              <w:rPr>
                <w:rFonts w:ascii="Arial" w:cs="Arial" w:eastAsia="Arial" w:hAnsi="Arial"/>
                <w:sz w:val="16"/>
                <w:szCs w:val="16"/>
                <w:color w:val="205A85"/>
              </w:rPr>
              <w:t>Vesting Period</w:t>
            </w:r>
            <w:r>
              <w:rPr>
                <w:rFonts w:ascii="Arial" w:cs="Arial" w:eastAsia="Arial" w:hAnsi="Arial"/>
                <w:sz w:val="21"/>
                <w:szCs w:val="21"/>
                <w:color w:val="205A85"/>
                <w:vertAlign w:val="superscript"/>
              </w:rPr>
              <w:t>1</w:t>
            </w:r>
          </w:p>
        </w:tc>
        <w:tc>
          <w:tcPr>
            <w:tcW w:w="1060" w:type="dxa"/>
            <w:vAlign w:val="bottom"/>
          </w:tcPr>
          <w:p>
            <w:pPr>
              <w:jc w:val="center"/>
              <w:spacing w:after="0" w:line="240" w:lineRule="exact"/>
              <w:rPr>
                <w:sz w:val="20"/>
                <w:szCs w:val="20"/>
                <w:color w:val="auto"/>
              </w:rPr>
            </w:pPr>
            <w:r>
              <w:rPr>
                <w:rFonts w:ascii="Arial" w:cs="Arial" w:eastAsia="Arial" w:hAnsi="Arial"/>
                <w:sz w:val="16"/>
                <w:szCs w:val="16"/>
                <w:color w:val="205A85"/>
                <w:w w:val="98"/>
              </w:rPr>
              <w:t>Clawback</w:t>
            </w:r>
            <w:r>
              <w:rPr>
                <w:rFonts w:ascii="Arial" w:cs="Arial" w:eastAsia="Arial" w:hAnsi="Arial"/>
                <w:sz w:val="21"/>
                <w:szCs w:val="21"/>
                <w:color w:val="205A85"/>
                <w:w w:val="98"/>
                <w:vertAlign w:val="superscript"/>
              </w:rPr>
              <w:t>2</w:t>
            </w:r>
          </w:p>
        </w:tc>
        <w:tc>
          <w:tcPr>
            <w:tcW w:w="0" w:type="dxa"/>
            <w:vAlign w:val="bottom"/>
          </w:tcPr>
          <w:p>
            <w:pPr>
              <w:spacing w:after="0"/>
              <w:rPr>
                <w:sz w:val="1"/>
                <w:szCs w:val="1"/>
                <w:color w:val="auto"/>
              </w:rPr>
            </w:pPr>
          </w:p>
        </w:tc>
      </w:tr>
      <w:tr>
        <w:trPr>
          <w:trHeight w:val="243"/>
        </w:trPr>
        <w:tc>
          <w:tcPr>
            <w:tcW w:w="1000" w:type="dxa"/>
            <w:vAlign w:val="bottom"/>
            <w:tcBorders>
              <w:right w:val="single" w:sz="8" w:color="074A75"/>
            </w:tcBorders>
            <w:shd w:val="clear" w:color="auto" w:fill="074A75"/>
          </w:tcPr>
          <w:p>
            <w:pPr>
              <w:ind w:left="20"/>
              <w:spacing w:after="0"/>
              <w:rPr>
                <w:sz w:val="20"/>
                <w:szCs w:val="20"/>
                <w:color w:val="auto"/>
              </w:rPr>
            </w:pPr>
            <w:r>
              <w:rPr>
                <w:rFonts w:ascii="Arial" w:cs="Arial" w:eastAsia="Arial" w:hAnsi="Arial"/>
                <w:sz w:val="16"/>
                <w:szCs w:val="16"/>
                <w:b w:val="1"/>
                <w:bCs w:val="1"/>
                <w:color w:val="FFFFFF"/>
              </w:rPr>
              <w:t>Fixed</w:t>
            </w:r>
          </w:p>
        </w:tc>
        <w:tc>
          <w:tcPr>
            <w:tcW w:w="760" w:type="dxa"/>
            <w:vAlign w:val="bottom"/>
            <w:tcBorders>
              <w:right w:val="single" w:sz="8" w:color="074A75"/>
            </w:tcBorders>
            <w:shd w:val="clear" w:color="auto" w:fill="074A75"/>
          </w:tcPr>
          <w:p>
            <w:pPr>
              <w:spacing w:after="0"/>
              <w:rPr>
                <w:sz w:val="21"/>
                <w:szCs w:val="21"/>
                <w:color w:val="auto"/>
              </w:rPr>
            </w:pPr>
          </w:p>
        </w:tc>
        <w:tc>
          <w:tcPr>
            <w:tcW w:w="760" w:type="dxa"/>
            <w:vAlign w:val="bottom"/>
            <w:tcBorders>
              <w:right w:val="single" w:sz="8" w:color="074A75"/>
            </w:tcBorders>
            <w:shd w:val="clear" w:color="auto" w:fill="074A75"/>
          </w:tcPr>
          <w:p>
            <w:pPr>
              <w:spacing w:after="0"/>
              <w:rPr>
                <w:sz w:val="21"/>
                <w:szCs w:val="21"/>
                <w:color w:val="auto"/>
              </w:rPr>
            </w:pPr>
          </w:p>
        </w:tc>
        <w:tc>
          <w:tcPr>
            <w:tcW w:w="5640" w:type="dxa"/>
            <w:vAlign w:val="bottom"/>
            <w:tcBorders>
              <w:right w:val="single" w:sz="8" w:color="074A75"/>
            </w:tcBorders>
            <w:shd w:val="clear" w:color="auto" w:fill="074A75"/>
          </w:tcPr>
          <w:p>
            <w:pPr>
              <w:spacing w:after="0"/>
              <w:rPr>
                <w:sz w:val="21"/>
                <w:szCs w:val="21"/>
                <w:color w:val="auto"/>
              </w:rPr>
            </w:pPr>
          </w:p>
        </w:tc>
        <w:tc>
          <w:tcPr>
            <w:tcW w:w="140" w:type="dxa"/>
            <w:vAlign w:val="bottom"/>
            <w:shd w:val="clear" w:color="auto" w:fill="074A75"/>
          </w:tcPr>
          <w:p>
            <w:pPr>
              <w:spacing w:after="0"/>
              <w:rPr>
                <w:sz w:val="21"/>
                <w:szCs w:val="21"/>
                <w:color w:val="auto"/>
              </w:rPr>
            </w:pPr>
          </w:p>
        </w:tc>
        <w:tc>
          <w:tcPr>
            <w:tcW w:w="1880" w:type="dxa"/>
            <w:vAlign w:val="bottom"/>
            <w:tcBorders>
              <w:right w:val="single" w:sz="8" w:color="074A75"/>
            </w:tcBorders>
            <w:shd w:val="clear" w:color="auto" w:fill="074A75"/>
          </w:tcPr>
          <w:p>
            <w:pPr>
              <w:spacing w:after="0"/>
              <w:rPr>
                <w:sz w:val="21"/>
                <w:szCs w:val="21"/>
                <w:color w:val="auto"/>
              </w:rPr>
            </w:pPr>
          </w:p>
        </w:tc>
        <w:tc>
          <w:tcPr>
            <w:tcW w:w="1060" w:type="dxa"/>
            <w:vAlign w:val="bottom"/>
            <w:shd w:val="clear" w:color="auto" w:fill="074A75"/>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0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Salary</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rPr>
              <w:t>N/A</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7"/>
              </w:rPr>
              <w:t>N/A</w:t>
            </w: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Fixed portion of total pay that enables us to attract and retain talent</w:t>
            </w:r>
          </w:p>
        </w:tc>
        <w:tc>
          <w:tcPr>
            <w:tcW w:w="140" w:type="dxa"/>
            <w:vAlign w:val="bottom"/>
          </w:tcPr>
          <w:p>
            <w:pPr>
              <w:spacing w:after="0"/>
              <w:rPr>
                <w:sz w:val="20"/>
                <w:szCs w:val="20"/>
                <w:color w:val="auto"/>
              </w:rPr>
            </w:pPr>
            <w:r>
              <w:rPr>
                <w:rFonts w:ascii="Arial" w:cs="Arial" w:eastAsia="Arial" w:hAnsi="Arial"/>
                <w:sz w:val="16"/>
                <w:szCs w:val="16"/>
                <w:color w:val="205A85"/>
              </w:rPr>
              <w:t>•</w:t>
            </w: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99"/>
        </w:trPr>
        <w:tc>
          <w:tcPr>
            <w:tcW w:w="1000" w:type="dxa"/>
            <w:vAlign w:val="bottom"/>
            <w:tcBorders>
              <w:right w:val="single" w:sz="8" w:color="494949"/>
            </w:tcBorders>
          </w:tcPr>
          <w:p>
            <w:pPr>
              <w:spacing w:after="0"/>
              <w:rPr>
                <w:sz w:val="24"/>
                <w:szCs w:val="24"/>
                <w:color w:val="auto"/>
              </w:rPr>
            </w:pPr>
          </w:p>
        </w:tc>
        <w:tc>
          <w:tcPr>
            <w:tcW w:w="760" w:type="dxa"/>
            <w:vAlign w:val="bottom"/>
            <w:tcBorders>
              <w:right w:val="single" w:sz="8" w:color="494949"/>
            </w:tcBorders>
          </w:tcPr>
          <w:p>
            <w:pPr>
              <w:spacing w:after="0"/>
              <w:rPr>
                <w:sz w:val="24"/>
                <w:szCs w:val="24"/>
                <w:color w:val="auto"/>
              </w:rPr>
            </w:pPr>
          </w:p>
        </w:tc>
        <w:tc>
          <w:tcPr>
            <w:tcW w:w="760" w:type="dxa"/>
            <w:vAlign w:val="bottom"/>
            <w:tcBorders>
              <w:right w:val="single" w:sz="8" w:color="494949"/>
            </w:tcBorders>
          </w:tcPr>
          <w:p>
            <w:pPr>
              <w:spacing w:after="0"/>
              <w:rPr>
                <w:sz w:val="24"/>
                <w:szCs w:val="24"/>
                <w:color w:val="auto"/>
              </w:rPr>
            </w:pP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Only fixed source of cash compensation</w:t>
            </w:r>
          </w:p>
        </w:tc>
        <w:tc>
          <w:tcPr>
            <w:tcW w:w="140" w:type="dxa"/>
            <w:vAlign w:val="bottom"/>
          </w:tcPr>
          <w:p>
            <w:pPr>
              <w:spacing w:after="0"/>
              <w:rPr>
                <w:sz w:val="24"/>
                <w:szCs w:val="24"/>
                <w:color w:val="auto"/>
              </w:rPr>
            </w:pPr>
          </w:p>
        </w:tc>
        <w:tc>
          <w:tcPr>
            <w:tcW w:w="1880" w:type="dxa"/>
            <w:vAlign w:val="bottom"/>
            <w:tcBorders>
              <w:right w:val="single" w:sz="8" w:color="494949"/>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0" w:type="dxa"/>
            <w:vAlign w:val="bottom"/>
            <w:tcBorders>
              <w:right w:val="single" w:sz="8" w:color="074A75"/>
            </w:tcBorders>
            <w:shd w:val="clear" w:color="auto" w:fill="074A75"/>
          </w:tcPr>
          <w:p>
            <w:pPr>
              <w:ind w:left="20"/>
              <w:spacing w:after="0"/>
              <w:rPr>
                <w:sz w:val="20"/>
                <w:szCs w:val="20"/>
                <w:color w:val="auto"/>
              </w:rPr>
            </w:pPr>
            <w:r>
              <w:rPr>
                <w:rFonts w:ascii="Arial" w:cs="Arial" w:eastAsia="Arial" w:hAnsi="Arial"/>
                <w:sz w:val="16"/>
                <w:szCs w:val="16"/>
                <w:b w:val="1"/>
                <w:bCs w:val="1"/>
                <w:color w:val="FFFFFF"/>
              </w:rPr>
              <w:t>Variable</w:t>
            </w:r>
          </w:p>
        </w:tc>
        <w:tc>
          <w:tcPr>
            <w:tcW w:w="760" w:type="dxa"/>
            <w:vAlign w:val="bottom"/>
            <w:tcBorders>
              <w:right w:val="single" w:sz="8" w:color="074A75"/>
            </w:tcBorders>
            <w:shd w:val="clear" w:color="auto" w:fill="074A75"/>
          </w:tcPr>
          <w:p>
            <w:pPr>
              <w:spacing w:after="0"/>
              <w:rPr>
                <w:sz w:val="21"/>
                <w:szCs w:val="21"/>
                <w:color w:val="auto"/>
              </w:rPr>
            </w:pPr>
          </w:p>
        </w:tc>
        <w:tc>
          <w:tcPr>
            <w:tcW w:w="760" w:type="dxa"/>
            <w:vAlign w:val="bottom"/>
            <w:tcBorders>
              <w:right w:val="single" w:sz="8" w:color="074A75"/>
            </w:tcBorders>
            <w:shd w:val="clear" w:color="auto" w:fill="074A75"/>
          </w:tcPr>
          <w:p>
            <w:pPr>
              <w:spacing w:after="0"/>
              <w:rPr>
                <w:sz w:val="21"/>
                <w:szCs w:val="21"/>
                <w:color w:val="auto"/>
              </w:rPr>
            </w:pPr>
          </w:p>
        </w:tc>
        <w:tc>
          <w:tcPr>
            <w:tcW w:w="5640" w:type="dxa"/>
            <w:vAlign w:val="bottom"/>
            <w:tcBorders>
              <w:right w:val="single" w:sz="8" w:color="074A75"/>
            </w:tcBorders>
            <w:shd w:val="clear" w:color="auto" w:fill="074A75"/>
          </w:tcPr>
          <w:p>
            <w:pPr>
              <w:spacing w:after="0"/>
              <w:rPr>
                <w:sz w:val="21"/>
                <w:szCs w:val="21"/>
                <w:color w:val="auto"/>
              </w:rPr>
            </w:pPr>
          </w:p>
        </w:tc>
        <w:tc>
          <w:tcPr>
            <w:tcW w:w="140" w:type="dxa"/>
            <w:vAlign w:val="bottom"/>
            <w:shd w:val="clear" w:color="auto" w:fill="074A75"/>
          </w:tcPr>
          <w:p>
            <w:pPr>
              <w:spacing w:after="0"/>
              <w:rPr>
                <w:sz w:val="21"/>
                <w:szCs w:val="21"/>
                <w:color w:val="auto"/>
              </w:rPr>
            </w:pPr>
          </w:p>
        </w:tc>
        <w:tc>
          <w:tcPr>
            <w:tcW w:w="1880" w:type="dxa"/>
            <w:vAlign w:val="bottom"/>
            <w:tcBorders>
              <w:right w:val="single" w:sz="8" w:color="074A75"/>
            </w:tcBorders>
            <w:shd w:val="clear" w:color="auto" w:fill="074A75"/>
          </w:tcPr>
          <w:p>
            <w:pPr>
              <w:spacing w:after="0"/>
              <w:rPr>
                <w:sz w:val="21"/>
                <w:szCs w:val="21"/>
                <w:color w:val="auto"/>
              </w:rPr>
            </w:pPr>
          </w:p>
        </w:tc>
        <w:tc>
          <w:tcPr>
            <w:tcW w:w="1060" w:type="dxa"/>
            <w:vAlign w:val="bottom"/>
            <w:shd w:val="clear" w:color="auto" w:fill="074A75"/>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Cash</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rPr>
              <w:t>~15%</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9"/>
              </w:rPr>
              <w:t>40%</w:t>
            </w:r>
          </w:p>
        </w:tc>
        <w:tc>
          <w:tcPr>
            <w:tcW w:w="5640" w:type="dxa"/>
            <w:vAlign w:val="bottom"/>
            <w:tcBorders>
              <w:right w:val="single" w:sz="8" w:color="494949"/>
            </w:tcBorders>
          </w:tcPr>
          <w:p>
            <w:pPr>
              <w:ind w:left="100"/>
              <w:spacing w:after="0" w:line="202" w:lineRule="exact"/>
              <w:rPr>
                <w:sz w:val="20"/>
                <w:szCs w:val="20"/>
                <w:color w:val="auto"/>
              </w:rPr>
            </w:pPr>
            <w:r>
              <w:rPr>
                <w:rFonts w:ascii="Arial" w:cs="Arial" w:eastAsia="Arial" w:hAnsi="Arial"/>
                <w:sz w:val="18"/>
                <w:szCs w:val="18"/>
                <w:color w:val="074A75"/>
              </w:rPr>
              <w:t xml:space="preserve">•  </w:t>
            </w:r>
            <w:r>
              <w:rPr>
                <w:rFonts w:ascii="Arial" w:cs="Arial" w:eastAsia="Arial" w:hAnsi="Arial"/>
                <w:sz w:val="16"/>
                <w:szCs w:val="16"/>
                <w:color w:val="000000"/>
              </w:rPr>
              <w:t>Provides a competitive annual cash incentive opportunity</w:t>
            </w:r>
          </w:p>
        </w:tc>
        <w:tc>
          <w:tcPr>
            <w:tcW w:w="140" w:type="dxa"/>
            <w:vAlign w:val="bottom"/>
          </w:tcPr>
          <w:p>
            <w:pPr>
              <w:spacing w:after="0"/>
              <w:rPr>
                <w:sz w:val="20"/>
                <w:szCs w:val="20"/>
                <w:color w:val="auto"/>
              </w:rPr>
            </w:pPr>
            <w:r>
              <w:rPr>
                <w:rFonts w:ascii="Arial" w:cs="Arial" w:eastAsia="Arial" w:hAnsi="Arial"/>
                <w:sz w:val="16"/>
                <w:szCs w:val="16"/>
                <w:color w:val="205A85"/>
              </w:rPr>
              <w:t>•</w:t>
            </w: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Immediately vested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Incentive</w:t>
            </w:r>
          </w:p>
        </w:tc>
        <w:tc>
          <w:tcPr>
            <w:tcW w:w="760" w:type="dxa"/>
            <w:vAlign w:val="bottom"/>
            <w:tcBorders>
              <w:right w:val="single" w:sz="8" w:color="494949"/>
            </w:tcBorders>
          </w:tcPr>
          <w:p>
            <w:pPr>
              <w:spacing w:after="0"/>
              <w:rPr>
                <w:sz w:val="19"/>
                <w:szCs w:val="19"/>
                <w:color w:val="auto"/>
              </w:rPr>
            </w:pPr>
          </w:p>
        </w:tc>
        <w:tc>
          <w:tcPr>
            <w:tcW w:w="760" w:type="dxa"/>
            <w:vAlign w:val="bottom"/>
            <w:tcBorders>
              <w:right w:val="single" w:sz="8" w:color="494949"/>
            </w:tcBorders>
          </w:tcPr>
          <w:p>
            <w:pPr>
              <w:spacing w:after="0"/>
              <w:rPr>
                <w:sz w:val="19"/>
                <w:szCs w:val="19"/>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Payout determined and awarded in the year following the performance</w:t>
            </w:r>
          </w:p>
        </w:tc>
        <w:tc>
          <w:tcPr>
            <w:tcW w:w="140" w:type="dxa"/>
            <w:vAlign w:val="bottom"/>
          </w:tcPr>
          <w:p>
            <w:pPr>
              <w:spacing w:after="0"/>
              <w:rPr>
                <w:sz w:val="19"/>
                <w:szCs w:val="19"/>
                <w:color w:val="auto"/>
              </w:rPr>
            </w:pPr>
          </w:p>
        </w:tc>
        <w:tc>
          <w:tcPr>
            <w:tcW w:w="1880" w:type="dxa"/>
            <w:vAlign w:val="bottom"/>
            <w:tcBorders>
              <w:right w:val="single" w:sz="8" w:color="494949"/>
            </w:tcBorders>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000" w:type="dxa"/>
            <w:vAlign w:val="bottom"/>
            <w:tcBorders>
              <w:right w:val="single" w:sz="8" w:color="494949"/>
            </w:tcBorders>
          </w:tcPr>
          <w:p>
            <w:pPr>
              <w:spacing w:after="0"/>
              <w:rPr>
                <w:sz w:val="6"/>
                <w:szCs w:val="6"/>
                <w:color w:val="auto"/>
              </w:rPr>
            </w:pPr>
          </w:p>
        </w:tc>
        <w:tc>
          <w:tcPr>
            <w:tcW w:w="760" w:type="dxa"/>
            <w:vAlign w:val="bottom"/>
            <w:tcBorders>
              <w:right w:val="single" w:sz="8" w:color="494949"/>
            </w:tcBorders>
          </w:tcPr>
          <w:p>
            <w:pPr>
              <w:spacing w:after="0"/>
              <w:rPr>
                <w:sz w:val="6"/>
                <w:szCs w:val="6"/>
                <w:color w:val="auto"/>
              </w:rPr>
            </w:pPr>
          </w:p>
        </w:tc>
        <w:tc>
          <w:tcPr>
            <w:tcW w:w="760" w:type="dxa"/>
            <w:vAlign w:val="bottom"/>
            <w:tcBorders>
              <w:right w:val="single" w:sz="8" w:color="494949"/>
            </w:tcBorders>
          </w:tcPr>
          <w:p>
            <w:pPr>
              <w:spacing w:after="0"/>
              <w:rPr>
                <w:sz w:val="6"/>
                <w:szCs w:val="6"/>
                <w:color w:val="auto"/>
              </w:rPr>
            </w:pPr>
          </w:p>
        </w:tc>
        <w:tc>
          <w:tcPr>
            <w:tcW w:w="5640" w:type="dxa"/>
            <w:vAlign w:val="bottom"/>
            <w:tcBorders>
              <w:right w:val="single" w:sz="8" w:color="494949"/>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1880" w:type="dxa"/>
            <w:vAlign w:val="bottom"/>
            <w:tcBorders>
              <w:right w:val="single" w:sz="8" w:color="494949"/>
            </w:tcBorders>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00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year</w:t>
            </w:r>
          </w:p>
        </w:tc>
        <w:tc>
          <w:tcPr>
            <w:tcW w:w="140" w:type="dxa"/>
            <w:vAlign w:val="bottom"/>
          </w:tcPr>
          <w:p>
            <w:pPr>
              <w:spacing w:after="0"/>
              <w:rPr>
                <w:sz w:val="18"/>
                <w:szCs w:val="18"/>
                <w:color w:val="auto"/>
              </w:rPr>
            </w:pPr>
          </w:p>
        </w:tc>
        <w:tc>
          <w:tcPr>
            <w:tcW w:w="1880" w:type="dxa"/>
            <w:vAlign w:val="bottom"/>
            <w:tcBorders>
              <w:right w:val="single" w:sz="8" w:color="494949"/>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tcBorders>
              <w:right w:val="single" w:sz="8" w:color="494949"/>
            </w:tcBorders>
          </w:tcPr>
          <w:p>
            <w:pPr>
              <w:spacing w:after="0"/>
              <w:rPr>
                <w:sz w:val="23"/>
                <w:szCs w:val="23"/>
                <w:color w:val="auto"/>
              </w:rPr>
            </w:pPr>
          </w:p>
        </w:tc>
        <w:tc>
          <w:tcPr>
            <w:tcW w:w="760" w:type="dxa"/>
            <w:vAlign w:val="bottom"/>
            <w:tcBorders>
              <w:right w:val="single" w:sz="8" w:color="494949"/>
            </w:tcBorders>
          </w:tcPr>
          <w:p>
            <w:pPr>
              <w:spacing w:after="0"/>
              <w:rPr>
                <w:sz w:val="23"/>
                <w:szCs w:val="23"/>
                <w:color w:val="auto"/>
              </w:rPr>
            </w:pPr>
          </w:p>
        </w:tc>
        <w:tc>
          <w:tcPr>
            <w:tcW w:w="760" w:type="dxa"/>
            <w:vAlign w:val="bottom"/>
            <w:tcBorders>
              <w:right w:val="single" w:sz="8" w:color="494949"/>
            </w:tcBorders>
          </w:tcPr>
          <w:p>
            <w:pPr>
              <w:spacing w:after="0"/>
              <w:rPr>
                <w:sz w:val="23"/>
                <w:szCs w:val="23"/>
                <w:color w:val="auto"/>
              </w:rPr>
            </w:pP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Represents less than half of variable compensation</w:t>
            </w:r>
          </w:p>
        </w:tc>
        <w:tc>
          <w:tcPr>
            <w:tcW w:w="140" w:type="dxa"/>
            <w:vAlign w:val="bottom"/>
          </w:tcPr>
          <w:p>
            <w:pPr>
              <w:spacing w:after="0"/>
              <w:rPr>
                <w:sz w:val="23"/>
                <w:szCs w:val="23"/>
                <w:color w:val="auto"/>
              </w:rPr>
            </w:pPr>
          </w:p>
        </w:tc>
        <w:tc>
          <w:tcPr>
            <w:tcW w:w="1880" w:type="dxa"/>
            <w:vAlign w:val="bottom"/>
            <w:tcBorders>
              <w:right w:val="single" w:sz="8" w:color="494949"/>
            </w:tcBorders>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1000" w:type="dxa"/>
            <w:vAlign w:val="bottom"/>
            <w:tcBorders>
              <w:bottom w:val="single" w:sz="8" w:color="494949"/>
              <w:right w:val="single" w:sz="8" w:color="494949"/>
            </w:tcBorders>
          </w:tcPr>
          <w:p>
            <w:pPr>
              <w:spacing w:after="0"/>
              <w:rPr>
                <w:sz w:val="2"/>
                <w:szCs w:val="2"/>
                <w:color w:val="auto"/>
              </w:rPr>
            </w:pPr>
          </w:p>
        </w:tc>
        <w:tc>
          <w:tcPr>
            <w:tcW w:w="760" w:type="dxa"/>
            <w:vAlign w:val="bottom"/>
            <w:tcBorders>
              <w:bottom w:val="single" w:sz="8" w:color="494949"/>
              <w:right w:val="single" w:sz="8" w:color="494949"/>
            </w:tcBorders>
          </w:tcPr>
          <w:p>
            <w:pPr>
              <w:spacing w:after="0"/>
              <w:rPr>
                <w:sz w:val="2"/>
                <w:szCs w:val="2"/>
                <w:color w:val="auto"/>
              </w:rPr>
            </w:pPr>
          </w:p>
        </w:tc>
        <w:tc>
          <w:tcPr>
            <w:tcW w:w="760" w:type="dxa"/>
            <w:vAlign w:val="bottom"/>
            <w:tcBorders>
              <w:bottom w:val="single" w:sz="8" w:color="494949"/>
              <w:right w:val="single" w:sz="8" w:color="494949"/>
            </w:tcBorders>
          </w:tcPr>
          <w:p>
            <w:pPr>
              <w:spacing w:after="0"/>
              <w:rPr>
                <w:sz w:val="2"/>
                <w:szCs w:val="2"/>
                <w:color w:val="auto"/>
              </w:rPr>
            </w:pPr>
          </w:p>
        </w:tc>
        <w:tc>
          <w:tcPr>
            <w:tcW w:w="5640" w:type="dxa"/>
            <w:vAlign w:val="bottom"/>
            <w:tcBorders>
              <w:bottom w:val="single" w:sz="8" w:color="494949"/>
              <w:right w:val="single" w:sz="8" w:color="494949"/>
            </w:tcBorders>
          </w:tcPr>
          <w:p>
            <w:pPr>
              <w:spacing w:after="0"/>
              <w:rPr>
                <w:sz w:val="2"/>
                <w:szCs w:val="2"/>
                <w:color w:val="auto"/>
              </w:rPr>
            </w:pPr>
          </w:p>
        </w:tc>
        <w:tc>
          <w:tcPr>
            <w:tcW w:w="140" w:type="dxa"/>
            <w:vAlign w:val="bottom"/>
            <w:tcBorders>
              <w:bottom w:val="single" w:sz="8" w:color="494949"/>
            </w:tcBorders>
          </w:tcPr>
          <w:p>
            <w:pPr>
              <w:spacing w:after="0"/>
              <w:rPr>
                <w:sz w:val="2"/>
                <w:szCs w:val="2"/>
                <w:color w:val="auto"/>
              </w:rPr>
            </w:pPr>
          </w:p>
        </w:tc>
        <w:tc>
          <w:tcPr>
            <w:tcW w:w="1880" w:type="dxa"/>
            <w:vAlign w:val="bottom"/>
            <w:tcBorders>
              <w:bottom w:val="single" w:sz="8" w:color="494949"/>
              <w:right w:val="single" w:sz="8" w:color="494949"/>
            </w:tcBorders>
          </w:tcPr>
          <w:p>
            <w:pPr>
              <w:spacing w:after="0"/>
              <w:rPr>
                <w:sz w:val="2"/>
                <w:szCs w:val="2"/>
                <w:color w:val="auto"/>
              </w:rPr>
            </w:pPr>
          </w:p>
        </w:tc>
        <w:tc>
          <w:tcPr>
            <w:tcW w:w="10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0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RSUs</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rPr>
              <w:t>0%</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9"/>
              </w:rPr>
              <w:t>30%</w:t>
            </w: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serve as a strong retention tool</w:t>
            </w:r>
          </w:p>
        </w:tc>
        <w:tc>
          <w:tcPr>
            <w:tcW w:w="140" w:type="dxa"/>
            <w:vAlign w:val="bottom"/>
          </w:tcPr>
          <w:p>
            <w:pPr>
              <w:spacing w:after="0"/>
              <w:rPr>
                <w:sz w:val="20"/>
                <w:szCs w:val="20"/>
                <w:color w:val="auto"/>
              </w:rPr>
            </w:pPr>
            <w:r>
              <w:rPr>
                <w:rFonts w:ascii="Arial" w:cs="Arial" w:eastAsia="Arial" w:hAnsi="Arial"/>
                <w:sz w:val="16"/>
                <w:szCs w:val="16"/>
                <w:color w:val="205A85"/>
              </w:rPr>
              <w:t>•</w:t>
            </w: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Generally over three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Dividend equivalents are paid on RSUs at the time actual dividends are</w:t>
            </w:r>
          </w:p>
        </w:tc>
        <w:tc>
          <w:tcPr>
            <w:tcW w:w="140" w:type="dxa"/>
            <w:vAlign w:val="bottom"/>
          </w:tcPr>
          <w:p>
            <w:pPr>
              <w:spacing w:after="0"/>
              <w:rPr>
                <w:sz w:val="18"/>
                <w:szCs w:val="18"/>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years: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000" w:type="dxa"/>
            <w:vAlign w:val="bottom"/>
            <w:tcBorders>
              <w:right w:val="single" w:sz="8" w:color="494949"/>
            </w:tcBorders>
          </w:tcPr>
          <w:p>
            <w:pPr>
              <w:spacing w:after="0"/>
              <w:rPr>
                <w:sz w:val="3"/>
                <w:szCs w:val="3"/>
                <w:color w:val="auto"/>
              </w:rPr>
            </w:pPr>
          </w:p>
        </w:tc>
        <w:tc>
          <w:tcPr>
            <w:tcW w:w="760" w:type="dxa"/>
            <w:vAlign w:val="bottom"/>
            <w:tcBorders>
              <w:right w:val="single" w:sz="8" w:color="494949"/>
            </w:tcBorders>
          </w:tcPr>
          <w:p>
            <w:pPr>
              <w:spacing w:after="0"/>
              <w:rPr>
                <w:sz w:val="3"/>
                <w:szCs w:val="3"/>
                <w:color w:val="auto"/>
              </w:rPr>
            </w:pPr>
          </w:p>
        </w:tc>
        <w:tc>
          <w:tcPr>
            <w:tcW w:w="760" w:type="dxa"/>
            <w:vAlign w:val="bottom"/>
            <w:tcBorders>
              <w:right w:val="single" w:sz="8" w:color="494949"/>
            </w:tcBorders>
          </w:tcPr>
          <w:p>
            <w:pPr>
              <w:spacing w:after="0"/>
              <w:rPr>
                <w:sz w:val="3"/>
                <w:szCs w:val="3"/>
                <w:color w:val="auto"/>
              </w:rPr>
            </w:pPr>
          </w:p>
        </w:tc>
        <w:tc>
          <w:tcPr>
            <w:tcW w:w="5640" w:type="dxa"/>
            <w:vAlign w:val="bottom"/>
            <w:tcBorders>
              <w:right w:val="single" w:sz="8" w:color="494949"/>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Borders>
              <w:right w:val="single" w:sz="8" w:color="494949"/>
            </w:tcBorders>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paid</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50% after two years,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and PSUs do not carry voting rights, and are subject to protection-</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260"/>
              <w:spacing w:after="0"/>
              <w:rPr>
                <w:sz w:val="20"/>
                <w:szCs w:val="20"/>
                <w:color w:val="auto"/>
              </w:rPr>
            </w:pPr>
            <w:r>
              <w:rPr>
                <w:rFonts w:ascii="Arial" w:cs="Arial" w:eastAsia="Arial" w:hAnsi="Arial"/>
                <w:sz w:val="16"/>
                <w:szCs w:val="16"/>
                <w:color w:val="auto"/>
              </w:rPr>
              <w:t>with the remaining</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000" w:type="dxa"/>
            <w:vAlign w:val="bottom"/>
            <w:tcBorders>
              <w:right w:val="single" w:sz="8" w:color="494949"/>
            </w:tcBorders>
          </w:tcPr>
          <w:p>
            <w:pPr>
              <w:spacing w:after="0"/>
              <w:rPr>
                <w:sz w:val="7"/>
                <w:szCs w:val="7"/>
                <w:color w:val="auto"/>
              </w:rPr>
            </w:pPr>
          </w:p>
        </w:tc>
        <w:tc>
          <w:tcPr>
            <w:tcW w:w="760" w:type="dxa"/>
            <w:vAlign w:val="bottom"/>
            <w:tcBorders>
              <w:right w:val="single" w:sz="8" w:color="494949"/>
            </w:tcBorders>
          </w:tcPr>
          <w:p>
            <w:pPr>
              <w:spacing w:after="0"/>
              <w:rPr>
                <w:sz w:val="7"/>
                <w:szCs w:val="7"/>
                <w:color w:val="auto"/>
              </w:rPr>
            </w:pPr>
          </w:p>
        </w:tc>
        <w:tc>
          <w:tcPr>
            <w:tcW w:w="760" w:type="dxa"/>
            <w:vAlign w:val="bottom"/>
            <w:tcBorders>
              <w:right w:val="single" w:sz="8" w:color="494949"/>
            </w:tcBorders>
          </w:tcPr>
          <w:p>
            <w:pPr>
              <w:spacing w:after="0"/>
              <w:rPr>
                <w:sz w:val="7"/>
                <w:szCs w:val="7"/>
                <w:color w:val="auto"/>
              </w:rPr>
            </w:pPr>
          </w:p>
        </w:tc>
        <w:tc>
          <w:tcPr>
            <w:tcW w:w="5640" w:type="dxa"/>
            <w:vAlign w:val="bottom"/>
            <w:tcBorders>
              <w:right w:val="single" w:sz="8" w:color="494949"/>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880" w:type="dxa"/>
            <w:vAlign w:val="bottom"/>
            <w:tcBorders>
              <w:right w:val="single" w:sz="8" w:color="494949"/>
            </w:tcBorders>
            <w:vMerge w:val="restart"/>
          </w:tcPr>
          <w:p>
            <w:pPr>
              <w:ind w:left="260"/>
              <w:spacing w:after="0"/>
              <w:rPr>
                <w:sz w:val="20"/>
                <w:szCs w:val="20"/>
                <w:color w:val="auto"/>
              </w:rPr>
            </w:pPr>
            <w:r>
              <w:rPr>
                <w:rFonts w:ascii="Arial" w:cs="Arial" w:eastAsia="Arial" w:hAnsi="Arial"/>
                <w:sz w:val="16"/>
                <w:szCs w:val="16"/>
                <w:color w:val="auto"/>
              </w:rPr>
              <w:t>50% after three</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Borders>
              <w:right w:val="single" w:sz="8" w:color="494949"/>
            </w:tcBorders>
          </w:tcPr>
          <w:p>
            <w:pPr>
              <w:spacing w:after="0"/>
              <w:rPr>
                <w:sz w:val="9"/>
                <w:szCs w:val="9"/>
                <w:color w:val="auto"/>
              </w:rPr>
            </w:pPr>
          </w:p>
        </w:tc>
        <w:tc>
          <w:tcPr>
            <w:tcW w:w="760" w:type="dxa"/>
            <w:vAlign w:val="bottom"/>
            <w:tcBorders>
              <w:right w:val="single" w:sz="8" w:color="494949"/>
            </w:tcBorders>
          </w:tcPr>
          <w:p>
            <w:pPr>
              <w:spacing w:after="0"/>
              <w:rPr>
                <w:sz w:val="9"/>
                <w:szCs w:val="9"/>
                <w:color w:val="auto"/>
              </w:rPr>
            </w:pPr>
          </w:p>
        </w:tc>
        <w:tc>
          <w:tcPr>
            <w:tcW w:w="760" w:type="dxa"/>
            <w:vAlign w:val="bottom"/>
            <w:tcBorders>
              <w:right w:val="single" w:sz="8" w:color="494949"/>
            </w:tcBorders>
          </w:tcPr>
          <w:p>
            <w:pPr>
              <w:spacing w:after="0"/>
              <w:rPr>
                <w:sz w:val="9"/>
                <w:szCs w:val="9"/>
                <w:color w:val="auto"/>
              </w:rPr>
            </w:pPr>
          </w:p>
        </w:tc>
        <w:tc>
          <w:tcPr>
            <w:tcW w:w="564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based vesting and the OC stock ownership/retention policy</w:t>
            </w:r>
          </w:p>
        </w:tc>
        <w:tc>
          <w:tcPr>
            <w:tcW w:w="140" w:type="dxa"/>
            <w:vAlign w:val="bottom"/>
          </w:tcPr>
          <w:p>
            <w:pPr>
              <w:spacing w:after="0"/>
              <w:rPr>
                <w:sz w:val="9"/>
                <w:szCs w:val="9"/>
                <w:color w:val="auto"/>
              </w:rPr>
            </w:pPr>
          </w:p>
        </w:tc>
        <w:tc>
          <w:tcPr>
            <w:tcW w:w="1880" w:type="dxa"/>
            <w:vAlign w:val="bottom"/>
            <w:tcBorders>
              <w:right w:val="single" w:sz="8" w:color="494949"/>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Borders>
              <w:right w:val="single" w:sz="8" w:color="494949"/>
            </w:tcBorders>
          </w:tcPr>
          <w:p>
            <w:pPr>
              <w:spacing w:after="0"/>
              <w:rPr>
                <w:sz w:val="9"/>
                <w:szCs w:val="9"/>
                <w:color w:val="auto"/>
              </w:rPr>
            </w:pPr>
          </w:p>
        </w:tc>
        <w:tc>
          <w:tcPr>
            <w:tcW w:w="760" w:type="dxa"/>
            <w:vAlign w:val="bottom"/>
            <w:tcBorders>
              <w:right w:val="single" w:sz="8" w:color="494949"/>
            </w:tcBorders>
          </w:tcPr>
          <w:p>
            <w:pPr>
              <w:spacing w:after="0"/>
              <w:rPr>
                <w:sz w:val="9"/>
                <w:szCs w:val="9"/>
                <w:color w:val="auto"/>
              </w:rPr>
            </w:pPr>
          </w:p>
        </w:tc>
        <w:tc>
          <w:tcPr>
            <w:tcW w:w="760" w:type="dxa"/>
            <w:vAlign w:val="bottom"/>
            <w:tcBorders>
              <w:right w:val="single" w:sz="8" w:color="494949"/>
            </w:tcBorders>
          </w:tcPr>
          <w:p>
            <w:pPr>
              <w:spacing w:after="0"/>
              <w:rPr>
                <w:sz w:val="9"/>
                <w:szCs w:val="9"/>
                <w:color w:val="auto"/>
              </w:rPr>
            </w:pPr>
          </w:p>
        </w:tc>
        <w:tc>
          <w:tcPr>
            <w:tcW w:w="5640" w:type="dxa"/>
            <w:vAlign w:val="bottom"/>
            <w:tcBorders>
              <w:right w:val="single" w:sz="8" w:color="494949"/>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880" w:type="dxa"/>
            <w:vAlign w:val="bottom"/>
            <w:tcBorders>
              <w:right w:val="single" w:sz="8" w:color="494949"/>
            </w:tcBorders>
            <w:vMerge w:val="restart"/>
          </w:tcPr>
          <w:p>
            <w:pPr>
              <w:ind w:left="260"/>
              <w:spacing w:after="0"/>
              <w:rPr>
                <w:sz w:val="20"/>
                <w:szCs w:val="20"/>
                <w:color w:val="auto"/>
              </w:rPr>
            </w:pPr>
            <w:r>
              <w:rPr>
                <w:rFonts w:ascii="Arial" w:cs="Arial" w:eastAsia="Arial" w:hAnsi="Arial"/>
                <w:sz w:val="16"/>
                <w:szCs w:val="16"/>
                <w:color w:val="auto"/>
              </w:rPr>
              <w:t>years</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Borders>
              <w:right w:val="single" w:sz="8" w:color="494949"/>
            </w:tcBorders>
          </w:tcPr>
          <w:p>
            <w:pPr>
              <w:spacing w:after="0"/>
              <w:rPr>
                <w:sz w:val="9"/>
                <w:szCs w:val="9"/>
                <w:color w:val="auto"/>
              </w:rPr>
            </w:pPr>
          </w:p>
        </w:tc>
        <w:tc>
          <w:tcPr>
            <w:tcW w:w="760" w:type="dxa"/>
            <w:vAlign w:val="bottom"/>
            <w:tcBorders>
              <w:right w:val="single" w:sz="8" w:color="494949"/>
            </w:tcBorders>
          </w:tcPr>
          <w:p>
            <w:pPr>
              <w:spacing w:after="0"/>
              <w:rPr>
                <w:sz w:val="9"/>
                <w:szCs w:val="9"/>
                <w:color w:val="auto"/>
              </w:rPr>
            </w:pPr>
          </w:p>
        </w:tc>
        <w:tc>
          <w:tcPr>
            <w:tcW w:w="760" w:type="dxa"/>
            <w:vAlign w:val="bottom"/>
            <w:tcBorders>
              <w:right w:val="single" w:sz="8" w:color="494949"/>
            </w:tcBorders>
          </w:tcPr>
          <w:p>
            <w:pPr>
              <w:spacing w:after="0"/>
              <w:rPr>
                <w:sz w:val="9"/>
                <w:szCs w:val="9"/>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and PSUs provide a competitive mix of time-based and</w:t>
            </w:r>
          </w:p>
        </w:tc>
        <w:tc>
          <w:tcPr>
            <w:tcW w:w="140" w:type="dxa"/>
            <w:vAlign w:val="bottom"/>
          </w:tcPr>
          <w:p>
            <w:pPr>
              <w:spacing w:after="0"/>
              <w:rPr>
                <w:sz w:val="9"/>
                <w:szCs w:val="9"/>
                <w:color w:val="auto"/>
              </w:rPr>
            </w:pPr>
          </w:p>
        </w:tc>
        <w:tc>
          <w:tcPr>
            <w:tcW w:w="1880" w:type="dxa"/>
            <w:vAlign w:val="bottom"/>
            <w:tcBorders>
              <w:right w:val="single" w:sz="8" w:color="494949"/>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000" w:type="dxa"/>
            <w:vAlign w:val="bottom"/>
            <w:tcBorders>
              <w:bottom w:val="single" w:sz="8" w:color="494949"/>
              <w:right w:val="single" w:sz="8" w:color="494949"/>
            </w:tcBorders>
          </w:tcPr>
          <w:p>
            <w:pPr>
              <w:spacing w:after="0"/>
              <w:rPr>
                <w:sz w:val="3"/>
                <w:szCs w:val="3"/>
                <w:color w:val="auto"/>
              </w:rPr>
            </w:pPr>
          </w:p>
        </w:tc>
        <w:tc>
          <w:tcPr>
            <w:tcW w:w="760" w:type="dxa"/>
            <w:vAlign w:val="bottom"/>
            <w:tcBorders>
              <w:bottom w:val="single" w:sz="8" w:color="494949"/>
              <w:right w:val="single" w:sz="8" w:color="494949"/>
            </w:tcBorders>
          </w:tcPr>
          <w:p>
            <w:pPr>
              <w:spacing w:after="0"/>
              <w:rPr>
                <w:sz w:val="3"/>
                <w:szCs w:val="3"/>
                <w:color w:val="auto"/>
              </w:rPr>
            </w:pPr>
          </w:p>
        </w:tc>
        <w:tc>
          <w:tcPr>
            <w:tcW w:w="760" w:type="dxa"/>
            <w:vAlign w:val="bottom"/>
            <w:tcBorders>
              <w:bottom w:val="single" w:sz="8" w:color="494949"/>
              <w:right w:val="single" w:sz="8" w:color="494949"/>
            </w:tcBorders>
          </w:tcPr>
          <w:p>
            <w:pPr>
              <w:spacing w:after="0"/>
              <w:rPr>
                <w:sz w:val="3"/>
                <w:szCs w:val="3"/>
                <w:color w:val="auto"/>
              </w:rPr>
            </w:pPr>
          </w:p>
        </w:tc>
        <w:tc>
          <w:tcPr>
            <w:tcW w:w="5640" w:type="dxa"/>
            <w:vAlign w:val="bottom"/>
            <w:tcBorders>
              <w:right w:val="single" w:sz="8" w:color="494949"/>
            </w:tcBorders>
            <w:vMerge w:val="continue"/>
          </w:tcPr>
          <w:p>
            <w:pPr>
              <w:spacing w:after="0"/>
              <w:rPr>
                <w:sz w:val="3"/>
                <w:szCs w:val="3"/>
                <w:color w:val="auto"/>
              </w:rPr>
            </w:pPr>
          </w:p>
        </w:tc>
        <w:tc>
          <w:tcPr>
            <w:tcW w:w="140" w:type="dxa"/>
            <w:vAlign w:val="bottom"/>
            <w:tcBorders>
              <w:bottom w:val="single" w:sz="8" w:color="494949"/>
            </w:tcBorders>
          </w:tcPr>
          <w:p>
            <w:pPr>
              <w:spacing w:after="0"/>
              <w:rPr>
                <w:sz w:val="3"/>
                <w:szCs w:val="3"/>
                <w:color w:val="auto"/>
              </w:rPr>
            </w:pPr>
          </w:p>
        </w:tc>
        <w:tc>
          <w:tcPr>
            <w:tcW w:w="1880" w:type="dxa"/>
            <w:vAlign w:val="bottom"/>
            <w:tcBorders>
              <w:bottom w:val="single" w:sz="8" w:color="494949"/>
              <w:right w:val="single" w:sz="8" w:color="494949"/>
            </w:tcBorders>
          </w:tcPr>
          <w:p>
            <w:pPr>
              <w:spacing w:after="0"/>
              <w:rPr>
                <w:sz w:val="3"/>
                <w:szCs w:val="3"/>
                <w:color w:val="auto"/>
              </w:rPr>
            </w:pPr>
          </w:p>
        </w:tc>
        <w:tc>
          <w:tcPr>
            <w:tcW w:w="1060" w:type="dxa"/>
            <w:vAlign w:val="bottom"/>
            <w:tcBorders>
              <w:bottom w:val="single" w:sz="8" w:color="494949"/>
            </w:tcBorders>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1000" w:type="dxa"/>
            <w:vAlign w:val="bottom"/>
            <w:tcBorders>
              <w:right w:val="single" w:sz="8" w:color="494949"/>
            </w:tcBorders>
            <w:vMerge w:val="restart"/>
          </w:tcPr>
          <w:p>
            <w:pPr>
              <w:ind w:left="20"/>
              <w:spacing w:after="0"/>
              <w:rPr>
                <w:sz w:val="20"/>
                <w:szCs w:val="20"/>
                <w:color w:val="auto"/>
              </w:rPr>
            </w:pPr>
            <w:r>
              <w:rPr>
                <w:rFonts w:ascii="Arial" w:cs="Arial" w:eastAsia="Arial" w:hAnsi="Arial"/>
                <w:sz w:val="16"/>
                <w:szCs w:val="16"/>
                <w:b w:val="1"/>
                <w:bCs w:val="1"/>
                <w:color w:val="auto"/>
              </w:rPr>
              <w:t>PSUs</w:t>
            </w:r>
          </w:p>
        </w:tc>
        <w:tc>
          <w:tcPr>
            <w:tcW w:w="760" w:type="dxa"/>
            <w:vAlign w:val="bottom"/>
            <w:tcBorders>
              <w:right w:val="single" w:sz="8" w:color="494949"/>
            </w:tcBorders>
            <w:vMerge w:val="restart"/>
          </w:tcPr>
          <w:p>
            <w:pPr>
              <w:jc w:val="center"/>
              <w:spacing w:after="0"/>
              <w:rPr>
                <w:sz w:val="20"/>
                <w:szCs w:val="20"/>
                <w:color w:val="auto"/>
              </w:rPr>
            </w:pPr>
            <w:r>
              <w:rPr>
                <w:rFonts w:ascii="Arial" w:cs="Arial" w:eastAsia="Arial" w:hAnsi="Arial"/>
                <w:sz w:val="16"/>
                <w:szCs w:val="16"/>
                <w:color w:val="auto"/>
              </w:rPr>
              <w:t>~85%</w:t>
            </w:r>
          </w:p>
        </w:tc>
        <w:tc>
          <w:tcPr>
            <w:tcW w:w="760" w:type="dxa"/>
            <w:vAlign w:val="bottom"/>
            <w:tcBorders>
              <w:right w:val="single" w:sz="8" w:color="494949"/>
            </w:tcBorders>
            <w:vMerge w:val="restart"/>
          </w:tcPr>
          <w:p>
            <w:pPr>
              <w:jc w:val="center"/>
              <w:spacing w:after="0"/>
              <w:rPr>
                <w:sz w:val="20"/>
                <w:szCs w:val="20"/>
                <w:color w:val="auto"/>
              </w:rPr>
            </w:pPr>
            <w:r>
              <w:rPr>
                <w:rFonts w:ascii="Arial" w:cs="Arial" w:eastAsia="Arial" w:hAnsi="Arial"/>
                <w:sz w:val="16"/>
                <w:szCs w:val="16"/>
                <w:color w:val="auto"/>
                <w:w w:val="99"/>
              </w:rPr>
              <w:t>30%</w:t>
            </w:r>
          </w:p>
        </w:tc>
        <w:tc>
          <w:tcPr>
            <w:tcW w:w="5640" w:type="dxa"/>
            <w:vAlign w:val="bottom"/>
            <w:tcBorders>
              <w:right w:val="single" w:sz="8" w:color="494949"/>
            </w:tcBorders>
            <w:vMerge w:val="continue"/>
          </w:tcPr>
          <w:p>
            <w:pPr>
              <w:spacing w:after="0"/>
              <w:rPr>
                <w:sz w:val="5"/>
                <w:szCs w:val="5"/>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074A75"/>
              </w:rPr>
              <w:t>•</w:t>
            </w:r>
          </w:p>
        </w:tc>
        <w:tc>
          <w:tcPr>
            <w:tcW w:w="1880" w:type="dxa"/>
            <w:vAlign w:val="bottom"/>
            <w:tcBorders>
              <w:right w:val="single" w:sz="8" w:color="494949"/>
            </w:tcBorders>
            <w:vMerge w:val="restart"/>
          </w:tcPr>
          <w:p>
            <w:pPr>
              <w:ind w:left="60"/>
              <w:spacing w:after="0"/>
              <w:rPr>
                <w:sz w:val="20"/>
                <w:szCs w:val="20"/>
                <w:color w:val="auto"/>
              </w:rPr>
            </w:pPr>
            <w:r>
              <w:rPr>
                <w:rFonts w:ascii="Arial" w:cs="Arial" w:eastAsia="Arial" w:hAnsi="Arial"/>
                <w:sz w:val="16"/>
                <w:szCs w:val="16"/>
                <w:color w:val="auto"/>
              </w:rPr>
              <w:t>Combined period of</w:t>
            </w: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0" w:type="dxa"/>
            <w:vAlign w:val="bottom"/>
            <w:tcBorders>
              <w:right w:val="single" w:sz="8" w:color="494949"/>
            </w:tcBorders>
            <w:vMerge w:val="continue"/>
          </w:tcPr>
          <w:p>
            <w:pPr>
              <w:spacing w:after="0"/>
              <w:rPr>
                <w:sz w:val="14"/>
                <w:szCs w:val="14"/>
                <w:color w:val="auto"/>
              </w:rPr>
            </w:pPr>
          </w:p>
        </w:tc>
        <w:tc>
          <w:tcPr>
            <w:tcW w:w="760" w:type="dxa"/>
            <w:vAlign w:val="bottom"/>
            <w:tcBorders>
              <w:right w:val="single" w:sz="8" w:color="494949"/>
            </w:tcBorders>
            <w:vMerge w:val="continue"/>
          </w:tcPr>
          <w:p>
            <w:pPr>
              <w:spacing w:after="0"/>
              <w:rPr>
                <w:sz w:val="14"/>
                <w:szCs w:val="14"/>
                <w:color w:val="auto"/>
              </w:rPr>
            </w:pPr>
          </w:p>
        </w:tc>
        <w:tc>
          <w:tcPr>
            <w:tcW w:w="760" w:type="dxa"/>
            <w:vAlign w:val="bottom"/>
            <w:tcBorders>
              <w:right w:val="single" w:sz="8" w:color="494949"/>
            </w:tcBorders>
            <w:vMerge w:val="continue"/>
          </w:tcPr>
          <w:p>
            <w:pPr>
              <w:spacing w:after="0"/>
              <w:rPr>
                <w:sz w:val="14"/>
                <w:szCs w:val="14"/>
                <w:color w:val="auto"/>
              </w:rPr>
            </w:pPr>
          </w:p>
        </w:tc>
        <w:tc>
          <w:tcPr>
            <w:tcW w:w="5640" w:type="dxa"/>
            <w:vAlign w:val="bottom"/>
            <w:tcBorders>
              <w:right w:val="single" w:sz="8" w:color="494949"/>
            </w:tcBorders>
          </w:tcPr>
          <w:p>
            <w:pPr>
              <w:ind w:left="280"/>
              <w:spacing w:after="0" w:line="163" w:lineRule="exact"/>
              <w:rPr>
                <w:sz w:val="20"/>
                <w:szCs w:val="20"/>
                <w:color w:val="auto"/>
              </w:rPr>
            </w:pPr>
            <w:r>
              <w:rPr>
                <w:rFonts w:ascii="Arial" w:cs="Arial" w:eastAsia="Arial" w:hAnsi="Arial"/>
                <w:sz w:val="16"/>
                <w:szCs w:val="16"/>
                <w:color w:val="auto"/>
              </w:rPr>
              <w:t>performance-conditioned equity awards that are aligned with long-term</w:t>
            </w:r>
          </w:p>
        </w:tc>
        <w:tc>
          <w:tcPr>
            <w:tcW w:w="140" w:type="dxa"/>
            <w:vAlign w:val="bottom"/>
            <w:vMerge w:val="continue"/>
          </w:tcPr>
          <w:p>
            <w:pPr>
              <w:spacing w:after="0"/>
              <w:rPr>
                <w:sz w:val="14"/>
                <w:szCs w:val="14"/>
                <w:color w:val="auto"/>
              </w:rPr>
            </w:pPr>
          </w:p>
        </w:tc>
        <w:tc>
          <w:tcPr>
            <w:tcW w:w="1880" w:type="dxa"/>
            <w:vAlign w:val="bottom"/>
            <w:tcBorders>
              <w:right w:val="single" w:sz="8" w:color="494949"/>
            </w:tcBorders>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shareholder interests as the value of payout fluctuates with stock price</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approximately five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performance</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years prior to</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PSUs reinforce accountability by linking objective targets to a</w:t>
            </w:r>
          </w:p>
        </w:tc>
        <w:tc>
          <w:tcPr>
            <w:tcW w:w="140" w:type="dxa"/>
            <w:vAlign w:val="bottom"/>
          </w:tcPr>
          <w:p>
            <w:pPr>
              <w:spacing w:after="0"/>
              <w:rPr>
                <w:sz w:val="18"/>
                <w:szCs w:val="18"/>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availability:</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000" w:type="dxa"/>
            <w:vAlign w:val="bottom"/>
            <w:tcBorders>
              <w:right w:val="single" w:sz="8" w:color="494949"/>
            </w:tcBorders>
          </w:tcPr>
          <w:p>
            <w:pPr>
              <w:spacing w:after="0"/>
              <w:rPr>
                <w:sz w:val="5"/>
                <w:szCs w:val="5"/>
                <w:color w:val="auto"/>
              </w:rPr>
            </w:pPr>
          </w:p>
        </w:tc>
        <w:tc>
          <w:tcPr>
            <w:tcW w:w="760" w:type="dxa"/>
            <w:vAlign w:val="bottom"/>
            <w:tcBorders>
              <w:right w:val="single" w:sz="8" w:color="494949"/>
            </w:tcBorders>
          </w:tcPr>
          <w:p>
            <w:pPr>
              <w:spacing w:after="0"/>
              <w:rPr>
                <w:sz w:val="5"/>
                <w:szCs w:val="5"/>
                <w:color w:val="auto"/>
              </w:rPr>
            </w:pPr>
          </w:p>
        </w:tc>
        <w:tc>
          <w:tcPr>
            <w:tcW w:w="760" w:type="dxa"/>
            <w:vAlign w:val="bottom"/>
            <w:tcBorders>
              <w:right w:val="single" w:sz="8" w:color="494949"/>
            </w:tcBorders>
          </w:tcPr>
          <w:p>
            <w:pPr>
              <w:spacing w:after="0"/>
              <w:rPr>
                <w:sz w:val="5"/>
                <w:szCs w:val="5"/>
                <w:color w:val="auto"/>
              </w:rPr>
            </w:pPr>
          </w:p>
        </w:tc>
        <w:tc>
          <w:tcPr>
            <w:tcW w:w="5640" w:type="dxa"/>
            <w:vAlign w:val="bottom"/>
            <w:tcBorders>
              <w:right w:val="single" w:sz="8" w:color="494949"/>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880" w:type="dxa"/>
            <w:vAlign w:val="bottom"/>
            <w:tcBorders>
              <w:right w:val="single" w:sz="8" w:color="494949"/>
            </w:tcBorders>
            <w:vMerge w:val="restart"/>
          </w:tcPr>
          <w:p>
            <w:pPr>
              <w:ind w:left="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Award cliff-vests at</w:t>
            </w: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000" w:type="dxa"/>
            <w:vAlign w:val="bottom"/>
            <w:tcBorders>
              <w:right w:val="single" w:sz="8" w:color="494949"/>
            </w:tcBorders>
          </w:tcPr>
          <w:p>
            <w:pPr>
              <w:spacing w:after="0"/>
              <w:rPr>
                <w:sz w:val="14"/>
                <w:szCs w:val="14"/>
                <w:color w:val="auto"/>
              </w:rPr>
            </w:pPr>
          </w:p>
        </w:tc>
        <w:tc>
          <w:tcPr>
            <w:tcW w:w="760" w:type="dxa"/>
            <w:vAlign w:val="bottom"/>
            <w:tcBorders>
              <w:right w:val="single" w:sz="8" w:color="494949"/>
            </w:tcBorders>
          </w:tcPr>
          <w:p>
            <w:pPr>
              <w:spacing w:after="0"/>
              <w:rPr>
                <w:sz w:val="14"/>
                <w:szCs w:val="14"/>
                <w:color w:val="auto"/>
              </w:rPr>
            </w:pPr>
          </w:p>
        </w:tc>
        <w:tc>
          <w:tcPr>
            <w:tcW w:w="760" w:type="dxa"/>
            <w:vAlign w:val="bottom"/>
            <w:tcBorders>
              <w:right w:val="single" w:sz="8" w:color="494949"/>
            </w:tcBorders>
          </w:tcPr>
          <w:p>
            <w:pPr>
              <w:spacing w:after="0"/>
              <w:rPr>
                <w:sz w:val="14"/>
                <w:szCs w:val="14"/>
                <w:color w:val="auto"/>
              </w:rPr>
            </w:pPr>
          </w:p>
        </w:tc>
        <w:tc>
          <w:tcPr>
            <w:tcW w:w="5640" w:type="dxa"/>
            <w:vAlign w:val="bottom"/>
            <w:tcBorders>
              <w:right w:val="single" w:sz="8" w:color="494949"/>
            </w:tcBorders>
          </w:tcPr>
          <w:p>
            <w:pPr>
              <w:ind w:left="280"/>
              <w:spacing w:after="0" w:line="163" w:lineRule="exact"/>
              <w:rPr>
                <w:sz w:val="20"/>
                <w:szCs w:val="20"/>
                <w:color w:val="auto"/>
              </w:rPr>
            </w:pPr>
            <w:r>
              <w:rPr>
                <w:rFonts w:ascii="Arial" w:cs="Arial" w:eastAsia="Arial" w:hAnsi="Arial"/>
                <w:sz w:val="16"/>
                <w:szCs w:val="16"/>
                <w:color w:val="auto"/>
              </w:rPr>
              <w:t>formulaically determined payout based on absolute and relative ROTCE</w:t>
            </w:r>
          </w:p>
        </w:tc>
        <w:tc>
          <w:tcPr>
            <w:tcW w:w="140" w:type="dxa"/>
            <w:vAlign w:val="bottom"/>
          </w:tcPr>
          <w:p>
            <w:pPr>
              <w:spacing w:after="0"/>
              <w:rPr>
                <w:sz w:val="14"/>
                <w:szCs w:val="14"/>
                <w:color w:val="auto"/>
              </w:rPr>
            </w:pPr>
          </w:p>
        </w:tc>
        <w:tc>
          <w:tcPr>
            <w:tcW w:w="1880" w:type="dxa"/>
            <w:vAlign w:val="bottom"/>
            <w:tcBorders>
              <w:right w:val="single" w:sz="8" w:color="494949"/>
            </w:tcBorders>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0" w:type="dxa"/>
            <w:vAlign w:val="bottom"/>
            <w:tcBorders>
              <w:right w:val="single" w:sz="8" w:color="494949"/>
            </w:tcBorders>
          </w:tcPr>
          <w:p>
            <w:pPr>
              <w:spacing w:after="0"/>
              <w:rPr>
                <w:sz w:val="15"/>
                <w:szCs w:val="15"/>
                <w:color w:val="auto"/>
              </w:rPr>
            </w:pPr>
          </w:p>
        </w:tc>
        <w:tc>
          <w:tcPr>
            <w:tcW w:w="760" w:type="dxa"/>
            <w:vAlign w:val="bottom"/>
            <w:tcBorders>
              <w:right w:val="single" w:sz="8" w:color="494949"/>
            </w:tcBorders>
          </w:tcPr>
          <w:p>
            <w:pPr>
              <w:spacing w:after="0"/>
              <w:rPr>
                <w:sz w:val="15"/>
                <w:szCs w:val="15"/>
                <w:color w:val="auto"/>
              </w:rPr>
            </w:pPr>
          </w:p>
        </w:tc>
        <w:tc>
          <w:tcPr>
            <w:tcW w:w="760" w:type="dxa"/>
            <w:vAlign w:val="bottom"/>
            <w:tcBorders>
              <w:right w:val="single" w:sz="8" w:color="494949"/>
            </w:tcBorders>
          </w:tcPr>
          <w:p>
            <w:pPr>
              <w:spacing w:after="0"/>
              <w:rPr>
                <w:sz w:val="15"/>
                <w:szCs w:val="15"/>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 performance goals are the same for the entire award term</w:t>
            </w:r>
          </w:p>
        </w:tc>
        <w:tc>
          <w:tcPr>
            <w:tcW w:w="140" w:type="dxa"/>
            <w:vAlign w:val="bottom"/>
          </w:tcPr>
          <w:p>
            <w:pPr>
              <w:spacing w:after="0"/>
              <w:rPr>
                <w:sz w:val="15"/>
                <w:szCs w:val="15"/>
                <w:color w:val="auto"/>
              </w:rPr>
            </w:pPr>
          </w:p>
        </w:tc>
        <w:tc>
          <w:tcPr>
            <w:tcW w:w="1880" w:type="dxa"/>
            <w:vAlign w:val="bottom"/>
            <w:tcBorders>
              <w:right w:val="single" w:sz="8" w:color="494949"/>
            </w:tcBorders>
          </w:tcPr>
          <w:p>
            <w:pPr>
              <w:ind w:left="260"/>
              <w:spacing w:after="0" w:line="175" w:lineRule="exact"/>
              <w:rPr>
                <w:sz w:val="20"/>
                <w:szCs w:val="20"/>
                <w:color w:val="auto"/>
              </w:rPr>
            </w:pPr>
            <w:r>
              <w:rPr>
                <w:rFonts w:ascii="Arial" w:cs="Arial" w:eastAsia="Arial" w:hAnsi="Arial"/>
                <w:sz w:val="16"/>
                <w:szCs w:val="16"/>
                <w:color w:val="auto"/>
              </w:rPr>
              <w:t>the end of the three-</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000" w:type="dxa"/>
            <w:vAlign w:val="bottom"/>
            <w:tcBorders>
              <w:right w:val="single" w:sz="8" w:color="494949"/>
            </w:tcBorders>
          </w:tcPr>
          <w:p>
            <w:pPr>
              <w:spacing w:after="0"/>
              <w:rPr>
                <w:sz w:val="12"/>
                <w:szCs w:val="12"/>
                <w:color w:val="auto"/>
              </w:rPr>
            </w:pPr>
          </w:p>
        </w:tc>
        <w:tc>
          <w:tcPr>
            <w:tcW w:w="760" w:type="dxa"/>
            <w:vAlign w:val="bottom"/>
            <w:tcBorders>
              <w:right w:val="single" w:sz="8" w:color="494949"/>
            </w:tcBorders>
          </w:tcPr>
          <w:p>
            <w:pPr>
              <w:spacing w:after="0"/>
              <w:rPr>
                <w:sz w:val="12"/>
                <w:szCs w:val="12"/>
                <w:color w:val="auto"/>
              </w:rPr>
            </w:pPr>
          </w:p>
        </w:tc>
        <w:tc>
          <w:tcPr>
            <w:tcW w:w="760" w:type="dxa"/>
            <w:vAlign w:val="bottom"/>
            <w:tcBorders>
              <w:right w:val="single" w:sz="8" w:color="494949"/>
            </w:tcBorders>
          </w:tcPr>
          <w:p>
            <w:pPr>
              <w:spacing w:after="0"/>
              <w:rPr>
                <w:sz w:val="12"/>
                <w:szCs w:val="12"/>
                <w:color w:val="auto"/>
              </w:rPr>
            </w:pPr>
          </w:p>
        </w:tc>
        <w:tc>
          <w:tcPr>
            <w:tcW w:w="5640" w:type="dxa"/>
            <w:vAlign w:val="bottom"/>
            <w:tcBorders>
              <w:right w:val="single" w:sz="8" w:color="494949"/>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Borders>
              <w:right w:val="single" w:sz="8" w:color="494949"/>
            </w:tcBorders>
            <w:vMerge w:val="restart"/>
          </w:tcPr>
          <w:p>
            <w:pPr>
              <w:ind w:left="260"/>
              <w:spacing w:after="0"/>
              <w:rPr>
                <w:sz w:val="20"/>
                <w:szCs w:val="20"/>
                <w:color w:val="auto"/>
              </w:rPr>
            </w:pPr>
            <w:r>
              <w:rPr>
                <w:rFonts w:ascii="Arial" w:cs="Arial" w:eastAsia="Arial" w:hAnsi="Arial"/>
                <w:sz w:val="16"/>
                <w:szCs w:val="16"/>
                <w:color w:val="auto"/>
              </w:rPr>
              <w:t>year performance</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000" w:type="dxa"/>
            <w:vAlign w:val="bottom"/>
            <w:tcBorders>
              <w:right w:val="single" w:sz="8" w:color="494949"/>
            </w:tcBorders>
          </w:tcPr>
          <w:p>
            <w:pPr>
              <w:spacing w:after="0"/>
              <w:rPr>
                <w:sz w:val="3"/>
                <w:szCs w:val="3"/>
                <w:color w:val="auto"/>
              </w:rPr>
            </w:pPr>
          </w:p>
        </w:tc>
        <w:tc>
          <w:tcPr>
            <w:tcW w:w="760" w:type="dxa"/>
            <w:vAlign w:val="bottom"/>
            <w:tcBorders>
              <w:right w:val="single" w:sz="8" w:color="494949"/>
            </w:tcBorders>
          </w:tcPr>
          <w:p>
            <w:pPr>
              <w:spacing w:after="0"/>
              <w:rPr>
                <w:sz w:val="3"/>
                <w:szCs w:val="3"/>
                <w:color w:val="auto"/>
              </w:rPr>
            </w:pPr>
          </w:p>
        </w:tc>
        <w:tc>
          <w:tcPr>
            <w:tcW w:w="760" w:type="dxa"/>
            <w:vAlign w:val="bottom"/>
            <w:tcBorders>
              <w:right w:val="single" w:sz="8" w:color="494949"/>
            </w:tcBorders>
          </w:tcPr>
          <w:p>
            <w:pPr>
              <w:spacing w:after="0"/>
              <w:rPr>
                <w:sz w:val="3"/>
                <w:szCs w:val="3"/>
                <w:color w:val="auto"/>
              </w:rPr>
            </w:pPr>
          </w:p>
        </w:tc>
        <w:tc>
          <w:tcPr>
            <w:tcW w:w="5640" w:type="dxa"/>
            <w:vAlign w:val="bottom"/>
            <w:tcBorders>
              <w:right w:val="single" w:sz="8" w:color="494949"/>
            </w:tcBorders>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Borders>
              <w:right w:val="single" w:sz="8" w:color="494949"/>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00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 payout ranges from 0–150% and is settled in shares</w:t>
            </w:r>
          </w:p>
        </w:tc>
        <w:tc>
          <w:tcPr>
            <w:tcW w:w="140" w:type="dxa"/>
            <w:vAlign w:val="bottom"/>
          </w:tcPr>
          <w:p>
            <w:pPr>
              <w:spacing w:after="0"/>
              <w:rPr>
                <w:sz w:val="18"/>
                <w:szCs w:val="18"/>
                <w:color w:val="auto"/>
              </w:rPr>
            </w:pPr>
          </w:p>
        </w:tc>
        <w:tc>
          <w:tcPr>
            <w:tcW w:w="1880" w:type="dxa"/>
            <w:vAlign w:val="bottom"/>
            <w:tcBorders>
              <w:right w:val="single" w:sz="8" w:color="494949"/>
            </w:tcBorders>
          </w:tcPr>
          <w:p>
            <w:pPr>
              <w:ind w:left="260"/>
              <w:spacing w:after="0"/>
              <w:rPr>
                <w:sz w:val="20"/>
                <w:szCs w:val="20"/>
                <w:color w:val="auto"/>
              </w:rPr>
            </w:pPr>
            <w:r>
              <w:rPr>
                <w:rFonts w:ascii="Arial" w:cs="Arial" w:eastAsia="Arial" w:hAnsi="Arial"/>
                <w:sz w:val="16"/>
                <w:szCs w:val="16"/>
                <w:color w:val="auto"/>
              </w:rPr>
              <w:t>period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00" w:type="dxa"/>
            <w:vAlign w:val="bottom"/>
            <w:tcBorders>
              <w:right w:val="single" w:sz="8" w:color="494949"/>
            </w:tcBorders>
          </w:tcPr>
          <w:p>
            <w:pPr>
              <w:spacing w:after="0"/>
              <w:rPr>
                <w:sz w:val="20"/>
                <w:szCs w:val="20"/>
                <w:color w:val="auto"/>
              </w:rPr>
            </w:pPr>
          </w:p>
        </w:tc>
        <w:tc>
          <w:tcPr>
            <w:tcW w:w="760" w:type="dxa"/>
            <w:vAlign w:val="bottom"/>
            <w:tcBorders>
              <w:right w:val="single" w:sz="8" w:color="494949"/>
            </w:tcBorders>
          </w:tcPr>
          <w:p>
            <w:pPr>
              <w:spacing w:after="0"/>
              <w:rPr>
                <w:sz w:val="20"/>
                <w:szCs w:val="20"/>
                <w:color w:val="auto"/>
              </w:rPr>
            </w:pPr>
          </w:p>
        </w:tc>
        <w:tc>
          <w:tcPr>
            <w:tcW w:w="760" w:type="dxa"/>
            <w:vAlign w:val="bottom"/>
            <w:tcBorders>
              <w:right w:val="single" w:sz="8" w:color="494949"/>
            </w:tcBorders>
          </w:tcPr>
          <w:p>
            <w:pPr>
              <w:spacing w:after="0"/>
              <w:rPr>
                <w:sz w:val="20"/>
                <w:szCs w:val="20"/>
                <w:color w:val="auto"/>
              </w:rPr>
            </w:pP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Dividend equivalents accrue on PSUs and are subject to the same</w:t>
            </w:r>
          </w:p>
        </w:tc>
        <w:tc>
          <w:tcPr>
            <w:tcW w:w="140" w:type="dxa"/>
            <w:vAlign w:val="bottom"/>
          </w:tcPr>
          <w:p>
            <w:pPr>
              <w:spacing w:after="0"/>
              <w:rPr>
                <w:sz w:val="20"/>
                <w:szCs w:val="20"/>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Subject to a two-</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0" w:type="dxa"/>
            <w:vAlign w:val="bottom"/>
            <w:tcBorders>
              <w:right w:val="single" w:sz="8" w:color="494949"/>
            </w:tcBorders>
          </w:tcPr>
          <w:p>
            <w:pPr>
              <w:spacing w:after="0"/>
              <w:rPr>
                <w:sz w:val="17"/>
                <w:szCs w:val="17"/>
                <w:color w:val="auto"/>
              </w:rPr>
            </w:pPr>
          </w:p>
        </w:tc>
        <w:tc>
          <w:tcPr>
            <w:tcW w:w="760" w:type="dxa"/>
            <w:vAlign w:val="bottom"/>
            <w:tcBorders>
              <w:right w:val="single" w:sz="8" w:color="494949"/>
            </w:tcBorders>
          </w:tcPr>
          <w:p>
            <w:pPr>
              <w:spacing w:after="0"/>
              <w:rPr>
                <w:sz w:val="17"/>
                <w:szCs w:val="17"/>
                <w:color w:val="auto"/>
              </w:rPr>
            </w:pPr>
          </w:p>
        </w:tc>
        <w:tc>
          <w:tcPr>
            <w:tcW w:w="760" w:type="dxa"/>
            <w:vAlign w:val="bottom"/>
            <w:tcBorders>
              <w:right w:val="single" w:sz="8" w:color="494949"/>
            </w:tcBorders>
          </w:tcPr>
          <w:p>
            <w:pPr>
              <w:spacing w:after="0"/>
              <w:rPr>
                <w:sz w:val="17"/>
                <w:szCs w:val="17"/>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vesting, performance and clawback provisions as the underlying PSUs</w:t>
            </w:r>
          </w:p>
        </w:tc>
        <w:tc>
          <w:tcPr>
            <w:tcW w:w="140" w:type="dxa"/>
            <w:vAlign w:val="bottom"/>
          </w:tcPr>
          <w:p>
            <w:pPr>
              <w:spacing w:after="0"/>
              <w:rPr>
                <w:sz w:val="17"/>
                <w:szCs w:val="17"/>
                <w:color w:val="auto"/>
              </w:rPr>
            </w:pPr>
          </w:p>
        </w:tc>
        <w:tc>
          <w:tcPr>
            <w:tcW w:w="1880" w:type="dxa"/>
            <w:vAlign w:val="bottom"/>
            <w:tcBorders>
              <w:right w:val="single" w:sz="8" w:color="494949"/>
            </w:tcBorders>
          </w:tcPr>
          <w:p>
            <w:pPr>
              <w:ind w:left="260"/>
              <w:spacing w:after="0"/>
              <w:rPr>
                <w:sz w:val="20"/>
                <w:szCs w:val="20"/>
                <w:color w:val="auto"/>
              </w:rPr>
            </w:pPr>
            <w:r>
              <w:rPr>
                <w:rFonts w:ascii="Arial" w:cs="Arial" w:eastAsia="Arial" w:hAnsi="Arial"/>
                <w:sz w:val="16"/>
                <w:szCs w:val="16"/>
                <w:color w:val="auto"/>
              </w:rPr>
              <w:t>year hold after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5640" w:type="dxa"/>
            <w:vAlign w:val="bottom"/>
            <w:tcBorders>
              <w:right w:val="single" w:sz="8" w:color="494949"/>
            </w:tcBorders>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Borders>
              <w:right w:val="single" w:sz="8" w:color="494949"/>
            </w:tcBorders>
          </w:tcPr>
          <w:p>
            <w:pPr>
              <w:ind w:left="260"/>
              <w:spacing w:after="0"/>
              <w:rPr>
                <w:sz w:val="20"/>
                <w:szCs w:val="20"/>
                <w:color w:val="auto"/>
              </w:rPr>
            </w:pPr>
            <w:r>
              <w:rPr>
                <w:rFonts w:ascii="Arial" w:cs="Arial" w:eastAsia="Arial" w:hAnsi="Arial"/>
                <w:sz w:val="16"/>
                <w:szCs w:val="16"/>
                <w:color w:val="auto"/>
              </w:rPr>
              <w:t>vesting</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1"/>
        </w:trPr>
        <w:tc>
          <w:tcPr>
            <w:tcW w:w="1000" w:type="dxa"/>
            <w:vAlign w:val="bottom"/>
            <w:tcBorders>
              <w:bottom w:val="single" w:sz="8" w:color="494949"/>
              <w:right w:val="single" w:sz="8" w:color="494949"/>
            </w:tcBorders>
          </w:tcPr>
          <w:p>
            <w:pPr>
              <w:spacing w:after="0"/>
              <w:rPr>
                <w:sz w:val="24"/>
                <w:szCs w:val="24"/>
                <w:color w:val="auto"/>
              </w:rPr>
            </w:pPr>
          </w:p>
        </w:tc>
        <w:tc>
          <w:tcPr>
            <w:tcW w:w="760" w:type="dxa"/>
            <w:vAlign w:val="bottom"/>
            <w:tcBorders>
              <w:bottom w:val="single" w:sz="8" w:color="494949"/>
              <w:right w:val="single" w:sz="8" w:color="494949"/>
            </w:tcBorders>
          </w:tcPr>
          <w:p>
            <w:pPr>
              <w:spacing w:after="0"/>
              <w:rPr>
                <w:sz w:val="24"/>
                <w:szCs w:val="24"/>
                <w:color w:val="auto"/>
              </w:rPr>
            </w:pPr>
          </w:p>
        </w:tc>
        <w:tc>
          <w:tcPr>
            <w:tcW w:w="760" w:type="dxa"/>
            <w:vAlign w:val="bottom"/>
            <w:tcBorders>
              <w:bottom w:val="single" w:sz="8" w:color="494949"/>
              <w:right w:val="single" w:sz="8" w:color="494949"/>
            </w:tcBorders>
          </w:tcPr>
          <w:p>
            <w:pPr>
              <w:spacing w:after="0"/>
              <w:rPr>
                <w:sz w:val="24"/>
                <w:szCs w:val="24"/>
                <w:color w:val="auto"/>
              </w:rPr>
            </w:pPr>
          </w:p>
        </w:tc>
        <w:tc>
          <w:tcPr>
            <w:tcW w:w="5640" w:type="dxa"/>
            <w:vAlign w:val="bottom"/>
            <w:tcBorders>
              <w:bottom w:val="single" w:sz="8" w:color="494949"/>
              <w:right w:val="single" w:sz="8" w:color="494949"/>
            </w:tcBorders>
          </w:tcPr>
          <w:p>
            <w:pPr>
              <w:spacing w:after="0"/>
              <w:rPr>
                <w:sz w:val="24"/>
                <w:szCs w:val="24"/>
                <w:color w:val="auto"/>
              </w:rPr>
            </w:pPr>
          </w:p>
        </w:tc>
        <w:tc>
          <w:tcPr>
            <w:tcW w:w="140" w:type="dxa"/>
            <w:vAlign w:val="bottom"/>
            <w:tcBorders>
              <w:bottom w:val="single" w:sz="8" w:color="494949"/>
            </w:tcBorders>
          </w:tcPr>
          <w:p>
            <w:pPr>
              <w:spacing w:after="0"/>
              <w:rPr>
                <w:sz w:val="24"/>
                <w:szCs w:val="24"/>
                <w:color w:val="auto"/>
              </w:rPr>
            </w:pPr>
          </w:p>
        </w:tc>
        <w:tc>
          <w:tcPr>
            <w:tcW w:w="1880" w:type="dxa"/>
            <w:vAlign w:val="bottom"/>
            <w:tcBorders>
              <w:bottom w:val="single" w:sz="8" w:color="494949"/>
              <w:right w:val="single" w:sz="8" w:color="494949"/>
            </w:tcBorders>
          </w:tcPr>
          <w:p>
            <w:pPr>
              <w:spacing w:after="0"/>
              <w:rPr>
                <w:sz w:val="24"/>
                <w:szCs w:val="24"/>
                <w:color w:val="auto"/>
              </w:rPr>
            </w:pPr>
          </w:p>
        </w:tc>
        <w:tc>
          <w:tcPr>
            <w:tcW w:w="1060" w:type="dxa"/>
            <w:vAlign w:val="bottom"/>
            <w:tcBorders>
              <w:bottom w:val="single" w:sz="8" w:color="49494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-3034030</wp:posOffset>
            </wp:positionV>
            <wp:extent cx="137160" cy="1371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-2296795</wp:posOffset>
            </wp:positionV>
            <wp:extent cx="137160" cy="1371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-993775</wp:posOffset>
            </wp:positionV>
            <wp:extent cx="137160" cy="13716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right="180" w:hanging="192"/>
        <w:spacing w:after="0" w:line="247" w:lineRule="auto"/>
        <w:tabs>
          <w:tab w:leader="none" w:pos="200" w:val="left"/>
        </w:tabs>
        <w:numPr>
          <w:ilvl w:val="0"/>
          <w:numId w:val="126"/>
        </w:numPr>
        <w:rPr>
          <w:rFonts w:ascii="Arial" w:cs="Arial" w:eastAsia="Arial" w:hAnsi="Arial"/>
          <w:sz w:val="15"/>
          <w:szCs w:val="15"/>
          <w:color w:val="auto"/>
          <w:vertAlign w:val="superscript"/>
        </w:rPr>
      </w:pPr>
      <w:r>
        <w:rPr>
          <w:rFonts w:ascii="Arial" w:cs="Arial" w:eastAsia="Arial" w:hAnsi="Arial"/>
          <w:sz w:val="12"/>
          <w:szCs w:val="12"/>
          <w:color w:val="auto"/>
        </w:rPr>
        <w:t>Excludes Mr. Pinto, who was located in the U.K. in 2021. Due to local regulations, Mr. Pinto received a fixed allowance (which is not subject to clawback), did not receive a cash incentive, and both his RSUs and PSUs are subject to: (i) extended seven-year vesting period (commencing ratably on the third anniversary of grant, subject to the standard vest date occurring within 10 days of the grant date anniversary for RSUs); (ii) additional U.K. clawback/ recovery provisions; and (iii) a minimum twelve-month hold after each vesting, and are not eligible for payment/accrual of dividend equivalents. In addition, as it relates to Mr. Pinto’s PSUs, the CMDC may use its discretion, as appropriate, to downward adjust payout based on his performance against qualitative criteria and</w:t>
      </w:r>
    </w:p>
    <w:p>
      <w:pPr>
        <w:spacing w:after="0" w:line="2" w:lineRule="exact"/>
        <w:rPr>
          <w:sz w:val="20"/>
          <w:szCs w:val="20"/>
          <w:color w:val="auto"/>
        </w:rPr>
      </w:pPr>
    </w:p>
    <w:p>
      <w:pPr>
        <w:ind w:left="200" w:right="220"/>
        <w:spacing w:after="0" w:line="246" w:lineRule="auto"/>
        <w:rPr>
          <w:sz w:val="20"/>
          <w:szCs w:val="20"/>
          <w:color w:val="auto"/>
        </w:rPr>
      </w:pPr>
      <w:r>
        <w:rPr>
          <w:rFonts w:ascii="Arial" w:cs="Arial" w:eastAsia="Arial" w:hAnsi="Arial"/>
          <w:sz w:val="12"/>
          <w:szCs w:val="12"/>
          <w:color w:val="auto"/>
        </w:rPr>
        <w:t>priorities during the performance period, including performance against his local regulatory responsibilities as a U.K. “Senior Manager” under the Senior Managers &amp; Certification Regime. Local regulators review compensation structures for Identified Staff periodically and may require future adjustments. Additional information on the composition of Mr. Pinto’s compensation is on page 65.</w:t>
      </w:r>
    </w:p>
    <w:p>
      <w:pPr>
        <w:ind w:left="200" w:hanging="192"/>
        <w:spacing w:after="0" w:line="219" w:lineRule="auto"/>
        <w:tabs>
          <w:tab w:leader="none" w:pos="200" w:val="left"/>
        </w:tabs>
        <w:numPr>
          <w:ilvl w:val="0"/>
          <w:numId w:val="127"/>
        </w:numPr>
        <w:rPr>
          <w:rFonts w:ascii="Arial" w:cs="Arial" w:eastAsia="Arial" w:hAnsi="Arial"/>
          <w:sz w:val="16"/>
          <w:szCs w:val="16"/>
          <w:color w:val="auto"/>
          <w:vertAlign w:val="superscript"/>
        </w:rPr>
      </w:pPr>
      <w:r>
        <w:rPr>
          <w:rFonts w:ascii="Arial" w:cs="Arial" w:eastAsia="Arial" w:hAnsi="Arial"/>
          <w:sz w:val="13"/>
          <w:szCs w:val="13"/>
          <w:color w:val="auto"/>
        </w:rPr>
        <w:t>Additional information on recovery and clawback provisions is provided on page 52.</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Performance share unit program</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074A75"/>
        </w:rPr>
        <w:t>PROCESS TO DETERMINE PAYOUT</w:t>
      </w:r>
    </w:p>
    <w:p>
      <w:pPr>
        <w:spacing w:after="0" w:line="11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part of the design of the PSU program, the ultimate number of PSUs paid out at vesting is determined by a pre-established formula determined at the time of the award based on the Firm’s absolute and relative ROTCE performance over the subsequent three years, with the value of the payout ranging from 0% to 150%, subject to risk and control features. Similar to RSUs, the value upon vesting of PSUs is also directly tied to the Firm’s performance through its stock price. The CMDC believes that the PSU design continues to appropriately incentivize strong performance by our OC members, does not encourage excessive risk-taking and is aligned with long-term shareholder interests. Since PSUs were first introduced in 2015, we have received positive shareholder support for this aspect of our executive compensation program.</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the 2021 PSU awards granted in January 2022, the CMDC maintained the key features of our PSU design, including the enhancements it made to the 2019 PSU awards in response to feedback from shareholders. These enhancements included:</w:t>
      </w:r>
    </w:p>
    <w:p>
      <w:pPr>
        <w:spacing w:after="0" w:line="45" w:lineRule="exact"/>
        <w:rPr>
          <w:sz w:val="20"/>
          <w:szCs w:val="20"/>
          <w:color w:val="auto"/>
        </w:rPr>
      </w:pPr>
    </w:p>
    <w:p>
      <w:pPr>
        <w:ind w:left="200" w:right="40" w:hanging="192"/>
        <w:spacing w:after="0" w:line="287" w:lineRule="auto"/>
        <w:tabs>
          <w:tab w:leader="none" w:pos="204" w:val="left"/>
        </w:tabs>
        <w:numPr>
          <w:ilvl w:val="0"/>
          <w:numId w:val="128"/>
        </w:numPr>
        <w:rPr>
          <w:rFonts w:ascii="Arial" w:cs="Arial" w:eastAsia="Arial" w:hAnsi="Arial"/>
          <w:sz w:val="18"/>
          <w:szCs w:val="18"/>
          <w:color w:val="074A75"/>
        </w:rPr>
      </w:pPr>
      <w:r>
        <w:rPr>
          <w:rFonts w:ascii="Arial" w:cs="Arial" w:eastAsia="Arial" w:hAnsi="Arial"/>
          <w:sz w:val="18"/>
          <w:szCs w:val="18"/>
          <w:color w:val="auto"/>
        </w:rPr>
        <w:t>Changing the payout calculation methodology to be based on the Firm’s three-year average ROTCE performance on both an absolute and relative basis. Previously, payout was calculated annually for one-third of the awarded units.</w:t>
      </w:r>
    </w:p>
    <w:p>
      <w:pPr>
        <w:spacing w:after="0" w:line="44" w:lineRule="exact"/>
        <w:rPr>
          <w:rFonts w:ascii="Arial" w:cs="Arial" w:eastAsia="Arial" w:hAnsi="Arial"/>
          <w:sz w:val="18"/>
          <w:szCs w:val="18"/>
          <w:color w:val="074A75"/>
        </w:rPr>
      </w:pPr>
    </w:p>
    <w:p>
      <w:pPr>
        <w:ind w:left="200" w:right="1300" w:hanging="192"/>
        <w:spacing w:after="0" w:line="287" w:lineRule="auto"/>
        <w:tabs>
          <w:tab w:leader="none" w:pos="204" w:val="left"/>
        </w:tabs>
        <w:numPr>
          <w:ilvl w:val="0"/>
          <w:numId w:val="128"/>
        </w:numPr>
        <w:rPr>
          <w:rFonts w:ascii="Arial" w:cs="Arial" w:eastAsia="Arial" w:hAnsi="Arial"/>
          <w:sz w:val="18"/>
          <w:szCs w:val="18"/>
          <w:color w:val="074A75"/>
        </w:rPr>
      </w:pPr>
      <w:r>
        <w:rPr>
          <w:rFonts w:ascii="Arial" w:cs="Arial" w:eastAsia="Arial" w:hAnsi="Arial"/>
          <w:sz w:val="18"/>
          <w:szCs w:val="18"/>
          <w:color w:val="auto"/>
        </w:rPr>
        <w:t>Increasing the rigor of the relative payout scale to further differentiate payout for outperformance, median performance and underperformance, as summarized below:</w:t>
      </w:r>
    </w:p>
    <w:p>
      <w:pPr>
        <w:spacing w:after="0" w:line="44" w:lineRule="exact"/>
        <w:rPr>
          <w:rFonts w:ascii="Arial" w:cs="Arial" w:eastAsia="Arial" w:hAnsi="Arial"/>
          <w:sz w:val="18"/>
          <w:szCs w:val="18"/>
          <w:color w:val="074A75"/>
        </w:rPr>
      </w:pPr>
    </w:p>
    <w:p>
      <w:pPr>
        <w:ind w:left="380" w:hanging="178"/>
        <w:spacing w:after="0"/>
        <w:tabs>
          <w:tab w:leader="none" w:pos="380" w:val="left"/>
        </w:tabs>
        <w:numPr>
          <w:ilvl w:val="1"/>
          <w:numId w:val="128"/>
        </w:numPr>
        <w:rPr>
          <w:rFonts w:ascii="Arial" w:cs="Arial" w:eastAsia="Arial" w:hAnsi="Arial"/>
          <w:sz w:val="18"/>
          <w:szCs w:val="18"/>
          <w:color w:val="074A75"/>
        </w:rPr>
      </w:pPr>
      <w:r>
        <w:rPr>
          <w:rFonts w:ascii="Arial" w:cs="Arial" w:eastAsia="Arial" w:hAnsi="Arial"/>
          <w:sz w:val="18"/>
          <w:szCs w:val="18"/>
          <w:color w:val="auto"/>
        </w:rPr>
        <w:t>Top quartile relative performance no longer pays out at 150% for all three ranks;</w:t>
      </w:r>
    </w:p>
    <w:p>
      <w:pPr>
        <w:spacing w:after="0" w:line="76" w:lineRule="exact"/>
        <w:rPr>
          <w:rFonts w:ascii="Arial" w:cs="Arial" w:eastAsia="Arial" w:hAnsi="Arial"/>
          <w:sz w:val="18"/>
          <w:szCs w:val="18"/>
          <w:color w:val="074A75"/>
        </w:rPr>
      </w:pPr>
    </w:p>
    <w:p>
      <w:pPr>
        <w:ind w:left="380" w:hanging="178"/>
        <w:spacing w:after="0"/>
        <w:tabs>
          <w:tab w:leader="none" w:pos="380" w:val="left"/>
        </w:tabs>
        <w:numPr>
          <w:ilvl w:val="1"/>
          <w:numId w:val="128"/>
        </w:numPr>
        <w:rPr>
          <w:rFonts w:ascii="Arial" w:cs="Arial" w:eastAsia="Arial" w:hAnsi="Arial"/>
          <w:sz w:val="18"/>
          <w:szCs w:val="18"/>
          <w:color w:val="074A75"/>
        </w:rPr>
      </w:pPr>
      <w:r>
        <w:rPr>
          <w:rFonts w:ascii="Arial" w:cs="Arial" w:eastAsia="Arial" w:hAnsi="Arial"/>
          <w:sz w:val="18"/>
          <w:szCs w:val="18"/>
          <w:color w:val="auto"/>
        </w:rPr>
        <w:t>Target (100%) payout requires above median performance;</w:t>
      </w:r>
    </w:p>
    <w:p>
      <w:pPr>
        <w:spacing w:after="0" w:line="76" w:lineRule="exact"/>
        <w:rPr>
          <w:rFonts w:ascii="Arial" w:cs="Arial" w:eastAsia="Arial" w:hAnsi="Arial"/>
          <w:sz w:val="18"/>
          <w:szCs w:val="18"/>
          <w:color w:val="074A75"/>
        </w:rPr>
      </w:pPr>
    </w:p>
    <w:p>
      <w:pPr>
        <w:ind w:left="380" w:hanging="178"/>
        <w:spacing w:after="0"/>
        <w:tabs>
          <w:tab w:leader="none" w:pos="380" w:val="left"/>
        </w:tabs>
        <w:numPr>
          <w:ilvl w:val="1"/>
          <w:numId w:val="128"/>
        </w:numPr>
        <w:rPr>
          <w:rFonts w:ascii="Arial" w:cs="Arial" w:eastAsia="Arial" w:hAnsi="Arial"/>
          <w:sz w:val="18"/>
          <w:szCs w:val="18"/>
          <w:color w:val="074A75"/>
        </w:rPr>
      </w:pPr>
      <w:r>
        <w:rPr>
          <w:rFonts w:ascii="Arial" w:cs="Arial" w:eastAsia="Arial" w:hAnsi="Arial"/>
          <w:sz w:val="18"/>
          <w:szCs w:val="18"/>
          <w:color w:val="auto"/>
        </w:rPr>
        <w:t>Below median performance pays out at a maximum of 80%; and</w:t>
      </w:r>
    </w:p>
    <w:p>
      <w:pPr>
        <w:spacing w:after="0" w:line="90" w:lineRule="exact"/>
        <w:rPr>
          <w:rFonts w:ascii="Arial" w:cs="Arial" w:eastAsia="Arial" w:hAnsi="Arial"/>
          <w:sz w:val="18"/>
          <w:szCs w:val="18"/>
          <w:color w:val="074A75"/>
        </w:rPr>
      </w:pPr>
    </w:p>
    <w:p>
      <w:pPr>
        <w:ind w:left="380" w:hanging="178"/>
        <w:spacing w:after="0"/>
        <w:tabs>
          <w:tab w:leader="none" w:pos="380" w:val="left"/>
        </w:tabs>
        <w:numPr>
          <w:ilvl w:val="1"/>
          <w:numId w:val="128"/>
        </w:numPr>
        <w:rPr>
          <w:rFonts w:ascii="Arial" w:cs="Arial" w:eastAsia="Arial" w:hAnsi="Arial"/>
          <w:sz w:val="18"/>
          <w:szCs w:val="18"/>
          <w:color w:val="074A75"/>
        </w:rPr>
      </w:pPr>
      <w:r>
        <w:rPr>
          <w:rFonts w:ascii="Arial" w:cs="Arial" w:eastAsia="Arial" w:hAnsi="Arial"/>
          <w:sz w:val="18"/>
          <w:szCs w:val="18"/>
          <w:color w:val="auto"/>
        </w:rPr>
        <w:t>Bottom relative performance pays out at 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provides a detailed comparison of the relative performance payout levels for PSU awards that were outstanding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92075</wp:posOffset>
            </wp:positionV>
            <wp:extent cx="8255" cy="1714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92075</wp:posOffset>
            </wp:positionV>
            <wp:extent cx="8255"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92075</wp:posOffset>
            </wp:positionV>
            <wp:extent cx="8255" cy="1714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92075</wp:posOffset>
            </wp:positionV>
            <wp:extent cx="8890" cy="1714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92075</wp:posOffset>
            </wp:positionV>
            <wp:extent cx="8890" cy="1714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92075</wp:posOffset>
            </wp:positionV>
            <wp:extent cx="8255" cy="1714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92075</wp:posOffset>
            </wp:positionV>
            <wp:extent cx="8890" cy="1714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92075</wp:posOffset>
            </wp:positionV>
            <wp:extent cx="8255" cy="1714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92075</wp:posOffset>
            </wp:positionV>
            <wp:extent cx="8255" cy="1714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92075</wp:posOffset>
            </wp:positionV>
            <wp:extent cx="8890" cy="1714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92075</wp:posOffset>
            </wp:positionV>
            <wp:extent cx="8255" cy="1714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92075</wp:posOffset>
            </wp:positionV>
            <wp:extent cx="8890" cy="1714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168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rPr>
              <w:t>Relative Ranking</w:t>
            </w:r>
          </w:p>
        </w:tc>
        <w:tc>
          <w:tcPr>
            <w:tcW w:w="76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1</w:t>
            </w:r>
          </w:p>
        </w:tc>
        <w:tc>
          <w:tcPr>
            <w:tcW w:w="76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2</w:t>
            </w:r>
          </w:p>
        </w:tc>
        <w:tc>
          <w:tcPr>
            <w:tcW w:w="76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3</w:t>
            </w:r>
          </w:p>
        </w:tc>
        <w:tc>
          <w:tcPr>
            <w:tcW w:w="160" w:type="dxa"/>
            <w:vAlign w:val="bottom"/>
            <w:shd w:val="clear" w:color="auto" w:fill="074A75"/>
          </w:tcPr>
          <w:p>
            <w:pPr>
              <w:spacing w:after="0"/>
              <w:rPr>
                <w:sz w:val="23"/>
                <w:szCs w:val="23"/>
                <w:color w:val="auto"/>
              </w:rPr>
            </w:pPr>
          </w:p>
        </w:tc>
        <w:tc>
          <w:tcPr>
            <w:tcW w:w="580" w:type="dxa"/>
            <w:vAlign w:val="bottom"/>
            <w:tcBorders>
              <w:right w:val="single" w:sz="8" w:color="074A75"/>
            </w:tcBorders>
            <w:shd w:val="clear" w:color="auto" w:fill="074A75"/>
          </w:tcPr>
          <w:p>
            <w:pPr>
              <w:jc w:val="center"/>
              <w:ind w:right="79"/>
              <w:spacing w:after="0"/>
              <w:rPr>
                <w:sz w:val="20"/>
                <w:szCs w:val="20"/>
                <w:color w:val="auto"/>
              </w:rPr>
            </w:pPr>
            <w:r>
              <w:rPr>
                <w:rFonts w:ascii="Arial" w:cs="Arial" w:eastAsia="Arial" w:hAnsi="Arial"/>
                <w:sz w:val="18"/>
                <w:szCs w:val="18"/>
                <w:b w:val="1"/>
                <w:bCs w:val="1"/>
                <w:color w:val="FFFFFF"/>
                <w:w w:val="99"/>
              </w:rPr>
              <w:t>4</w:t>
            </w:r>
          </w:p>
        </w:tc>
        <w:tc>
          <w:tcPr>
            <w:tcW w:w="78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5</w:t>
            </w:r>
          </w:p>
        </w:tc>
        <w:tc>
          <w:tcPr>
            <w:tcW w:w="76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6</w:t>
            </w:r>
          </w:p>
        </w:tc>
        <w:tc>
          <w:tcPr>
            <w:tcW w:w="76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7</w:t>
            </w:r>
          </w:p>
        </w:tc>
        <w:tc>
          <w:tcPr>
            <w:tcW w:w="76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8</w:t>
            </w:r>
          </w:p>
        </w:tc>
        <w:tc>
          <w:tcPr>
            <w:tcW w:w="540" w:type="dxa"/>
            <w:vAlign w:val="bottom"/>
            <w:shd w:val="clear" w:color="auto" w:fill="074A75"/>
          </w:tcPr>
          <w:p>
            <w:pPr>
              <w:jc w:val="center"/>
              <w:ind w:left="119"/>
              <w:spacing w:after="0"/>
              <w:rPr>
                <w:sz w:val="20"/>
                <w:szCs w:val="20"/>
                <w:color w:val="auto"/>
              </w:rPr>
            </w:pPr>
            <w:r>
              <w:rPr>
                <w:rFonts w:ascii="Arial" w:cs="Arial" w:eastAsia="Arial" w:hAnsi="Arial"/>
                <w:sz w:val="18"/>
                <w:szCs w:val="18"/>
                <w:b w:val="1"/>
                <w:bCs w:val="1"/>
                <w:color w:val="FFFFFF"/>
                <w:w w:val="99"/>
              </w:rPr>
              <w:t>9</w:t>
            </w:r>
          </w:p>
        </w:tc>
        <w:tc>
          <w:tcPr>
            <w:tcW w:w="980" w:type="dxa"/>
            <w:vAlign w:val="bottom"/>
            <w:tcBorders>
              <w:right w:val="single" w:sz="8" w:color="074A75"/>
            </w:tcBorders>
            <w:gridSpan w:val="2"/>
            <w:shd w:val="clear" w:color="auto" w:fill="074A75"/>
          </w:tcPr>
          <w:p>
            <w:pPr>
              <w:jc w:val="center"/>
              <w:ind w:left="97"/>
              <w:spacing w:after="0"/>
              <w:rPr>
                <w:sz w:val="20"/>
                <w:szCs w:val="20"/>
                <w:color w:val="auto"/>
              </w:rPr>
            </w:pPr>
            <w:r>
              <w:rPr>
                <w:rFonts w:ascii="Arial" w:cs="Arial" w:eastAsia="Arial" w:hAnsi="Arial"/>
                <w:sz w:val="18"/>
                <w:szCs w:val="18"/>
                <w:b w:val="1"/>
                <w:bCs w:val="1"/>
                <w:color w:val="FFFFFF"/>
                <w:w w:val="99"/>
              </w:rPr>
              <w:t>10</w:t>
            </w:r>
          </w:p>
        </w:tc>
        <w:tc>
          <w:tcPr>
            <w:tcW w:w="74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11</w:t>
            </w:r>
          </w:p>
        </w:tc>
        <w:tc>
          <w:tcPr>
            <w:tcW w:w="78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12</w:t>
            </w:r>
          </w:p>
        </w:tc>
      </w:tr>
      <w:tr>
        <w:trPr>
          <w:trHeight w:val="68"/>
        </w:trPr>
        <w:tc>
          <w:tcPr>
            <w:tcW w:w="1680" w:type="dxa"/>
            <w:vAlign w:val="bottom"/>
            <w:tcBorders>
              <w:right w:val="single" w:sz="8" w:color="074A75"/>
            </w:tcBorders>
          </w:tcPr>
          <w:p>
            <w:pPr>
              <w:spacing w:after="0"/>
              <w:rPr>
                <w:sz w:val="5"/>
                <w:szCs w:val="5"/>
                <w:color w:val="auto"/>
              </w:rPr>
            </w:pPr>
          </w:p>
        </w:tc>
        <w:tc>
          <w:tcPr>
            <w:tcW w:w="760" w:type="dxa"/>
            <w:vAlign w:val="bottom"/>
            <w:tcBorders>
              <w:right w:val="single" w:sz="8" w:color="074A75"/>
            </w:tcBorders>
          </w:tcPr>
          <w:p>
            <w:pPr>
              <w:spacing w:after="0"/>
              <w:rPr>
                <w:sz w:val="5"/>
                <w:szCs w:val="5"/>
                <w:color w:val="auto"/>
              </w:rPr>
            </w:pPr>
          </w:p>
        </w:tc>
        <w:tc>
          <w:tcPr>
            <w:tcW w:w="760" w:type="dxa"/>
            <w:vAlign w:val="bottom"/>
            <w:tcBorders>
              <w:right w:val="single" w:sz="8" w:color="074A75"/>
            </w:tcBorders>
          </w:tcPr>
          <w:p>
            <w:pPr>
              <w:spacing w:after="0"/>
              <w:rPr>
                <w:sz w:val="5"/>
                <w:szCs w:val="5"/>
                <w:color w:val="auto"/>
              </w:rPr>
            </w:pPr>
          </w:p>
        </w:tc>
        <w:tc>
          <w:tcPr>
            <w:tcW w:w="760" w:type="dxa"/>
            <w:vAlign w:val="bottom"/>
            <w:tcBorders>
              <w:right w:val="single" w:sz="8" w:color="074A75"/>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074A75"/>
            </w:tcBorders>
          </w:tcPr>
          <w:p>
            <w:pPr>
              <w:spacing w:after="0"/>
              <w:rPr>
                <w:sz w:val="5"/>
                <w:szCs w:val="5"/>
                <w:color w:val="auto"/>
              </w:rPr>
            </w:pPr>
          </w:p>
        </w:tc>
        <w:tc>
          <w:tcPr>
            <w:tcW w:w="780" w:type="dxa"/>
            <w:vAlign w:val="bottom"/>
            <w:tcBorders>
              <w:right w:val="single" w:sz="8" w:color="074A75"/>
            </w:tcBorders>
          </w:tcPr>
          <w:p>
            <w:pPr>
              <w:spacing w:after="0"/>
              <w:rPr>
                <w:sz w:val="5"/>
                <w:szCs w:val="5"/>
                <w:color w:val="auto"/>
              </w:rPr>
            </w:pPr>
          </w:p>
        </w:tc>
        <w:tc>
          <w:tcPr>
            <w:tcW w:w="760" w:type="dxa"/>
            <w:vAlign w:val="bottom"/>
            <w:tcBorders>
              <w:right w:val="single" w:sz="8" w:color="074A75"/>
            </w:tcBorders>
          </w:tcPr>
          <w:p>
            <w:pPr>
              <w:spacing w:after="0"/>
              <w:rPr>
                <w:sz w:val="5"/>
                <w:szCs w:val="5"/>
                <w:color w:val="auto"/>
              </w:rPr>
            </w:pPr>
          </w:p>
        </w:tc>
        <w:tc>
          <w:tcPr>
            <w:tcW w:w="760" w:type="dxa"/>
            <w:vAlign w:val="bottom"/>
            <w:tcBorders>
              <w:right w:val="single" w:sz="8" w:color="074A75"/>
            </w:tcBorders>
          </w:tcPr>
          <w:p>
            <w:pPr>
              <w:spacing w:after="0"/>
              <w:rPr>
                <w:sz w:val="5"/>
                <w:szCs w:val="5"/>
                <w:color w:val="auto"/>
              </w:rPr>
            </w:pPr>
          </w:p>
        </w:tc>
        <w:tc>
          <w:tcPr>
            <w:tcW w:w="760" w:type="dxa"/>
            <w:vAlign w:val="bottom"/>
            <w:tcBorders>
              <w:right w:val="single" w:sz="8" w:color="074A75"/>
            </w:tcBorders>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right w:val="single" w:sz="8" w:color="074A75"/>
            </w:tcBorders>
          </w:tcPr>
          <w:p>
            <w:pPr>
              <w:spacing w:after="0"/>
              <w:rPr>
                <w:sz w:val="5"/>
                <w:szCs w:val="5"/>
                <w:color w:val="auto"/>
              </w:rPr>
            </w:pPr>
          </w:p>
        </w:tc>
        <w:tc>
          <w:tcPr>
            <w:tcW w:w="760" w:type="dxa"/>
            <w:vAlign w:val="bottom"/>
            <w:tcBorders>
              <w:right w:val="single" w:sz="8" w:color="074A75"/>
            </w:tcBorders>
          </w:tcPr>
          <w:p>
            <w:pPr>
              <w:spacing w:after="0"/>
              <w:rPr>
                <w:sz w:val="5"/>
                <w:szCs w:val="5"/>
                <w:color w:val="auto"/>
              </w:rPr>
            </w:pPr>
          </w:p>
        </w:tc>
        <w:tc>
          <w:tcPr>
            <w:tcW w:w="740" w:type="dxa"/>
            <w:vAlign w:val="bottom"/>
            <w:tcBorders>
              <w:right w:val="single" w:sz="8" w:color="074A75"/>
            </w:tcBorders>
          </w:tcPr>
          <w:p>
            <w:pPr>
              <w:spacing w:after="0"/>
              <w:rPr>
                <w:sz w:val="5"/>
                <w:szCs w:val="5"/>
                <w:color w:val="auto"/>
              </w:rPr>
            </w:pPr>
          </w:p>
        </w:tc>
        <w:tc>
          <w:tcPr>
            <w:tcW w:w="780" w:type="dxa"/>
            <w:vAlign w:val="bottom"/>
            <w:tcBorders>
              <w:right w:val="single" w:sz="8" w:color="074A75"/>
            </w:tcBorders>
          </w:tcPr>
          <w:p>
            <w:pPr>
              <w:spacing w:after="0"/>
              <w:rPr>
                <w:sz w:val="5"/>
                <w:szCs w:val="5"/>
                <w:color w:val="auto"/>
              </w:rPr>
            </w:pPr>
          </w:p>
        </w:tc>
      </w:tr>
      <w:tr>
        <w:trPr>
          <w:trHeight w:val="258"/>
        </w:trPr>
        <w:tc>
          <w:tcPr>
            <w:tcW w:w="1680" w:type="dxa"/>
            <w:vAlign w:val="bottom"/>
          </w:tcPr>
          <w:p>
            <w:pPr>
              <w:jc w:val="center"/>
              <w:spacing w:after="0"/>
              <w:rPr>
                <w:sz w:val="20"/>
                <w:szCs w:val="20"/>
                <w:color w:val="auto"/>
              </w:rPr>
            </w:pPr>
            <w:r>
              <w:rPr>
                <w:rFonts w:ascii="Arial" w:cs="Arial" w:eastAsia="Arial" w:hAnsi="Arial"/>
                <w:sz w:val="15"/>
                <w:szCs w:val="15"/>
                <w:b w:val="1"/>
                <w:bCs w:val="1"/>
                <w:color w:val="3E693D"/>
              </w:rPr>
              <w:t>2019-2021 Awards</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3E693D"/>
                <w:w w:val="98"/>
              </w:rPr>
              <w:t>150%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3E693D"/>
                <w:w w:val="98"/>
              </w:rPr>
              <w:t>140%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3E693D"/>
              </w:rPr>
              <w:t>130%</w:t>
            </w:r>
          </w:p>
        </w:tc>
        <w:tc>
          <w:tcPr>
            <w:tcW w:w="160" w:type="dxa"/>
            <w:vAlign w:val="bottom"/>
          </w:tcPr>
          <w:p>
            <w:pPr>
              <w:spacing w:after="0"/>
              <w:rPr>
                <w:sz w:val="22"/>
                <w:szCs w:val="22"/>
                <w:color w:val="auto"/>
              </w:rPr>
            </w:pPr>
          </w:p>
        </w:tc>
        <w:tc>
          <w:tcPr>
            <w:tcW w:w="580" w:type="dxa"/>
            <w:vAlign w:val="bottom"/>
          </w:tcPr>
          <w:p>
            <w:pPr>
              <w:jc w:val="center"/>
              <w:ind w:right="99"/>
              <w:spacing w:after="0"/>
              <w:rPr>
                <w:sz w:val="20"/>
                <w:szCs w:val="20"/>
                <w:color w:val="auto"/>
              </w:rPr>
            </w:pPr>
            <w:r>
              <w:rPr>
                <w:rFonts w:ascii="Arial" w:cs="Arial" w:eastAsia="Arial" w:hAnsi="Arial"/>
                <w:sz w:val="15"/>
                <w:szCs w:val="15"/>
                <w:b w:val="1"/>
                <w:bCs w:val="1"/>
                <w:color w:val="3E693D"/>
              </w:rPr>
              <w:t>120%</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3E693D"/>
              </w:rPr>
              <w:t>100%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3E693D"/>
                <w:w w:val="99"/>
              </w:rPr>
              <w:t>90%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3E693D"/>
                <w:w w:val="99"/>
              </w:rPr>
              <w:t>80%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3E693D"/>
                <w:w w:val="99"/>
              </w:rPr>
              <w:t>70%</w:t>
            </w:r>
          </w:p>
        </w:tc>
        <w:tc>
          <w:tcPr>
            <w:tcW w:w="540" w:type="dxa"/>
            <w:vAlign w:val="bottom"/>
          </w:tcPr>
          <w:p>
            <w:pPr>
              <w:jc w:val="center"/>
              <w:ind w:left="119"/>
              <w:spacing w:after="0"/>
              <w:rPr>
                <w:sz w:val="20"/>
                <w:szCs w:val="20"/>
                <w:color w:val="auto"/>
              </w:rPr>
            </w:pPr>
            <w:r>
              <w:rPr>
                <w:rFonts w:ascii="Arial" w:cs="Arial" w:eastAsia="Arial" w:hAnsi="Arial"/>
                <w:sz w:val="15"/>
                <w:szCs w:val="15"/>
                <w:b w:val="1"/>
                <w:bCs w:val="1"/>
                <w:color w:val="3E693D"/>
                <w:w w:val="99"/>
              </w:rPr>
              <w:t>60%</w:t>
            </w:r>
          </w:p>
        </w:tc>
        <w:tc>
          <w:tcPr>
            <w:tcW w:w="980" w:type="dxa"/>
            <w:vAlign w:val="bottom"/>
            <w:gridSpan w:val="2"/>
          </w:tcPr>
          <w:p>
            <w:pPr>
              <w:jc w:val="center"/>
              <w:ind w:left="117"/>
              <w:spacing w:after="0"/>
              <w:rPr>
                <w:sz w:val="20"/>
                <w:szCs w:val="20"/>
                <w:color w:val="auto"/>
              </w:rPr>
            </w:pPr>
            <w:r>
              <w:rPr>
                <w:rFonts w:ascii="Arial" w:cs="Arial" w:eastAsia="Arial" w:hAnsi="Arial"/>
                <w:sz w:val="15"/>
                <w:szCs w:val="15"/>
                <w:b w:val="1"/>
                <w:bCs w:val="1"/>
                <w:color w:val="3E693D"/>
                <w:w w:val="99"/>
              </w:rPr>
              <w:t>50%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3E693D"/>
              </w:rPr>
              <w:t>40%</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3E693D"/>
              </w:rPr>
              <w:t>0%</w:t>
            </w:r>
          </w:p>
        </w:tc>
      </w:tr>
      <w:tr>
        <w:trPr>
          <w:trHeight w:val="324"/>
        </w:trPr>
        <w:tc>
          <w:tcPr>
            <w:tcW w:w="1680" w:type="dxa"/>
            <w:vAlign w:val="bottom"/>
          </w:tcPr>
          <w:p>
            <w:pPr>
              <w:jc w:val="center"/>
              <w:spacing w:after="0"/>
              <w:rPr>
                <w:sz w:val="20"/>
                <w:szCs w:val="20"/>
                <w:color w:val="auto"/>
              </w:rPr>
            </w:pPr>
            <w:r>
              <w:rPr>
                <w:rFonts w:ascii="Arial" w:cs="Arial" w:eastAsia="Arial" w:hAnsi="Arial"/>
                <w:sz w:val="15"/>
                <w:szCs w:val="15"/>
                <w:b w:val="1"/>
                <w:bCs w:val="1"/>
                <w:color w:val="929292"/>
              </w:rPr>
              <w:t>2018 Awards</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8A8C8F"/>
                <w:w w:val="98"/>
              </w:rPr>
              <w:t>150%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8A8C8F"/>
                <w:w w:val="98"/>
              </w:rPr>
              <w:t>150%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8A8C8F"/>
              </w:rPr>
              <w:t>150%</w:t>
            </w:r>
          </w:p>
        </w:tc>
        <w:tc>
          <w:tcPr>
            <w:tcW w:w="160" w:type="dxa"/>
            <w:vAlign w:val="bottom"/>
          </w:tcPr>
          <w:p>
            <w:pPr>
              <w:spacing w:after="0"/>
              <w:rPr>
                <w:sz w:val="24"/>
                <w:szCs w:val="24"/>
                <w:color w:val="auto"/>
              </w:rPr>
            </w:pPr>
          </w:p>
        </w:tc>
        <w:tc>
          <w:tcPr>
            <w:tcW w:w="580" w:type="dxa"/>
            <w:vAlign w:val="bottom"/>
          </w:tcPr>
          <w:p>
            <w:pPr>
              <w:jc w:val="center"/>
              <w:ind w:right="99"/>
              <w:spacing w:after="0"/>
              <w:rPr>
                <w:sz w:val="20"/>
                <w:szCs w:val="20"/>
                <w:color w:val="auto"/>
              </w:rPr>
            </w:pPr>
            <w:r>
              <w:rPr>
                <w:rFonts w:ascii="Arial" w:cs="Arial" w:eastAsia="Arial" w:hAnsi="Arial"/>
                <w:sz w:val="15"/>
                <w:szCs w:val="15"/>
                <w:b w:val="1"/>
                <w:bCs w:val="1"/>
                <w:color w:val="8A8C8F"/>
              </w:rPr>
              <w:t>125%</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8A8C8F"/>
              </w:rPr>
              <w:t>112.5%</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8A8C8F"/>
                <w:w w:val="98"/>
              </w:rPr>
              <w:t>100%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8A8C8F"/>
                <w:w w:val="98"/>
              </w:rPr>
              <w:t>100%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8A8C8F"/>
                <w:w w:val="99"/>
              </w:rPr>
              <w:t>85%</w:t>
            </w:r>
          </w:p>
        </w:tc>
        <w:tc>
          <w:tcPr>
            <w:tcW w:w="540" w:type="dxa"/>
            <w:vAlign w:val="bottom"/>
          </w:tcPr>
          <w:p>
            <w:pPr>
              <w:jc w:val="center"/>
              <w:ind w:left="119"/>
              <w:spacing w:after="0"/>
              <w:rPr>
                <w:sz w:val="20"/>
                <w:szCs w:val="20"/>
                <w:color w:val="auto"/>
              </w:rPr>
            </w:pPr>
            <w:r>
              <w:rPr>
                <w:rFonts w:ascii="Arial" w:cs="Arial" w:eastAsia="Arial" w:hAnsi="Arial"/>
                <w:sz w:val="15"/>
                <w:szCs w:val="15"/>
                <w:b w:val="1"/>
                <w:bCs w:val="1"/>
                <w:color w:val="8A8C8F"/>
                <w:w w:val="99"/>
              </w:rPr>
              <w:t>70%</w:t>
            </w:r>
          </w:p>
        </w:tc>
        <w:tc>
          <w:tcPr>
            <w:tcW w:w="980" w:type="dxa"/>
            <w:vAlign w:val="bottom"/>
            <w:gridSpan w:val="2"/>
          </w:tcPr>
          <w:p>
            <w:pPr>
              <w:jc w:val="center"/>
              <w:ind w:left="117"/>
              <w:spacing w:after="0"/>
              <w:rPr>
                <w:sz w:val="20"/>
                <w:szCs w:val="20"/>
                <w:color w:val="auto"/>
              </w:rPr>
            </w:pPr>
            <w:r>
              <w:rPr>
                <w:rFonts w:ascii="Arial" w:cs="Arial" w:eastAsia="Arial" w:hAnsi="Arial"/>
                <w:sz w:val="15"/>
                <w:szCs w:val="15"/>
                <w:b w:val="1"/>
                <w:bCs w:val="1"/>
                <w:color w:val="8A8C8F"/>
                <w:w w:val="99"/>
              </w:rPr>
              <w:t>55%</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8A8C8F"/>
              </w:rPr>
              <w:t>40%</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8A8C8F"/>
              </w:rPr>
              <w:t>25%</w:t>
            </w:r>
          </w:p>
        </w:tc>
      </w:tr>
      <w:tr>
        <w:trPr>
          <w:trHeight w:val="469"/>
        </w:trPr>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b w:val="1"/>
                <w:bCs w:val="1"/>
                <w:color w:val="8A8C8F"/>
                <w:w w:val="91"/>
              </w:rPr>
              <w:t>75th</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gridSpan w:val="2"/>
          </w:tcPr>
          <w:p>
            <w:pPr>
              <w:ind w:left="440"/>
              <w:spacing w:after="0"/>
              <w:rPr>
                <w:sz w:val="20"/>
                <w:szCs w:val="20"/>
                <w:color w:val="auto"/>
              </w:rPr>
            </w:pPr>
            <w:r>
              <w:rPr>
                <w:rFonts w:ascii="Arial" w:cs="Arial" w:eastAsia="Arial" w:hAnsi="Arial"/>
                <w:sz w:val="18"/>
                <w:szCs w:val="18"/>
                <w:b w:val="1"/>
                <w:bCs w:val="1"/>
                <w:color w:val="8A8C8F"/>
              </w:rPr>
              <w:t>Median</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8A8C8F"/>
              </w:rPr>
              <w:t>25th</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7153275" cy="5613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3275" cy="561340"/>
                    </a:xfrm>
                    <a:prstGeom prst="rect">
                      <a:avLst/>
                    </a:prstGeom>
                    <a:noFill/>
                  </pic:spPr>
                </pic:pic>
              </a:graphicData>
            </a:graphic>
          </wp:anchor>
        </w:drawing>
      </w:r>
    </w:p>
    <w:p>
      <w:pPr>
        <w:spacing w:after="0" w:line="57"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Additionally, for the 2021 PSU awards, the Committee calibrated the upper and lower absolute ROTCE thresholds to 18% and 6% respectively, based on the current forecast of the Firm's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177800</wp:posOffset>
            </wp:positionV>
            <wp:extent cx="274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47  </w:t>
      </w:r>
      <w:r>
        <w:rPr>
          <w:sz w:val="1"/>
          <w:szCs w:val="1"/>
          <w:color w:val="auto"/>
        </w:rPr>
        <w:drawing>
          <wp:inline distT="0" distB="0" distL="0" distR="0">
            <wp:extent cx="2203450" cy="154305"/>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KEY FEATURES OF OUR 2021 PSU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key features of our 2021 PSUs are substantially unchanged and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44316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443166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40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Plan Feature</w:t>
            </w:r>
          </w:p>
        </w:tc>
        <w:tc>
          <w:tcPr>
            <w:tcW w:w="9840" w:type="dxa"/>
            <w:vAlign w:val="bottom"/>
            <w:tcBorders>
              <w:bottom w:val="single" w:sz="8" w:color="494949"/>
            </w:tcBorders>
          </w:tcPr>
          <w:p>
            <w:pPr>
              <w:ind w:left="3340"/>
              <w:spacing w:after="0"/>
              <w:rPr>
                <w:sz w:val="20"/>
                <w:szCs w:val="20"/>
                <w:color w:val="auto"/>
              </w:rPr>
            </w:pPr>
            <w:r>
              <w:rPr>
                <w:rFonts w:ascii="Arial" w:cs="Arial" w:eastAsia="Arial" w:hAnsi="Arial"/>
                <w:sz w:val="16"/>
                <w:szCs w:val="16"/>
                <w:color w:val="074A75"/>
              </w:rPr>
              <w:t>Performance Year 2021 PSU Award Description</w:t>
            </w:r>
          </w:p>
        </w:tc>
      </w:tr>
      <w:tr>
        <w:trPr>
          <w:trHeight w:val="239"/>
        </w:trPr>
        <w:tc>
          <w:tcPr>
            <w:tcW w:w="1400" w:type="dxa"/>
            <w:vAlign w:val="bottom"/>
            <w:tcBorders>
              <w:bottom w:val="single" w:sz="8" w:color="494949"/>
            </w:tcBorders>
          </w:tcPr>
          <w:p>
            <w:pPr>
              <w:ind w:left="20"/>
              <w:spacing w:after="0"/>
              <w:rPr>
                <w:sz w:val="20"/>
                <w:szCs w:val="20"/>
                <w:color w:val="auto"/>
              </w:rPr>
            </w:pPr>
            <w:r>
              <w:rPr>
                <w:rFonts w:ascii="Arial" w:cs="Arial" w:eastAsia="Arial" w:hAnsi="Arial"/>
                <w:sz w:val="16"/>
                <w:szCs w:val="16"/>
                <w:b w:val="1"/>
                <w:bCs w:val="1"/>
                <w:color w:val="auto"/>
              </w:rPr>
              <w:t>Vehicle</w:t>
            </w:r>
          </w:p>
        </w:tc>
        <w:tc>
          <w:tcPr>
            <w:tcW w:w="9840" w:type="dxa"/>
            <w:vAlign w:val="bottom"/>
            <w:tcBorders>
              <w:bottom w:val="single" w:sz="8" w:color="494949"/>
            </w:tcBorders>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Value of units moves with stock price during performance period; units are settled in shares at vesting.</w:t>
            </w:r>
          </w:p>
        </w:tc>
      </w:tr>
      <w:tr>
        <w:trPr>
          <w:trHeight w:val="199"/>
        </w:trPr>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Time Horizon</w:t>
            </w:r>
          </w:p>
        </w:tc>
        <w:tc>
          <w:tcPr>
            <w:tcW w:w="984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Three-year cliff-vesting, plus an additional two-year holding period (for a combined five-year holding period). Due to local U.K.</w:t>
            </w:r>
          </w:p>
        </w:tc>
      </w:tr>
      <w:tr>
        <w:trPr>
          <w:trHeight w:val="189"/>
        </w:trPr>
        <w:tc>
          <w:tcPr>
            <w:tcW w:w="1400" w:type="dxa"/>
            <w:vAlign w:val="bottom"/>
          </w:tcPr>
          <w:p>
            <w:pPr>
              <w:spacing w:after="0"/>
              <w:rPr>
                <w:sz w:val="16"/>
                <w:szCs w:val="16"/>
                <w:color w:val="auto"/>
              </w:rPr>
            </w:pPr>
          </w:p>
        </w:tc>
        <w:tc>
          <w:tcPr>
            <w:tcW w:w="9840" w:type="dxa"/>
            <w:vAlign w:val="bottom"/>
          </w:tcPr>
          <w:p>
            <w:pPr>
              <w:ind w:left="560"/>
              <w:spacing w:after="0"/>
              <w:rPr>
                <w:sz w:val="20"/>
                <w:szCs w:val="20"/>
                <w:color w:val="auto"/>
              </w:rPr>
            </w:pPr>
            <w:r>
              <w:rPr>
                <w:rFonts w:ascii="Arial" w:cs="Arial" w:eastAsia="Arial" w:hAnsi="Arial"/>
                <w:sz w:val="16"/>
                <w:szCs w:val="16"/>
                <w:color w:val="auto"/>
              </w:rPr>
              <w:t>regulations, PSUs are subject to an extended seven-year vesting period commencing ratably on the third anniversary of the grant</w:t>
            </w:r>
          </w:p>
        </w:tc>
      </w:tr>
      <w:tr>
        <w:trPr>
          <w:trHeight w:val="224"/>
        </w:trPr>
        <w:tc>
          <w:tcPr>
            <w:tcW w:w="1400" w:type="dxa"/>
            <w:vAlign w:val="bottom"/>
            <w:tcBorders>
              <w:bottom w:val="single" w:sz="8" w:color="494949"/>
            </w:tcBorders>
          </w:tcPr>
          <w:p>
            <w:pPr>
              <w:spacing w:after="0"/>
              <w:rPr>
                <w:sz w:val="19"/>
                <w:szCs w:val="19"/>
                <w:color w:val="auto"/>
              </w:rPr>
            </w:pPr>
          </w:p>
        </w:tc>
        <w:tc>
          <w:tcPr>
            <w:tcW w:w="9840" w:type="dxa"/>
            <w:vAlign w:val="bottom"/>
            <w:tcBorders>
              <w:bottom w:val="single" w:sz="8" w:color="494949"/>
            </w:tcBorders>
          </w:tcPr>
          <w:p>
            <w:pPr>
              <w:ind w:left="560"/>
              <w:spacing w:after="0"/>
              <w:rPr>
                <w:sz w:val="20"/>
                <w:szCs w:val="20"/>
                <w:color w:val="auto"/>
              </w:rPr>
            </w:pPr>
            <w:r>
              <w:rPr>
                <w:rFonts w:ascii="Arial" w:cs="Arial" w:eastAsia="Arial" w:hAnsi="Arial"/>
                <w:sz w:val="16"/>
                <w:szCs w:val="16"/>
                <w:color w:val="auto"/>
              </w:rPr>
              <w:t>for OC members in the U.K, including Mr. Pinto.</w:t>
            </w:r>
          </w:p>
        </w:tc>
      </w:tr>
      <w:tr>
        <w:trPr>
          <w:trHeight w:val="202"/>
        </w:trPr>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Performance</w:t>
            </w:r>
          </w:p>
        </w:tc>
        <w:tc>
          <w:tcPr>
            <w:tcW w:w="984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CMDC selected ROTCE, a comprehensive performance metric that measures the Firm’s net income applicable to common</w:t>
            </w:r>
          </w:p>
        </w:tc>
      </w:tr>
      <w:tr>
        <w:trPr>
          <w:trHeight w:val="189"/>
        </w:trPr>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Measure</w:t>
            </w:r>
          </w:p>
        </w:tc>
        <w:tc>
          <w:tcPr>
            <w:tcW w:w="9840" w:type="dxa"/>
            <w:vAlign w:val="bottom"/>
          </w:tcPr>
          <w:p>
            <w:pPr>
              <w:ind w:left="560"/>
              <w:spacing w:after="0"/>
              <w:rPr>
                <w:sz w:val="20"/>
                <w:szCs w:val="20"/>
                <w:color w:val="auto"/>
              </w:rPr>
            </w:pPr>
            <w:r>
              <w:rPr>
                <w:rFonts w:ascii="Arial" w:cs="Arial" w:eastAsia="Arial" w:hAnsi="Arial"/>
                <w:sz w:val="16"/>
                <w:szCs w:val="16"/>
                <w:color w:val="auto"/>
              </w:rPr>
              <w:t>equity as a percentage of average tangible common equity. ROTCE is used by the Firm, as well as investors and analysts, in</w:t>
            </w:r>
          </w:p>
        </w:tc>
      </w:tr>
      <w:tr>
        <w:trPr>
          <w:trHeight w:val="189"/>
        </w:trPr>
        <w:tc>
          <w:tcPr>
            <w:tcW w:w="1400" w:type="dxa"/>
            <w:vAlign w:val="bottom"/>
          </w:tcPr>
          <w:p>
            <w:pPr>
              <w:spacing w:after="0"/>
              <w:rPr>
                <w:sz w:val="16"/>
                <w:szCs w:val="16"/>
                <w:color w:val="auto"/>
              </w:rPr>
            </w:pPr>
          </w:p>
        </w:tc>
        <w:tc>
          <w:tcPr>
            <w:tcW w:w="9840" w:type="dxa"/>
            <w:vAlign w:val="bottom"/>
          </w:tcPr>
          <w:p>
            <w:pPr>
              <w:ind w:left="560"/>
              <w:spacing w:after="0"/>
              <w:rPr>
                <w:sz w:val="20"/>
                <w:szCs w:val="20"/>
                <w:color w:val="auto"/>
              </w:rPr>
            </w:pPr>
            <w:r>
              <w:rPr>
                <w:rFonts w:ascii="Arial" w:cs="Arial" w:eastAsia="Arial" w:hAnsi="Arial"/>
                <w:sz w:val="16"/>
                <w:szCs w:val="16"/>
                <w:color w:val="auto"/>
              </w:rPr>
              <w:t>assessing the earnings power of common shareholders’ equity capital and is a useful metric for comparing the profitability of the</w:t>
            </w:r>
          </w:p>
        </w:tc>
      </w:tr>
      <w:tr>
        <w:trPr>
          <w:trHeight w:val="224"/>
        </w:trPr>
        <w:tc>
          <w:tcPr>
            <w:tcW w:w="1400" w:type="dxa"/>
            <w:vAlign w:val="bottom"/>
            <w:tcBorders>
              <w:bottom w:val="single" w:sz="8" w:color="494949"/>
            </w:tcBorders>
          </w:tcPr>
          <w:p>
            <w:pPr>
              <w:spacing w:after="0"/>
              <w:rPr>
                <w:sz w:val="19"/>
                <w:szCs w:val="19"/>
                <w:color w:val="auto"/>
              </w:rPr>
            </w:pPr>
          </w:p>
        </w:tc>
        <w:tc>
          <w:tcPr>
            <w:tcW w:w="9840" w:type="dxa"/>
            <w:vAlign w:val="bottom"/>
            <w:tcBorders>
              <w:bottom w:val="single" w:sz="8" w:color="494949"/>
            </w:tcBorders>
          </w:tcPr>
          <w:p>
            <w:pPr>
              <w:ind w:left="560"/>
              <w:spacing w:after="0"/>
              <w:rPr>
                <w:sz w:val="20"/>
                <w:szCs w:val="20"/>
                <w:color w:val="auto"/>
              </w:rPr>
            </w:pPr>
            <w:r>
              <w:rPr>
                <w:rFonts w:ascii="Arial" w:cs="Arial" w:eastAsia="Arial" w:hAnsi="Arial"/>
                <w:sz w:val="16"/>
                <w:szCs w:val="16"/>
                <w:color w:val="auto"/>
              </w:rPr>
              <w:t>Firm with that of competitors.</w:t>
            </w:r>
          </w:p>
        </w:tc>
      </w:tr>
      <w:tr>
        <w:trPr>
          <w:trHeight w:val="192"/>
        </w:trPr>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Payout Scale</w:t>
            </w:r>
          </w:p>
        </w:tc>
        <w:tc>
          <w:tcPr>
            <w:tcW w:w="9840" w:type="dxa"/>
            <w:vAlign w:val="bottom"/>
          </w:tcPr>
          <w:p>
            <w:pPr>
              <w:ind w:left="3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Payout under the PSU plan is calculated at the end of the three-year performance period based on absolute and relative</w:t>
            </w:r>
          </w:p>
        </w:tc>
      </w:tr>
      <w:tr>
        <w:trPr>
          <w:trHeight w:val="199"/>
        </w:trPr>
        <w:tc>
          <w:tcPr>
            <w:tcW w:w="1400" w:type="dxa"/>
            <w:vAlign w:val="bottom"/>
          </w:tcPr>
          <w:p>
            <w:pPr>
              <w:spacing w:after="0"/>
              <w:rPr>
                <w:sz w:val="17"/>
                <w:szCs w:val="17"/>
                <w:color w:val="auto"/>
              </w:rPr>
            </w:pPr>
          </w:p>
        </w:tc>
        <w:tc>
          <w:tcPr>
            <w:tcW w:w="9840" w:type="dxa"/>
            <w:vAlign w:val="bottom"/>
          </w:tcPr>
          <w:p>
            <w:pPr>
              <w:ind w:left="580"/>
              <w:spacing w:after="0" w:line="199" w:lineRule="exact"/>
              <w:rPr>
                <w:sz w:val="20"/>
                <w:szCs w:val="20"/>
                <w:color w:val="auto"/>
              </w:rPr>
            </w:pPr>
            <w:r>
              <w:rPr>
                <w:rFonts w:ascii="Arial" w:cs="Arial" w:eastAsia="Arial" w:hAnsi="Arial"/>
                <w:sz w:val="16"/>
                <w:szCs w:val="16"/>
                <w:color w:val="auto"/>
              </w:rPr>
              <w:t>average ROTCE</w:t>
            </w:r>
            <w:r>
              <w:rPr>
                <w:rFonts w:ascii="Arial" w:cs="Arial" w:eastAsia="Arial" w:hAnsi="Arial"/>
                <w:sz w:val="21"/>
                <w:szCs w:val="21"/>
                <w:color w:val="auto"/>
                <w:vertAlign w:val="superscript"/>
              </w:rPr>
              <w:t>1</w:t>
            </w:r>
            <w:r>
              <w:rPr>
                <w:rFonts w:ascii="Arial" w:cs="Arial" w:eastAsia="Arial" w:hAnsi="Arial"/>
                <w:sz w:val="16"/>
                <w:szCs w:val="16"/>
                <w:color w:val="auto"/>
              </w:rPr>
              <w:t>, per the payout scale below. The use of both absolute and relative ROTCE helps promote a reasonable</w:t>
            </w:r>
          </w:p>
        </w:tc>
      </w:tr>
      <w:tr>
        <w:trPr>
          <w:trHeight w:val="189"/>
        </w:trPr>
        <w:tc>
          <w:tcPr>
            <w:tcW w:w="1400" w:type="dxa"/>
            <w:vAlign w:val="bottom"/>
          </w:tcPr>
          <w:p>
            <w:pPr>
              <w:spacing w:after="0"/>
              <w:rPr>
                <w:sz w:val="16"/>
                <w:szCs w:val="16"/>
                <w:color w:val="auto"/>
              </w:rPr>
            </w:pPr>
          </w:p>
        </w:tc>
        <w:tc>
          <w:tcPr>
            <w:tcW w:w="9840" w:type="dxa"/>
            <w:vAlign w:val="bottom"/>
          </w:tcPr>
          <w:p>
            <w:pPr>
              <w:ind w:left="580"/>
              <w:spacing w:after="0"/>
              <w:rPr>
                <w:sz w:val="20"/>
                <w:szCs w:val="20"/>
                <w:color w:val="auto"/>
              </w:rPr>
            </w:pPr>
            <w:r>
              <w:rPr>
                <w:rFonts w:ascii="Arial" w:cs="Arial" w:eastAsia="Arial" w:hAnsi="Arial"/>
                <w:sz w:val="16"/>
                <w:szCs w:val="16"/>
                <w:color w:val="auto"/>
              </w:rPr>
              <w:t>outcome for both shareholders and participants. For the 2021 PSU award, the CMDC set the absolute ROTCE thresholds as</w:t>
            </w:r>
          </w:p>
        </w:tc>
      </w:tr>
      <w:tr>
        <w:trPr>
          <w:trHeight w:val="189"/>
        </w:trPr>
        <w:tc>
          <w:tcPr>
            <w:tcW w:w="1400" w:type="dxa"/>
            <w:vAlign w:val="bottom"/>
          </w:tcPr>
          <w:p>
            <w:pPr>
              <w:spacing w:after="0"/>
              <w:rPr>
                <w:sz w:val="16"/>
                <w:szCs w:val="16"/>
                <w:color w:val="auto"/>
              </w:rPr>
            </w:pPr>
          </w:p>
        </w:tc>
        <w:tc>
          <w:tcPr>
            <w:tcW w:w="9840" w:type="dxa"/>
            <w:vAlign w:val="bottom"/>
          </w:tcPr>
          <w:p>
            <w:pPr>
              <w:ind w:left="580"/>
              <w:spacing w:after="0"/>
              <w:rPr>
                <w:sz w:val="20"/>
                <w:szCs w:val="20"/>
                <w:color w:val="auto"/>
              </w:rPr>
            </w:pPr>
            <w:r>
              <w:rPr>
                <w:rFonts w:ascii="Arial" w:cs="Arial" w:eastAsia="Arial" w:hAnsi="Arial"/>
                <w:sz w:val="16"/>
                <w:szCs w:val="16"/>
                <w:color w:val="auto"/>
              </w:rPr>
              <w:t>follows: (1) maximum payout at 18% or greater (consistent with 18% in 2018, 2019, and 2020); and (2) zero payout at less than</w:t>
            </w:r>
          </w:p>
        </w:tc>
      </w:tr>
      <w:tr>
        <w:trPr>
          <w:trHeight w:val="215"/>
        </w:trPr>
        <w:tc>
          <w:tcPr>
            <w:tcW w:w="1400" w:type="dxa"/>
            <w:vAlign w:val="bottom"/>
          </w:tcPr>
          <w:p>
            <w:pPr>
              <w:spacing w:after="0"/>
              <w:rPr>
                <w:sz w:val="18"/>
                <w:szCs w:val="18"/>
                <w:color w:val="auto"/>
              </w:rPr>
            </w:pPr>
          </w:p>
        </w:tc>
        <w:tc>
          <w:tcPr>
            <w:tcW w:w="9840" w:type="dxa"/>
            <w:vAlign w:val="bottom"/>
          </w:tcPr>
          <w:p>
            <w:pPr>
              <w:ind w:left="580"/>
              <w:spacing w:after="0"/>
              <w:rPr>
                <w:sz w:val="20"/>
                <w:szCs w:val="20"/>
                <w:color w:val="auto"/>
              </w:rPr>
            </w:pPr>
            <w:r>
              <w:rPr>
                <w:rFonts w:ascii="Arial" w:cs="Arial" w:eastAsia="Arial" w:hAnsi="Arial"/>
                <w:sz w:val="16"/>
                <w:szCs w:val="16"/>
                <w:color w:val="auto"/>
              </w:rPr>
              <w:t>6%, no change from prior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PSU Performance</w:t>
            </w:r>
          </w:p>
        </w:tc>
        <w:tc>
          <w:tcPr>
            <w:tcW w:w="9600" w:type="dxa"/>
            <w:vAlign w:val="bottom"/>
          </w:tcPr>
          <w:p>
            <w:pPr>
              <w:ind w:left="1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In determining companies to include in the relative ROTCE scale, the CMDC selected competitors with business activities that</w:t>
            </w: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Companies</w:t>
            </w:r>
          </w:p>
        </w:tc>
        <w:tc>
          <w:tcPr>
            <w:tcW w:w="9600" w:type="dxa"/>
            <w:vAlign w:val="bottom"/>
          </w:tcPr>
          <w:p>
            <w:pPr>
              <w:ind w:left="320"/>
              <w:spacing w:after="0"/>
              <w:rPr>
                <w:sz w:val="20"/>
                <w:szCs w:val="20"/>
                <w:color w:val="auto"/>
              </w:rPr>
            </w:pPr>
            <w:r>
              <w:rPr>
                <w:rFonts w:ascii="Arial" w:cs="Arial" w:eastAsia="Arial" w:hAnsi="Arial"/>
                <w:sz w:val="16"/>
                <w:szCs w:val="16"/>
                <w:color w:val="auto"/>
              </w:rPr>
              <w:t>overlap with at least 30% of the Firm’s revenue mix. These are unchanged from prior years and include Bank of America,</w:t>
            </w:r>
          </w:p>
        </w:tc>
      </w:tr>
      <w:tr>
        <w:trPr>
          <w:trHeight w:val="189"/>
        </w:trPr>
        <w:tc>
          <w:tcPr>
            <w:tcW w:w="1640" w:type="dxa"/>
            <w:vAlign w:val="bottom"/>
          </w:tcPr>
          <w:p>
            <w:pPr>
              <w:spacing w:after="0"/>
              <w:rPr>
                <w:sz w:val="16"/>
                <w:szCs w:val="16"/>
                <w:color w:val="auto"/>
              </w:rPr>
            </w:pPr>
          </w:p>
        </w:tc>
        <w:tc>
          <w:tcPr>
            <w:tcW w:w="9600" w:type="dxa"/>
            <w:vAlign w:val="bottom"/>
          </w:tcPr>
          <w:p>
            <w:pPr>
              <w:ind w:left="320"/>
              <w:spacing w:after="0"/>
              <w:rPr>
                <w:sz w:val="20"/>
                <w:szCs w:val="20"/>
                <w:color w:val="auto"/>
              </w:rPr>
            </w:pPr>
            <w:r>
              <w:rPr>
                <w:rFonts w:ascii="Arial" w:cs="Arial" w:eastAsia="Arial" w:hAnsi="Arial"/>
                <w:sz w:val="16"/>
                <w:szCs w:val="16"/>
                <w:color w:val="auto"/>
              </w:rPr>
              <w:t>Barclays, Capital One Financial, Citigroup, Credit Suisse, Deutsche Bank, Goldman Sachs, HSBC, Morgan Stanley, UBS and</w:t>
            </w:r>
          </w:p>
        </w:tc>
      </w:tr>
      <w:tr>
        <w:trPr>
          <w:trHeight w:val="224"/>
        </w:trPr>
        <w:tc>
          <w:tcPr>
            <w:tcW w:w="1640" w:type="dxa"/>
            <w:vAlign w:val="bottom"/>
            <w:tcBorders>
              <w:bottom w:val="single" w:sz="8" w:color="494949"/>
            </w:tcBorders>
          </w:tcPr>
          <w:p>
            <w:pPr>
              <w:spacing w:after="0"/>
              <w:rPr>
                <w:sz w:val="19"/>
                <w:szCs w:val="19"/>
                <w:color w:val="auto"/>
              </w:rPr>
            </w:pPr>
          </w:p>
        </w:tc>
        <w:tc>
          <w:tcPr>
            <w:tcW w:w="9600" w:type="dxa"/>
            <w:vAlign w:val="bottom"/>
            <w:tcBorders>
              <w:bottom w:val="single" w:sz="8" w:color="494949"/>
            </w:tcBorders>
          </w:tcPr>
          <w:p>
            <w:pPr>
              <w:ind w:left="320"/>
              <w:spacing w:after="0"/>
              <w:rPr>
                <w:sz w:val="20"/>
                <w:szCs w:val="20"/>
                <w:color w:val="auto"/>
              </w:rPr>
            </w:pPr>
            <w:r>
              <w:rPr>
                <w:rFonts w:ascii="Arial" w:cs="Arial" w:eastAsia="Arial" w:hAnsi="Arial"/>
                <w:sz w:val="16"/>
                <w:szCs w:val="16"/>
                <w:color w:val="auto"/>
              </w:rPr>
              <w:t>Wells Fargo.</w:t>
            </w:r>
          </w:p>
        </w:tc>
      </w:tr>
      <w:tr>
        <w:trPr>
          <w:trHeight w:val="202"/>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Minimum</w:t>
            </w:r>
          </w:p>
        </w:tc>
        <w:tc>
          <w:tcPr>
            <w:tcW w:w="9600" w:type="dxa"/>
            <w:vAlign w:val="bottom"/>
          </w:tcPr>
          <w:p>
            <w:pPr>
              <w:ind w:left="140"/>
              <w:spacing w:after="0" w:line="202" w:lineRule="exact"/>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If the Firm’s common equity Tier 1 (“CET1”) capital ratio</w:t>
            </w:r>
            <w:r>
              <w:rPr>
                <w:rFonts w:ascii="Arial" w:cs="Arial" w:eastAsia="Arial" w:hAnsi="Arial"/>
                <w:sz w:val="21"/>
                <w:szCs w:val="21"/>
                <w:color w:val="000000"/>
                <w:vertAlign w:val="superscript"/>
              </w:rPr>
              <w:t>2</w:t>
            </w:r>
            <w:r>
              <w:rPr>
                <w:rFonts w:ascii="Arial" w:cs="Arial" w:eastAsia="Arial" w:hAnsi="Arial"/>
                <w:sz w:val="16"/>
                <w:szCs w:val="16"/>
                <w:color w:val="074A75"/>
              </w:rPr>
              <w:t xml:space="preserve"> </w:t>
            </w:r>
            <w:r>
              <w:rPr>
                <w:rFonts w:ascii="Arial" w:cs="Arial" w:eastAsia="Arial" w:hAnsi="Arial"/>
                <w:sz w:val="16"/>
                <w:szCs w:val="16"/>
                <w:color w:val="000000"/>
              </w:rPr>
              <w:t>is less than 7.5% at any year-end, then up to one-third of unvested</w:t>
            </w: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Risk-based Hurdle</w:t>
            </w:r>
          </w:p>
        </w:tc>
        <w:tc>
          <w:tcPr>
            <w:tcW w:w="9600" w:type="dxa"/>
            <w:vAlign w:val="bottom"/>
          </w:tcPr>
          <w:p>
            <w:pPr>
              <w:ind w:left="340"/>
              <w:spacing w:after="0"/>
              <w:rPr>
                <w:sz w:val="20"/>
                <w:szCs w:val="20"/>
                <w:color w:val="auto"/>
              </w:rPr>
            </w:pPr>
            <w:r>
              <w:rPr>
                <w:rFonts w:ascii="Arial" w:cs="Arial" w:eastAsia="Arial" w:hAnsi="Arial"/>
                <w:sz w:val="16"/>
                <w:szCs w:val="16"/>
                <w:color w:val="auto"/>
              </w:rPr>
              <w:t>PSUs will be subject to downward adjustment by the CMDC for each such year. The CET1 feature was first introduced with the</w:t>
            </w:r>
          </w:p>
        </w:tc>
      </w:tr>
      <w:tr>
        <w:trPr>
          <w:trHeight w:val="215"/>
        </w:trPr>
        <w:tc>
          <w:tcPr>
            <w:tcW w:w="164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6"/>
                <w:szCs w:val="16"/>
                <w:color w:val="auto"/>
              </w:rPr>
              <w:t>2017 PSU award.</w:t>
            </w:r>
          </w:p>
        </w:tc>
      </w:tr>
      <w:tr>
        <w:trPr>
          <w:trHeight w:val="43"/>
        </w:trPr>
        <w:tc>
          <w:tcPr>
            <w:tcW w:w="1640" w:type="dxa"/>
            <w:vAlign w:val="bottom"/>
            <w:tcBorders>
              <w:bottom w:val="single" w:sz="8" w:color="494949"/>
            </w:tcBorders>
          </w:tcPr>
          <w:p>
            <w:pPr>
              <w:spacing w:after="0"/>
              <w:rPr>
                <w:sz w:val="3"/>
                <w:szCs w:val="3"/>
                <w:color w:val="auto"/>
              </w:rPr>
            </w:pPr>
          </w:p>
        </w:tc>
        <w:tc>
          <w:tcPr>
            <w:tcW w:w="9600" w:type="dxa"/>
            <w:vAlign w:val="bottom"/>
            <w:tcBorders>
              <w:bottom w:val="single" w:sz="8" w:color="494949"/>
            </w:tcBorders>
          </w:tcPr>
          <w:p>
            <w:pPr>
              <w:spacing w:after="0"/>
              <w:rPr>
                <w:sz w:val="3"/>
                <w:szCs w:val="3"/>
                <w:color w:val="auto"/>
              </w:rPr>
            </w:pPr>
          </w:p>
        </w:tc>
      </w:tr>
      <w:tr>
        <w:trPr>
          <w:trHeight w:val="195"/>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Narrow Adjustment</w:t>
            </w:r>
          </w:p>
        </w:tc>
        <w:tc>
          <w:tcPr>
            <w:tcW w:w="9600" w:type="dxa"/>
            <w:vAlign w:val="bottom"/>
          </w:tcPr>
          <w:p>
            <w:pPr>
              <w:ind w:left="1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CMDC may make adjustments (up or down) to maintain the intended economics of the award in light of changed</w:t>
            </w:r>
          </w:p>
        </w:tc>
      </w:tr>
      <w:tr>
        <w:trPr>
          <w:trHeight w:val="18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Provision</w:t>
            </w:r>
          </w:p>
        </w:tc>
        <w:tc>
          <w:tcPr>
            <w:tcW w:w="9600" w:type="dxa"/>
            <w:vAlign w:val="bottom"/>
          </w:tcPr>
          <w:p>
            <w:pPr>
              <w:ind w:left="320"/>
              <w:spacing w:after="0"/>
              <w:rPr>
                <w:sz w:val="20"/>
                <w:szCs w:val="20"/>
                <w:color w:val="auto"/>
              </w:rPr>
            </w:pPr>
            <w:r>
              <w:rPr>
                <w:rFonts w:ascii="Arial" w:cs="Arial" w:eastAsia="Arial" w:hAnsi="Arial"/>
                <w:sz w:val="16"/>
                <w:szCs w:val="16"/>
                <w:color w:val="auto"/>
              </w:rPr>
              <w:t>circumstances (e.g., change in accounting rules/policies or changes in capital structure). The CMDC may also make additional</w:t>
            </w:r>
          </w:p>
        </w:tc>
      </w:tr>
      <w:tr>
        <w:trPr>
          <w:trHeight w:val="215"/>
        </w:trPr>
        <w:tc>
          <w:tcPr>
            <w:tcW w:w="1640" w:type="dxa"/>
            <w:vAlign w:val="bottom"/>
          </w:tcPr>
          <w:p>
            <w:pPr>
              <w:spacing w:after="0"/>
              <w:rPr>
                <w:sz w:val="18"/>
                <w:szCs w:val="18"/>
                <w:color w:val="auto"/>
              </w:rPr>
            </w:pPr>
          </w:p>
        </w:tc>
        <w:tc>
          <w:tcPr>
            <w:tcW w:w="9600" w:type="dxa"/>
            <w:vAlign w:val="bottom"/>
          </w:tcPr>
          <w:p>
            <w:pPr>
              <w:ind w:left="320"/>
              <w:spacing w:after="0"/>
              <w:rPr>
                <w:sz w:val="20"/>
                <w:szCs w:val="20"/>
                <w:color w:val="auto"/>
              </w:rPr>
            </w:pPr>
            <w:r>
              <w:rPr>
                <w:rFonts w:ascii="Arial" w:cs="Arial" w:eastAsia="Arial" w:hAnsi="Arial"/>
                <w:sz w:val="16"/>
                <w:szCs w:val="16"/>
                <w:color w:val="auto"/>
              </w:rPr>
              <w:t>downward adjustments in relation to U.K. OC members' PSUs, including Mr. Pinto’s (refer to Note 1 on page 46).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074A75"/>
        </w:rPr>
        <w:t>OUR PSU PROGRAM SPANS A 5-YEAR TIME HORIZON</w:t>
      </w:r>
    </w:p>
    <w:p>
      <w:pPr>
        <w:spacing w:after="0" w:line="162" w:lineRule="exact"/>
        <w:rPr>
          <w:sz w:val="20"/>
          <w:szCs w:val="20"/>
          <w:color w:val="auto"/>
        </w:rPr>
      </w:pPr>
    </w:p>
    <w:p>
      <w:pPr>
        <w:ind w:left="960"/>
        <w:spacing w:after="0"/>
        <w:rPr>
          <w:sz w:val="20"/>
          <w:szCs w:val="20"/>
          <w:color w:val="auto"/>
        </w:rPr>
      </w:pPr>
      <w:r>
        <w:rPr>
          <w:rFonts w:ascii="Arial" w:cs="Arial" w:eastAsia="Arial" w:hAnsi="Arial"/>
          <w:sz w:val="20"/>
          <w:szCs w:val="20"/>
          <w:color w:val="074A75"/>
        </w:rPr>
        <w:t>PSU goal is set at beginning of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188595" cy="514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88595" cy="5143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-114300</wp:posOffset>
            </wp:positionV>
            <wp:extent cx="188595" cy="514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88595" cy="5143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560" w:type="dxa"/>
            <w:vAlign w:val="bottom"/>
            <w:tcBorders>
              <w:bottom w:val="single" w:sz="8" w:color="074A75"/>
            </w:tcBorders>
            <w:shd w:val="clear" w:color="auto" w:fill="074A75"/>
          </w:tcPr>
          <w:p>
            <w:pPr>
              <w:spacing w:after="0"/>
              <w:rPr>
                <w:sz w:val="24"/>
                <w:szCs w:val="24"/>
                <w:color w:val="auto"/>
              </w:rPr>
            </w:pPr>
          </w:p>
        </w:tc>
        <w:tc>
          <w:tcPr>
            <w:tcW w:w="3340" w:type="dxa"/>
            <w:vAlign w:val="bottom"/>
            <w:tcBorders>
              <w:bottom w:val="single" w:sz="8" w:color="074A75"/>
            </w:tcBorders>
            <w:shd w:val="clear" w:color="auto" w:fill="074A75"/>
          </w:tcPr>
          <w:p>
            <w:pPr>
              <w:jc w:val="center"/>
              <w:spacing w:after="0"/>
              <w:rPr>
                <w:sz w:val="20"/>
                <w:szCs w:val="20"/>
                <w:color w:val="auto"/>
              </w:rPr>
            </w:pPr>
            <w:r>
              <w:rPr>
                <w:rFonts w:ascii="Arial" w:cs="Arial" w:eastAsia="Arial" w:hAnsi="Arial"/>
                <w:sz w:val="15"/>
                <w:szCs w:val="15"/>
                <w:b w:val="1"/>
                <w:bCs w:val="1"/>
                <w:color w:val="FFFFFF"/>
              </w:rPr>
              <w:t>3-Year Performance Period (cliff-vest)</w:t>
            </w:r>
          </w:p>
        </w:tc>
        <w:tc>
          <w:tcPr>
            <w:tcW w:w="1540" w:type="dxa"/>
            <w:vAlign w:val="bottom"/>
            <w:tcBorders>
              <w:bottom w:val="single" w:sz="8" w:color="074A75"/>
            </w:tcBorders>
            <w:shd w:val="clear" w:color="auto" w:fill="074A75"/>
          </w:tcPr>
          <w:p>
            <w:pPr>
              <w:spacing w:after="0"/>
              <w:rPr>
                <w:sz w:val="24"/>
                <w:szCs w:val="24"/>
                <w:color w:val="auto"/>
              </w:rPr>
            </w:pPr>
          </w:p>
        </w:tc>
        <w:tc>
          <w:tcPr>
            <w:tcW w:w="500" w:type="dxa"/>
            <w:vAlign w:val="bottom"/>
          </w:tcPr>
          <w:p>
            <w:pPr>
              <w:spacing w:after="0"/>
              <w:rPr>
                <w:sz w:val="24"/>
                <w:szCs w:val="24"/>
                <w:color w:val="auto"/>
              </w:rPr>
            </w:pPr>
          </w:p>
        </w:tc>
        <w:tc>
          <w:tcPr>
            <w:tcW w:w="4300" w:type="dxa"/>
            <w:vAlign w:val="bottom"/>
            <w:tcBorders>
              <w:bottom w:val="single" w:sz="8" w:color="074A75"/>
            </w:tcBorders>
            <w:gridSpan w:val="2"/>
            <w:shd w:val="clear" w:color="auto" w:fill="074A75"/>
          </w:tcPr>
          <w:p>
            <w:pPr>
              <w:jc w:val="center"/>
              <w:spacing w:after="0"/>
              <w:rPr>
                <w:sz w:val="20"/>
                <w:szCs w:val="20"/>
                <w:color w:val="auto"/>
              </w:rPr>
            </w:pPr>
            <w:r>
              <w:rPr>
                <w:rFonts w:ascii="Arial" w:cs="Arial" w:eastAsia="Arial" w:hAnsi="Arial"/>
                <w:sz w:val="15"/>
                <w:szCs w:val="15"/>
                <w:b w:val="1"/>
                <w:bCs w:val="1"/>
                <w:color w:val="FFFFFF"/>
              </w:rPr>
              <w:t>2-Year Additional Hold on Fully Vested Awards</w:t>
            </w:r>
          </w:p>
        </w:tc>
      </w:tr>
      <w:tr>
        <w:trPr>
          <w:trHeight w:val="236"/>
        </w:trPr>
        <w:tc>
          <w:tcPr>
            <w:tcW w:w="1560" w:type="dxa"/>
            <w:vAlign w:val="bottom"/>
            <w:tcBorders>
              <w:bottom w:val="single" w:sz="8" w:color="939598"/>
            </w:tcBorders>
            <w:shd w:val="clear" w:color="auto" w:fill="939598"/>
          </w:tcPr>
          <w:p>
            <w:pPr>
              <w:jc w:val="right"/>
              <w:ind w:right="224"/>
              <w:spacing w:after="0"/>
              <w:rPr>
                <w:sz w:val="20"/>
                <w:szCs w:val="20"/>
                <w:color w:val="auto"/>
              </w:rPr>
            </w:pPr>
            <w:r>
              <w:rPr>
                <w:rFonts w:ascii="Arial" w:cs="Arial" w:eastAsia="Arial" w:hAnsi="Arial"/>
                <w:sz w:val="16"/>
                <w:szCs w:val="16"/>
                <w:b w:val="1"/>
                <w:bCs w:val="1"/>
                <w:color w:val="FFFFFF"/>
              </w:rPr>
              <w:t>2022</w:t>
            </w:r>
          </w:p>
        </w:tc>
        <w:tc>
          <w:tcPr>
            <w:tcW w:w="3340" w:type="dxa"/>
            <w:vAlign w:val="bottom"/>
            <w:tcBorders>
              <w:bottom w:val="single" w:sz="8" w:color="939598"/>
            </w:tcBorders>
            <w:shd w:val="clear" w:color="auto" w:fill="939598"/>
          </w:tcPr>
          <w:p>
            <w:pPr>
              <w:jc w:val="center"/>
              <w:spacing w:after="0"/>
              <w:rPr>
                <w:sz w:val="20"/>
                <w:szCs w:val="20"/>
                <w:color w:val="auto"/>
              </w:rPr>
            </w:pPr>
            <w:r>
              <w:rPr>
                <w:rFonts w:ascii="Arial" w:cs="Arial" w:eastAsia="Arial" w:hAnsi="Arial"/>
                <w:sz w:val="16"/>
                <w:szCs w:val="16"/>
                <w:b w:val="1"/>
                <w:bCs w:val="1"/>
                <w:color w:val="FFFFFF"/>
              </w:rPr>
              <w:t>2023</w:t>
            </w:r>
          </w:p>
        </w:tc>
        <w:tc>
          <w:tcPr>
            <w:tcW w:w="1540" w:type="dxa"/>
            <w:vAlign w:val="bottom"/>
            <w:tcBorders>
              <w:bottom w:val="single" w:sz="8" w:color="939598"/>
            </w:tcBorders>
            <w:shd w:val="clear" w:color="auto" w:fill="939598"/>
          </w:tcPr>
          <w:p>
            <w:pPr>
              <w:jc w:val="right"/>
              <w:ind w:right="799"/>
              <w:spacing w:after="0"/>
              <w:rPr>
                <w:sz w:val="20"/>
                <w:szCs w:val="20"/>
                <w:color w:val="auto"/>
              </w:rPr>
            </w:pPr>
            <w:r>
              <w:rPr>
                <w:rFonts w:ascii="Arial" w:cs="Arial" w:eastAsia="Arial" w:hAnsi="Arial"/>
                <w:sz w:val="16"/>
                <w:szCs w:val="16"/>
                <w:b w:val="1"/>
                <w:bCs w:val="1"/>
                <w:color w:val="FFFFFF"/>
              </w:rPr>
              <w:t>2024</w:t>
            </w:r>
          </w:p>
        </w:tc>
        <w:tc>
          <w:tcPr>
            <w:tcW w:w="500" w:type="dxa"/>
            <w:vAlign w:val="bottom"/>
          </w:tcPr>
          <w:p>
            <w:pPr>
              <w:spacing w:after="0"/>
              <w:rPr>
                <w:sz w:val="20"/>
                <w:szCs w:val="20"/>
                <w:color w:val="auto"/>
              </w:rPr>
            </w:pPr>
          </w:p>
        </w:tc>
        <w:tc>
          <w:tcPr>
            <w:tcW w:w="2160" w:type="dxa"/>
            <w:vAlign w:val="bottom"/>
            <w:tcBorders>
              <w:bottom w:val="single" w:sz="8" w:color="859EB9"/>
            </w:tcBorders>
            <w:shd w:val="clear" w:color="auto" w:fill="859EB9"/>
          </w:tcPr>
          <w:p>
            <w:pPr>
              <w:jc w:val="right"/>
              <w:ind w:right="824"/>
              <w:spacing w:after="0"/>
              <w:rPr>
                <w:sz w:val="20"/>
                <w:szCs w:val="20"/>
                <w:color w:val="auto"/>
              </w:rPr>
            </w:pPr>
            <w:r>
              <w:rPr>
                <w:rFonts w:ascii="Arial" w:cs="Arial" w:eastAsia="Arial" w:hAnsi="Arial"/>
                <w:sz w:val="16"/>
                <w:szCs w:val="16"/>
                <w:b w:val="1"/>
                <w:bCs w:val="1"/>
                <w:color w:val="FFFFFF"/>
              </w:rPr>
              <w:t>2025</w:t>
            </w:r>
          </w:p>
        </w:tc>
        <w:tc>
          <w:tcPr>
            <w:tcW w:w="2140" w:type="dxa"/>
            <w:vAlign w:val="bottom"/>
            <w:tcBorders>
              <w:bottom w:val="single" w:sz="8" w:color="859EB9"/>
            </w:tcBorders>
            <w:shd w:val="clear" w:color="auto" w:fill="859EB9"/>
          </w:tcPr>
          <w:p>
            <w:pPr>
              <w:jc w:val="right"/>
              <w:ind w:right="799"/>
              <w:spacing w:after="0"/>
              <w:rPr>
                <w:sz w:val="20"/>
                <w:szCs w:val="20"/>
                <w:color w:val="auto"/>
              </w:rPr>
            </w:pPr>
            <w:r>
              <w:rPr>
                <w:rFonts w:ascii="Arial" w:cs="Arial" w:eastAsia="Arial" w:hAnsi="Arial"/>
                <w:sz w:val="16"/>
                <w:szCs w:val="16"/>
                <w:b w:val="1"/>
                <w:bCs w:val="1"/>
                <w:color w:val="FFFFFF"/>
              </w:rPr>
              <w:t>2026</w:t>
            </w:r>
          </w:p>
        </w:tc>
      </w:tr>
      <w:tr>
        <w:trPr>
          <w:trHeight w:val="309"/>
        </w:trPr>
        <w:tc>
          <w:tcPr>
            <w:tcW w:w="6440" w:type="dxa"/>
            <w:vAlign w:val="bottom"/>
            <w:gridSpan w:val="3"/>
            <w:shd w:val="clear" w:color="auto" w:fill="EFF3F7"/>
          </w:tcPr>
          <w:p>
            <w:pPr>
              <w:jc w:val="center"/>
              <w:spacing w:after="0"/>
              <w:rPr>
                <w:sz w:val="20"/>
                <w:szCs w:val="20"/>
                <w:color w:val="auto"/>
              </w:rPr>
            </w:pPr>
            <w:r>
              <w:rPr>
                <w:rFonts w:ascii="Arial" w:cs="Arial" w:eastAsia="Arial" w:hAnsi="Arial"/>
                <w:sz w:val="14"/>
                <w:szCs w:val="14"/>
                <w:b w:val="1"/>
                <w:bCs w:val="1"/>
                <w:color w:val="3E693D"/>
              </w:rPr>
              <w:t>Payout is calculated based on average ROTCE over the 3-year performance period</w:t>
            </w:r>
          </w:p>
        </w:tc>
        <w:tc>
          <w:tcPr>
            <w:tcW w:w="500" w:type="dxa"/>
            <w:vAlign w:val="bottom"/>
          </w:tcPr>
          <w:p>
            <w:pPr>
              <w:spacing w:after="0"/>
              <w:rPr>
                <w:sz w:val="24"/>
                <w:szCs w:val="24"/>
                <w:color w:val="auto"/>
              </w:rPr>
            </w:pPr>
          </w:p>
        </w:tc>
        <w:tc>
          <w:tcPr>
            <w:tcW w:w="4300" w:type="dxa"/>
            <w:vAlign w:val="bottom"/>
            <w:gridSpan w:val="2"/>
            <w:shd w:val="clear" w:color="auto" w:fill="EFF3F7"/>
          </w:tcPr>
          <w:p>
            <w:pPr>
              <w:jc w:val="center"/>
              <w:spacing w:after="0"/>
              <w:rPr>
                <w:sz w:val="20"/>
                <w:szCs w:val="20"/>
                <w:color w:val="auto"/>
              </w:rPr>
            </w:pPr>
            <w:r>
              <w:rPr>
                <w:rFonts w:ascii="Arial" w:cs="Arial" w:eastAsia="Arial" w:hAnsi="Arial"/>
                <w:sz w:val="14"/>
                <w:szCs w:val="14"/>
                <w:b w:val="1"/>
                <w:bCs w:val="1"/>
                <w:color w:val="3E693D"/>
              </w:rPr>
              <w:t>Ultimate number of units earned</w:t>
            </w:r>
          </w:p>
        </w:tc>
      </w:tr>
      <w:tr>
        <w:trPr>
          <w:trHeight w:val="83"/>
        </w:trPr>
        <w:tc>
          <w:tcPr>
            <w:tcW w:w="1560" w:type="dxa"/>
            <w:vAlign w:val="bottom"/>
            <w:shd w:val="clear" w:color="auto" w:fill="EFF3F7"/>
          </w:tcPr>
          <w:p>
            <w:pPr>
              <w:spacing w:after="0"/>
              <w:rPr>
                <w:sz w:val="7"/>
                <w:szCs w:val="7"/>
                <w:color w:val="auto"/>
              </w:rPr>
            </w:pPr>
          </w:p>
        </w:tc>
        <w:tc>
          <w:tcPr>
            <w:tcW w:w="3340" w:type="dxa"/>
            <w:vAlign w:val="bottom"/>
            <w:shd w:val="clear" w:color="auto" w:fill="EFF3F7"/>
          </w:tcPr>
          <w:p>
            <w:pPr>
              <w:spacing w:after="0"/>
              <w:rPr>
                <w:sz w:val="7"/>
                <w:szCs w:val="7"/>
                <w:color w:val="auto"/>
              </w:rPr>
            </w:pPr>
          </w:p>
        </w:tc>
        <w:tc>
          <w:tcPr>
            <w:tcW w:w="1540" w:type="dxa"/>
            <w:vAlign w:val="bottom"/>
            <w:shd w:val="clear" w:color="auto" w:fill="EFF3F7"/>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shd w:val="clear" w:color="auto" w:fill="EFF3F7"/>
          </w:tcPr>
          <w:p>
            <w:pPr>
              <w:spacing w:after="0"/>
              <w:rPr>
                <w:sz w:val="7"/>
                <w:szCs w:val="7"/>
                <w:color w:val="auto"/>
              </w:rPr>
            </w:pPr>
          </w:p>
        </w:tc>
        <w:tc>
          <w:tcPr>
            <w:tcW w:w="2140" w:type="dxa"/>
            <w:vAlign w:val="bottom"/>
            <w:shd w:val="clear" w:color="auto" w:fill="EFF3F7"/>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49720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460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074A75"/>
        </w:rPr>
        <w:t>Awards subject to reduction/cancellation/clawback based on Risk/Control features (including protection-based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hanging="192"/>
        <w:spacing w:after="0"/>
        <w:tabs>
          <w:tab w:leader="none" w:pos="20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Average ROTCE is calculated over the three-year performance period using unadjusted reported data as set forth in public financial disclosures.</w:t>
      </w:r>
    </w:p>
    <w:p>
      <w:pPr>
        <w:ind w:left="200" w:hanging="192"/>
        <w:spacing w:after="0" w:line="201" w:lineRule="auto"/>
        <w:tabs>
          <w:tab w:leader="none" w:pos="200" w:val="left"/>
        </w:tabs>
        <w:numPr>
          <w:ilvl w:val="0"/>
          <w:numId w:val="130"/>
        </w:numPr>
        <w:rPr>
          <w:rFonts w:ascii="Arial" w:cs="Arial" w:eastAsia="Arial" w:hAnsi="Arial"/>
          <w:sz w:val="16"/>
          <w:szCs w:val="16"/>
          <w:color w:val="auto"/>
          <w:vertAlign w:val="superscript"/>
        </w:rPr>
      </w:pPr>
      <w:r>
        <w:rPr>
          <w:rFonts w:ascii="Arial" w:cs="Arial" w:eastAsia="Arial" w:hAnsi="Arial"/>
          <w:sz w:val="13"/>
          <w:szCs w:val="13"/>
          <w:color w:val="auto"/>
        </w:rPr>
        <w:t>The CET1 ratio is a key regulatory capital measure; refer to Additional notes, Note 2, on page 111, for additional information on this measure.</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DETERMINING ABSOLUTE AND RELATIVE PSU PERFORMANCE GOALS</w:t>
      </w:r>
    </w:p>
    <w:p>
      <w:pPr>
        <w:spacing w:after="0" w:line="110" w:lineRule="exact"/>
        <w:rPr>
          <w:sz w:val="20"/>
          <w:szCs w:val="20"/>
          <w:color w:val="auto"/>
        </w:rPr>
      </w:pPr>
    </w:p>
    <w:p>
      <w:pPr>
        <w:ind w:left="200" w:right="40" w:hanging="192"/>
        <w:spacing w:after="0" w:line="256" w:lineRule="auto"/>
        <w:tabs>
          <w:tab w:leader="none" w:pos="204" w:val="left"/>
        </w:tabs>
        <w:numPr>
          <w:ilvl w:val="0"/>
          <w:numId w:val="131"/>
        </w:numPr>
        <w:rPr>
          <w:rFonts w:ascii="Arial" w:cs="Arial" w:eastAsia="Arial" w:hAnsi="Arial"/>
          <w:sz w:val="18"/>
          <w:szCs w:val="18"/>
          <w:color w:val="074A75"/>
        </w:rPr>
      </w:pPr>
      <w:r>
        <w:rPr>
          <w:rFonts w:ascii="Arial" w:cs="Arial" w:eastAsia="Arial" w:hAnsi="Arial"/>
          <w:sz w:val="18"/>
          <w:szCs w:val="18"/>
          <w:color w:val="auto"/>
        </w:rPr>
        <w:t>Each year, in determining the absolute ROTCE goal and minimum ROTCE threshold for that year’s PSU awards, the CMDC reviews the Firm’s historical performance and a reasonable range of possible net income and capital outcomes over the next three years. For the 2021 PSU awards granted in January 2022, these outcomes were considered in the context of (among other things) the expected impacts of: regulatory capital requirements; annual stress tests; interest rates; COVID-19; as well as the U.S. and global economic and geopolitical environment, all of which affect the range of ROTCE outcomes in the medium-term. To this end, the CMDC believes that it has set upper and lower absolute performance thresholds that are sufficiently rigorous compared to the Firm’s current ROTCE outlook over the next 3 years.</w:t>
      </w:r>
    </w:p>
    <w:p>
      <w:pPr>
        <w:spacing w:after="0" w:line="74" w:lineRule="exact"/>
        <w:rPr>
          <w:rFonts w:ascii="Arial" w:cs="Arial" w:eastAsia="Arial" w:hAnsi="Arial"/>
          <w:sz w:val="18"/>
          <w:szCs w:val="18"/>
          <w:color w:val="074A75"/>
        </w:rPr>
      </w:pPr>
    </w:p>
    <w:p>
      <w:pPr>
        <w:ind w:left="200" w:right="40" w:hanging="192"/>
        <w:spacing w:after="0" w:line="262" w:lineRule="auto"/>
        <w:tabs>
          <w:tab w:leader="none" w:pos="204" w:val="left"/>
        </w:tabs>
        <w:numPr>
          <w:ilvl w:val="0"/>
          <w:numId w:val="131"/>
        </w:numPr>
        <w:rPr>
          <w:rFonts w:ascii="Arial" w:cs="Arial" w:eastAsia="Arial" w:hAnsi="Arial"/>
          <w:sz w:val="18"/>
          <w:szCs w:val="18"/>
          <w:color w:val="074A75"/>
        </w:rPr>
      </w:pPr>
      <w:r>
        <w:rPr>
          <w:rFonts w:ascii="Arial" w:cs="Arial" w:eastAsia="Arial" w:hAnsi="Arial"/>
          <w:sz w:val="18"/>
          <w:szCs w:val="18"/>
          <w:color w:val="auto"/>
        </w:rPr>
        <w:t>Consistent with the Firm’s pay-for-performance philosophy, in setting the relative ROTCE performance goals for the 2021 PSU awards, the CMDC determined that payout above target should be limited to instances in which the Firm outperforms the majority of its competitors on a relative basis, with below target payout occurring in instances of underperformance. Achievement of median relative performance results in below-target payout. Outstanding relative performance, which results in a payout of 150%, is limited to achieving a top ranking.</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PSUS AWARDED FOR PERFORMANCE YEARS 2018, 2019, AND 2020</w:t>
      </w:r>
    </w:p>
    <w:p>
      <w:pPr>
        <w:spacing w:after="0" w:line="110" w:lineRule="exact"/>
        <w:rPr>
          <w:sz w:val="20"/>
          <w:szCs w:val="20"/>
          <w:color w:val="auto"/>
        </w:rPr>
      </w:pPr>
    </w:p>
    <w:p>
      <w:pPr>
        <w:ind w:left="200" w:right="180" w:hanging="192"/>
        <w:spacing w:after="0" w:line="262" w:lineRule="auto"/>
        <w:tabs>
          <w:tab w:leader="none" w:pos="204" w:val="left"/>
        </w:tabs>
        <w:numPr>
          <w:ilvl w:val="0"/>
          <w:numId w:val="132"/>
        </w:numPr>
        <w:rPr>
          <w:rFonts w:ascii="Arial" w:cs="Arial" w:eastAsia="Arial" w:hAnsi="Arial"/>
          <w:sz w:val="18"/>
          <w:szCs w:val="18"/>
          <w:color w:val="074A75"/>
        </w:rPr>
      </w:pPr>
      <w:r>
        <w:rPr>
          <w:rFonts w:ascii="Arial" w:cs="Arial" w:eastAsia="Arial" w:hAnsi="Arial"/>
          <w:sz w:val="18"/>
          <w:szCs w:val="18"/>
          <w:color w:val="auto"/>
        </w:rPr>
        <w:t>The Firm reported ROTCE of 19%, 14%, and 23% in 2019, 2020, and 2021 respectively, resulting in first quartile relative performance for each tranche of the 2018 PSU awards referencing those years. On March 25, 2022, the 2018 PSU awards vested at 150%. For the 2019 and 2020 PSU awards, the payout will be calculated once the performance period ends on December 31, 2022 and December 31, 2023 respectively, based on the Firm's absolute and relative three-year average ROTCE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407035</wp:posOffset>
            </wp:positionV>
            <wp:extent cx="27432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49  </w:t>
      </w:r>
      <w:r>
        <w:rPr>
          <w:sz w:val="1"/>
          <w:szCs w:val="1"/>
          <w:color w:val="auto"/>
        </w:rPr>
        <w:drawing>
          <wp:inline distT="0" distB="0" distL="0" distR="0">
            <wp:extent cx="2203450" cy="154305"/>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Strong ownership &amp; accountability provisions support our compensation philosophy</w:t>
      </w:r>
    </w:p>
    <w:p>
      <w:pPr>
        <w:sectPr>
          <w:pgSz w:w="11900" w:h="16838" w:orient="portrait"/>
          <w:cols w:equalWidth="0" w:num="1">
            <w:col w:w="11260"/>
          </w:cols>
          <w:pgMar w:left="320" w:top="157" w:right="319" w:bottom="1440" w:gutter="0" w:footer="0" w:header="0"/>
        </w:sectPr>
      </w:pPr>
    </w:p>
    <w:p>
      <w:pPr>
        <w:spacing w:after="0" w:line="231"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color w:val="074A75"/>
        </w:rPr>
        <w:t>STOCK OWNERSHIP GUIDELINE AND RETENTION REQUIREMENTS</w:t>
      </w:r>
    </w:p>
    <w:p>
      <w:pPr>
        <w:spacing w:after="0" w:line="5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CMDC believes it is important to align the interests of the OC members with those of our shareholders. To meet this objective, OC members are subject to a stock ownership guideline and retention policy.</w:t>
      </w:r>
    </w:p>
    <w:p>
      <w:pPr>
        <w:spacing w:after="0" w:line="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While on the Operating Committee, each member is required to accumulate either:</w:t>
      </w:r>
    </w:p>
    <w:p>
      <w:pPr>
        <w:spacing w:after="0" w:line="45" w:lineRule="exact"/>
        <w:rPr>
          <w:sz w:val="20"/>
          <w:szCs w:val="20"/>
          <w:color w:val="auto"/>
        </w:rPr>
      </w:pPr>
    </w:p>
    <w:p>
      <w:pPr>
        <w:ind w:left="200" w:right="240" w:hanging="192"/>
        <w:spacing w:after="0" w:line="287" w:lineRule="auto"/>
        <w:tabs>
          <w:tab w:leader="none" w:pos="204"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A minimum of between 200,000 and 400,000 shares (1 million shares for the CEO); or</w:t>
      </w:r>
    </w:p>
    <w:p>
      <w:pPr>
        <w:spacing w:after="0" w:line="4" w:lineRule="exact"/>
        <w:rPr>
          <w:rFonts w:ascii="Arial" w:cs="Arial" w:eastAsia="Arial" w:hAnsi="Arial"/>
          <w:sz w:val="18"/>
          <w:szCs w:val="18"/>
          <w:color w:val="074A75"/>
        </w:rPr>
      </w:pPr>
    </w:p>
    <w:p>
      <w:pPr>
        <w:ind w:left="200" w:right="240" w:hanging="192"/>
        <w:spacing w:after="0" w:line="287" w:lineRule="auto"/>
        <w:tabs>
          <w:tab w:leader="none" w:pos="204"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A minimum fixed dollar value of shares of between $10 million and $30 million ($75 million for the CEO).</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Shares credited for purposes of satisfying the above ownership levels include shares owned outright, as well as 50% of unvested RSUs and PSUs, but do not include stock appreciation rights ("SARs") or stock options.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stock ownership guideline must be met within six years of the later of the effective date of the policy or appointment to the Operating Committee. If the stock ownership guidelines are subsequently increased, the higher ownership guideline must be satisfied within six years of such revision, unless otherwise determined by the CEO and CMDC.</w:t>
      </w:r>
    </w:p>
    <w:p>
      <w:pPr>
        <w:spacing w:after="0" w:line="7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Prior to reaching their designated share ownership guideline, OC members are required to retain 75% of all net shares received from equity awards granted after they join the Operating Committee. Once they have met their ownership guideline, the policy requires OC members to continue retaining 50% of all net shares received from awards (75% for the CEO)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402965" cy="77978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402965" cy="779780"/>
                    </a:xfrm>
                    <a:prstGeom prst="rect">
                      <a:avLst/>
                    </a:prstGeom>
                    <a:noFill/>
                  </pic:spPr>
                </pic:pic>
              </a:graphicData>
            </a:graphic>
          </wp:anchor>
        </w:drawing>
      </w:r>
    </w:p>
    <w:p>
      <w:pPr>
        <w:spacing w:after="0" w:line="6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Retention Requirement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E7E7E8"/>
          </w:tcPr>
          <w:p>
            <w:pPr>
              <w:jc w:val="center"/>
              <w:spacing w:after="0"/>
              <w:rPr>
                <w:sz w:val="20"/>
                <w:szCs w:val="20"/>
                <w:color w:val="auto"/>
              </w:rPr>
            </w:pPr>
            <w:r>
              <w:rPr>
                <w:rFonts w:ascii="Arial" w:cs="Arial" w:eastAsia="Arial" w:hAnsi="Arial"/>
                <w:sz w:val="14"/>
                <w:szCs w:val="14"/>
                <w:b w:val="1"/>
                <w:bCs w:val="1"/>
                <w:color w:val="074A75"/>
              </w:rPr>
              <w:t>Before Guideline Met</w:t>
            </w:r>
          </w:p>
        </w:tc>
        <w:tc>
          <w:tcPr>
            <w:tcW w:w="2640" w:type="dxa"/>
            <w:vAlign w:val="bottom"/>
            <w:shd w:val="clear" w:color="auto" w:fill="E7E7E8"/>
          </w:tcPr>
          <w:p>
            <w:pPr>
              <w:jc w:val="center"/>
              <w:spacing w:after="0"/>
              <w:rPr>
                <w:sz w:val="20"/>
                <w:szCs w:val="20"/>
                <w:color w:val="auto"/>
              </w:rPr>
            </w:pPr>
            <w:r>
              <w:rPr>
                <w:rFonts w:ascii="Arial" w:cs="Arial" w:eastAsia="Arial" w:hAnsi="Arial"/>
                <w:sz w:val="14"/>
                <w:szCs w:val="14"/>
                <w:b w:val="1"/>
                <w:bCs w:val="1"/>
                <w:color w:val="074A75"/>
              </w:rPr>
              <w:t>After Guideline Met</w:t>
            </w:r>
          </w:p>
        </w:tc>
      </w:tr>
      <w:tr>
        <w:trPr>
          <w:trHeight w:val="180"/>
        </w:trPr>
        <w:tc>
          <w:tcPr>
            <w:tcW w:w="2720" w:type="dxa"/>
            <w:vAlign w:val="bottom"/>
          </w:tcPr>
          <w:p>
            <w:pPr>
              <w:jc w:val="center"/>
              <w:spacing w:after="0"/>
              <w:rPr>
                <w:sz w:val="20"/>
                <w:szCs w:val="20"/>
                <w:color w:val="auto"/>
              </w:rPr>
            </w:pPr>
            <w:r>
              <w:rPr>
                <w:rFonts w:ascii="Arial" w:cs="Arial" w:eastAsia="Arial" w:hAnsi="Arial"/>
                <w:sz w:val="14"/>
                <w:szCs w:val="14"/>
                <w:color w:val="auto"/>
              </w:rPr>
              <w:t>75% of net shares until</w:t>
            </w:r>
          </w:p>
        </w:tc>
        <w:tc>
          <w:tcPr>
            <w:tcW w:w="2640" w:type="dxa"/>
            <w:vAlign w:val="bottom"/>
          </w:tcPr>
          <w:p>
            <w:pPr>
              <w:jc w:val="center"/>
              <w:spacing w:after="0"/>
              <w:rPr>
                <w:sz w:val="20"/>
                <w:szCs w:val="20"/>
                <w:color w:val="auto"/>
              </w:rPr>
            </w:pPr>
            <w:r>
              <w:rPr>
                <w:rFonts w:ascii="Arial" w:cs="Arial" w:eastAsia="Arial" w:hAnsi="Arial"/>
                <w:sz w:val="14"/>
                <w:szCs w:val="14"/>
                <w:color w:val="auto"/>
              </w:rPr>
              <w:t>50% of net shares for the</w:t>
            </w:r>
          </w:p>
        </w:tc>
      </w:tr>
      <w:tr>
        <w:trPr>
          <w:trHeight w:val="162"/>
        </w:trPr>
        <w:tc>
          <w:tcPr>
            <w:tcW w:w="2720" w:type="dxa"/>
            <w:vAlign w:val="bottom"/>
          </w:tcPr>
          <w:p>
            <w:pPr>
              <w:jc w:val="center"/>
              <w:spacing w:after="0"/>
              <w:rPr>
                <w:sz w:val="20"/>
                <w:szCs w:val="20"/>
                <w:color w:val="auto"/>
              </w:rPr>
            </w:pPr>
            <w:r>
              <w:rPr>
                <w:rFonts w:ascii="Arial" w:cs="Arial" w:eastAsia="Arial" w:hAnsi="Arial"/>
                <w:sz w:val="14"/>
                <w:szCs w:val="14"/>
                <w:color w:val="auto"/>
              </w:rPr>
              <w:t>stock ownership guideline is met</w:t>
            </w:r>
          </w:p>
        </w:tc>
        <w:tc>
          <w:tcPr>
            <w:tcW w:w="2640" w:type="dxa"/>
            <w:vAlign w:val="bottom"/>
          </w:tcPr>
          <w:p>
            <w:pPr>
              <w:jc w:val="center"/>
              <w:spacing w:after="0"/>
              <w:rPr>
                <w:sz w:val="20"/>
                <w:szCs w:val="20"/>
                <w:color w:val="auto"/>
              </w:rPr>
            </w:pPr>
            <w:r>
              <w:rPr>
                <w:rFonts w:ascii="Arial" w:cs="Arial" w:eastAsia="Arial" w:hAnsi="Arial"/>
                <w:sz w:val="14"/>
                <w:szCs w:val="14"/>
                <w:color w:val="auto"/>
              </w:rPr>
              <w:t>duration of their service on the</w:t>
            </w:r>
          </w:p>
        </w:tc>
      </w:tr>
      <w:tr>
        <w:trPr>
          <w:trHeight w:val="164"/>
        </w:trPr>
        <w:tc>
          <w:tcPr>
            <w:tcW w:w="272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rPr>
              <w:t>Operating Committee</w:t>
            </w:r>
          </w:p>
        </w:tc>
      </w:tr>
      <w:tr>
        <w:trPr>
          <w:trHeight w:val="188"/>
        </w:trPr>
        <w:tc>
          <w:tcPr>
            <w:tcW w:w="272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4"/>
                <w:szCs w:val="14"/>
                <w:i w:val="1"/>
                <w:iCs w:val="1"/>
                <w:color w:val="auto"/>
              </w:rPr>
              <w:t>(75% for the CEO)</w:t>
            </w:r>
          </w:p>
        </w:tc>
      </w:tr>
    </w:tbl>
    <w:p>
      <w:pPr>
        <w:spacing w:after="0" w:line="11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Because OC members are required to continue accumulating shares even after having met their share ownership guideline, the resulting increase of share ownership over time further strengthens their interests with those of our shareholders.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ANTI-HEDGING/ANTI-PLEDGING PROVISIONS</w:t>
      </w:r>
    </w:p>
    <w:p>
      <w:pPr>
        <w:spacing w:after="0" w:line="11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employees are prohibited from hedging or pledging unvested RSUs and PSUs, and unexercised stock appreciation rights or stock options. In addition:</w:t>
      </w:r>
    </w:p>
    <w:p>
      <w:pPr>
        <w:spacing w:after="0" w:line="63" w:lineRule="exact"/>
        <w:rPr>
          <w:sz w:val="20"/>
          <w:szCs w:val="20"/>
          <w:color w:val="auto"/>
        </w:rPr>
      </w:pPr>
    </w:p>
    <w:p>
      <w:pPr>
        <w:ind w:left="200" w:right="760" w:hanging="192"/>
        <w:spacing w:after="0" w:line="287" w:lineRule="auto"/>
        <w:tabs>
          <w:tab w:leader="none" w:pos="204" w:val="left"/>
        </w:tabs>
        <w:numPr>
          <w:ilvl w:val="0"/>
          <w:numId w:val="134"/>
        </w:numPr>
        <w:rPr>
          <w:rFonts w:ascii="Arial" w:cs="Arial" w:eastAsia="Arial" w:hAnsi="Arial"/>
          <w:sz w:val="18"/>
          <w:szCs w:val="18"/>
          <w:color w:val="074A75"/>
        </w:rPr>
      </w:pPr>
      <w:r>
        <w:rPr>
          <w:rFonts w:ascii="Arial" w:cs="Arial" w:eastAsia="Arial" w:hAnsi="Arial"/>
          <w:sz w:val="18"/>
          <w:szCs w:val="18"/>
          <w:color w:val="auto"/>
        </w:rPr>
        <w:t>Hedging any shares owned outright or through deferred compensation by an OC member is prohibited</w:t>
      </w:r>
    </w:p>
    <w:p>
      <w:pPr>
        <w:spacing w:after="0" w:line="17" w:lineRule="exact"/>
        <w:rPr>
          <w:rFonts w:ascii="Arial" w:cs="Arial" w:eastAsia="Arial" w:hAnsi="Arial"/>
          <w:sz w:val="18"/>
          <w:szCs w:val="18"/>
          <w:color w:val="074A75"/>
        </w:rPr>
      </w:pPr>
    </w:p>
    <w:p>
      <w:pPr>
        <w:ind w:left="200" w:hanging="192"/>
        <w:spacing w:after="0" w:line="287" w:lineRule="auto"/>
        <w:tabs>
          <w:tab w:leader="none" w:pos="204" w:val="left"/>
        </w:tabs>
        <w:numPr>
          <w:ilvl w:val="0"/>
          <w:numId w:val="134"/>
        </w:numPr>
        <w:rPr>
          <w:rFonts w:ascii="Arial" w:cs="Arial" w:eastAsia="Arial" w:hAnsi="Arial"/>
          <w:sz w:val="18"/>
          <w:szCs w:val="18"/>
          <w:color w:val="074A75"/>
        </w:rPr>
      </w:pPr>
      <w:r>
        <w:rPr>
          <w:rFonts w:ascii="Arial" w:cs="Arial" w:eastAsia="Arial" w:hAnsi="Arial"/>
          <w:sz w:val="18"/>
          <w:szCs w:val="18"/>
          <w:color w:val="auto"/>
        </w:rPr>
        <w:t>Shares held directly by an OC or Board member may not be held in margin accounts or otherwise pledged</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information on the hedging/pledging restrictions applicable to our directors, please see “Director compensation” on pages 32 and 33.</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INTEGRATING RISK WITH COMPENSATION</w:t>
      </w:r>
    </w:p>
    <w:p>
      <w:pPr>
        <w:spacing w:after="0" w:line="11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CMDC holds an annual joint session with the Risk Committee to review Firmwide Human Resources and compensation practices, including:</w:t>
      </w:r>
    </w:p>
    <w:p>
      <w:pPr>
        <w:spacing w:after="0" w:line="63" w:lineRule="exact"/>
        <w:rPr>
          <w:sz w:val="20"/>
          <w:szCs w:val="20"/>
          <w:color w:val="auto"/>
        </w:rPr>
      </w:pPr>
    </w:p>
    <w:p>
      <w:pPr>
        <w:ind w:left="200" w:right="280" w:hanging="196"/>
        <w:spacing w:after="0" w:line="268" w:lineRule="auto"/>
        <w:tabs>
          <w:tab w:leader="none" w:pos="204" w:val="left"/>
        </w:tabs>
        <w:numPr>
          <w:ilvl w:val="0"/>
          <w:numId w:val="135"/>
        </w:numPr>
        <w:rPr>
          <w:rFonts w:ascii="Arial" w:cs="Arial" w:eastAsia="Arial" w:hAnsi="Arial"/>
          <w:sz w:val="18"/>
          <w:szCs w:val="18"/>
          <w:color w:val="074A75"/>
        </w:rPr>
      </w:pPr>
      <w:r>
        <w:rPr>
          <w:rFonts w:ascii="Arial" w:cs="Arial" w:eastAsia="Arial" w:hAnsi="Arial"/>
          <w:sz w:val="18"/>
          <w:szCs w:val="18"/>
          <w:color w:val="auto"/>
        </w:rPr>
        <w:t>How we integrate risk, controls and conduct considerations into key HR practices including performance development, compensation, promotion and succession planning</w:t>
      </w:r>
    </w:p>
    <w:p>
      <w:pPr>
        <w:spacing w:after="0" w:line="22" w:lineRule="exact"/>
        <w:rPr>
          <w:rFonts w:ascii="Arial" w:cs="Arial" w:eastAsia="Arial" w:hAnsi="Arial"/>
          <w:sz w:val="18"/>
          <w:szCs w:val="18"/>
          <w:color w:val="074A75"/>
        </w:rPr>
      </w:pPr>
    </w:p>
    <w:p>
      <w:pPr>
        <w:ind w:left="200" w:right="420" w:hanging="196"/>
        <w:spacing w:after="0" w:line="268" w:lineRule="auto"/>
        <w:tabs>
          <w:tab w:leader="none" w:pos="204" w:val="left"/>
        </w:tabs>
        <w:numPr>
          <w:ilvl w:val="0"/>
          <w:numId w:val="135"/>
        </w:numPr>
        <w:rPr>
          <w:rFonts w:ascii="Arial" w:cs="Arial" w:eastAsia="Arial" w:hAnsi="Arial"/>
          <w:sz w:val="18"/>
          <w:szCs w:val="18"/>
          <w:color w:val="074A75"/>
        </w:rPr>
      </w:pPr>
      <w:r>
        <w:rPr>
          <w:rFonts w:ascii="Arial" w:cs="Arial" w:eastAsia="Arial" w:hAnsi="Arial"/>
          <w:sz w:val="18"/>
          <w:szCs w:val="18"/>
          <w:color w:val="auto"/>
        </w:rPr>
        <w:t>Compensation features and elements designed to discourage imprudent risk-taking (e.g., multi-year vesting, clawbacks, prohibition on hedging, etc.)</w:t>
      </w:r>
    </w:p>
    <w:p>
      <w:pPr>
        <w:spacing w:after="0" w:line="22" w:lineRule="exact"/>
        <w:rPr>
          <w:rFonts w:ascii="Arial" w:cs="Arial" w:eastAsia="Arial" w:hAnsi="Arial"/>
          <w:sz w:val="18"/>
          <w:szCs w:val="18"/>
          <w:color w:val="074A75"/>
        </w:rPr>
      </w:pPr>
    </w:p>
    <w:p>
      <w:pPr>
        <w:ind w:left="200" w:hanging="196"/>
        <w:spacing w:after="0"/>
        <w:tabs>
          <w:tab w:leader="none" w:pos="200" w:val="left"/>
        </w:tabs>
        <w:numPr>
          <w:ilvl w:val="0"/>
          <w:numId w:val="135"/>
        </w:numPr>
        <w:rPr>
          <w:rFonts w:ascii="Arial" w:cs="Arial" w:eastAsia="Arial" w:hAnsi="Arial"/>
          <w:sz w:val="18"/>
          <w:szCs w:val="18"/>
          <w:color w:val="074A75"/>
        </w:rPr>
      </w:pPr>
      <w:r>
        <w:rPr>
          <w:rFonts w:ascii="Arial" w:cs="Arial" w:eastAsia="Arial" w:hAnsi="Arial"/>
          <w:sz w:val="18"/>
          <w:szCs w:val="18"/>
          <w:color w:val="auto"/>
        </w:rPr>
        <w:t>Annual incentive pool processes for LOBs and functions</w:t>
      </w:r>
    </w:p>
    <w:p>
      <w:pPr>
        <w:spacing w:after="0" w:line="90" w:lineRule="exact"/>
        <w:rPr>
          <w:rFonts w:ascii="Arial" w:cs="Arial" w:eastAsia="Arial" w:hAnsi="Arial"/>
          <w:sz w:val="18"/>
          <w:szCs w:val="18"/>
          <w:color w:val="074A75"/>
        </w:rPr>
      </w:pPr>
    </w:p>
    <w:p>
      <w:pPr>
        <w:ind w:left="200" w:right="540" w:hanging="196"/>
        <w:spacing w:after="0" w:line="287" w:lineRule="auto"/>
        <w:tabs>
          <w:tab w:leader="none" w:pos="204" w:val="left"/>
        </w:tabs>
        <w:numPr>
          <w:ilvl w:val="0"/>
          <w:numId w:val="135"/>
        </w:numPr>
        <w:rPr>
          <w:rFonts w:ascii="Arial" w:cs="Arial" w:eastAsia="Arial" w:hAnsi="Arial"/>
          <w:sz w:val="18"/>
          <w:szCs w:val="18"/>
          <w:color w:val="074A75"/>
        </w:rPr>
      </w:pPr>
      <w:r>
        <w:rPr>
          <w:rFonts w:ascii="Arial" w:cs="Arial" w:eastAsia="Arial" w:hAnsi="Arial"/>
          <w:sz w:val="18"/>
          <w:szCs w:val="18"/>
          <w:color w:val="auto"/>
        </w:rPr>
        <w:t>Regulatory updates which have impacted or may impact HR practices in the future</w:t>
      </w:r>
    </w:p>
    <w:p>
      <w:pPr>
        <w:spacing w:after="0" w:line="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committees are also provided with information on our performance development process, a summary of risk, controls and conduct feedback, and updates regarding HR Control Forum issues.</w:t>
      </w:r>
    </w:p>
    <w:p>
      <w:pPr>
        <w:spacing w:after="0" w:line="65" w:lineRule="exact"/>
        <w:rPr>
          <w:sz w:val="20"/>
          <w:szCs w:val="20"/>
          <w:color w:val="auto"/>
        </w:rPr>
      </w:pPr>
    </w:p>
    <w:p>
      <w:pPr>
        <w:ind w:right="1280"/>
        <w:spacing w:after="0" w:line="271" w:lineRule="auto"/>
        <w:rPr>
          <w:sz w:val="20"/>
          <w:szCs w:val="20"/>
          <w:color w:val="auto"/>
        </w:rPr>
      </w:pPr>
      <w:r>
        <w:rPr>
          <w:rFonts w:ascii="Arial" w:cs="Arial" w:eastAsia="Arial" w:hAnsi="Arial"/>
          <w:sz w:val="20"/>
          <w:szCs w:val="20"/>
          <w:color w:val="074A75"/>
        </w:rPr>
        <w:t>STRONG ACCOUNTABILITY AND RECOVERY PROVISIONS</w:t>
      </w:r>
    </w:p>
    <w:p>
      <w:pPr>
        <w:spacing w:after="0" w:line="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executive compensation program is designed to hold executives accountable, when appropriate, for meaningful actions or issues that negatively impact business performance or the Firm’s reputation in current or future years.</w:t>
      </w:r>
    </w:p>
    <w:p>
      <w:pPr>
        <w:spacing w:after="0" w:line="6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Issues that may warrant recovery determinations can be raised at any time, including in HR Control Forums, annual assessments of employee performance and when Designated Employees resign or their employment is terminated by the Firm. Under the Firm’s process to govern these determinations:</w:t>
      </w:r>
    </w:p>
    <w:p>
      <w:pPr>
        <w:spacing w:after="0" w:line="71" w:lineRule="exact"/>
        <w:rPr>
          <w:sz w:val="20"/>
          <w:szCs w:val="20"/>
          <w:color w:val="auto"/>
        </w:rPr>
      </w:pPr>
    </w:p>
    <w:p>
      <w:pPr>
        <w:ind w:left="200" w:right="240" w:hanging="196"/>
        <w:spacing w:after="0" w:line="282" w:lineRule="auto"/>
        <w:tabs>
          <w:tab w:leader="none" w:pos="204" w:val="left"/>
        </w:tabs>
        <w:numPr>
          <w:ilvl w:val="0"/>
          <w:numId w:val="136"/>
        </w:numPr>
        <w:rPr>
          <w:rFonts w:ascii="Arial" w:cs="Arial" w:eastAsia="Arial" w:hAnsi="Arial"/>
          <w:sz w:val="17"/>
          <w:szCs w:val="17"/>
          <w:color w:val="074A75"/>
        </w:rPr>
      </w:pPr>
      <w:r>
        <w:rPr>
          <w:rFonts w:ascii="Arial" w:cs="Arial" w:eastAsia="Arial" w:hAnsi="Arial"/>
          <w:sz w:val="17"/>
          <w:szCs w:val="17"/>
          <w:color w:val="auto"/>
        </w:rPr>
        <w:t>We have established a process for reviewing compensation or other employee actions following a determination that the cause and materiality of a risk-related loss, issue or other set of facts and circumstances warrants such a review of accountability</w:t>
      </w:r>
    </w:p>
    <w:p>
      <w:pPr>
        <w:spacing w:after="0" w:line="12" w:lineRule="exact"/>
        <w:rPr>
          <w:rFonts w:ascii="Arial" w:cs="Arial" w:eastAsia="Arial" w:hAnsi="Arial"/>
          <w:sz w:val="17"/>
          <w:szCs w:val="17"/>
          <w:color w:val="074A75"/>
        </w:rPr>
      </w:pPr>
    </w:p>
    <w:p>
      <w:pPr>
        <w:ind w:left="200" w:right="160" w:hanging="196"/>
        <w:spacing w:after="0" w:line="255" w:lineRule="auto"/>
        <w:tabs>
          <w:tab w:leader="none" w:pos="204" w:val="left"/>
        </w:tabs>
        <w:numPr>
          <w:ilvl w:val="0"/>
          <w:numId w:val="136"/>
        </w:numPr>
        <w:rPr>
          <w:rFonts w:ascii="Arial" w:cs="Arial" w:eastAsia="Arial" w:hAnsi="Arial"/>
          <w:sz w:val="18"/>
          <w:szCs w:val="18"/>
          <w:color w:val="074A75"/>
        </w:rPr>
      </w:pPr>
      <w:r>
        <w:rPr>
          <w:rFonts w:ascii="Arial" w:cs="Arial" w:eastAsia="Arial" w:hAnsi="Arial"/>
          <w:sz w:val="18"/>
          <w:szCs w:val="18"/>
          <w:color w:val="auto"/>
        </w:rPr>
        <w:t>The CMDC is responsible for determinations involving OC members (determinations involving the CEO are subject to ratification by independent members of the Board). The Firm has a framework that identifies and assesses employee risk and drives consistent management decisions and discipline. For more material risk and control issues, the HR Control Forum process described on the following page explains how issues are reviewed and impacts are recommended.</w:t>
      </w:r>
    </w:p>
    <w:p>
      <w:pPr>
        <w:spacing w:after="0" w:line="1082"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HOLDING INDIVIDUALS ACCOUNTABLE</w:t>
      </w:r>
    </w:p>
    <w:p>
      <w:pPr>
        <w:spacing w:after="0" w:line="11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hold individuals responsible for taking risks inconsistent with the Firm’s risk appetite and to discourage future imprudent behavior, the Firm has policies and procedures that enable it to take timely and proportionate actions with respect to accountable individuals, including:</w:t>
      </w:r>
    </w:p>
    <w:p>
      <w:pPr>
        <w:sectPr>
          <w:pgSz w:w="11900" w:h="16838" w:orient="portrait"/>
          <w:cols w:equalWidth="0" w:num="1">
            <w:col w:w="11260"/>
          </w:cols>
          <w:pgMar w:left="320" w:top="157" w:right="319" w:bottom="1135" w:gutter="0" w:footer="0" w:header="0"/>
        </w:sectPr>
      </w:pPr>
    </w:p>
    <w:p>
      <w:pPr>
        <w:spacing w:after="0" w:line="112"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Reduce or altogether eliminate annual incentive compensation;</w:t>
      </w:r>
    </w:p>
    <w:p>
      <w:pPr>
        <w:spacing w:after="0" w:line="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7"/>
          <w:szCs w:val="17"/>
          <w:color w:val="auto"/>
        </w:rPr>
        <w:t>Cancel unvested awards (in full or in part);</w:t>
      </w:r>
    </w:p>
    <w:p>
      <w:pPr>
        <w:spacing w:after="0" w:line="90" w:lineRule="exact"/>
        <w:rPr>
          <w:sz w:val="20"/>
          <w:szCs w:val="20"/>
          <w:color w:val="auto"/>
        </w:rPr>
      </w:pPr>
    </w:p>
    <w:p>
      <w:pPr>
        <w:ind w:left="340" w:right="340" w:hanging="332"/>
        <w:spacing w:after="0" w:line="287" w:lineRule="auto"/>
        <w:tabs>
          <w:tab w:leader="none" w:pos="35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Clawback/Recover previously paid incentive compensation (cash and/or equity);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074A75"/>
        </w:rPr>
        <w:t>Summary of Reasons for Cancellations &amp; Clawbacks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74A75"/>
              </w:rPr>
              <w:t>Trigger</w:t>
            </w:r>
          </w:p>
        </w:tc>
        <w:tc>
          <w:tcPr>
            <w:tcW w:w="1840" w:type="dxa"/>
            <w:vAlign w:val="bottom"/>
            <w:tcBorders>
              <w:bottom w:val="single" w:sz="8" w:color="auto"/>
            </w:tcBorders>
          </w:tcPr>
          <w:p>
            <w:pPr>
              <w:jc w:val="center"/>
              <w:ind w:left="832"/>
              <w:spacing w:after="0"/>
              <w:rPr>
                <w:sz w:val="20"/>
                <w:szCs w:val="20"/>
                <w:color w:val="auto"/>
              </w:rPr>
            </w:pPr>
            <w:r>
              <w:rPr>
                <w:rFonts w:ascii="Arial" w:cs="Arial" w:eastAsia="Arial" w:hAnsi="Arial"/>
                <w:sz w:val="16"/>
                <w:szCs w:val="16"/>
                <w:b w:val="1"/>
                <w:bCs w:val="1"/>
                <w:color w:val="074A75"/>
                <w:w w:val="99"/>
              </w:rPr>
              <w:t>Vested</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74A75"/>
              </w:rPr>
              <w:t>Unvested</w:t>
            </w:r>
          </w:p>
        </w:tc>
      </w:tr>
      <w:tr>
        <w:trPr>
          <w:trHeight w:val="267"/>
        </w:trPr>
        <w:tc>
          <w:tcPr>
            <w:tcW w:w="2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Restatement</w:t>
            </w:r>
          </w:p>
        </w:tc>
        <w:tc>
          <w:tcPr>
            <w:tcW w:w="1840" w:type="dxa"/>
            <w:vAlign w:val="bottom"/>
            <w:shd w:val="clear" w:color="auto" w:fill="E7E7E8"/>
          </w:tcPr>
          <w:p>
            <w:pPr>
              <w:jc w:val="center"/>
              <w:ind w:left="832"/>
              <w:spacing w:after="0" w:line="181" w:lineRule="exact"/>
              <w:rPr>
                <w:sz w:val="20"/>
                <w:szCs w:val="20"/>
                <w:color w:val="auto"/>
              </w:rPr>
            </w:pPr>
            <w:r>
              <w:rPr>
                <w:rFonts w:ascii="MS PGothic" w:cs="MS PGothic" w:eastAsia="MS PGothic" w:hAnsi="MS PGothic"/>
                <w:sz w:val="18"/>
                <w:szCs w:val="18"/>
                <w:color w:val="3E693D"/>
                <w:w w:val="88"/>
              </w:rPr>
              <w:t>✔</w:t>
            </w:r>
          </w:p>
        </w:tc>
        <w:tc>
          <w:tcPr>
            <w:tcW w:w="1100" w:type="dxa"/>
            <w:vAlign w:val="bottom"/>
            <w:shd w:val="clear" w:color="auto" w:fill="E7E7E8"/>
          </w:tcPr>
          <w:p>
            <w:pPr>
              <w:jc w:val="center"/>
              <w:spacing w:after="0" w:line="181" w:lineRule="exact"/>
              <w:rPr>
                <w:sz w:val="20"/>
                <w:szCs w:val="20"/>
                <w:color w:val="auto"/>
              </w:rPr>
            </w:pPr>
            <w:r>
              <w:rPr>
                <w:rFonts w:ascii="MS PGothic" w:cs="MS PGothic" w:eastAsia="MS PGothic" w:hAnsi="MS PGothic"/>
                <w:sz w:val="18"/>
                <w:szCs w:val="18"/>
                <w:color w:val="3E693D"/>
                <w:w w:val="88"/>
              </w:rPr>
              <w:t>✔</w:t>
            </w:r>
          </w:p>
        </w:tc>
      </w:tr>
      <w:tr>
        <w:trPr>
          <w:trHeight w:val="270"/>
        </w:trPr>
        <w:tc>
          <w:tcPr>
            <w:tcW w:w="2380" w:type="dxa"/>
            <w:vAlign w:val="bottom"/>
          </w:tcPr>
          <w:p>
            <w:pPr>
              <w:ind w:left="20"/>
              <w:spacing w:after="0"/>
              <w:rPr>
                <w:sz w:val="20"/>
                <w:szCs w:val="20"/>
                <w:color w:val="auto"/>
              </w:rPr>
            </w:pPr>
            <w:r>
              <w:rPr>
                <w:rFonts w:ascii="Arial" w:cs="Arial" w:eastAsia="Arial" w:hAnsi="Arial"/>
                <w:sz w:val="16"/>
                <w:szCs w:val="16"/>
                <w:color w:val="auto"/>
              </w:rPr>
              <w:t>Misconduct</w:t>
            </w:r>
          </w:p>
        </w:tc>
        <w:tc>
          <w:tcPr>
            <w:tcW w:w="1840" w:type="dxa"/>
            <w:vAlign w:val="bottom"/>
          </w:tcPr>
          <w:p>
            <w:pPr>
              <w:jc w:val="center"/>
              <w:ind w:left="832"/>
              <w:spacing w:after="0" w:line="181" w:lineRule="exact"/>
              <w:rPr>
                <w:sz w:val="20"/>
                <w:szCs w:val="20"/>
                <w:color w:val="auto"/>
              </w:rPr>
            </w:pPr>
            <w:r>
              <w:rPr>
                <w:rFonts w:ascii="MS PGothic" w:cs="MS PGothic" w:eastAsia="MS PGothic" w:hAnsi="MS PGothic"/>
                <w:sz w:val="18"/>
                <w:szCs w:val="18"/>
                <w:color w:val="3E693D"/>
                <w:w w:val="88"/>
              </w:rPr>
              <w:t>✔</w:t>
            </w: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3E693D"/>
                <w:w w:val="88"/>
              </w:rPr>
              <w:t>✔</w:t>
            </w:r>
          </w:p>
        </w:tc>
      </w:tr>
      <w:tr>
        <w:trPr>
          <w:trHeight w:val="270"/>
        </w:trPr>
        <w:tc>
          <w:tcPr>
            <w:tcW w:w="2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Risk-related</w:t>
            </w:r>
          </w:p>
        </w:tc>
        <w:tc>
          <w:tcPr>
            <w:tcW w:w="1840" w:type="dxa"/>
            <w:vAlign w:val="bottom"/>
            <w:shd w:val="clear" w:color="auto" w:fill="E7E7E8"/>
          </w:tcPr>
          <w:p>
            <w:pPr>
              <w:jc w:val="center"/>
              <w:ind w:left="832"/>
              <w:spacing w:after="0" w:line="181" w:lineRule="exact"/>
              <w:rPr>
                <w:sz w:val="20"/>
                <w:szCs w:val="20"/>
                <w:color w:val="auto"/>
              </w:rPr>
            </w:pPr>
            <w:r>
              <w:rPr>
                <w:rFonts w:ascii="MS PGothic" w:cs="MS PGothic" w:eastAsia="MS PGothic" w:hAnsi="MS PGothic"/>
                <w:sz w:val="18"/>
                <w:szCs w:val="18"/>
                <w:color w:val="3E693D"/>
                <w:w w:val="88"/>
              </w:rPr>
              <w:t>✔</w:t>
            </w:r>
          </w:p>
        </w:tc>
        <w:tc>
          <w:tcPr>
            <w:tcW w:w="1100" w:type="dxa"/>
            <w:vAlign w:val="bottom"/>
            <w:shd w:val="clear" w:color="auto" w:fill="E7E7E8"/>
          </w:tcPr>
          <w:p>
            <w:pPr>
              <w:jc w:val="center"/>
              <w:spacing w:after="0" w:line="181" w:lineRule="exact"/>
              <w:rPr>
                <w:sz w:val="20"/>
                <w:szCs w:val="20"/>
                <w:color w:val="auto"/>
              </w:rPr>
            </w:pPr>
            <w:r>
              <w:rPr>
                <w:rFonts w:ascii="MS PGothic" w:cs="MS PGothic" w:eastAsia="MS PGothic" w:hAnsi="MS PGothic"/>
                <w:sz w:val="18"/>
                <w:szCs w:val="18"/>
                <w:color w:val="3E693D"/>
                <w:w w:val="88"/>
              </w:rPr>
              <w:t>✔</w:t>
            </w:r>
          </w:p>
        </w:tc>
      </w:tr>
      <w:tr>
        <w:trPr>
          <w:trHeight w:val="283"/>
        </w:trPr>
        <w:tc>
          <w:tcPr>
            <w:tcW w:w="2380" w:type="dxa"/>
            <w:vAlign w:val="bottom"/>
          </w:tcPr>
          <w:p>
            <w:pPr>
              <w:ind w:left="20"/>
              <w:spacing w:after="0"/>
              <w:rPr>
                <w:sz w:val="20"/>
                <w:szCs w:val="20"/>
                <w:color w:val="auto"/>
              </w:rPr>
            </w:pPr>
            <w:r>
              <w:rPr>
                <w:rFonts w:ascii="Arial" w:cs="Arial" w:eastAsia="Arial" w:hAnsi="Arial"/>
                <w:sz w:val="16"/>
                <w:szCs w:val="16"/>
                <w:color w:val="auto"/>
              </w:rPr>
              <w:t>Protection-based</w:t>
            </w:r>
          </w:p>
        </w:tc>
        <w:tc>
          <w:tcPr>
            <w:tcW w:w="1840" w:type="dxa"/>
            <w:vAlign w:val="bottom"/>
          </w:tcPr>
          <w:p>
            <w:pPr>
              <w:spacing w:after="0"/>
              <w:rPr>
                <w:sz w:val="24"/>
                <w:szCs w:val="24"/>
                <w:color w:val="auto"/>
              </w:rPr>
            </w:pP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3E693D"/>
                <w:w w:val="88"/>
              </w:rPr>
              <w:t>✔</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320" w:right="460" w:hanging="319"/>
        <w:spacing w:after="0" w:line="281" w:lineRule="auto"/>
        <w:tabs>
          <w:tab w:leader="none" w:pos="300" w:val="left"/>
        </w:tabs>
        <w:rPr>
          <w:sz w:val="20"/>
          <w:szCs w:val="20"/>
          <w:color w:val="auto"/>
        </w:rPr>
      </w:pPr>
      <w:r>
        <w:rPr>
          <w:rFonts w:ascii="Arial" w:cs="Arial" w:eastAsia="Arial" w:hAnsi="Arial"/>
          <w:sz w:val="18"/>
          <w:szCs w:val="18"/>
          <w:color w:val="auto"/>
        </w:rPr>
        <w:t>IV.</w:t>
        <w:tab/>
        <w:t>Demotion, negative performance rating or other appropriate employment actions; and</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7"/>
          <w:szCs w:val="17"/>
          <w:color w:val="auto"/>
        </w:rPr>
        <w:t>Termination of employment.</w:t>
      </w:r>
    </w:p>
    <w:p>
      <w:pPr>
        <w:spacing w:after="0" w:line="63"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Firm has a framework in place that provides for recommended impacts to drive consistency. However, the precise actions we take with respect to accountable individuals, which may also include coaching and training in addition to the above, are based on the relevant circumstances, including the nature of their involvement, the magnitude of the event and the impact on the Firm.</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074A75"/>
        </w:rPr>
        <w:t>Clawback Disclosure</w:t>
      </w:r>
    </w:p>
    <w:p>
      <w:pPr>
        <w:spacing w:after="0" w:line="11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2021, we did not take any action to recover or clawback any incentive compensation from the OC members or Firmwide Controller.</w:t>
      </w:r>
    </w:p>
    <w:p>
      <w:pPr>
        <w:spacing w:after="0" w:line="87" w:lineRule="exact"/>
        <w:rPr>
          <w:sz w:val="20"/>
          <w:szCs w:val="20"/>
          <w:color w:val="auto"/>
        </w:rPr>
      </w:pPr>
    </w:p>
    <w:p>
      <w:pPr>
        <w:sectPr>
          <w:pgSz w:w="11900" w:h="16838" w:orient="portrait"/>
          <w:cols w:equalWidth="0" w:num="2">
            <w:col w:w="5360" w:space="380"/>
            <w:col w:w="5520"/>
          </w:cols>
          <w:pgMar w:left="320" w:top="157" w:right="319" w:bottom="1135" w:gutter="0" w:footer="0" w:header="0"/>
          <w:type w:val="continuous"/>
        </w:sectPr>
      </w:pPr>
    </w:p>
    <w:p>
      <w:pPr>
        <w:spacing w:after="0"/>
        <w:rPr>
          <w:sz w:val="20"/>
          <w:szCs w:val="20"/>
          <w:color w:val="auto"/>
        </w:rPr>
      </w:pPr>
      <w:r>
        <w:rPr>
          <w:rFonts w:ascii="Arial" w:cs="Arial" w:eastAsia="Arial" w:hAnsi="Arial"/>
          <w:sz w:val="20"/>
          <w:szCs w:val="20"/>
          <w:color w:val="074A75"/>
        </w:rPr>
        <w:t>RISK, CONTROLS &amp; CONDUCT REVIEW PROCESS</w:t>
      </w:r>
    </w:p>
    <w:p>
      <w:pPr>
        <w:spacing w:after="0" w:line="20"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A summary of the review processes we maintain to evaluate risk, controls and conduct issues and to identify individuals who may be subject to remedial actions such as impacts to performance assessment, additional training, compensation and/or termination is provided below:</w:t>
      </w:r>
    </w:p>
    <w:tbl>
      <w:tblPr>
        <w:tblLayout w:type="fixed"/>
        <w:tblInd w:w="0" w:type="dxa"/>
        <w:tblCellMar>
          <w:top w:w="0" w:type="dxa"/>
          <w:left w:w="0" w:type="dxa"/>
          <w:bottom w:w="0" w:type="dxa"/>
          <w:right w:w="0" w:type="dxa"/>
        </w:tblCellMar>
      </w:tblPr>
      <w:tr>
        <w:trPr>
          <w:trHeight w:val="498"/>
        </w:trPr>
        <w:tc>
          <w:tcPr>
            <w:tcW w:w="540" w:type="dxa"/>
            <w:vAlign w:val="bottom"/>
            <w:shd w:val="clear" w:color="auto" w:fill="3E693D"/>
          </w:tcPr>
          <w:p>
            <w:pPr>
              <w:jc w:val="right"/>
              <w:ind w:right="18"/>
              <w:spacing w:after="0"/>
              <w:rPr>
                <w:sz w:val="20"/>
                <w:szCs w:val="20"/>
                <w:color w:val="auto"/>
              </w:rPr>
            </w:pPr>
            <w:r>
              <w:rPr>
                <w:rFonts w:ascii="Arial" w:cs="Arial" w:eastAsia="Arial" w:hAnsi="Arial"/>
                <w:sz w:val="32"/>
                <w:szCs w:val="32"/>
                <w:b w:val="1"/>
                <w:bCs w:val="1"/>
                <w:color w:val="FFFFFF"/>
              </w:rPr>
              <w:t>1</w:t>
            </w:r>
          </w:p>
        </w:tc>
        <w:tc>
          <w:tcPr>
            <w:tcW w:w="5820" w:type="dxa"/>
            <w:vAlign w:val="bottom"/>
            <w:shd w:val="clear" w:color="auto" w:fill="EEEFEF"/>
          </w:tcPr>
          <w:p>
            <w:pPr>
              <w:ind w:left="180"/>
              <w:spacing w:after="0"/>
              <w:rPr>
                <w:sz w:val="20"/>
                <w:szCs w:val="20"/>
                <w:color w:val="auto"/>
              </w:rPr>
            </w:pPr>
            <w:r>
              <w:rPr>
                <w:rFonts w:ascii="Arial" w:cs="Arial" w:eastAsia="Arial" w:hAnsi="Arial"/>
                <w:sz w:val="18"/>
                <w:szCs w:val="18"/>
                <w:b w:val="1"/>
                <w:bCs w:val="1"/>
                <w:color w:val="3E693D"/>
              </w:rPr>
              <w:t>Enhanced performance reviews</w:t>
            </w:r>
          </w:p>
        </w:tc>
        <w:tc>
          <w:tcPr>
            <w:tcW w:w="100" w:type="dxa"/>
            <w:vAlign w:val="bottom"/>
          </w:tcPr>
          <w:p>
            <w:pPr>
              <w:spacing w:after="0"/>
              <w:rPr>
                <w:sz w:val="24"/>
                <w:szCs w:val="24"/>
                <w:color w:val="auto"/>
              </w:rPr>
            </w:pPr>
          </w:p>
        </w:tc>
        <w:tc>
          <w:tcPr>
            <w:tcW w:w="540" w:type="dxa"/>
            <w:vAlign w:val="bottom"/>
            <w:shd w:val="clear" w:color="auto" w:fill="3E693D"/>
          </w:tcPr>
          <w:p>
            <w:pPr>
              <w:jc w:val="right"/>
              <w:ind w:right="18"/>
              <w:spacing w:after="0"/>
              <w:rPr>
                <w:sz w:val="20"/>
                <w:szCs w:val="20"/>
                <w:color w:val="auto"/>
              </w:rPr>
            </w:pPr>
            <w:r>
              <w:rPr>
                <w:rFonts w:ascii="Arial" w:cs="Arial" w:eastAsia="Arial" w:hAnsi="Arial"/>
                <w:sz w:val="32"/>
                <w:szCs w:val="32"/>
                <w:b w:val="1"/>
                <w:bCs w:val="1"/>
                <w:color w:val="FFFFFF"/>
              </w:rPr>
              <w:t>2</w:t>
            </w:r>
          </w:p>
        </w:tc>
        <w:tc>
          <w:tcPr>
            <w:tcW w:w="4240" w:type="dxa"/>
            <w:vAlign w:val="bottom"/>
            <w:shd w:val="clear" w:color="auto" w:fill="EEEFEF"/>
          </w:tcPr>
          <w:p>
            <w:pPr>
              <w:ind w:left="200"/>
              <w:spacing w:after="0"/>
              <w:rPr>
                <w:sz w:val="20"/>
                <w:szCs w:val="20"/>
                <w:color w:val="auto"/>
              </w:rPr>
            </w:pPr>
            <w:r>
              <w:rPr>
                <w:rFonts w:ascii="Arial" w:cs="Arial" w:eastAsia="Arial" w:hAnsi="Arial"/>
                <w:sz w:val="18"/>
                <w:szCs w:val="18"/>
                <w:b w:val="1"/>
                <w:bCs w:val="1"/>
                <w:color w:val="3E693D"/>
              </w:rPr>
              <w:t>Employee conduct matters</w:t>
            </w:r>
          </w:p>
        </w:tc>
      </w:tr>
      <w:tr>
        <w:trPr>
          <w:trHeight w:val="42"/>
        </w:trPr>
        <w:tc>
          <w:tcPr>
            <w:tcW w:w="540" w:type="dxa"/>
            <w:vAlign w:val="bottom"/>
            <w:shd w:val="clear" w:color="auto" w:fill="3E693D"/>
          </w:tcPr>
          <w:p>
            <w:pPr>
              <w:spacing w:after="0"/>
              <w:rPr>
                <w:sz w:val="3"/>
                <w:szCs w:val="3"/>
                <w:color w:val="auto"/>
              </w:rPr>
            </w:pPr>
          </w:p>
        </w:tc>
        <w:tc>
          <w:tcPr>
            <w:tcW w:w="5820" w:type="dxa"/>
            <w:vAlign w:val="bottom"/>
            <w:shd w:val="clear" w:color="auto" w:fill="EEEFEF"/>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shd w:val="clear" w:color="auto" w:fill="3E693D"/>
          </w:tcPr>
          <w:p>
            <w:pPr>
              <w:spacing w:after="0"/>
              <w:rPr>
                <w:sz w:val="3"/>
                <w:szCs w:val="3"/>
                <w:color w:val="auto"/>
              </w:rPr>
            </w:pPr>
          </w:p>
        </w:tc>
        <w:tc>
          <w:tcPr>
            <w:tcW w:w="4240" w:type="dxa"/>
            <w:vAlign w:val="bottom"/>
            <w:shd w:val="clear" w:color="auto" w:fill="EEEFE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6485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2648585"/>
                    </a:xfrm>
                    <a:prstGeom prst="rect">
                      <a:avLst/>
                    </a:prstGeom>
                    <a:noFill/>
                  </pic:spPr>
                </pic:pic>
              </a:graphicData>
            </a:graphic>
          </wp:anchor>
        </w:drawing>
      </w:r>
    </w:p>
    <w:p>
      <w:pPr>
        <w:sectPr>
          <w:pgSz w:w="11900" w:h="16838" w:orient="portrait"/>
          <w:cols w:equalWidth="0" w:num="1">
            <w:col w:w="11260"/>
          </w:cols>
          <w:pgMar w:left="320" w:top="157" w:right="319" w:bottom="1135" w:gutter="0" w:footer="0" w:header="0"/>
          <w:type w:val="continuous"/>
        </w:sectPr>
      </w:pPr>
    </w:p>
    <w:p>
      <w:pPr>
        <w:spacing w:after="0" w:line="161" w:lineRule="exact"/>
        <w:rPr>
          <w:sz w:val="20"/>
          <w:szCs w:val="20"/>
          <w:color w:val="auto"/>
        </w:rPr>
      </w:pPr>
    </w:p>
    <w:p>
      <w:pPr>
        <w:ind w:left="280" w:hanging="233"/>
        <w:spacing w:after="0" w:line="254" w:lineRule="auto"/>
        <w:rPr>
          <w:sz w:val="20"/>
          <w:szCs w:val="20"/>
          <w:color w:val="auto"/>
        </w:rPr>
      </w:pPr>
      <w:r>
        <w:rPr>
          <w:rFonts w:ascii="Arial" w:cs="Arial" w:eastAsia="Arial" w:hAnsi="Arial"/>
          <w:sz w:val="16"/>
          <w:szCs w:val="16"/>
          <w:color w:val="3E693D"/>
        </w:rPr>
        <w:t xml:space="preserve">} </w:t>
      </w:r>
      <w:r>
        <w:rPr>
          <w:rFonts w:ascii="Arial" w:cs="Arial" w:eastAsia="Arial" w:hAnsi="Arial"/>
          <w:sz w:val="16"/>
          <w:szCs w:val="16"/>
          <w:color w:val="000000"/>
        </w:rPr>
        <w:t>Employees in roles which could expose the Firm to greater risks (including OC and</w:t>
      </w:r>
      <w:r>
        <w:rPr>
          <w:rFonts w:ascii="Arial" w:cs="Arial" w:eastAsia="Arial" w:hAnsi="Arial"/>
          <w:sz w:val="16"/>
          <w:szCs w:val="16"/>
          <w:color w:val="3E693D"/>
        </w:rPr>
        <w:t xml:space="preserve"> </w:t>
      </w:r>
      <w:r>
        <w:rPr>
          <w:rFonts w:ascii="Arial" w:cs="Arial" w:eastAsia="Arial" w:hAnsi="Arial"/>
          <w:sz w:val="16"/>
          <w:szCs w:val="16"/>
          <w:color w:val="000000"/>
          <w:shd w:val="clear" w:color="auto" w:fill="EEEFEF"/>
        </w:rPr>
        <w:t>other Designated Employees) are subject to a more disciplined evaluation process, including certain compensation terms and conditions as a mechanism to balance the greater risk. The enhanced performance process includes:</w:t>
      </w:r>
    </w:p>
    <w:p>
      <w:pPr>
        <w:spacing w:after="0" w:line="2" w:lineRule="exact"/>
        <w:rPr>
          <w:sz w:val="20"/>
          <w:szCs w:val="20"/>
          <w:color w:val="auto"/>
        </w:rPr>
      </w:pPr>
    </w:p>
    <w:p>
      <w:pPr>
        <w:ind w:left="520" w:right="20" w:hanging="233"/>
        <w:spacing w:after="0" w:line="256" w:lineRule="auto"/>
        <w:rPr>
          <w:sz w:val="20"/>
          <w:szCs w:val="20"/>
          <w:color w:val="auto"/>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Formal Risk and Control Feedback that is solicited from Control Function partners</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on an annual basis for certain Designated Employees across the Firm</w:t>
      </w:r>
    </w:p>
    <w:p>
      <w:pPr>
        <w:ind w:left="520" w:right="380" w:hanging="233"/>
        <w:spacing w:after="0" w:line="263" w:lineRule="auto"/>
        <w:rPr>
          <w:sz w:val="20"/>
          <w:szCs w:val="20"/>
          <w:color w:val="auto"/>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High and medium severity issues owned directly or indirectly by certain</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Designated Employees are summarized on a Risk and Control Issue Report</w:t>
      </w:r>
    </w:p>
    <w:p>
      <w:pPr>
        <w:ind w:left="280" w:right="300" w:hanging="233"/>
        <w:spacing w:after="0" w:line="255" w:lineRule="auto"/>
        <w:rPr>
          <w:sz w:val="20"/>
          <w:szCs w:val="20"/>
          <w:color w:val="auto"/>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This feedback is used by managers to help assess whether these employees are</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meeting our risk, controls and conduct expectations</w:t>
      </w:r>
    </w:p>
    <w:p>
      <w:pPr>
        <w:ind w:left="280" w:right="320" w:hanging="233"/>
        <w:spacing w:after="0" w:line="270" w:lineRule="auto"/>
        <w:rPr>
          <w:sz w:val="20"/>
          <w:szCs w:val="20"/>
          <w:color w:val="auto"/>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All other employees are evaluated by their managers against the Firm’s four</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performance dimensions, which include the Risk, Controls &amp; Conduct dimension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1033145</wp:posOffset>
            </wp:positionV>
            <wp:extent cx="4037330" cy="3257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0373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spacing w:after="0"/>
        <w:rPr>
          <w:sz w:val="20"/>
          <w:szCs w:val="20"/>
          <w:color w:val="auto"/>
        </w:rPr>
      </w:pPr>
      <w:r>
        <w:rPr>
          <w:rFonts w:ascii="Arial" w:cs="Arial" w:eastAsia="Arial" w:hAnsi="Arial"/>
          <w:sz w:val="16"/>
          <w:szCs w:val="16"/>
          <w:color w:val="FFFFFF"/>
        </w:rPr>
        <w:t>OC member self-assessments are shared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158115</wp:posOffset>
            </wp:positionV>
            <wp:extent cx="85725" cy="6858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058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240" w:right="160" w:hanging="233"/>
        <w:spacing w:after="0" w:line="259" w:lineRule="auto"/>
        <w:rPr>
          <w:sz w:val="20"/>
          <w:szCs w:val="20"/>
          <w:color w:val="auto"/>
        </w:rPr>
      </w:pPr>
      <w:r>
        <w:rPr>
          <w:rFonts w:ascii="Arial" w:cs="Arial" w:eastAsia="Arial" w:hAnsi="Arial"/>
          <w:sz w:val="16"/>
          <w:szCs w:val="16"/>
          <w:color w:val="3E693D"/>
        </w:rPr>
        <w:t xml:space="preserve">} </w:t>
      </w:r>
      <w:r>
        <w:rPr>
          <w:rFonts w:ascii="Arial" w:cs="Arial" w:eastAsia="Arial" w:hAnsi="Arial"/>
          <w:sz w:val="16"/>
          <w:szCs w:val="16"/>
          <w:color w:val="000000"/>
        </w:rPr>
        <w:t>We have an enterprise-wide framework for management to</w:t>
      </w:r>
      <w:r>
        <w:rPr>
          <w:rFonts w:ascii="Arial" w:cs="Arial" w:eastAsia="Arial" w:hAnsi="Arial"/>
          <w:sz w:val="16"/>
          <w:szCs w:val="16"/>
          <w:color w:val="3E693D"/>
        </w:rPr>
        <w:t xml:space="preserve"> </w:t>
      </w:r>
      <w:r>
        <w:rPr>
          <w:rFonts w:ascii="Arial" w:cs="Arial" w:eastAsia="Arial" w:hAnsi="Arial"/>
          <w:sz w:val="16"/>
          <w:szCs w:val="16"/>
          <w:color w:val="000000"/>
        </w:rPr>
        <w:t>oversee and respond to workforce conduct-related matters that may otherwise expose the Firm to financial, reputational, compliance and other operating risks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3E693D"/>
        </w:rPr>
        <w:t xml:space="preserve">}  </w:t>
      </w:r>
      <w:r>
        <w:rPr>
          <w:rFonts w:ascii="Arial" w:cs="Arial" w:eastAsia="Arial" w:hAnsi="Arial"/>
          <w:sz w:val="16"/>
          <w:szCs w:val="16"/>
          <w:color w:val="000000"/>
        </w:rPr>
        <w:t>Actual or potential misconduct for matters that create material</w:t>
      </w:r>
    </w:p>
    <w:p>
      <w:pPr>
        <w:spacing w:after="0" w:line="21" w:lineRule="exact"/>
        <w:rPr>
          <w:sz w:val="20"/>
          <w:szCs w:val="20"/>
          <w:color w:val="auto"/>
        </w:rPr>
      </w:pPr>
    </w:p>
    <w:p>
      <w:pPr>
        <w:ind w:left="240" w:right="400"/>
        <w:spacing w:after="0" w:line="265" w:lineRule="auto"/>
        <w:rPr>
          <w:sz w:val="20"/>
          <w:szCs w:val="20"/>
          <w:color w:val="auto"/>
        </w:rPr>
      </w:pPr>
      <w:r>
        <w:rPr>
          <w:rFonts w:ascii="Arial" w:cs="Arial" w:eastAsia="Arial" w:hAnsi="Arial"/>
          <w:sz w:val="16"/>
          <w:szCs w:val="16"/>
          <w:color w:val="auto"/>
        </w:rPr>
        <w:t>risk and control concerns are escalated to our HR Control Forum process,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160655</wp:posOffset>
            </wp:positionV>
            <wp:extent cx="3034665" cy="3771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034665" cy="3771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FFFFFF"/>
        </w:rPr>
        <w:t>Escalation by Control Committees and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312420</wp:posOffset>
            </wp:positionV>
            <wp:extent cx="3034665" cy="3771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034665" cy="37719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158115</wp:posOffset>
            </wp:positionV>
            <wp:extent cx="85725" cy="6858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clrChange>
                        <a:clrFrom>
                          <a:srgbClr val="000000"/>
                        </a:clrFrom>
                        <a:clrTo>
                          <a:srgbClr val="000000">
                            <a:alpha val="0"/>
                          </a:srgbClr>
                        </a:clrTo>
                      </a:clrChange>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158115</wp:posOffset>
            </wp:positionV>
            <wp:extent cx="85725" cy="6858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Arial" w:cs="Arial" w:eastAsia="Arial" w:hAnsi="Arial"/>
          <w:sz w:val="16"/>
          <w:szCs w:val="16"/>
          <w:color w:val="FFFFFF"/>
        </w:rPr>
        <w:t>LOB, function, and regional HR Control Forums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312420</wp:posOffset>
            </wp:positionV>
            <wp:extent cx="3034665" cy="67691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034665" cy="67691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158115</wp:posOffset>
            </wp:positionV>
            <wp:extent cx="188595" cy="6858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clrChange>
                        <a:clrFrom>
                          <a:srgbClr val="000000"/>
                        </a:clrFrom>
                        <a:clrTo>
                          <a:srgbClr val="000000">
                            <a:alpha val="0"/>
                          </a:srgbClr>
                        </a:clrTo>
                      </a:clrChange>
                      <a:extLst>
                        <a:ext uri="{28A0092B-C50C-407E-A947-70E740481C1C}"/>
                      </a:extLst>
                    </a:blip>
                    <a:srcRect/>
                    <a:stretch>
                      <a:fillRect/>
                    </a:stretch>
                  </pic:blipFill>
                  <pic:spPr bwMode="auto">
                    <a:xfrm>
                      <a:off x="0" y="0"/>
                      <a:ext cx="188595" cy="6858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158115</wp:posOffset>
            </wp:positionV>
            <wp:extent cx="188595" cy="6858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clrChange>
                        <a:clrFrom>
                          <a:srgbClr val="FFFFFF"/>
                        </a:clrFrom>
                        <a:clrTo>
                          <a:srgbClr val="FFFFFF">
                            <a:alpha val="0"/>
                          </a:srgbClr>
                        </a:clrTo>
                      </a:clrChange>
                      <a:extLst>
                        <a:ext uri="{28A0092B-C50C-407E-A947-70E740481C1C}"/>
                      </a:extLst>
                    </a:blip>
                    <a:srcRect/>
                    <a:stretch>
                      <a:fillRect/>
                    </a:stretch>
                  </pic:blipFill>
                  <pic:spPr bwMode="auto">
                    <a:xfrm>
                      <a:off x="0" y="0"/>
                      <a:ext cx="18859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79"/>
        <w:spacing w:after="0" w:line="266" w:lineRule="auto"/>
        <w:rPr>
          <w:sz w:val="20"/>
          <w:szCs w:val="20"/>
          <w:color w:val="auto"/>
        </w:rPr>
      </w:pPr>
      <w:r>
        <w:rPr>
          <w:rFonts w:ascii="Arial" w:cs="Arial" w:eastAsia="Arial" w:hAnsi="Arial"/>
          <w:sz w:val="16"/>
          <w:szCs w:val="16"/>
          <w:color w:val="FFFFFF"/>
        </w:rPr>
        <w:t>Firmwide HR Control Forum reviews outputs from and provides feedback to LOB/function/regional forums and provides constructive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160655</wp:posOffset>
            </wp:positionV>
            <wp:extent cx="85725" cy="6858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6340" w:space="160"/>
            <w:col w:w="4760"/>
          </w:cols>
          <w:pgMar w:left="320" w:top="157" w:right="319" w:bottom="1135"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3E693D"/>
        </w:rPr>
        <w:t>Compensation &amp; Management Development Committee</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6"/>
          <w:szCs w:val="16"/>
          <w:color w:val="3E693D"/>
        </w:rPr>
        <w:t xml:space="preserve">}  </w:t>
      </w:r>
      <w:r>
        <w:rPr>
          <w:rFonts w:ascii="Arial" w:cs="Arial" w:eastAsia="Arial" w:hAnsi="Arial"/>
          <w:sz w:val="16"/>
          <w:szCs w:val="16"/>
          <w:color w:val="000000"/>
        </w:rPr>
        <w:t>The CMDC reviews a summary of outcomes of HR Control Forums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color w:val="3E693D"/>
        </w:rPr>
        <w:t xml:space="preserve">}  </w:t>
      </w:r>
      <w:r>
        <w:rPr>
          <w:rFonts w:ascii="Arial" w:cs="Arial" w:eastAsia="Arial" w:hAnsi="Arial"/>
          <w:sz w:val="16"/>
          <w:szCs w:val="16"/>
          <w:color w:val="000000"/>
        </w:rPr>
        <w:t>The outcomes of these Forums are factored into incentive compensation,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02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321" w:lineRule="exact"/>
        <w:rPr>
          <w:sz w:val="20"/>
          <w:szCs w:val="20"/>
          <w:color w:val="auto"/>
        </w:rPr>
      </w:pPr>
    </w:p>
    <w:p>
      <w:pPr>
        <w:ind w:left="720" w:hanging="539"/>
        <w:spacing w:after="0"/>
        <w:tabs>
          <w:tab w:leader="none" w:pos="720" w:val="left"/>
        </w:tabs>
        <w:numPr>
          <w:ilvl w:val="0"/>
          <w:numId w:val="142"/>
        </w:numPr>
        <w:rPr>
          <w:rFonts w:ascii="Arial" w:cs="Arial" w:eastAsia="Arial" w:hAnsi="Arial"/>
          <w:sz w:val="32"/>
          <w:szCs w:val="32"/>
          <w:b w:val="1"/>
          <w:bCs w:val="1"/>
          <w:color w:val="FFFFFF"/>
        </w:rPr>
      </w:pPr>
      <w:r>
        <w:rPr>
          <w:rFonts w:ascii="Arial" w:cs="Arial" w:eastAsia="Arial" w:hAnsi="Arial"/>
          <w:sz w:val="16"/>
          <w:szCs w:val="16"/>
          <w:b w:val="1"/>
          <w:bCs w:val="1"/>
          <w:color w:val="3E693D"/>
        </w:rPr>
        <w:t>Designated Employees exit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4800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3" w:lineRule="exact"/>
        <w:rPr>
          <w:sz w:val="20"/>
          <w:szCs w:val="20"/>
          <w:color w:val="auto"/>
        </w:rPr>
      </w:pPr>
    </w:p>
    <w:p>
      <w:pPr>
        <w:ind w:left="20" w:right="260"/>
        <w:spacing w:after="0" w:line="266" w:lineRule="auto"/>
        <w:rPr>
          <w:sz w:val="20"/>
          <w:szCs w:val="20"/>
          <w:color w:val="auto"/>
        </w:rPr>
      </w:pPr>
      <w:r>
        <w:rPr>
          <w:rFonts w:ascii="Arial" w:cs="Arial" w:eastAsia="Arial" w:hAnsi="Arial"/>
          <w:sz w:val="16"/>
          <w:szCs w:val="16"/>
          <w:color w:val="auto"/>
        </w:rPr>
        <w:t>Certain Designated Employees are subject to an enhanced exit process prior to separating from the Firm to determine the circumstances surrounding the employee's termination, including seeking feedback from senior Control Function employees to see if they are associated with any known or potential emerging risk, controls and conduct issues that may warrant current or potential future monitoring for forfeiture or clawback of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340360</wp:posOffset>
            </wp:positionV>
            <wp:extent cx="2743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51  </w:t>
      </w:r>
      <w:r>
        <w:rPr>
          <w:sz w:val="1"/>
          <w:szCs w:val="1"/>
          <w:color w:val="auto"/>
        </w:rPr>
        <w:drawing>
          <wp:inline distT="0" distB="0" distL="0" distR="0">
            <wp:extent cx="2203450" cy="154305"/>
            <wp:effectExtent l="0" t="0" r="0" b="0"/>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135"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CLAWBACK/RECOVERY PROVISIONS</w:t>
      </w:r>
    </w:p>
    <w:p>
      <w:pPr>
        <w:spacing w:after="0" w:line="11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maintain clawback/recovery provisions on both cash incentives and equity awards which enable us to reduce or cancel unvested awards and recover previously paid compensation in certain situations. While incentive awards are intended and expected to vest according to their terms, the Firm’s strong recovery provisions permit recovery of incentive compensation awards in appropriate circumstances.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on the clawback provisions that apply to our OC members and the Firmwide Controller.</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EQUITY CLAWBACK REVIEW PROVISIONS</w:t>
      </w:r>
      <w:r>
        <w:rPr>
          <w:rFonts w:ascii="Arial" w:cs="Arial" w:eastAsia="Arial" w:hAnsi="Arial"/>
          <w:sz w:val="25"/>
          <w:szCs w:val="25"/>
          <w:color w:val="074A75"/>
          <w:vertAlign w:val="superscript"/>
        </w:rPr>
        <w:t>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920" w:type="dxa"/>
            <w:vAlign w:val="bottom"/>
            <w:tcBorders>
              <w:bottom w:val="single" w:sz="8" w:color="494949"/>
            </w:tcBorders>
            <w:gridSpan w:val="2"/>
          </w:tcPr>
          <w:p>
            <w:pPr>
              <w:ind w:left="520"/>
              <w:spacing w:after="0"/>
              <w:rPr>
                <w:sz w:val="20"/>
                <w:szCs w:val="20"/>
                <w:color w:val="auto"/>
              </w:rPr>
            </w:pPr>
            <w:r>
              <w:rPr>
                <w:rFonts w:ascii="Arial" w:cs="Arial" w:eastAsia="Arial" w:hAnsi="Arial"/>
                <w:sz w:val="16"/>
                <w:szCs w:val="16"/>
                <w:color w:val="auto"/>
              </w:rPr>
              <w:t>Award Type</w:t>
            </w:r>
          </w:p>
        </w:tc>
        <w:tc>
          <w:tcPr>
            <w:tcW w:w="0" w:type="dxa"/>
            <w:vAlign w:val="bottom"/>
          </w:tcPr>
          <w:p>
            <w:pPr>
              <w:spacing w:after="0"/>
              <w:rPr>
                <w:sz w:val="1"/>
                <w:szCs w:val="1"/>
                <w:color w:val="auto"/>
              </w:rPr>
            </w:pPr>
          </w:p>
        </w:tc>
      </w:tr>
      <w:tr>
        <w:trPr>
          <w:trHeight w:val="236"/>
        </w:trPr>
        <w:tc>
          <w:tcPr>
            <w:tcW w:w="178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Category</w:t>
            </w:r>
          </w:p>
        </w:tc>
        <w:tc>
          <w:tcPr>
            <w:tcW w:w="7540" w:type="dxa"/>
            <w:vAlign w:val="bottom"/>
            <w:tcBorders>
              <w:bottom w:val="single" w:sz="8" w:color="494949"/>
            </w:tcBorders>
          </w:tcPr>
          <w:p>
            <w:pPr>
              <w:ind w:left="60"/>
              <w:spacing w:after="0"/>
              <w:rPr>
                <w:sz w:val="20"/>
                <w:szCs w:val="20"/>
                <w:color w:val="auto"/>
              </w:rPr>
            </w:pPr>
            <w:r>
              <w:rPr>
                <w:rFonts w:ascii="Arial" w:cs="Arial" w:eastAsia="Arial" w:hAnsi="Arial"/>
                <w:sz w:val="16"/>
                <w:szCs w:val="16"/>
                <w:color w:val="074A75"/>
              </w:rPr>
              <w:t>Trigger</w:t>
            </w:r>
          </w:p>
        </w:tc>
        <w:tc>
          <w:tcPr>
            <w:tcW w:w="960" w:type="dxa"/>
            <w:vAlign w:val="bottom"/>
            <w:tcBorders>
              <w:bottom w:val="single" w:sz="8" w:color="494949"/>
            </w:tcBorders>
          </w:tcPr>
          <w:p>
            <w:pPr>
              <w:ind w:left="220"/>
              <w:spacing w:after="0"/>
              <w:rPr>
                <w:sz w:val="20"/>
                <w:szCs w:val="20"/>
                <w:color w:val="auto"/>
              </w:rPr>
            </w:pPr>
            <w:r>
              <w:rPr>
                <w:rFonts w:ascii="Arial" w:cs="Arial" w:eastAsia="Arial" w:hAnsi="Arial"/>
                <w:sz w:val="16"/>
                <w:szCs w:val="16"/>
                <w:color w:val="074A75"/>
              </w:rPr>
              <w:t>Vested</w:t>
            </w:r>
          </w:p>
        </w:tc>
        <w:tc>
          <w:tcPr>
            <w:tcW w:w="960" w:type="dxa"/>
            <w:vAlign w:val="bottom"/>
            <w:tcBorders>
              <w:bottom w:val="single" w:sz="8" w:color="494949"/>
            </w:tcBorders>
          </w:tcPr>
          <w:p>
            <w:pPr>
              <w:ind w:left="140"/>
              <w:spacing w:after="0"/>
              <w:rPr>
                <w:sz w:val="20"/>
                <w:szCs w:val="20"/>
                <w:color w:val="auto"/>
              </w:rPr>
            </w:pPr>
            <w:r>
              <w:rPr>
                <w:rFonts w:ascii="Arial" w:cs="Arial" w:eastAsia="Arial" w:hAnsi="Arial"/>
                <w:sz w:val="16"/>
                <w:szCs w:val="16"/>
                <w:color w:val="074A75"/>
              </w:rPr>
              <w:t>Unvested</w:t>
            </w:r>
          </w:p>
        </w:tc>
        <w:tc>
          <w:tcPr>
            <w:tcW w:w="0" w:type="dxa"/>
            <w:vAlign w:val="bottom"/>
          </w:tcPr>
          <w:p>
            <w:pPr>
              <w:spacing w:after="0"/>
              <w:rPr>
                <w:sz w:val="1"/>
                <w:szCs w:val="1"/>
                <w:color w:val="auto"/>
              </w:rPr>
            </w:pPr>
          </w:p>
        </w:tc>
      </w:tr>
      <w:tr>
        <w:trPr>
          <w:trHeight w:val="240"/>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Restatement</w:t>
            </w:r>
          </w:p>
        </w:tc>
        <w:tc>
          <w:tcPr>
            <w:tcW w:w="75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In the event of a</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 restatement of the Firm’s financial results</w:t>
            </w:r>
            <w:r>
              <w:rPr>
                <w:rFonts w:ascii="Arial" w:cs="Arial" w:eastAsia="Arial" w:hAnsi="Arial"/>
                <w:sz w:val="17"/>
                <w:szCs w:val="17"/>
                <w:color w:val="205A85"/>
              </w:rPr>
              <w:t xml:space="preserve"> </w:t>
            </w:r>
            <w:r>
              <w:rPr>
                <w:rFonts w:ascii="Arial" w:cs="Arial" w:eastAsia="Arial" w:hAnsi="Arial"/>
                <w:sz w:val="17"/>
                <w:szCs w:val="17"/>
                <w:color w:val="000000"/>
              </w:rPr>
              <w:t>for the relevant period</w:t>
            </w:r>
          </w:p>
        </w:tc>
        <w:tc>
          <w:tcPr>
            <w:tcW w:w="960" w:type="dxa"/>
            <w:vAlign w:val="bottom"/>
            <w:tcBorders>
              <w:right w:val="single" w:sz="8" w:color="494949"/>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80" w:type="dxa"/>
            <w:vAlign w:val="bottom"/>
            <w:tcBorders>
              <w:right w:val="single" w:sz="8" w:color="494949"/>
            </w:tcBorders>
          </w:tcPr>
          <w:p>
            <w:pPr>
              <w:spacing w:after="0"/>
              <w:rPr>
                <w:sz w:val="8"/>
                <w:szCs w:val="8"/>
                <w:color w:val="auto"/>
              </w:rPr>
            </w:pPr>
          </w:p>
        </w:tc>
        <w:tc>
          <w:tcPr>
            <w:tcW w:w="7540" w:type="dxa"/>
            <w:vAlign w:val="bottom"/>
            <w:tcBorders>
              <w:right w:val="single" w:sz="8" w:color="494949"/>
            </w:tcBorders>
            <w:vMerge w:val="continue"/>
          </w:tcPr>
          <w:p>
            <w:pPr>
              <w:spacing w:after="0"/>
              <w:rPr>
                <w:sz w:val="8"/>
                <w:szCs w:val="8"/>
                <w:color w:val="auto"/>
              </w:rPr>
            </w:pPr>
          </w:p>
        </w:tc>
        <w:tc>
          <w:tcPr>
            <w:tcW w:w="960" w:type="dxa"/>
            <w:vAlign w:val="bottom"/>
            <w:tcBorders>
              <w:right w:val="single" w:sz="8" w:color="494949"/>
            </w:tcBorders>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780" w:type="dxa"/>
            <w:vAlign w:val="bottom"/>
            <w:tcBorders>
              <w:right w:val="single" w:sz="8" w:color="494949"/>
            </w:tcBorders>
          </w:tcPr>
          <w:p>
            <w:pPr>
              <w:spacing w:after="0"/>
              <w:rPr>
                <w:sz w:val="10"/>
                <w:szCs w:val="10"/>
                <w:color w:val="auto"/>
              </w:rPr>
            </w:pPr>
          </w:p>
        </w:tc>
        <w:tc>
          <w:tcPr>
            <w:tcW w:w="7540" w:type="dxa"/>
            <w:vAlign w:val="bottom"/>
            <w:tcBorders>
              <w:bottom w:val="single" w:sz="8" w:color="494949"/>
              <w:right w:val="single" w:sz="8" w:color="494949"/>
            </w:tcBorders>
          </w:tcPr>
          <w:p>
            <w:pPr>
              <w:spacing w:after="0"/>
              <w:rPr>
                <w:sz w:val="10"/>
                <w:szCs w:val="10"/>
                <w:color w:val="auto"/>
              </w:rPr>
            </w:pPr>
          </w:p>
        </w:tc>
        <w:tc>
          <w:tcPr>
            <w:tcW w:w="960" w:type="dxa"/>
            <w:vAlign w:val="bottom"/>
            <w:tcBorders>
              <w:right w:val="single" w:sz="8" w:color="494949"/>
            </w:tcBorders>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780" w:type="dxa"/>
            <w:vAlign w:val="bottom"/>
            <w:tcBorders>
              <w:bottom w:val="single" w:sz="8" w:color="494949"/>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This provision also</w:t>
            </w:r>
            <w:r>
              <w:rPr>
                <w:rFonts w:ascii="Arial" w:cs="Arial" w:eastAsia="Arial" w:hAnsi="Arial"/>
                <w:sz w:val="17"/>
                <w:szCs w:val="17"/>
                <w:color w:val="205A85"/>
              </w:rPr>
              <w:t xml:space="preserve"> </w:t>
            </w:r>
            <w:r>
              <w:rPr>
                <w:rFonts w:ascii="Arial" w:cs="Arial" w:eastAsia="Arial" w:hAnsi="Arial"/>
                <w:sz w:val="17"/>
                <w:szCs w:val="17"/>
                <w:b w:val="1"/>
                <w:bCs w:val="1"/>
                <w:color w:val="000000"/>
              </w:rPr>
              <w:t>applies to cash incentives</w:t>
            </w:r>
          </w:p>
        </w:tc>
        <w:tc>
          <w:tcPr>
            <w:tcW w:w="960" w:type="dxa"/>
            <w:vAlign w:val="bottom"/>
            <w:tcBorders>
              <w:bottom w:val="single" w:sz="8" w:color="494949"/>
              <w:right w:val="single" w:sz="8" w:color="494949"/>
            </w:tcBorders>
          </w:tcPr>
          <w:p>
            <w:pPr>
              <w:spacing w:after="0"/>
              <w:rPr>
                <w:sz w:val="21"/>
                <w:szCs w:val="21"/>
                <w:color w:val="auto"/>
              </w:rPr>
            </w:pPr>
          </w:p>
        </w:tc>
        <w:tc>
          <w:tcPr>
            <w:tcW w:w="960" w:type="dxa"/>
            <w:vAlign w:val="bottom"/>
            <w:tcBorders>
              <w:bottom w:val="single" w:sz="8" w:color="494949"/>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Misconduct</w:t>
            </w: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engaged in</w:t>
            </w:r>
            <w:r>
              <w:rPr>
                <w:rFonts w:ascii="Arial" w:cs="Arial" w:eastAsia="Arial" w:hAnsi="Arial"/>
                <w:sz w:val="17"/>
                <w:szCs w:val="17"/>
                <w:color w:val="205A85"/>
              </w:rPr>
              <w:t xml:space="preserve"> </w:t>
            </w:r>
            <w:r>
              <w:rPr>
                <w:rFonts w:ascii="Arial" w:cs="Arial" w:eastAsia="Arial" w:hAnsi="Arial"/>
                <w:sz w:val="17"/>
                <w:szCs w:val="17"/>
                <w:b w:val="1"/>
                <w:bCs w:val="1"/>
                <w:color w:val="000000"/>
              </w:rPr>
              <w:t>conduct detrimental</w:t>
            </w:r>
            <w:r>
              <w:rPr>
                <w:rFonts w:ascii="Arial" w:cs="Arial" w:eastAsia="Arial" w:hAnsi="Arial"/>
                <w:sz w:val="17"/>
                <w:szCs w:val="17"/>
                <w:color w:val="205A85"/>
              </w:rPr>
              <w:t xml:space="preserve"> </w:t>
            </w:r>
            <w:r>
              <w:rPr>
                <w:rFonts w:ascii="Arial" w:cs="Arial" w:eastAsia="Arial" w:hAnsi="Arial"/>
                <w:sz w:val="17"/>
                <w:szCs w:val="17"/>
                <w:color w:val="000000"/>
              </w:rPr>
              <w:t>to the Firm that causes material financial or</w:t>
            </w:r>
          </w:p>
        </w:tc>
        <w:tc>
          <w:tcPr>
            <w:tcW w:w="960" w:type="dxa"/>
            <w:vAlign w:val="bottom"/>
            <w:tcBorders>
              <w:right w:val="single" w:sz="8" w:color="494949"/>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reputational harm to the Firm, or engaged in knowing and willful misconduct related to</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employment</w:t>
            </w:r>
          </w:p>
        </w:tc>
        <w:tc>
          <w:tcPr>
            <w:tcW w:w="960" w:type="dxa"/>
            <w:vAlign w:val="bottom"/>
            <w:tcBorders>
              <w:right w:val="single" w:sz="8" w:color="494949"/>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80" w:type="dxa"/>
            <w:vAlign w:val="bottom"/>
            <w:tcBorders>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780" w:type="dxa"/>
            <w:vAlign w:val="bottom"/>
            <w:tcBorders>
              <w:right w:val="single" w:sz="8" w:color="494949"/>
            </w:tcBorders>
          </w:tcPr>
          <w:p>
            <w:pPr>
              <w:spacing w:after="0"/>
              <w:rPr>
                <w:sz w:val="24"/>
                <w:szCs w:val="24"/>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award was based on</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 misrepresentation</w:t>
            </w:r>
            <w:r>
              <w:rPr>
                <w:rFonts w:ascii="Arial" w:cs="Arial" w:eastAsia="Arial" w:hAnsi="Arial"/>
                <w:sz w:val="17"/>
                <w:szCs w:val="17"/>
                <w:color w:val="205A85"/>
              </w:rPr>
              <w:t xml:space="preserve"> </w:t>
            </w:r>
            <w:r>
              <w:rPr>
                <w:rFonts w:ascii="Arial" w:cs="Arial" w:eastAsia="Arial" w:hAnsi="Arial"/>
                <w:sz w:val="17"/>
                <w:szCs w:val="17"/>
                <w:color w:val="000000"/>
              </w:rPr>
              <w:t>by the employee</w:t>
            </w:r>
          </w:p>
        </w:tc>
        <w:tc>
          <w:tcPr>
            <w:tcW w:w="960" w:type="dxa"/>
            <w:vAlign w:val="bottom"/>
            <w:tcBorders>
              <w:right w:val="single" w:sz="8" w:color="494949"/>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80" w:type="dxa"/>
            <w:vAlign w:val="bottom"/>
            <w:tcBorders>
              <w:right w:val="single" w:sz="8" w:color="494949"/>
            </w:tcBorders>
          </w:tcPr>
          <w:p>
            <w:pPr>
              <w:spacing w:after="0"/>
              <w:rPr>
                <w:sz w:val="8"/>
                <w:szCs w:val="8"/>
                <w:color w:val="auto"/>
              </w:rPr>
            </w:pPr>
          </w:p>
        </w:tc>
        <w:tc>
          <w:tcPr>
            <w:tcW w:w="7540" w:type="dxa"/>
            <w:vAlign w:val="bottom"/>
            <w:tcBorders>
              <w:bottom w:val="single" w:sz="8" w:color="494949"/>
              <w:right w:val="single" w:sz="8" w:color="494949"/>
            </w:tcBorders>
          </w:tcPr>
          <w:p>
            <w:pPr>
              <w:spacing w:after="0"/>
              <w:rPr>
                <w:sz w:val="8"/>
                <w:szCs w:val="8"/>
                <w:color w:val="auto"/>
              </w:rPr>
            </w:pPr>
          </w:p>
        </w:tc>
        <w:tc>
          <w:tcPr>
            <w:tcW w:w="960" w:type="dxa"/>
            <w:vAlign w:val="bottom"/>
            <w:tcBorders>
              <w:bottom w:val="single" w:sz="8" w:color="494949"/>
              <w:right w:val="single" w:sz="8" w:color="494949"/>
            </w:tcBorders>
          </w:tcPr>
          <w:p>
            <w:pPr>
              <w:spacing w:after="0"/>
              <w:rPr>
                <w:sz w:val="8"/>
                <w:szCs w:val="8"/>
                <w:color w:val="auto"/>
              </w:rPr>
            </w:pPr>
          </w:p>
        </w:tc>
        <w:tc>
          <w:tcPr>
            <w:tcW w:w="960" w:type="dxa"/>
            <w:vAlign w:val="bottom"/>
            <w:tcBorders>
              <w:bottom w:val="single" w:sz="8" w:color="494949"/>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780" w:type="dxa"/>
            <w:vAlign w:val="bottom"/>
            <w:tcBorders>
              <w:right w:val="single" w:sz="8" w:color="494949"/>
            </w:tcBorders>
          </w:tcPr>
          <w:p>
            <w:pPr>
              <w:spacing w:after="0"/>
              <w:rPr>
                <w:sz w:val="24"/>
                <w:szCs w:val="24"/>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is</w:t>
            </w:r>
            <w:r>
              <w:rPr>
                <w:rFonts w:ascii="Arial" w:cs="Arial" w:eastAsia="Arial" w:hAnsi="Arial"/>
                <w:sz w:val="17"/>
                <w:szCs w:val="17"/>
                <w:color w:val="205A85"/>
              </w:rPr>
              <w:t xml:space="preserve"> </w:t>
            </w:r>
            <w:r>
              <w:rPr>
                <w:rFonts w:ascii="Arial" w:cs="Arial" w:eastAsia="Arial" w:hAnsi="Arial"/>
                <w:sz w:val="17"/>
                <w:szCs w:val="17"/>
                <w:b w:val="1"/>
                <w:bCs w:val="1"/>
                <w:color w:val="000000"/>
              </w:rPr>
              <w:t>terminated for cause</w:t>
            </w:r>
          </w:p>
        </w:tc>
        <w:tc>
          <w:tcPr>
            <w:tcW w:w="960" w:type="dxa"/>
            <w:vAlign w:val="bottom"/>
            <w:tcBorders>
              <w:right w:val="single" w:sz="8" w:color="494949"/>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780" w:type="dxa"/>
            <w:vAlign w:val="bottom"/>
            <w:tcBorders>
              <w:bottom w:val="single" w:sz="8" w:color="494949"/>
              <w:right w:val="single" w:sz="8" w:color="494949"/>
            </w:tcBorders>
          </w:tcPr>
          <w:p>
            <w:pPr>
              <w:spacing w:after="0"/>
              <w:rPr>
                <w:sz w:val="6"/>
                <w:szCs w:val="6"/>
                <w:color w:val="auto"/>
              </w:rPr>
            </w:pPr>
          </w:p>
        </w:tc>
        <w:tc>
          <w:tcPr>
            <w:tcW w:w="7540" w:type="dxa"/>
            <w:vAlign w:val="bottom"/>
            <w:tcBorders>
              <w:bottom w:val="single" w:sz="8" w:color="494949"/>
              <w:right w:val="single" w:sz="8" w:color="494949"/>
            </w:tcBorders>
          </w:tcPr>
          <w:p>
            <w:pPr>
              <w:spacing w:after="0"/>
              <w:rPr>
                <w:sz w:val="6"/>
                <w:szCs w:val="6"/>
                <w:color w:val="auto"/>
              </w:rPr>
            </w:pPr>
          </w:p>
        </w:tc>
        <w:tc>
          <w:tcPr>
            <w:tcW w:w="960" w:type="dxa"/>
            <w:vAlign w:val="bottom"/>
            <w:tcBorders>
              <w:bottom w:val="single" w:sz="8" w:color="494949"/>
              <w:right w:val="single" w:sz="8" w:color="494949"/>
            </w:tcBorders>
          </w:tcPr>
          <w:p>
            <w:pPr>
              <w:spacing w:after="0"/>
              <w:rPr>
                <w:sz w:val="6"/>
                <w:szCs w:val="6"/>
                <w:color w:val="auto"/>
              </w:rPr>
            </w:pPr>
          </w:p>
        </w:tc>
        <w:tc>
          <w:tcPr>
            <w:tcW w:w="960" w:type="dxa"/>
            <w:vAlign w:val="bottom"/>
            <w:tcBorders>
              <w:bottom w:val="single" w:sz="8" w:color="494949"/>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Risk-related</w:t>
            </w: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improperly or with gross negligence</w:t>
            </w:r>
            <w:r>
              <w:rPr>
                <w:rFonts w:ascii="Arial" w:cs="Arial" w:eastAsia="Arial" w:hAnsi="Arial"/>
                <w:sz w:val="17"/>
                <w:szCs w:val="17"/>
                <w:color w:val="205A85"/>
              </w:rPr>
              <w:t xml:space="preserve"> </w:t>
            </w:r>
            <w:r>
              <w:rPr>
                <w:rFonts w:ascii="Arial" w:cs="Arial" w:eastAsia="Arial" w:hAnsi="Arial"/>
                <w:sz w:val="17"/>
                <w:szCs w:val="17"/>
                <w:b w:val="1"/>
                <w:bCs w:val="1"/>
                <w:color w:val="000000"/>
              </w:rPr>
              <w:t>failed to identify, raise or assess,</w:t>
            </w:r>
            <w:r>
              <w:rPr>
                <w:rFonts w:ascii="Arial" w:cs="Arial" w:eastAsia="Arial" w:hAnsi="Arial"/>
                <w:sz w:val="17"/>
                <w:szCs w:val="17"/>
                <w:color w:val="205A85"/>
              </w:rPr>
              <w:t xml:space="preserve"> </w:t>
            </w:r>
            <w:r>
              <w:rPr>
                <w:rFonts w:ascii="Arial" w:cs="Arial" w:eastAsia="Arial" w:hAnsi="Arial"/>
                <w:sz w:val="17"/>
                <w:szCs w:val="17"/>
                <w:color w:val="000000"/>
              </w:rPr>
              <w:t>in a</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and Other</w:t>
            </w: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timely manner and as reasonably expected, issues and/or concerns with respect to </w:t>
            </w:r>
            <w:r>
              <w:rPr>
                <w:rFonts w:ascii="Arial" w:cs="Arial" w:eastAsia="Arial" w:hAnsi="Arial"/>
                <w:sz w:val="17"/>
                <w:szCs w:val="17"/>
                <w:b w:val="1"/>
                <w:bCs w:val="1"/>
                <w:color w:val="auto"/>
              </w:rPr>
              <w:t>risks</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780" w:type="dxa"/>
            <w:vAlign w:val="bottom"/>
            <w:tcBorders>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280"/>
              <w:spacing w:after="0"/>
              <w:rPr>
                <w:sz w:val="20"/>
                <w:szCs w:val="20"/>
                <w:color w:val="auto"/>
              </w:rPr>
            </w:pPr>
            <w:r>
              <w:rPr>
                <w:rFonts w:ascii="Arial" w:cs="Arial" w:eastAsia="Arial" w:hAnsi="Arial"/>
                <w:sz w:val="17"/>
                <w:szCs w:val="17"/>
                <w:b w:val="1"/>
                <w:bCs w:val="1"/>
                <w:color w:val="auto"/>
              </w:rPr>
              <w:t>material to the Firm</w:t>
            </w:r>
          </w:p>
        </w:tc>
        <w:tc>
          <w:tcPr>
            <w:tcW w:w="960" w:type="dxa"/>
            <w:vAlign w:val="bottom"/>
            <w:tcBorders>
              <w:bottom w:val="single" w:sz="8" w:color="494949"/>
              <w:right w:val="single" w:sz="8" w:color="494949"/>
            </w:tcBorders>
          </w:tcPr>
          <w:p>
            <w:pPr>
              <w:spacing w:after="0"/>
              <w:rPr>
                <w:sz w:val="21"/>
                <w:szCs w:val="21"/>
                <w:color w:val="auto"/>
              </w:rPr>
            </w:pPr>
          </w:p>
        </w:tc>
        <w:tc>
          <w:tcPr>
            <w:tcW w:w="960" w:type="dxa"/>
            <w:vAlign w:val="bottom"/>
            <w:tcBorders>
              <w:bottom w:val="single" w:sz="8" w:color="494949"/>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80" w:type="dxa"/>
            <w:vAlign w:val="bottom"/>
            <w:tcBorders>
              <w:right w:val="single" w:sz="8" w:color="494949"/>
            </w:tcBorders>
          </w:tcPr>
          <w:p>
            <w:pPr>
              <w:spacing w:after="0"/>
              <w:rPr>
                <w:sz w:val="18"/>
                <w:szCs w:val="18"/>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award was based on</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materially inaccurate performance metrics</w:t>
            </w:r>
            <w:r>
              <w:rPr>
                <w:rFonts w:ascii="Arial" w:cs="Arial" w:eastAsia="Arial" w:hAnsi="Arial"/>
                <w:sz w:val="17"/>
                <w:szCs w:val="17"/>
                <w:color w:val="000000"/>
              </w:rPr>
              <w:t>, whether or not the</w:t>
            </w:r>
          </w:p>
        </w:tc>
        <w:tc>
          <w:tcPr>
            <w:tcW w:w="960" w:type="dxa"/>
            <w:vAlign w:val="bottom"/>
            <w:tcBorders>
              <w:right w:val="single" w:sz="8" w:color="494949"/>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employee was responsible for the inaccuracy</w:t>
            </w:r>
          </w:p>
        </w:tc>
        <w:tc>
          <w:tcPr>
            <w:tcW w:w="960" w:type="dxa"/>
            <w:vAlign w:val="bottom"/>
            <w:tcBorders>
              <w:right w:val="single" w:sz="8" w:color="494949"/>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494949"/>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Protection-Based</w:t>
            </w:r>
          </w:p>
        </w:tc>
        <w:tc>
          <w:tcPr>
            <w:tcW w:w="75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w:t>
            </w:r>
            <w:r>
              <w:rPr>
                <w:rFonts w:ascii="Arial" w:cs="Arial" w:eastAsia="Arial" w:hAnsi="Arial"/>
                <w:sz w:val="17"/>
                <w:szCs w:val="17"/>
                <w:color w:val="205A85"/>
              </w:rPr>
              <w:t xml:space="preserve"> </w:t>
            </w:r>
            <w:r>
              <w:rPr>
                <w:rFonts w:ascii="Arial" w:cs="Arial" w:eastAsia="Arial" w:hAnsi="Arial"/>
                <w:sz w:val="17"/>
                <w:szCs w:val="17"/>
                <w:b w:val="1"/>
                <w:bCs w:val="1"/>
                <w:color w:val="000000"/>
              </w:rPr>
              <w:t>performance in relation to the priorities</w:t>
            </w:r>
            <w:r>
              <w:rPr>
                <w:rFonts w:ascii="Arial" w:cs="Arial" w:eastAsia="Arial" w:hAnsi="Arial"/>
                <w:sz w:val="17"/>
                <w:szCs w:val="17"/>
                <w:color w:val="205A85"/>
              </w:rPr>
              <w:t xml:space="preserve"> </w:t>
            </w:r>
            <w:r>
              <w:rPr>
                <w:rFonts w:ascii="Arial" w:cs="Arial" w:eastAsia="Arial" w:hAnsi="Arial"/>
                <w:sz w:val="17"/>
                <w:szCs w:val="17"/>
                <w:color w:val="000000"/>
              </w:rPr>
              <w:t>for their position, or the Firm’s performance in</w:t>
            </w:r>
          </w:p>
        </w:tc>
        <w:tc>
          <w:tcPr>
            <w:tcW w:w="960" w:type="dxa"/>
            <w:vAlign w:val="bottom"/>
            <w:tcBorders>
              <w:right w:val="single" w:sz="8" w:color="494949"/>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780" w:type="dxa"/>
            <w:vAlign w:val="bottom"/>
            <w:tcBorders>
              <w:right w:val="single" w:sz="8" w:color="494949"/>
            </w:tcBorders>
            <w:vMerge w:val="restart"/>
          </w:tcPr>
          <w:p>
            <w:pPr>
              <w:ind w:left="20"/>
              <w:spacing w:after="0"/>
              <w:rPr>
                <w:sz w:val="20"/>
                <w:szCs w:val="20"/>
                <w:color w:val="auto"/>
              </w:rPr>
            </w:pPr>
            <w:r>
              <w:rPr>
                <w:rFonts w:ascii="Arial" w:cs="Arial" w:eastAsia="Arial" w:hAnsi="Arial"/>
                <w:sz w:val="16"/>
                <w:szCs w:val="16"/>
                <w:b w:val="1"/>
                <w:bCs w:val="1"/>
                <w:color w:val="auto"/>
              </w:rPr>
              <w:t>Vesting</w:t>
            </w:r>
            <w:r>
              <w:rPr>
                <w:rFonts w:ascii="Arial" w:cs="Arial" w:eastAsia="Arial" w:hAnsi="Arial"/>
                <w:sz w:val="21"/>
                <w:szCs w:val="21"/>
                <w:b w:val="1"/>
                <w:bCs w:val="1"/>
                <w:color w:val="auto"/>
                <w:vertAlign w:val="superscript"/>
              </w:rPr>
              <w:t>2</w:t>
            </w:r>
          </w:p>
        </w:tc>
        <w:tc>
          <w:tcPr>
            <w:tcW w:w="7540" w:type="dxa"/>
            <w:vAlign w:val="bottom"/>
            <w:tcBorders>
              <w:right w:val="single" w:sz="8" w:color="494949"/>
            </w:tcBorders>
            <w:vMerge w:val="continue"/>
          </w:tcPr>
          <w:p>
            <w:pPr>
              <w:spacing w:after="0"/>
              <w:rPr>
                <w:sz w:val="7"/>
                <w:szCs w:val="7"/>
                <w:color w:val="auto"/>
              </w:rPr>
            </w:pPr>
          </w:p>
        </w:tc>
        <w:tc>
          <w:tcPr>
            <w:tcW w:w="960" w:type="dxa"/>
            <w:vAlign w:val="bottom"/>
            <w:tcBorders>
              <w:right w:val="single" w:sz="8" w:color="494949"/>
            </w:tcBorders>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780" w:type="dxa"/>
            <w:vAlign w:val="bottom"/>
            <w:tcBorders>
              <w:right w:val="single" w:sz="8" w:color="494949"/>
            </w:tcBorders>
            <w:vMerge w:val="continue"/>
          </w:tcPr>
          <w:p>
            <w:pPr>
              <w:spacing w:after="0"/>
              <w:rPr>
                <w:sz w:val="14"/>
                <w:szCs w:val="14"/>
                <w:color w:val="auto"/>
              </w:rPr>
            </w:pPr>
          </w:p>
        </w:tc>
        <w:tc>
          <w:tcPr>
            <w:tcW w:w="754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7"/>
                <w:szCs w:val="17"/>
                <w:color w:val="auto"/>
              </w:rPr>
              <w:t>relation to the priorities for which they share responsibility as a member of the Operating</w:t>
            </w:r>
          </w:p>
        </w:tc>
        <w:tc>
          <w:tcPr>
            <w:tcW w:w="960" w:type="dxa"/>
            <w:vAlign w:val="bottom"/>
            <w:tcBorders>
              <w:right w:val="single" w:sz="8" w:color="494949"/>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780" w:type="dxa"/>
            <w:vAlign w:val="bottom"/>
            <w:tcBorders>
              <w:right w:val="single" w:sz="8" w:color="494949"/>
            </w:tcBorders>
          </w:tcPr>
          <w:p>
            <w:pPr>
              <w:spacing w:after="0"/>
              <w:rPr>
                <w:sz w:val="2"/>
                <w:szCs w:val="2"/>
                <w:color w:val="auto"/>
              </w:rPr>
            </w:pPr>
          </w:p>
        </w:tc>
        <w:tc>
          <w:tcPr>
            <w:tcW w:w="7540" w:type="dxa"/>
            <w:vAlign w:val="bottom"/>
            <w:tcBorders>
              <w:right w:val="single" w:sz="8" w:color="494949"/>
            </w:tcBorders>
            <w:vMerge w:val="continue"/>
          </w:tcPr>
          <w:p>
            <w:pPr>
              <w:spacing w:after="0"/>
              <w:rPr>
                <w:sz w:val="2"/>
                <w:szCs w:val="2"/>
                <w:color w:val="auto"/>
              </w:rPr>
            </w:pPr>
          </w:p>
        </w:tc>
        <w:tc>
          <w:tcPr>
            <w:tcW w:w="960" w:type="dxa"/>
            <w:vAlign w:val="bottom"/>
            <w:tcBorders>
              <w:right w:val="single" w:sz="8" w:color="494949"/>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780" w:type="dxa"/>
            <w:vAlign w:val="bottom"/>
            <w:tcBorders>
              <w:right w:val="single" w:sz="8" w:color="494949"/>
            </w:tcBorders>
          </w:tcPr>
          <w:p>
            <w:pPr>
              <w:spacing w:after="0"/>
              <w:rPr>
                <w:sz w:val="20"/>
                <w:szCs w:val="20"/>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Committee, </w:t>
            </w:r>
            <w:r>
              <w:rPr>
                <w:rFonts w:ascii="Arial" w:cs="Arial" w:eastAsia="Arial" w:hAnsi="Arial"/>
                <w:sz w:val="17"/>
                <w:szCs w:val="17"/>
                <w:b w:val="1"/>
                <w:bCs w:val="1"/>
                <w:color w:val="auto"/>
              </w:rPr>
              <w:t>has been unsatisfactory for a sustained period of time</w:t>
            </w:r>
          </w:p>
        </w:tc>
        <w:tc>
          <w:tcPr>
            <w:tcW w:w="960" w:type="dxa"/>
            <w:vAlign w:val="bottom"/>
            <w:tcBorders>
              <w:right w:val="single" w:sz="8" w:color="494949"/>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1780" w:type="dxa"/>
            <w:vAlign w:val="bottom"/>
            <w:tcBorders>
              <w:right w:val="single" w:sz="8" w:color="494949"/>
            </w:tcBorders>
          </w:tcPr>
          <w:p>
            <w:pPr>
              <w:spacing w:after="0"/>
              <w:rPr>
                <w:sz w:val="9"/>
                <w:szCs w:val="9"/>
                <w:color w:val="auto"/>
              </w:rPr>
            </w:pPr>
          </w:p>
        </w:tc>
        <w:tc>
          <w:tcPr>
            <w:tcW w:w="7540" w:type="dxa"/>
            <w:vAlign w:val="bottom"/>
            <w:tcBorders>
              <w:bottom w:val="single" w:sz="8" w:color="494949"/>
              <w:right w:val="single" w:sz="8" w:color="494949"/>
            </w:tcBorders>
          </w:tcPr>
          <w:p>
            <w:pPr>
              <w:spacing w:after="0"/>
              <w:rPr>
                <w:sz w:val="9"/>
                <w:szCs w:val="9"/>
                <w:color w:val="auto"/>
              </w:rPr>
            </w:pPr>
          </w:p>
        </w:tc>
        <w:tc>
          <w:tcPr>
            <w:tcW w:w="960" w:type="dxa"/>
            <w:vAlign w:val="bottom"/>
            <w:tcBorders>
              <w:bottom w:val="single" w:sz="8" w:color="494949"/>
              <w:right w:val="single" w:sz="8" w:color="494949"/>
            </w:tcBorders>
          </w:tcPr>
          <w:p>
            <w:pPr>
              <w:spacing w:after="0"/>
              <w:rPr>
                <w:sz w:val="9"/>
                <w:szCs w:val="9"/>
                <w:color w:val="auto"/>
              </w:rPr>
            </w:pPr>
          </w:p>
        </w:tc>
        <w:tc>
          <w:tcPr>
            <w:tcW w:w="960" w:type="dxa"/>
            <w:vAlign w:val="bottom"/>
            <w:tcBorders>
              <w:bottom w:val="single" w:sz="8" w:color="494949"/>
            </w:tcBorders>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awards granted to participants in a LOB for which the Operating Committee member</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exercised responsibility were in whole or in part cancelled because the LOB </w:t>
            </w:r>
            <w:r>
              <w:rPr>
                <w:rFonts w:ascii="Arial" w:cs="Arial" w:eastAsia="Arial" w:hAnsi="Arial"/>
                <w:sz w:val="17"/>
                <w:szCs w:val="17"/>
                <w:b w:val="1"/>
                <w:bCs w:val="1"/>
                <w:color w:val="auto"/>
              </w:rPr>
              <w:t>did not meet its</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780" w:type="dxa"/>
            <w:vAlign w:val="bottom"/>
            <w:tcBorders>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280"/>
              <w:spacing w:after="0"/>
              <w:rPr>
                <w:sz w:val="20"/>
                <w:szCs w:val="20"/>
                <w:color w:val="auto"/>
              </w:rPr>
            </w:pPr>
            <w:r>
              <w:rPr>
                <w:rFonts w:ascii="Arial" w:cs="Arial" w:eastAsia="Arial" w:hAnsi="Arial"/>
                <w:sz w:val="17"/>
                <w:szCs w:val="17"/>
                <w:b w:val="1"/>
                <w:bCs w:val="1"/>
                <w:color w:val="auto"/>
              </w:rPr>
              <w:t>annual LOB financial threshold</w:t>
            </w:r>
          </w:p>
        </w:tc>
        <w:tc>
          <w:tcPr>
            <w:tcW w:w="960" w:type="dxa"/>
            <w:vAlign w:val="bottom"/>
            <w:tcBorders>
              <w:bottom w:val="single" w:sz="8" w:color="494949"/>
              <w:right w:val="single" w:sz="8" w:color="494949"/>
            </w:tcBorders>
          </w:tcPr>
          <w:p>
            <w:pPr>
              <w:spacing w:after="0"/>
              <w:rPr>
                <w:sz w:val="21"/>
                <w:szCs w:val="21"/>
                <w:color w:val="auto"/>
              </w:rPr>
            </w:pPr>
          </w:p>
        </w:tc>
        <w:tc>
          <w:tcPr>
            <w:tcW w:w="960" w:type="dxa"/>
            <w:vAlign w:val="bottom"/>
            <w:tcBorders>
              <w:bottom w:val="single" w:sz="8" w:color="494949"/>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80" w:type="dxa"/>
            <w:vAlign w:val="bottom"/>
            <w:tcBorders>
              <w:right w:val="single" w:sz="8" w:color="494949"/>
            </w:tcBorders>
          </w:tcPr>
          <w:p>
            <w:pPr>
              <w:spacing w:after="0"/>
              <w:rPr>
                <w:sz w:val="18"/>
                <w:szCs w:val="18"/>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for any one calendar year during the vesting period,</w:t>
            </w:r>
            <w:r>
              <w:rPr>
                <w:rFonts w:ascii="Arial" w:cs="Arial" w:eastAsia="Arial" w:hAnsi="Arial"/>
                <w:sz w:val="17"/>
                <w:szCs w:val="17"/>
                <w:color w:val="205A85"/>
              </w:rPr>
              <w:t xml:space="preserve"> </w:t>
            </w:r>
            <w:r>
              <w:rPr>
                <w:rFonts w:ascii="Arial" w:cs="Arial" w:eastAsia="Arial" w:hAnsi="Arial"/>
                <w:sz w:val="17"/>
                <w:szCs w:val="17"/>
                <w:b w:val="1"/>
                <w:bCs w:val="1"/>
                <w:color w:val="000000"/>
              </w:rPr>
              <w:t>pre-tax pre-provision income is</w:t>
            </w:r>
          </w:p>
        </w:tc>
        <w:tc>
          <w:tcPr>
            <w:tcW w:w="960" w:type="dxa"/>
            <w:vAlign w:val="bottom"/>
            <w:tcBorders>
              <w:right w:val="single" w:sz="8" w:color="494949"/>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80" w:type="dxa"/>
            <w:vAlign w:val="bottom"/>
            <w:tcBorders>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280"/>
              <w:spacing w:after="0"/>
              <w:rPr>
                <w:sz w:val="20"/>
                <w:szCs w:val="20"/>
                <w:color w:val="auto"/>
              </w:rPr>
            </w:pPr>
            <w:r>
              <w:rPr>
                <w:rFonts w:ascii="Arial" w:cs="Arial" w:eastAsia="Arial" w:hAnsi="Arial"/>
                <w:sz w:val="17"/>
                <w:szCs w:val="17"/>
                <w:b w:val="1"/>
                <w:bCs w:val="1"/>
                <w:color w:val="auto"/>
              </w:rPr>
              <w:t>negative</w:t>
            </w:r>
            <w:r>
              <w:rPr>
                <w:rFonts w:ascii="Arial" w:cs="Arial" w:eastAsia="Arial" w:hAnsi="Arial"/>
                <w:sz w:val="17"/>
                <w:szCs w:val="17"/>
                <w:color w:val="auto"/>
              </w:rPr>
              <w:t>, as reported by the Firm</w:t>
            </w:r>
          </w:p>
        </w:tc>
        <w:tc>
          <w:tcPr>
            <w:tcW w:w="960" w:type="dxa"/>
            <w:vAlign w:val="bottom"/>
            <w:tcBorders>
              <w:bottom w:val="single" w:sz="8" w:color="494949"/>
              <w:right w:val="single" w:sz="8" w:color="494949"/>
            </w:tcBorders>
          </w:tcPr>
          <w:p>
            <w:pPr>
              <w:spacing w:after="0"/>
              <w:rPr>
                <w:sz w:val="21"/>
                <w:szCs w:val="21"/>
                <w:color w:val="auto"/>
              </w:rPr>
            </w:pPr>
          </w:p>
        </w:tc>
        <w:tc>
          <w:tcPr>
            <w:tcW w:w="960" w:type="dxa"/>
            <w:vAlign w:val="bottom"/>
            <w:tcBorders>
              <w:bottom w:val="single" w:sz="8" w:color="494949"/>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780" w:type="dxa"/>
            <w:vAlign w:val="bottom"/>
            <w:tcBorders>
              <w:right w:val="single" w:sz="8" w:color="494949"/>
            </w:tcBorders>
          </w:tcPr>
          <w:p>
            <w:pPr>
              <w:spacing w:after="0"/>
              <w:rPr>
                <w:sz w:val="18"/>
                <w:szCs w:val="18"/>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for the three calendar years preceding the third year vesting date, the</w:t>
            </w:r>
            <w:r>
              <w:rPr>
                <w:rFonts w:ascii="Arial" w:cs="Arial" w:eastAsia="Arial" w:hAnsi="Arial"/>
                <w:sz w:val="17"/>
                <w:szCs w:val="17"/>
                <w:color w:val="205A85"/>
              </w:rPr>
              <w:t xml:space="preserve"> </w:t>
            </w:r>
            <w:r>
              <w:rPr>
                <w:rFonts w:ascii="Arial" w:cs="Arial" w:eastAsia="Arial" w:hAnsi="Arial"/>
                <w:sz w:val="17"/>
                <w:szCs w:val="17"/>
                <w:b w:val="1"/>
                <w:bCs w:val="1"/>
                <w:color w:val="000000"/>
              </w:rPr>
              <w:t>Firm does not meet a</w:t>
            </w:r>
          </w:p>
        </w:tc>
        <w:tc>
          <w:tcPr>
            <w:tcW w:w="960" w:type="dxa"/>
            <w:vAlign w:val="bottom"/>
            <w:tcBorders>
              <w:right w:val="single" w:sz="8" w:color="494949"/>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80" w:type="dxa"/>
            <w:vAlign w:val="bottom"/>
            <w:tcBorders>
              <w:bottom w:val="single" w:sz="8" w:color="494949"/>
              <w:right w:val="single" w:sz="8" w:color="494949"/>
            </w:tcBorders>
          </w:tcPr>
          <w:p>
            <w:pPr>
              <w:spacing w:after="0"/>
              <w:rPr>
                <w:sz w:val="21"/>
                <w:szCs w:val="21"/>
                <w:color w:val="auto"/>
              </w:rPr>
            </w:pPr>
          </w:p>
        </w:tc>
        <w:tc>
          <w:tcPr>
            <w:tcW w:w="7540" w:type="dxa"/>
            <w:vAlign w:val="bottom"/>
            <w:tcBorders>
              <w:bottom w:val="single" w:sz="8" w:color="494949"/>
              <w:right w:val="single" w:sz="8" w:color="494949"/>
            </w:tcBorders>
          </w:tcPr>
          <w:p>
            <w:pPr>
              <w:ind w:left="280"/>
              <w:spacing w:after="0"/>
              <w:rPr>
                <w:sz w:val="20"/>
                <w:szCs w:val="20"/>
                <w:color w:val="auto"/>
              </w:rPr>
            </w:pPr>
            <w:r>
              <w:rPr>
                <w:rFonts w:ascii="Arial" w:cs="Arial" w:eastAsia="Arial" w:hAnsi="Arial"/>
                <w:sz w:val="17"/>
                <w:szCs w:val="17"/>
                <w:b w:val="1"/>
                <w:bCs w:val="1"/>
                <w:color w:val="auto"/>
              </w:rPr>
              <w:t>15% cumulative ROTCE</w:t>
            </w:r>
          </w:p>
        </w:tc>
        <w:tc>
          <w:tcPr>
            <w:tcW w:w="960" w:type="dxa"/>
            <w:vAlign w:val="bottom"/>
            <w:tcBorders>
              <w:bottom w:val="single" w:sz="8" w:color="494949"/>
              <w:right w:val="single" w:sz="8" w:color="494949"/>
            </w:tcBorders>
          </w:tcPr>
          <w:p>
            <w:pPr>
              <w:spacing w:after="0"/>
              <w:rPr>
                <w:sz w:val="21"/>
                <w:szCs w:val="21"/>
                <w:color w:val="auto"/>
              </w:rPr>
            </w:pPr>
          </w:p>
        </w:tc>
        <w:tc>
          <w:tcPr>
            <w:tcW w:w="960" w:type="dxa"/>
            <w:vAlign w:val="bottom"/>
            <w:tcBorders>
              <w:bottom w:val="single" w:sz="8" w:color="494949"/>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-3882390</wp:posOffset>
            </wp:positionV>
            <wp:extent cx="8255" cy="1714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-3582670</wp:posOffset>
            </wp:positionV>
            <wp:extent cx="137160" cy="13716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-3582670</wp:posOffset>
            </wp:positionV>
            <wp:extent cx="137160" cy="13716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-3128645</wp:posOffset>
            </wp:positionV>
            <wp:extent cx="137160" cy="13716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-3128645</wp:posOffset>
            </wp:positionV>
            <wp:extent cx="137160" cy="13716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-2785745</wp:posOffset>
            </wp:positionV>
            <wp:extent cx="137160" cy="13716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-2785745</wp:posOffset>
            </wp:positionV>
            <wp:extent cx="137160" cy="13716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-2528570</wp:posOffset>
            </wp:positionV>
            <wp:extent cx="137160" cy="13716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-2528570</wp:posOffset>
            </wp:positionV>
            <wp:extent cx="137160" cy="1371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-2193925</wp:posOffset>
            </wp:positionV>
            <wp:extent cx="137160" cy="13716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-2193925</wp:posOffset>
            </wp:positionV>
            <wp:extent cx="137160" cy="13716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-1833880</wp:posOffset>
            </wp:positionV>
            <wp:extent cx="137160" cy="13716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-1833880</wp:posOffset>
            </wp:positionV>
            <wp:extent cx="137160" cy="13716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-1405255</wp:posOffset>
            </wp:positionV>
            <wp:extent cx="137160" cy="13716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-916940</wp:posOffset>
            </wp:positionV>
            <wp:extent cx="137160" cy="13716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-556895</wp:posOffset>
            </wp:positionV>
            <wp:extent cx="137160" cy="13716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-256540</wp:posOffset>
            </wp:positionV>
            <wp:extent cx="137160" cy="13716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right="20" w:hanging="192"/>
        <w:spacing w:after="0" w:line="220" w:lineRule="auto"/>
        <w:tabs>
          <w:tab w:leader="none" w:pos="200" w:val="left"/>
        </w:tabs>
        <w:numPr>
          <w:ilvl w:val="0"/>
          <w:numId w:val="143"/>
        </w:numPr>
        <w:rPr>
          <w:rFonts w:ascii="Arial" w:cs="Arial" w:eastAsia="Arial" w:hAnsi="Arial"/>
          <w:sz w:val="16"/>
          <w:szCs w:val="16"/>
          <w:color w:val="auto"/>
          <w:vertAlign w:val="superscript"/>
        </w:rPr>
      </w:pPr>
      <w:r>
        <w:rPr>
          <w:rFonts w:ascii="Arial" w:cs="Arial" w:eastAsia="Arial" w:hAnsi="Arial"/>
          <w:sz w:val="13"/>
          <w:szCs w:val="13"/>
          <w:color w:val="auto"/>
        </w:rPr>
        <w:t>Since 2015, the Firm has maintained a local Malus and Clawback Policy in accordance with E.U. and U.K. regulations which operates in addition to the recovery provisions in the table above. Under the policy, the Firm is able to cancel and/or recover incentive compensation for relevant Identified Staff (including Mr. Pinto) in certain circumstances for a minimum period of seven years following the date of the award.</w:t>
      </w:r>
    </w:p>
    <w:p>
      <w:pPr>
        <w:ind w:left="200" w:hanging="192"/>
        <w:spacing w:after="0" w:line="220" w:lineRule="auto"/>
        <w:tabs>
          <w:tab w:leader="none" w:pos="200" w:val="left"/>
        </w:tabs>
        <w:numPr>
          <w:ilvl w:val="0"/>
          <w:numId w:val="144"/>
        </w:numPr>
        <w:rPr>
          <w:rFonts w:ascii="Arial" w:cs="Arial" w:eastAsia="Arial" w:hAnsi="Arial"/>
          <w:sz w:val="16"/>
          <w:szCs w:val="16"/>
          <w:color w:val="auto"/>
          <w:vertAlign w:val="superscript"/>
        </w:rPr>
      </w:pPr>
      <w:r>
        <w:rPr>
          <w:rFonts w:ascii="Arial" w:cs="Arial" w:eastAsia="Arial" w:hAnsi="Arial"/>
          <w:sz w:val="13"/>
          <w:szCs w:val="13"/>
          <w:color w:val="auto"/>
        </w:rPr>
        <w:t>Provisions apply to PSUs, RSUs and SARs granted to the Operating Committee and may result in cancellation of up to a total of 50% of the award.</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641"/>
        </w:trPr>
        <w:tc>
          <w:tcPr>
            <w:tcW w:w="1440" w:type="dxa"/>
            <w:vAlign w:val="bottom"/>
            <w:vMerge w:val="restart"/>
            <w:shd w:val="clear" w:color="auto" w:fill="E7E7E8"/>
          </w:tcPr>
          <w:p>
            <w:pPr>
              <w:jc w:val="right"/>
              <w:spacing w:after="0"/>
              <w:rPr>
                <w:sz w:val="20"/>
                <w:szCs w:val="20"/>
                <w:color w:val="auto"/>
              </w:rPr>
            </w:pPr>
            <w:r>
              <w:rPr>
                <w:rFonts w:ascii="Arial" w:cs="Arial" w:eastAsia="Arial" w:hAnsi="Arial"/>
                <w:sz w:val="122"/>
                <w:szCs w:val="122"/>
                <w:color w:val="074A75"/>
              </w:rPr>
              <w:t>2</w:t>
            </w:r>
          </w:p>
        </w:tc>
        <w:tc>
          <w:tcPr>
            <w:tcW w:w="9360" w:type="dxa"/>
            <w:vAlign w:val="bottom"/>
          </w:tcPr>
          <w:p>
            <w:pPr>
              <w:ind w:left="180"/>
              <w:spacing w:after="0"/>
              <w:rPr>
                <w:sz w:val="20"/>
                <w:szCs w:val="20"/>
                <w:color w:val="auto"/>
              </w:rPr>
            </w:pPr>
            <w:r>
              <w:rPr>
                <w:rFonts w:ascii="Arial" w:cs="Arial" w:eastAsia="Arial" w:hAnsi="Arial"/>
                <w:sz w:val="40"/>
                <w:szCs w:val="40"/>
                <w:color w:val="074A75"/>
              </w:rPr>
              <w:t>How we performed against our business strategy</w:t>
            </w:r>
          </w:p>
        </w:tc>
        <w:tc>
          <w:tcPr>
            <w:tcW w:w="0" w:type="dxa"/>
            <w:vAlign w:val="bottom"/>
          </w:tcPr>
          <w:p>
            <w:pPr>
              <w:spacing w:after="0"/>
              <w:rPr>
                <w:sz w:val="1"/>
                <w:szCs w:val="1"/>
                <w:color w:val="auto"/>
              </w:rPr>
            </w:pPr>
          </w:p>
        </w:tc>
      </w:tr>
      <w:tr>
        <w:trPr>
          <w:trHeight w:val="274"/>
        </w:trPr>
        <w:tc>
          <w:tcPr>
            <w:tcW w:w="1440" w:type="dxa"/>
            <w:vAlign w:val="bottom"/>
            <w:vMerge w:val="continue"/>
            <w:shd w:val="clear" w:color="auto" w:fill="E7E7E8"/>
          </w:tcPr>
          <w:p>
            <w:pPr>
              <w:spacing w:after="0"/>
              <w:rPr>
                <w:sz w:val="23"/>
                <w:szCs w:val="23"/>
                <w:color w:val="auto"/>
              </w:rPr>
            </w:pPr>
          </w:p>
        </w:tc>
        <w:tc>
          <w:tcPr>
            <w:tcW w:w="9360" w:type="dxa"/>
            <w:vAlign w:val="bottom"/>
          </w:tcPr>
          <w:p>
            <w:pPr>
              <w:ind w:left="180"/>
              <w:spacing w:after="0"/>
              <w:rPr>
                <w:sz w:val="20"/>
                <w:szCs w:val="20"/>
                <w:color w:val="auto"/>
              </w:rPr>
            </w:pPr>
            <w:r>
              <w:rPr>
                <w:rFonts w:ascii="Arial" w:cs="Arial" w:eastAsia="Arial" w:hAnsi="Arial"/>
                <w:sz w:val="18"/>
                <w:szCs w:val="18"/>
                <w:i w:val="1"/>
                <w:iCs w:val="1"/>
                <w:color w:val="074A75"/>
              </w:rPr>
              <w:t>We continued to deliver strong multi-year financial performance, invest in our future, strengthen our risk and control</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360" w:type="dxa"/>
            <w:vAlign w:val="bottom"/>
          </w:tcPr>
          <w:p>
            <w:pPr>
              <w:ind w:left="180"/>
              <w:spacing w:after="0"/>
              <w:rPr>
                <w:sz w:val="20"/>
                <w:szCs w:val="20"/>
                <w:color w:val="auto"/>
              </w:rPr>
            </w:pPr>
            <w:r>
              <w:rPr>
                <w:rFonts w:ascii="Arial" w:cs="Arial" w:eastAsia="Arial" w:hAnsi="Arial"/>
                <w:sz w:val="18"/>
                <w:szCs w:val="18"/>
                <w:i w:val="1"/>
                <w:iCs w:val="1"/>
                <w:color w:val="074A75"/>
                <w:w w:val="99"/>
              </w:rPr>
              <w:t>environment, and reinforce our culture and values, including our long-standing commitment to serve our customers,</w:t>
            </w:r>
          </w:p>
        </w:tc>
        <w:tc>
          <w:tcPr>
            <w:tcW w:w="0" w:type="dxa"/>
            <w:vAlign w:val="bottom"/>
          </w:tcPr>
          <w:p>
            <w:pPr>
              <w:spacing w:after="0"/>
              <w:rPr>
                <w:sz w:val="1"/>
                <w:szCs w:val="1"/>
                <w:color w:val="auto"/>
              </w:rPr>
            </w:pPr>
          </w:p>
        </w:tc>
      </w:tr>
      <w:tr>
        <w:trPr>
          <w:trHeight w:val="381"/>
        </w:trPr>
        <w:tc>
          <w:tcPr>
            <w:tcW w:w="1440" w:type="dxa"/>
            <w:vAlign w:val="bottom"/>
            <w:vMerge w:val="continue"/>
            <w:shd w:val="clear" w:color="auto" w:fill="E7E7E8"/>
          </w:tcPr>
          <w:p>
            <w:pPr>
              <w:spacing w:after="0"/>
              <w:rPr>
                <w:sz w:val="24"/>
                <w:szCs w:val="24"/>
                <w:color w:val="auto"/>
              </w:rPr>
            </w:pPr>
          </w:p>
        </w:tc>
        <w:tc>
          <w:tcPr>
            <w:tcW w:w="9360" w:type="dxa"/>
            <w:vAlign w:val="bottom"/>
          </w:tcPr>
          <w:p>
            <w:pPr>
              <w:ind w:left="180"/>
              <w:spacing w:after="0"/>
              <w:rPr>
                <w:sz w:val="20"/>
                <w:szCs w:val="20"/>
                <w:color w:val="auto"/>
              </w:rPr>
            </w:pPr>
            <w:r>
              <w:rPr>
                <w:rFonts w:ascii="Arial" w:cs="Arial" w:eastAsia="Arial" w:hAnsi="Arial"/>
                <w:sz w:val="18"/>
                <w:szCs w:val="18"/>
                <w:i w:val="1"/>
                <w:iCs w:val="1"/>
                <w:color w:val="074A75"/>
              </w:rPr>
              <w:t>employees and communities, and conduct business in a responsible way to drive inclusive growth.</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assessing the Firm’s performance in 2021, the CMDC considered the following factors in the context of the Firm’s Business Principles and strategic framework:</w:t>
      </w:r>
    </w:p>
    <w:p>
      <w:pPr>
        <w:spacing w:after="0" w:line="145" w:lineRule="exact"/>
        <w:rPr>
          <w:sz w:val="20"/>
          <w:szCs w:val="20"/>
          <w:color w:val="auto"/>
        </w:rPr>
      </w:pPr>
    </w:p>
    <w:tbl>
      <w:tblPr>
        <w:tblLayout w:type="fixed"/>
        <w:tblInd w:w="1220" w:type="dxa"/>
        <w:tblCellMar>
          <w:top w:w="0" w:type="dxa"/>
          <w:left w:w="0" w:type="dxa"/>
          <w:bottom w:w="0" w:type="dxa"/>
          <w:right w:w="0" w:type="dxa"/>
        </w:tblCellMar>
      </w:tblPr>
      <w:tr>
        <w:trPr>
          <w:trHeight w:val="278"/>
        </w:trPr>
        <w:tc>
          <w:tcPr>
            <w:tcW w:w="2000" w:type="dxa"/>
            <w:vAlign w:val="bottom"/>
            <w:vMerge w:val="restart"/>
            <w:shd w:val="clear" w:color="auto" w:fill="074A75"/>
          </w:tcPr>
          <w:p>
            <w:pPr>
              <w:ind w:left="240"/>
              <w:spacing w:after="0"/>
              <w:rPr>
                <w:sz w:val="20"/>
                <w:szCs w:val="20"/>
                <w:color w:val="auto"/>
              </w:rPr>
            </w:pPr>
            <w:r>
              <w:rPr>
                <w:rFonts w:ascii="Arial" w:cs="Arial" w:eastAsia="Arial" w:hAnsi="Arial"/>
                <w:sz w:val="18"/>
                <w:szCs w:val="18"/>
                <w:b w:val="1"/>
                <w:bCs w:val="1"/>
                <w:color w:val="FFFFFF"/>
              </w:rPr>
              <w:t>Business Results</w:t>
            </w:r>
          </w:p>
        </w:tc>
        <w:tc>
          <w:tcPr>
            <w:tcW w:w="240" w:type="dxa"/>
            <w:vAlign w:val="bottom"/>
          </w:tcPr>
          <w:p>
            <w:pPr>
              <w:spacing w:after="0"/>
              <w:rPr>
                <w:sz w:val="24"/>
                <w:szCs w:val="24"/>
                <w:color w:val="auto"/>
              </w:rPr>
            </w:pPr>
          </w:p>
        </w:tc>
        <w:tc>
          <w:tcPr>
            <w:tcW w:w="2020" w:type="dxa"/>
            <w:vAlign w:val="bottom"/>
            <w:shd w:val="clear" w:color="auto" w:fill="6484A5"/>
          </w:tcPr>
          <w:p>
            <w:pPr>
              <w:jc w:val="center"/>
              <w:spacing w:after="0"/>
              <w:rPr>
                <w:sz w:val="20"/>
                <w:szCs w:val="20"/>
                <w:color w:val="auto"/>
              </w:rPr>
            </w:pPr>
            <w:r>
              <w:rPr>
                <w:rFonts w:ascii="Arial" w:cs="Arial" w:eastAsia="Arial" w:hAnsi="Arial"/>
                <w:sz w:val="18"/>
                <w:szCs w:val="18"/>
                <w:b w:val="1"/>
                <w:bCs w:val="1"/>
                <w:color w:val="FFFFFF"/>
                <w:w w:val="99"/>
              </w:rPr>
              <w:t>Risk, Controls &amp;</w:t>
            </w:r>
          </w:p>
        </w:tc>
        <w:tc>
          <w:tcPr>
            <w:tcW w:w="240" w:type="dxa"/>
            <w:vAlign w:val="bottom"/>
          </w:tcPr>
          <w:p>
            <w:pPr>
              <w:spacing w:after="0"/>
              <w:rPr>
                <w:sz w:val="24"/>
                <w:szCs w:val="24"/>
                <w:color w:val="auto"/>
              </w:rPr>
            </w:pPr>
          </w:p>
        </w:tc>
        <w:tc>
          <w:tcPr>
            <w:tcW w:w="2040" w:type="dxa"/>
            <w:vAlign w:val="bottom"/>
            <w:shd w:val="clear" w:color="auto" w:fill="939598"/>
          </w:tcPr>
          <w:p>
            <w:pPr>
              <w:jc w:val="center"/>
              <w:spacing w:after="0"/>
              <w:rPr>
                <w:sz w:val="20"/>
                <w:szCs w:val="20"/>
                <w:color w:val="auto"/>
              </w:rPr>
            </w:pPr>
            <w:r>
              <w:rPr>
                <w:rFonts w:ascii="Arial" w:cs="Arial" w:eastAsia="Arial" w:hAnsi="Arial"/>
                <w:sz w:val="18"/>
                <w:szCs w:val="18"/>
                <w:b w:val="1"/>
                <w:bCs w:val="1"/>
                <w:color w:val="FFFFFF"/>
                <w:w w:val="99"/>
              </w:rPr>
              <w:t>Client / Customer /</w:t>
            </w:r>
          </w:p>
        </w:tc>
        <w:tc>
          <w:tcPr>
            <w:tcW w:w="240" w:type="dxa"/>
            <w:vAlign w:val="bottom"/>
          </w:tcPr>
          <w:p>
            <w:pPr>
              <w:spacing w:after="0"/>
              <w:rPr>
                <w:sz w:val="24"/>
                <w:szCs w:val="24"/>
                <w:color w:val="auto"/>
              </w:rPr>
            </w:pPr>
          </w:p>
        </w:tc>
        <w:tc>
          <w:tcPr>
            <w:tcW w:w="2040" w:type="dxa"/>
            <w:vAlign w:val="bottom"/>
            <w:shd w:val="clear" w:color="auto" w:fill="6D6E71"/>
          </w:tcPr>
          <w:p>
            <w:pPr>
              <w:jc w:val="center"/>
              <w:spacing w:after="0"/>
              <w:rPr>
                <w:sz w:val="20"/>
                <w:szCs w:val="20"/>
                <w:color w:val="auto"/>
              </w:rPr>
            </w:pPr>
            <w:r>
              <w:rPr>
                <w:rFonts w:ascii="Arial" w:cs="Arial" w:eastAsia="Arial" w:hAnsi="Arial"/>
                <w:sz w:val="18"/>
                <w:szCs w:val="18"/>
                <w:b w:val="1"/>
                <w:bCs w:val="1"/>
                <w:color w:val="FFFFFF"/>
                <w:w w:val="98"/>
              </w:rPr>
              <w:t>Teamwork &amp;</w:t>
            </w:r>
          </w:p>
        </w:tc>
        <w:tc>
          <w:tcPr>
            <w:tcW w:w="0" w:type="dxa"/>
            <w:vAlign w:val="bottom"/>
          </w:tcPr>
          <w:p>
            <w:pPr>
              <w:spacing w:after="0"/>
              <w:rPr>
                <w:sz w:val="1"/>
                <w:szCs w:val="1"/>
                <w:color w:val="auto"/>
              </w:rPr>
            </w:pPr>
          </w:p>
        </w:tc>
      </w:tr>
      <w:tr>
        <w:trPr>
          <w:trHeight w:val="139"/>
        </w:trPr>
        <w:tc>
          <w:tcPr>
            <w:tcW w:w="2000" w:type="dxa"/>
            <w:vAlign w:val="bottom"/>
            <w:vMerge w:val="continue"/>
            <w:shd w:val="clear" w:color="auto" w:fill="074A75"/>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vMerge w:val="restart"/>
            <w:shd w:val="clear" w:color="auto" w:fill="6484A5"/>
          </w:tcPr>
          <w:p>
            <w:pPr>
              <w:jc w:val="center"/>
              <w:spacing w:after="0"/>
              <w:rPr>
                <w:sz w:val="20"/>
                <w:szCs w:val="20"/>
                <w:color w:val="auto"/>
              </w:rPr>
            </w:pPr>
            <w:r>
              <w:rPr>
                <w:rFonts w:ascii="Arial" w:cs="Arial" w:eastAsia="Arial" w:hAnsi="Arial"/>
                <w:sz w:val="18"/>
                <w:szCs w:val="18"/>
                <w:b w:val="1"/>
                <w:bCs w:val="1"/>
                <w:color w:val="FFFFFF"/>
                <w:w w:val="98"/>
              </w:rPr>
              <w:t>Conduct</w:t>
            </w:r>
          </w:p>
        </w:tc>
        <w:tc>
          <w:tcPr>
            <w:tcW w:w="240" w:type="dxa"/>
            <w:vAlign w:val="bottom"/>
          </w:tcPr>
          <w:p>
            <w:pPr>
              <w:spacing w:after="0"/>
              <w:rPr>
                <w:sz w:val="12"/>
                <w:szCs w:val="12"/>
                <w:color w:val="auto"/>
              </w:rPr>
            </w:pPr>
          </w:p>
        </w:tc>
        <w:tc>
          <w:tcPr>
            <w:tcW w:w="2040" w:type="dxa"/>
            <w:vAlign w:val="bottom"/>
            <w:vMerge w:val="restart"/>
            <w:shd w:val="clear" w:color="auto" w:fill="939598"/>
          </w:tcPr>
          <w:p>
            <w:pPr>
              <w:jc w:val="center"/>
              <w:spacing w:after="0"/>
              <w:rPr>
                <w:sz w:val="20"/>
                <w:szCs w:val="20"/>
                <w:color w:val="auto"/>
              </w:rPr>
            </w:pPr>
            <w:r>
              <w:rPr>
                <w:rFonts w:ascii="Arial" w:cs="Arial" w:eastAsia="Arial" w:hAnsi="Arial"/>
                <w:sz w:val="18"/>
                <w:szCs w:val="18"/>
                <w:b w:val="1"/>
                <w:bCs w:val="1"/>
                <w:color w:val="FFFFFF"/>
                <w:w w:val="98"/>
              </w:rPr>
              <w:t>Stakeholder</w:t>
            </w:r>
          </w:p>
        </w:tc>
        <w:tc>
          <w:tcPr>
            <w:tcW w:w="240" w:type="dxa"/>
            <w:vAlign w:val="bottom"/>
          </w:tcPr>
          <w:p>
            <w:pPr>
              <w:spacing w:after="0"/>
              <w:rPr>
                <w:sz w:val="12"/>
                <w:szCs w:val="12"/>
                <w:color w:val="auto"/>
              </w:rPr>
            </w:pPr>
          </w:p>
        </w:tc>
        <w:tc>
          <w:tcPr>
            <w:tcW w:w="2040" w:type="dxa"/>
            <w:vAlign w:val="bottom"/>
            <w:vMerge w:val="restart"/>
            <w:shd w:val="clear" w:color="auto" w:fill="6D6E71"/>
          </w:tcPr>
          <w:p>
            <w:pPr>
              <w:jc w:val="center"/>
              <w:spacing w:after="0"/>
              <w:rPr>
                <w:sz w:val="20"/>
                <w:szCs w:val="20"/>
                <w:color w:val="auto"/>
              </w:rPr>
            </w:pPr>
            <w:r>
              <w:rPr>
                <w:rFonts w:ascii="Arial" w:cs="Arial" w:eastAsia="Arial" w:hAnsi="Arial"/>
                <w:sz w:val="18"/>
                <w:szCs w:val="18"/>
                <w:b w:val="1"/>
                <w:bCs w:val="1"/>
                <w:color w:val="FFFFFF"/>
                <w:w w:val="99"/>
              </w:rPr>
              <w:t>Leadership</w:t>
            </w:r>
          </w:p>
        </w:tc>
        <w:tc>
          <w:tcPr>
            <w:tcW w:w="0" w:type="dxa"/>
            <w:vAlign w:val="bottom"/>
          </w:tcPr>
          <w:p>
            <w:pPr>
              <w:spacing w:after="0"/>
              <w:rPr>
                <w:sz w:val="1"/>
                <w:szCs w:val="1"/>
                <w:color w:val="auto"/>
              </w:rPr>
            </w:pPr>
          </w:p>
        </w:tc>
      </w:tr>
      <w:tr>
        <w:trPr>
          <w:trHeight w:val="108"/>
        </w:trPr>
        <w:tc>
          <w:tcPr>
            <w:tcW w:w="2000" w:type="dxa"/>
            <w:vAlign w:val="bottom"/>
            <w:shd w:val="clear" w:color="auto" w:fill="074A75"/>
          </w:tcPr>
          <w:p>
            <w:pPr>
              <w:spacing w:after="0"/>
              <w:rPr>
                <w:sz w:val="9"/>
                <w:szCs w:val="9"/>
                <w:color w:val="auto"/>
              </w:rPr>
            </w:pPr>
          </w:p>
        </w:tc>
        <w:tc>
          <w:tcPr>
            <w:tcW w:w="240" w:type="dxa"/>
            <w:vAlign w:val="bottom"/>
          </w:tcPr>
          <w:p>
            <w:pPr>
              <w:spacing w:after="0"/>
              <w:rPr>
                <w:sz w:val="9"/>
                <w:szCs w:val="9"/>
                <w:color w:val="auto"/>
              </w:rPr>
            </w:pPr>
          </w:p>
        </w:tc>
        <w:tc>
          <w:tcPr>
            <w:tcW w:w="2020" w:type="dxa"/>
            <w:vAlign w:val="bottom"/>
            <w:vMerge w:val="continue"/>
            <w:shd w:val="clear" w:color="auto" w:fill="6484A5"/>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vMerge w:val="continue"/>
            <w:shd w:val="clear" w:color="auto" w:fill="939598"/>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vMerge w:val="continue"/>
            <w:shd w:val="clear" w:color="auto" w:fill="6D6E71"/>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00" w:type="dxa"/>
            <w:vAlign w:val="bottom"/>
            <w:shd w:val="clear" w:color="auto" w:fill="074A75"/>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shd w:val="clear" w:color="auto" w:fill="6484A5"/>
          </w:tcPr>
          <w:p>
            <w:pPr>
              <w:spacing w:after="0"/>
              <w:rPr>
                <w:sz w:val="6"/>
                <w:szCs w:val="6"/>
                <w:color w:val="auto"/>
              </w:rPr>
            </w:pPr>
          </w:p>
        </w:tc>
        <w:tc>
          <w:tcPr>
            <w:tcW w:w="240" w:type="dxa"/>
            <w:vAlign w:val="bottom"/>
          </w:tcPr>
          <w:p>
            <w:pPr>
              <w:spacing w:after="0"/>
              <w:rPr>
                <w:sz w:val="6"/>
                <w:szCs w:val="6"/>
                <w:color w:val="auto"/>
              </w:rPr>
            </w:pPr>
          </w:p>
        </w:tc>
        <w:tc>
          <w:tcPr>
            <w:tcW w:w="2040" w:type="dxa"/>
            <w:vAlign w:val="bottom"/>
            <w:shd w:val="clear" w:color="auto" w:fill="939598"/>
          </w:tcPr>
          <w:p>
            <w:pPr>
              <w:spacing w:after="0"/>
              <w:rPr>
                <w:sz w:val="6"/>
                <w:szCs w:val="6"/>
                <w:color w:val="auto"/>
              </w:rPr>
            </w:pPr>
          </w:p>
        </w:tc>
        <w:tc>
          <w:tcPr>
            <w:tcW w:w="240" w:type="dxa"/>
            <w:vAlign w:val="bottom"/>
          </w:tcPr>
          <w:p>
            <w:pPr>
              <w:spacing w:after="0"/>
              <w:rPr>
                <w:sz w:val="6"/>
                <w:szCs w:val="6"/>
                <w:color w:val="auto"/>
              </w:rPr>
            </w:pPr>
          </w:p>
        </w:tc>
        <w:tc>
          <w:tcPr>
            <w:tcW w:w="2040" w:type="dxa"/>
            <w:vAlign w:val="bottom"/>
            <w:shd w:val="clear" w:color="auto" w:fill="6D6E71"/>
          </w:tcPr>
          <w:p>
            <w:pPr>
              <w:spacing w:after="0"/>
              <w:rPr>
                <w:sz w:val="6"/>
                <w:szCs w:val="6"/>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074A75"/>
        </w:rPr>
        <w:t>Business results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074A75"/>
        </w:rPr>
        <w:t>2021 KEY HIGHLIGHTS</w:t>
      </w:r>
    </w:p>
    <w:p>
      <w:pPr>
        <w:spacing w:after="0" w:line="11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Firm continued to build upon its strong momentum from prior years amid the continued challenges of COVID-19. In 2021, the Firm reported record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$125.3 billion and net income of $48.3 billion, or $15.36 per share, with ROE of 19% and ROTCE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23%, while returning $28.5 billion of capital to shareholders (including common dividends and net share repurchases). The Firm's results for 2021 included a reduction in the allowance for credit losses of $12.1 billion. We gained market share in our businesses, demonstrated strong expense discipline while continuing to invest into our businesses, continued to achieve high customer satisfaction scores,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53149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15175" cy="531495"/>
                    </a:xfrm>
                    <a:prstGeom prst="rect">
                      <a:avLst/>
                    </a:prstGeom>
                    <a:noFill/>
                  </pic:spPr>
                </pic:pic>
              </a:graphicData>
            </a:graphic>
          </wp:anchor>
        </w:drawing>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36"/>
          <w:szCs w:val="36"/>
          <w:color w:val="074A75"/>
        </w:rPr>
        <w:t>JPMORGAN CHASE &amp; CO.</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 w:type="dxa"/>
            <w:vAlign w:val="bottom"/>
            <w:shd w:val="clear" w:color="auto" w:fill="EEEFEF"/>
          </w:tcPr>
          <w:p>
            <w:pPr>
              <w:spacing w:after="0"/>
              <w:rPr>
                <w:sz w:val="15"/>
                <w:szCs w:val="15"/>
                <w:color w:val="auto"/>
              </w:rPr>
            </w:pPr>
          </w:p>
        </w:tc>
        <w:tc>
          <w:tcPr>
            <w:tcW w:w="1680" w:type="dxa"/>
            <w:vAlign w:val="bottom"/>
            <w:vMerge w:val="restart"/>
          </w:tcPr>
          <w:p>
            <w:pPr>
              <w:ind w:left="40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48.3</w:t>
            </w:r>
            <w:r>
              <w:rPr>
                <w:rFonts w:ascii="Arial" w:cs="Arial" w:eastAsia="Arial" w:hAnsi="Arial"/>
                <w:sz w:val="23"/>
                <w:szCs w:val="23"/>
                <w:color w:val="074A75"/>
              </w:rPr>
              <w:t>B</w:t>
            </w:r>
          </w:p>
        </w:tc>
        <w:tc>
          <w:tcPr>
            <w:tcW w:w="140" w:type="dxa"/>
            <w:vAlign w:val="bottom"/>
            <w:shd w:val="clear" w:color="auto" w:fill="EEEFEF"/>
          </w:tcPr>
          <w:p>
            <w:pPr>
              <w:spacing w:after="0"/>
              <w:rPr>
                <w:sz w:val="15"/>
                <w:szCs w:val="15"/>
                <w:color w:val="auto"/>
              </w:rPr>
            </w:pPr>
          </w:p>
        </w:tc>
        <w:tc>
          <w:tcPr>
            <w:tcW w:w="1700" w:type="dxa"/>
            <w:vAlign w:val="bottom"/>
            <w:vMerge w:val="restart"/>
          </w:tcPr>
          <w:p>
            <w:pPr>
              <w:jc w:val="center"/>
              <w:ind w:right="268"/>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15.36</w:t>
            </w:r>
          </w:p>
        </w:tc>
        <w:tc>
          <w:tcPr>
            <w:tcW w:w="160" w:type="dxa"/>
            <w:vAlign w:val="bottom"/>
            <w:shd w:val="clear" w:color="auto" w:fill="EEEFEF"/>
          </w:tcPr>
          <w:p>
            <w:pPr>
              <w:spacing w:after="0"/>
              <w:rPr>
                <w:sz w:val="15"/>
                <w:szCs w:val="15"/>
                <w:color w:val="auto"/>
              </w:rPr>
            </w:pPr>
          </w:p>
        </w:tc>
        <w:tc>
          <w:tcPr>
            <w:tcW w:w="1160" w:type="dxa"/>
            <w:vAlign w:val="bottom"/>
            <w:vMerge w:val="restart"/>
          </w:tcPr>
          <w:p>
            <w:pPr>
              <w:jc w:val="center"/>
              <w:ind w:right="188"/>
              <w:spacing w:after="0"/>
              <w:rPr>
                <w:sz w:val="20"/>
                <w:szCs w:val="20"/>
                <w:color w:val="auto"/>
              </w:rPr>
            </w:pPr>
            <w:r>
              <w:rPr>
                <w:rFonts w:ascii="Arial" w:cs="Arial" w:eastAsia="Arial" w:hAnsi="Arial"/>
                <w:sz w:val="31"/>
                <w:szCs w:val="31"/>
                <w:color w:val="074A75"/>
              </w:rPr>
              <w:t>19</w:t>
            </w:r>
            <w:r>
              <w:rPr>
                <w:rFonts w:ascii="Arial" w:cs="Arial" w:eastAsia="Arial" w:hAnsi="Arial"/>
                <w:sz w:val="39"/>
                <w:szCs w:val="39"/>
                <w:color w:val="074A75"/>
                <w:vertAlign w:val="superscript"/>
              </w:rPr>
              <w:t>%</w:t>
            </w:r>
          </w:p>
        </w:tc>
        <w:tc>
          <w:tcPr>
            <w:tcW w:w="20" w:type="dxa"/>
            <w:vAlign w:val="bottom"/>
          </w:tcPr>
          <w:p>
            <w:pPr>
              <w:spacing w:after="0"/>
              <w:rPr>
                <w:sz w:val="15"/>
                <w:szCs w:val="15"/>
                <w:color w:val="auto"/>
              </w:rPr>
            </w:pPr>
          </w:p>
        </w:tc>
        <w:tc>
          <w:tcPr>
            <w:tcW w:w="1160" w:type="dxa"/>
            <w:vAlign w:val="bottom"/>
            <w:vMerge w:val="restart"/>
          </w:tcPr>
          <w:p>
            <w:pPr>
              <w:ind w:left="320"/>
              <w:spacing w:after="0"/>
              <w:rPr>
                <w:sz w:val="20"/>
                <w:szCs w:val="20"/>
                <w:color w:val="auto"/>
              </w:rPr>
            </w:pPr>
            <w:r>
              <w:rPr>
                <w:rFonts w:ascii="Arial" w:cs="Arial" w:eastAsia="Arial" w:hAnsi="Arial"/>
                <w:sz w:val="31"/>
                <w:szCs w:val="31"/>
                <w:color w:val="074A75"/>
              </w:rPr>
              <w:t>23</w:t>
            </w:r>
            <w:r>
              <w:rPr>
                <w:rFonts w:ascii="Arial" w:cs="Arial" w:eastAsia="Arial" w:hAnsi="Arial"/>
                <w:sz w:val="39"/>
                <w:szCs w:val="39"/>
                <w:color w:val="074A75"/>
                <w:vertAlign w:val="superscript"/>
              </w:rPr>
              <w:t>%</w:t>
            </w:r>
          </w:p>
        </w:tc>
        <w:tc>
          <w:tcPr>
            <w:tcW w:w="160" w:type="dxa"/>
            <w:vAlign w:val="bottom"/>
            <w:shd w:val="clear" w:color="auto" w:fill="EEEFEF"/>
          </w:tcPr>
          <w:p>
            <w:pPr>
              <w:spacing w:after="0"/>
              <w:rPr>
                <w:sz w:val="15"/>
                <w:szCs w:val="15"/>
                <w:color w:val="auto"/>
              </w:rPr>
            </w:pPr>
          </w:p>
        </w:tc>
        <w:tc>
          <w:tcPr>
            <w:tcW w:w="1440" w:type="dxa"/>
            <w:vAlign w:val="bottom"/>
            <w:vMerge w:val="restart"/>
          </w:tcPr>
          <w:p>
            <w:pPr>
              <w:jc w:val="center"/>
              <w:ind w:right="148"/>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88.07</w:t>
            </w:r>
          </w:p>
        </w:tc>
        <w:tc>
          <w:tcPr>
            <w:tcW w:w="20" w:type="dxa"/>
            <w:vAlign w:val="bottom"/>
          </w:tcPr>
          <w:p>
            <w:pPr>
              <w:spacing w:after="0"/>
              <w:rPr>
                <w:sz w:val="15"/>
                <w:szCs w:val="15"/>
                <w:color w:val="auto"/>
              </w:rPr>
            </w:pPr>
          </w:p>
        </w:tc>
        <w:tc>
          <w:tcPr>
            <w:tcW w:w="1420" w:type="dxa"/>
            <w:vAlign w:val="bottom"/>
            <w:vMerge w:val="restart"/>
          </w:tcPr>
          <w:p>
            <w:pPr>
              <w:jc w:val="center"/>
              <w:ind w:right="148"/>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71.53</w:t>
            </w:r>
          </w:p>
        </w:tc>
        <w:tc>
          <w:tcPr>
            <w:tcW w:w="140" w:type="dxa"/>
            <w:vAlign w:val="bottom"/>
            <w:shd w:val="clear" w:color="auto" w:fill="EEEFEF"/>
          </w:tcPr>
          <w:p>
            <w:pPr>
              <w:spacing w:after="0"/>
              <w:rPr>
                <w:sz w:val="15"/>
                <w:szCs w:val="15"/>
                <w:color w:val="auto"/>
              </w:rPr>
            </w:pPr>
          </w:p>
        </w:tc>
        <w:tc>
          <w:tcPr>
            <w:tcW w:w="172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28.5</w:t>
            </w:r>
            <w:r>
              <w:rPr>
                <w:rFonts w:ascii="Arial" w:cs="Arial" w:eastAsia="Arial" w:hAnsi="Arial"/>
                <w:sz w:val="23"/>
                <w:szCs w:val="23"/>
                <w:color w:val="074A75"/>
                <w:w w:val="95"/>
              </w:rPr>
              <w:t>B</w:t>
            </w:r>
          </w:p>
        </w:tc>
        <w:tc>
          <w:tcPr>
            <w:tcW w:w="160" w:type="dxa"/>
            <w:vAlign w:val="bottom"/>
            <w:shd w:val="clear" w:color="auto" w:fill="EEEFEF"/>
          </w:tcPr>
          <w:p>
            <w:pPr>
              <w:spacing w:after="0"/>
              <w:rPr>
                <w:sz w:val="15"/>
                <w:szCs w:val="15"/>
                <w:color w:val="auto"/>
              </w:rPr>
            </w:pPr>
          </w:p>
        </w:tc>
        <w:tc>
          <w:tcPr>
            <w:tcW w:w="0" w:type="dxa"/>
            <w:vAlign w:val="bottom"/>
          </w:tcPr>
          <w:p>
            <w:pPr>
              <w:spacing w:after="0"/>
              <w:rPr>
                <w:sz w:val="1"/>
                <w:szCs w:val="1"/>
                <w:color w:val="auto"/>
              </w:rPr>
            </w:pPr>
          </w:p>
        </w:tc>
      </w:tr>
      <w:tr>
        <w:trPr>
          <w:trHeight w:val="644"/>
        </w:trPr>
        <w:tc>
          <w:tcPr>
            <w:tcW w:w="140" w:type="dxa"/>
            <w:vAlign w:val="bottom"/>
            <w:shd w:val="clear" w:color="auto" w:fill="EEEFEF"/>
          </w:tcPr>
          <w:p>
            <w:pPr>
              <w:spacing w:after="0"/>
              <w:rPr>
                <w:sz w:val="24"/>
                <w:szCs w:val="24"/>
                <w:color w:val="auto"/>
              </w:rPr>
            </w:pPr>
          </w:p>
        </w:tc>
        <w:tc>
          <w:tcPr>
            <w:tcW w:w="1680" w:type="dxa"/>
            <w:vAlign w:val="bottom"/>
            <w:vMerge w:val="continue"/>
          </w:tcPr>
          <w:p>
            <w:pPr>
              <w:spacing w:after="0"/>
              <w:rPr>
                <w:sz w:val="24"/>
                <w:szCs w:val="24"/>
                <w:color w:val="auto"/>
              </w:rPr>
            </w:pPr>
          </w:p>
        </w:tc>
        <w:tc>
          <w:tcPr>
            <w:tcW w:w="140" w:type="dxa"/>
            <w:vAlign w:val="bottom"/>
            <w:shd w:val="clear" w:color="auto" w:fill="EEEFEF"/>
          </w:tcPr>
          <w:p>
            <w:pPr>
              <w:spacing w:after="0"/>
              <w:rPr>
                <w:sz w:val="24"/>
                <w:szCs w:val="24"/>
                <w:color w:val="auto"/>
              </w:rPr>
            </w:pPr>
          </w:p>
        </w:tc>
        <w:tc>
          <w:tcPr>
            <w:tcW w:w="1700" w:type="dxa"/>
            <w:vAlign w:val="bottom"/>
            <w:vMerge w:val="continue"/>
          </w:tcPr>
          <w:p>
            <w:pPr>
              <w:spacing w:after="0"/>
              <w:rPr>
                <w:sz w:val="24"/>
                <w:szCs w:val="24"/>
                <w:color w:val="auto"/>
              </w:rPr>
            </w:pPr>
          </w:p>
        </w:tc>
        <w:tc>
          <w:tcPr>
            <w:tcW w:w="160" w:type="dxa"/>
            <w:vAlign w:val="bottom"/>
            <w:shd w:val="clear" w:color="auto" w:fill="EEEFEF"/>
          </w:tcPr>
          <w:p>
            <w:pPr>
              <w:spacing w:after="0"/>
              <w:rPr>
                <w:sz w:val="24"/>
                <w:szCs w:val="24"/>
                <w:color w:val="auto"/>
              </w:rPr>
            </w:pPr>
          </w:p>
        </w:tc>
        <w:tc>
          <w:tcPr>
            <w:tcW w:w="116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160" w:type="dxa"/>
            <w:vAlign w:val="bottom"/>
            <w:vMerge w:val="continue"/>
          </w:tcPr>
          <w:p>
            <w:pPr>
              <w:spacing w:after="0"/>
              <w:rPr>
                <w:sz w:val="24"/>
                <w:szCs w:val="24"/>
                <w:color w:val="auto"/>
              </w:rPr>
            </w:pPr>
          </w:p>
        </w:tc>
        <w:tc>
          <w:tcPr>
            <w:tcW w:w="160" w:type="dxa"/>
            <w:vAlign w:val="bottom"/>
            <w:shd w:val="clear" w:color="auto" w:fill="EEEFEF"/>
          </w:tcPr>
          <w:p>
            <w:pPr>
              <w:spacing w:after="0"/>
              <w:rPr>
                <w:sz w:val="24"/>
                <w:szCs w:val="24"/>
                <w:color w:val="auto"/>
              </w:rPr>
            </w:pPr>
          </w:p>
        </w:tc>
        <w:tc>
          <w:tcPr>
            <w:tcW w:w="144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shd w:val="clear" w:color="auto" w:fill="EEEFEF"/>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40" w:type="dxa"/>
            <w:vAlign w:val="bottom"/>
            <w:shd w:val="clear" w:color="auto" w:fill="EEEFEF"/>
          </w:tcPr>
          <w:p>
            <w:pPr>
              <w:spacing w:after="0"/>
              <w:rPr>
                <w:sz w:val="14"/>
                <w:szCs w:val="14"/>
                <w:color w:val="auto"/>
              </w:rPr>
            </w:pPr>
          </w:p>
        </w:tc>
        <w:tc>
          <w:tcPr>
            <w:tcW w:w="168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EEEFEF"/>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EPS</w:t>
            </w:r>
          </w:p>
        </w:tc>
        <w:tc>
          <w:tcPr>
            <w:tcW w:w="160" w:type="dxa"/>
            <w:vAlign w:val="bottom"/>
            <w:shd w:val="clear" w:color="auto" w:fill="EEEFEF"/>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ROE</w:t>
            </w:r>
          </w:p>
        </w:tc>
        <w:tc>
          <w:tcPr>
            <w:tcW w:w="20" w:type="dxa"/>
            <w:vAlign w:val="bottom"/>
            <w:shd w:val="clear" w:color="auto" w:fill="454545"/>
          </w:tcPr>
          <w:p>
            <w:pPr>
              <w:spacing w:after="0"/>
              <w:rPr>
                <w:sz w:val="14"/>
                <w:szCs w:val="14"/>
                <w:color w:val="auto"/>
              </w:rPr>
            </w:pPr>
          </w:p>
        </w:tc>
        <w:tc>
          <w:tcPr>
            <w:tcW w:w="1160" w:type="dxa"/>
            <w:vAlign w:val="bottom"/>
            <w:vMerge w:val="restart"/>
          </w:tcPr>
          <w:p>
            <w:pPr>
              <w:ind w:left="300"/>
              <w:spacing w:after="0"/>
              <w:rPr>
                <w:sz w:val="20"/>
                <w:szCs w:val="20"/>
                <w:color w:val="auto"/>
              </w:rPr>
            </w:pPr>
            <w:r>
              <w:rPr>
                <w:rFonts w:ascii="Arial" w:cs="Arial" w:eastAsia="Arial" w:hAnsi="Arial"/>
                <w:sz w:val="14"/>
                <w:szCs w:val="14"/>
                <w:color w:val="auto"/>
              </w:rPr>
              <w:t>ROTCE</w:t>
            </w:r>
            <w:r>
              <w:rPr>
                <w:rFonts w:ascii="Arial" w:cs="Arial" w:eastAsia="Arial" w:hAnsi="Arial"/>
                <w:sz w:val="18"/>
                <w:szCs w:val="18"/>
                <w:color w:val="auto"/>
                <w:vertAlign w:val="superscript"/>
              </w:rPr>
              <w:t>2</w:t>
            </w:r>
          </w:p>
        </w:tc>
        <w:tc>
          <w:tcPr>
            <w:tcW w:w="160" w:type="dxa"/>
            <w:vAlign w:val="bottom"/>
            <w:shd w:val="clear" w:color="auto" w:fill="EEEFEF"/>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BVPS</w:t>
            </w:r>
          </w:p>
        </w:tc>
        <w:tc>
          <w:tcPr>
            <w:tcW w:w="20" w:type="dxa"/>
            <w:vAlign w:val="bottom"/>
            <w:shd w:val="clear" w:color="auto" w:fill="454545"/>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w w:val="98"/>
              </w:rPr>
              <w:t>TBVPS</w:t>
            </w:r>
            <w:r>
              <w:rPr>
                <w:rFonts w:ascii="Arial" w:cs="Arial" w:eastAsia="Arial" w:hAnsi="Arial"/>
                <w:sz w:val="18"/>
                <w:szCs w:val="18"/>
                <w:color w:val="auto"/>
                <w:w w:val="98"/>
                <w:vertAlign w:val="superscript"/>
              </w:rPr>
              <w:t>2</w:t>
            </w:r>
          </w:p>
        </w:tc>
        <w:tc>
          <w:tcPr>
            <w:tcW w:w="140" w:type="dxa"/>
            <w:vAlign w:val="bottom"/>
            <w:shd w:val="clear" w:color="auto" w:fill="EEEFEF"/>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NET CAPITAL</w:t>
            </w:r>
          </w:p>
        </w:tc>
        <w:tc>
          <w:tcPr>
            <w:tcW w:w="160" w:type="dxa"/>
            <w:vAlign w:val="bottom"/>
            <w:shd w:val="clear" w:color="auto" w:fill="EEEFEF"/>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40" w:type="dxa"/>
            <w:vAlign w:val="bottom"/>
            <w:shd w:val="clear" w:color="auto" w:fill="EEEFEF"/>
          </w:tcPr>
          <w:p>
            <w:pPr>
              <w:spacing w:after="0"/>
              <w:rPr>
                <w:sz w:val="22"/>
                <w:szCs w:val="22"/>
                <w:color w:val="auto"/>
              </w:rPr>
            </w:pPr>
          </w:p>
        </w:tc>
        <w:tc>
          <w:tcPr>
            <w:tcW w:w="1680" w:type="dxa"/>
            <w:vAlign w:val="bottom"/>
          </w:tcPr>
          <w:p>
            <w:pPr>
              <w:spacing w:after="0"/>
              <w:rPr>
                <w:sz w:val="22"/>
                <w:szCs w:val="22"/>
                <w:color w:val="auto"/>
              </w:rPr>
            </w:pPr>
          </w:p>
        </w:tc>
        <w:tc>
          <w:tcPr>
            <w:tcW w:w="140" w:type="dxa"/>
            <w:vAlign w:val="bottom"/>
            <w:shd w:val="clear" w:color="auto" w:fill="EEEFEF"/>
          </w:tcPr>
          <w:p>
            <w:pPr>
              <w:spacing w:after="0"/>
              <w:rPr>
                <w:sz w:val="22"/>
                <w:szCs w:val="22"/>
                <w:color w:val="auto"/>
              </w:rPr>
            </w:pPr>
          </w:p>
        </w:tc>
        <w:tc>
          <w:tcPr>
            <w:tcW w:w="1700" w:type="dxa"/>
            <w:vAlign w:val="bottom"/>
          </w:tcPr>
          <w:p>
            <w:pPr>
              <w:spacing w:after="0"/>
              <w:rPr>
                <w:sz w:val="22"/>
                <w:szCs w:val="22"/>
                <w:color w:val="auto"/>
              </w:rPr>
            </w:pPr>
          </w:p>
        </w:tc>
        <w:tc>
          <w:tcPr>
            <w:tcW w:w="160" w:type="dxa"/>
            <w:vAlign w:val="bottom"/>
            <w:shd w:val="clear" w:color="auto" w:fill="EEEFEF"/>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shd w:val="clear" w:color="auto" w:fill="454545"/>
          </w:tcPr>
          <w:p>
            <w:pPr>
              <w:spacing w:after="0"/>
              <w:rPr>
                <w:sz w:val="22"/>
                <w:szCs w:val="22"/>
                <w:color w:val="auto"/>
              </w:rPr>
            </w:pPr>
          </w:p>
        </w:tc>
        <w:tc>
          <w:tcPr>
            <w:tcW w:w="1160" w:type="dxa"/>
            <w:vAlign w:val="bottom"/>
            <w:vMerge w:val="continue"/>
          </w:tcPr>
          <w:p>
            <w:pPr>
              <w:spacing w:after="0"/>
              <w:rPr>
                <w:sz w:val="22"/>
                <w:szCs w:val="22"/>
                <w:color w:val="auto"/>
              </w:rPr>
            </w:pPr>
          </w:p>
        </w:tc>
        <w:tc>
          <w:tcPr>
            <w:tcW w:w="160" w:type="dxa"/>
            <w:vAlign w:val="bottom"/>
            <w:shd w:val="clear" w:color="auto" w:fill="EEEFEF"/>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shd w:val="clear" w:color="auto" w:fill="454545"/>
          </w:tcPr>
          <w:p>
            <w:pPr>
              <w:spacing w:after="0"/>
              <w:rPr>
                <w:sz w:val="22"/>
                <w:szCs w:val="22"/>
                <w:color w:val="auto"/>
              </w:rPr>
            </w:pPr>
          </w:p>
        </w:tc>
        <w:tc>
          <w:tcPr>
            <w:tcW w:w="1420" w:type="dxa"/>
            <w:vAlign w:val="bottom"/>
            <w:vMerge w:val="continue"/>
          </w:tcPr>
          <w:p>
            <w:pPr>
              <w:spacing w:after="0"/>
              <w:rPr>
                <w:sz w:val="22"/>
                <w:szCs w:val="22"/>
                <w:color w:val="auto"/>
              </w:rPr>
            </w:pPr>
          </w:p>
        </w:tc>
        <w:tc>
          <w:tcPr>
            <w:tcW w:w="140" w:type="dxa"/>
            <w:vAlign w:val="bottom"/>
            <w:shd w:val="clear" w:color="auto" w:fill="EEEFEF"/>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DISTRIBUTIONS</w:t>
            </w:r>
            <w:r>
              <w:rPr>
                <w:rFonts w:ascii="Arial" w:cs="Arial" w:eastAsia="Arial" w:hAnsi="Arial"/>
                <w:sz w:val="18"/>
                <w:szCs w:val="18"/>
                <w:color w:val="auto"/>
                <w:vertAlign w:val="superscript"/>
              </w:rPr>
              <w:t>3</w:t>
            </w:r>
          </w:p>
        </w:tc>
        <w:tc>
          <w:tcPr>
            <w:tcW w:w="160" w:type="dxa"/>
            <w:vAlign w:val="bottom"/>
            <w:shd w:val="clear" w:color="auto" w:fill="EEEFE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EEEFEF"/>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shd w:val="clear" w:color="auto" w:fill="EEEFE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shd w:val="clear" w:color="auto" w:fill="EEEFEF"/>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shd w:val="clear" w:color="auto" w:fill="EEEFE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0" w:type="dxa"/>
            <w:vAlign w:val="bottom"/>
            <w:shd w:val="clear" w:color="auto" w:fill="EEEFEF"/>
          </w:tcPr>
          <w:p>
            <w:pPr>
              <w:spacing w:after="0"/>
              <w:rPr>
                <w:sz w:val="11"/>
                <w:szCs w:val="11"/>
                <w:color w:val="auto"/>
              </w:rPr>
            </w:pPr>
          </w:p>
        </w:tc>
        <w:tc>
          <w:tcPr>
            <w:tcW w:w="1680" w:type="dxa"/>
            <w:vAlign w:val="bottom"/>
            <w:shd w:val="clear" w:color="auto" w:fill="EEEFEF"/>
          </w:tcPr>
          <w:p>
            <w:pPr>
              <w:spacing w:after="0"/>
              <w:rPr>
                <w:sz w:val="11"/>
                <w:szCs w:val="11"/>
                <w:color w:val="auto"/>
              </w:rPr>
            </w:pPr>
          </w:p>
        </w:tc>
        <w:tc>
          <w:tcPr>
            <w:tcW w:w="140" w:type="dxa"/>
            <w:vAlign w:val="bottom"/>
            <w:shd w:val="clear" w:color="auto" w:fill="EEEFEF"/>
          </w:tcPr>
          <w:p>
            <w:pPr>
              <w:spacing w:after="0"/>
              <w:rPr>
                <w:sz w:val="11"/>
                <w:szCs w:val="11"/>
                <w:color w:val="auto"/>
              </w:rPr>
            </w:pPr>
          </w:p>
        </w:tc>
        <w:tc>
          <w:tcPr>
            <w:tcW w:w="1700" w:type="dxa"/>
            <w:vAlign w:val="bottom"/>
            <w:shd w:val="clear" w:color="auto" w:fill="EEEFEF"/>
          </w:tcPr>
          <w:p>
            <w:pPr>
              <w:spacing w:after="0"/>
              <w:rPr>
                <w:sz w:val="11"/>
                <w:szCs w:val="11"/>
                <w:color w:val="auto"/>
              </w:rPr>
            </w:pPr>
          </w:p>
        </w:tc>
        <w:tc>
          <w:tcPr>
            <w:tcW w:w="160" w:type="dxa"/>
            <w:vAlign w:val="bottom"/>
            <w:shd w:val="clear" w:color="auto" w:fill="EEEFEF"/>
          </w:tcPr>
          <w:p>
            <w:pPr>
              <w:spacing w:after="0"/>
              <w:rPr>
                <w:sz w:val="11"/>
                <w:szCs w:val="11"/>
                <w:color w:val="auto"/>
              </w:rPr>
            </w:pPr>
          </w:p>
        </w:tc>
        <w:tc>
          <w:tcPr>
            <w:tcW w:w="1160" w:type="dxa"/>
            <w:vAlign w:val="bottom"/>
            <w:shd w:val="clear" w:color="auto" w:fill="EEEFEF"/>
          </w:tcPr>
          <w:p>
            <w:pPr>
              <w:spacing w:after="0"/>
              <w:rPr>
                <w:sz w:val="11"/>
                <w:szCs w:val="11"/>
                <w:color w:val="auto"/>
              </w:rPr>
            </w:pPr>
          </w:p>
        </w:tc>
        <w:tc>
          <w:tcPr>
            <w:tcW w:w="20" w:type="dxa"/>
            <w:vAlign w:val="bottom"/>
            <w:shd w:val="clear" w:color="auto" w:fill="EEEFEF"/>
          </w:tcPr>
          <w:p>
            <w:pPr>
              <w:spacing w:after="0"/>
              <w:rPr>
                <w:sz w:val="11"/>
                <w:szCs w:val="11"/>
                <w:color w:val="auto"/>
              </w:rPr>
            </w:pPr>
          </w:p>
        </w:tc>
        <w:tc>
          <w:tcPr>
            <w:tcW w:w="1160" w:type="dxa"/>
            <w:vAlign w:val="bottom"/>
            <w:shd w:val="clear" w:color="auto" w:fill="EEEFEF"/>
          </w:tcPr>
          <w:p>
            <w:pPr>
              <w:spacing w:after="0"/>
              <w:rPr>
                <w:sz w:val="11"/>
                <w:szCs w:val="11"/>
                <w:color w:val="auto"/>
              </w:rPr>
            </w:pPr>
          </w:p>
        </w:tc>
        <w:tc>
          <w:tcPr>
            <w:tcW w:w="160" w:type="dxa"/>
            <w:vAlign w:val="bottom"/>
            <w:shd w:val="clear" w:color="auto" w:fill="EEEFEF"/>
          </w:tcPr>
          <w:p>
            <w:pPr>
              <w:spacing w:after="0"/>
              <w:rPr>
                <w:sz w:val="11"/>
                <w:szCs w:val="11"/>
                <w:color w:val="auto"/>
              </w:rPr>
            </w:pPr>
          </w:p>
        </w:tc>
        <w:tc>
          <w:tcPr>
            <w:tcW w:w="1440" w:type="dxa"/>
            <w:vAlign w:val="bottom"/>
            <w:shd w:val="clear" w:color="auto" w:fill="EEEFEF"/>
          </w:tcPr>
          <w:p>
            <w:pPr>
              <w:spacing w:after="0"/>
              <w:rPr>
                <w:sz w:val="11"/>
                <w:szCs w:val="11"/>
                <w:color w:val="auto"/>
              </w:rPr>
            </w:pPr>
          </w:p>
        </w:tc>
        <w:tc>
          <w:tcPr>
            <w:tcW w:w="20" w:type="dxa"/>
            <w:vAlign w:val="bottom"/>
            <w:shd w:val="clear" w:color="auto" w:fill="EEEFEF"/>
          </w:tcPr>
          <w:p>
            <w:pPr>
              <w:spacing w:after="0"/>
              <w:rPr>
                <w:sz w:val="11"/>
                <w:szCs w:val="11"/>
                <w:color w:val="auto"/>
              </w:rPr>
            </w:pPr>
          </w:p>
        </w:tc>
        <w:tc>
          <w:tcPr>
            <w:tcW w:w="1420" w:type="dxa"/>
            <w:vAlign w:val="bottom"/>
            <w:shd w:val="clear" w:color="auto" w:fill="EEEFEF"/>
          </w:tcPr>
          <w:p>
            <w:pPr>
              <w:spacing w:after="0"/>
              <w:rPr>
                <w:sz w:val="11"/>
                <w:szCs w:val="11"/>
                <w:color w:val="auto"/>
              </w:rPr>
            </w:pPr>
          </w:p>
        </w:tc>
        <w:tc>
          <w:tcPr>
            <w:tcW w:w="140" w:type="dxa"/>
            <w:vAlign w:val="bottom"/>
            <w:shd w:val="clear" w:color="auto" w:fill="EEEFEF"/>
          </w:tcPr>
          <w:p>
            <w:pPr>
              <w:spacing w:after="0"/>
              <w:rPr>
                <w:sz w:val="11"/>
                <w:szCs w:val="11"/>
                <w:color w:val="auto"/>
              </w:rPr>
            </w:pPr>
          </w:p>
        </w:tc>
        <w:tc>
          <w:tcPr>
            <w:tcW w:w="1720" w:type="dxa"/>
            <w:vAlign w:val="bottom"/>
            <w:shd w:val="clear" w:color="auto" w:fill="EEEFEF"/>
          </w:tcPr>
          <w:p>
            <w:pPr>
              <w:spacing w:after="0"/>
              <w:rPr>
                <w:sz w:val="11"/>
                <w:szCs w:val="11"/>
                <w:color w:val="auto"/>
              </w:rPr>
            </w:pPr>
          </w:p>
        </w:tc>
        <w:tc>
          <w:tcPr>
            <w:tcW w:w="160" w:type="dxa"/>
            <w:vAlign w:val="bottom"/>
            <w:shd w:val="clear" w:color="auto" w:fill="EEEF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9340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934085"/>
                    </a:xfrm>
                    <a:prstGeom prst="rect">
                      <a:avLst/>
                    </a:prstGeom>
                    <a:noFill/>
                  </pic:spPr>
                </pic:pic>
              </a:graphicData>
            </a:graphic>
          </wp:anchor>
        </w:drawing>
      </w:r>
    </w:p>
    <w:p>
      <w:pPr>
        <w:sectPr>
          <w:pgSz w:w="11900" w:h="16838" w:orient="portrait"/>
          <w:cols w:equalWidth="0" w:num="1">
            <w:col w:w="11240"/>
          </w:cols>
          <w:pgMar w:left="320" w:top="157" w:right="339" w:bottom="501" w:gutter="0" w:footer="0" w:header="0"/>
        </w:sectPr>
      </w:pPr>
    </w:p>
    <w:p>
      <w:pPr>
        <w:spacing w:after="0" w:line="203" w:lineRule="exact"/>
        <w:rPr>
          <w:sz w:val="20"/>
          <w:szCs w:val="20"/>
          <w:color w:val="auto"/>
        </w:rPr>
      </w:pPr>
    </w:p>
    <w:p>
      <w:pPr>
        <w:jc w:val="center"/>
        <w:ind w:left="103" w:right="103"/>
        <w:spacing w:after="0" w:line="296" w:lineRule="auto"/>
        <w:rPr>
          <w:sz w:val="20"/>
          <w:szCs w:val="20"/>
          <w:color w:val="auto"/>
        </w:rPr>
      </w:pPr>
      <w:r>
        <w:rPr>
          <w:rFonts w:ascii="Arial" w:cs="Arial" w:eastAsia="Arial" w:hAnsi="Arial"/>
          <w:sz w:val="21"/>
          <w:szCs w:val="21"/>
          <w:color w:val="074A75"/>
        </w:rPr>
        <w:t>CONSUMER &amp; COMMUNITY BANKING</w:t>
      </w:r>
    </w:p>
    <w:p>
      <w:pPr>
        <w:spacing w:after="0" w:line="68" w:lineRule="exact"/>
        <w:rPr>
          <w:sz w:val="20"/>
          <w:szCs w:val="20"/>
          <w:color w:val="auto"/>
        </w:rPr>
      </w:pPr>
    </w:p>
    <w:p>
      <w:pPr>
        <w:ind w:left="240"/>
        <w:spacing w:after="0"/>
        <w:tabs>
          <w:tab w:leader="none" w:pos="1740"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20.9</w:t>
      </w:r>
      <w:r>
        <w:rPr>
          <w:rFonts w:ascii="Arial" w:cs="Arial" w:eastAsia="Arial" w:hAnsi="Arial"/>
          <w:sz w:val="23"/>
          <w:szCs w:val="23"/>
          <w:color w:val="074A75"/>
        </w:rPr>
        <w:t>B</w:t>
      </w:r>
      <w:r>
        <w:rPr>
          <w:sz w:val="20"/>
          <w:szCs w:val="20"/>
          <w:color w:val="auto"/>
        </w:rPr>
        <w:tab/>
      </w:r>
      <w:r>
        <w:rPr>
          <w:rFonts w:ascii="Arial" w:cs="Arial" w:eastAsia="Arial" w:hAnsi="Arial"/>
          <w:sz w:val="28"/>
          <w:szCs w:val="28"/>
          <w:color w:val="074A75"/>
        </w:rPr>
        <w:t>41</w:t>
      </w:r>
      <w:r>
        <w:rPr>
          <w:rFonts w:ascii="Arial" w:cs="Arial" w:eastAsia="Arial" w:hAnsi="Arial"/>
          <w:sz w:val="35"/>
          <w:szCs w:val="35"/>
          <w:color w:val="074A75"/>
          <w:vertAlign w:val="superscript"/>
        </w:rPr>
        <w:t>%</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120" w:type="dxa"/>
            <w:vAlign w:val="bottom"/>
          </w:tcPr>
          <w:p>
            <w:pPr>
              <w:spacing w:after="0"/>
              <w:rPr>
                <w:sz w:val="20"/>
                <w:szCs w:val="20"/>
                <w:color w:val="auto"/>
              </w:rPr>
            </w:pPr>
            <w:r>
              <w:rPr>
                <w:rFonts w:ascii="Arial" w:cs="Arial" w:eastAsia="Arial" w:hAnsi="Arial"/>
                <w:sz w:val="14"/>
                <w:szCs w:val="14"/>
                <w:color w:val="auto"/>
              </w:rPr>
              <w:t>NET INCOME</w:t>
            </w:r>
          </w:p>
        </w:tc>
        <w:tc>
          <w:tcPr>
            <w:tcW w:w="1340" w:type="dxa"/>
            <w:vAlign w:val="bottom"/>
            <w:shd w:val="clear" w:color="auto" w:fill="EEEFEF"/>
          </w:tcPr>
          <w:p>
            <w:pPr>
              <w:ind w:left="520"/>
              <w:spacing w:after="0"/>
              <w:rPr>
                <w:sz w:val="20"/>
                <w:szCs w:val="20"/>
                <w:color w:val="auto"/>
              </w:rPr>
            </w:pPr>
            <w:r>
              <w:rPr>
                <w:rFonts w:ascii="Arial" w:cs="Arial" w:eastAsia="Arial" w:hAnsi="Arial"/>
                <w:sz w:val="14"/>
                <w:szCs w:val="14"/>
                <w:color w:val="auto"/>
              </w:rPr>
              <w:t>ROE</w:t>
            </w:r>
          </w:p>
        </w:tc>
      </w:tr>
      <w:tr>
        <w:trPr>
          <w:trHeight w:val="40"/>
        </w:trPr>
        <w:tc>
          <w:tcPr>
            <w:tcW w:w="1120" w:type="dxa"/>
            <w:vAlign w:val="bottom"/>
          </w:tcPr>
          <w:p>
            <w:pPr>
              <w:spacing w:after="0"/>
              <w:rPr>
                <w:sz w:val="3"/>
                <w:szCs w:val="3"/>
                <w:color w:val="auto"/>
              </w:rPr>
            </w:pPr>
          </w:p>
        </w:tc>
        <w:tc>
          <w:tcPr>
            <w:tcW w:w="1340" w:type="dxa"/>
            <w:vAlign w:val="bottom"/>
            <w:shd w:val="clear" w:color="auto" w:fill="EEEFE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697355" cy="17145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697355" cy="1714500"/>
                    </a:xfrm>
                    <a:prstGeom prst="rect">
                      <a:avLst/>
                    </a:prstGeom>
                    <a:noFill/>
                  </pic:spPr>
                </pic:pic>
              </a:graphicData>
            </a:graphic>
          </wp:anchor>
        </w:drawing>
      </w:r>
    </w:p>
    <w:p>
      <w:pPr>
        <w:ind w:left="300" w:hanging="197"/>
        <w:spacing w:after="0"/>
        <w:tabs>
          <w:tab w:leader="none" w:pos="300"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$50.1B</w:t>
      </w:r>
    </w:p>
    <w:p>
      <w:pPr>
        <w:spacing w:after="0" w:line="48" w:lineRule="exact"/>
        <w:rPr>
          <w:rFonts w:ascii="Arial" w:cs="Arial" w:eastAsia="Arial" w:hAnsi="Arial"/>
          <w:sz w:val="15"/>
          <w:szCs w:val="15"/>
          <w:color w:val="074A75"/>
        </w:rPr>
      </w:pPr>
    </w:p>
    <w:p>
      <w:pPr>
        <w:ind w:left="300" w:right="200" w:hanging="197"/>
        <w:spacing w:after="0" w:line="257" w:lineRule="auto"/>
        <w:tabs>
          <w:tab w:leader="none" w:pos="294"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Average deposits of $1.1T (up 24%); average loans of $434.0B (down 3%)</w:t>
      </w:r>
    </w:p>
    <w:p>
      <w:pPr>
        <w:spacing w:after="0" w:line="31" w:lineRule="exact"/>
        <w:rPr>
          <w:rFonts w:ascii="Arial" w:cs="Arial" w:eastAsia="Arial" w:hAnsi="Arial"/>
          <w:sz w:val="15"/>
          <w:szCs w:val="15"/>
          <w:color w:val="074A75"/>
        </w:rPr>
      </w:pPr>
    </w:p>
    <w:p>
      <w:pPr>
        <w:ind w:left="300" w:right="300" w:hanging="197"/>
        <w:spacing w:after="0" w:line="265" w:lineRule="auto"/>
        <w:tabs>
          <w:tab w:leader="none" w:pos="294"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#1 in U.S. retail deposit market share</w:t>
      </w:r>
      <w:r>
        <w:rPr>
          <w:rFonts w:ascii="Arial" w:cs="Arial" w:eastAsia="Arial" w:hAnsi="Arial"/>
          <w:sz w:val="19"/>
          <w:szCs w:val="19"/>
          <w:color w:val="auto"/>
          <w:vertAlign w:val="superscript"/>
        </w:rPr>
        <w:t>4</w:t>
      </w:r>
    </w:p>
    <w:p>
      <w:pPr>
        <w:jc w:val="both"/>
        <w:ind w:left="300" w:right="300" w:hanging="197"/>
        <w:spacing w:after="0" w:line="253" w:lineRule="auto"/>
        <w:tabs>
          <w:tab w:leader="none" w:pos="294"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Maintained #1 market share in Card, based on U.S. sales and outstandings</w:t>
      </w:r>
    </w:p>
    <w:p>
      <w:pPr>
        <w:spacing w:after="0" w:line="48" w:lineRule="exact"/>
        <w:rPr>
          <w:rFonts w:ascii="Arial" w:cs="Arial" w:eastAsia="Arial" w:hAnsi="Arial"/>
          <w:sz w:val="15"/>
          <w:szCs w:val="15"/>
          <w:color w:val="074A75"/>
        </w:rPr>
      </w:pPr>
    </w:p>
    <w:p>
      <w:pPr>
        <w:ind w:left="300" w:right="40" w:hanging="197"/>
        <w:spacing w:after="0" w:line="263" w:lineRule="auto"/>
        <w:tabs>
          <w:tab w:leader="none" w:pos="294"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Largest active digital and mobile customer base among U.S. banks, customers up 6% and 11% respectively</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074A75"/>
        </w:rPr>
        <w:t>CORPORATE &amp;</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074A75"/>
        </w:rPr>
        <w:t>INVESTMENT BANK</w:t>
      </w:r>
    </w:p>
    <w:p>
      <w:pPr>
        <w:spacing w:after="0" w:line="134" w:lineRule="exact"/>
        <w:rPr>
          <w:sz w:val="20"/>
          <w:szCs w:val="20"/>
          <w:color w:val="auto"/>
        </w:rPr>
      </w:pPr>
    </w:p>
    <w:p>
      <w:pPr>
        <w:ind w:left="160"/>
        <w:spacing w:after="0"/>
        <w:tabs>
          <w:tab w:leader="none" w:pos="1680"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21.1</w:t>
      </w:r>
      <w:r>
        <w:rPr>
          <w:rFonts w:ascii="Arial" w:cs="Arial" w:eastAsia="Arial" w:hAnsi="Arial"/>
          <w:sz w:val="23"/>
          <w:szCs w:val="23"/>
          <w:color w:val="074A75"/>
        </w:rPr>
        <w:t>B</w:t>
      </w:r>
      <w:r>
        <w:rPr>
          <w:sz w:val="20"/>
          <w:szCs w:val="20"/>
          <w:color w:val="auto"/>
        </w:rPr>
        <w:tab/>
      </w:r>
      <w:r>
        <w:rPr>
          <w:rFonts w:ascii="Arial" w:cs="Arial" w:eastAsia="Arial" w:hAnsi="Arial"/>
          <w:sz w:val="28"/>
          <w:szCs w:val="28"/>
          <w:color w:val="074A75"/>
        </w:rPr>
        <w:t>25</w:t>
      </w:r>
      <w:r>
        <w:rPr>
          <w:rFonts w:ascii="Arial" w:cs="Arial" w:eastAsia="Arial" w:hAnsi="Arial"/>
          <w:sz w:val="35"/>
          <w:szCs w:val="35"/>
          <w:color w:val="074A75"/>
          <w:vertAlign w:val="superscript"/>
        </w:rPr>
        <w:t>%</w:t>
      </w:r>
    </w:p>
    <w:p>
      <w:pPr>
        <w:spacing w:after="0" w:line="96"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1140" w:type="dxa"/>
            <w:vAlign w:val="bottom"/>
          </w:tcPr>
          <w:p>
            <w:pPr>
              <w:spacing w:after="0"/>
              <w:rPr>
                <w:sz w:val="20"/>
                <w:szCs w:val="20"/>
                <w:color w:val="auto"/>
              </w:rPr>
            </w:pPr>
            <w:r>
              <w:rPr>
                <w:rFonts w:ascii="Arial" w:cs="Arial" w:eastAsia="Arial" w:hAnsi="Arial"/>
                <w:sz w:val="14"/>
                <w:szCs w:val="14"/>
                <w:color w:val="auto"/>
              </w:rPr>
              <w:t>NET INCOME</w:t>
            </w:r>
          </w:p>
        </w:tc>
        <w:tc>
          <w:tcPr>
            <w:tcW w:w="1340" w:type="dxa"/>
            <w:vAlign w:val="bottom"/>
            <w:shd w:val="clear" w:color="auto" w:fill="EEEFEF"/>
          </w:tcPr>
          <w:p>
            <w:pPr>
              <w:ind w:left="520"/>
              <w:spacing w:after="0"/>
              <w:rPr>
                <w:sz w:val="20"/>
                <w:szCs w:val="20"/>
                <w:color w:val="auto"/>
              </w:rPr>
            </w:pPr>
            <w:r>
              <w:rPr>
                <w:rFonts w:ascii="Arial" w:cs="Arial" w:eastAsia="Arial" w:hAnsi="Arial"/>
                <w:sz w:val="14"/>
                <w:szCs w:val="14"/>
                <w:color w:val="auto"/>
              </w:rPr>
              <w:t>ROE</w:t>
            </w:r>
          </w:p>
        </w:tc>
      </w:tr>
      <w:tr>
        <w:trPr>
          <w:trHeight w:val="40"/>
        </w:trPr>
        <w:tc>
          <w:tcPr>
            <w:tcW w:w="1140" w:type="dxa"/>
            <w:vAlign w:val="bottom"/>
          </w:tcPr>
          <w:p>
            <w:pPr>
              <w:spacing w:after="0"/>
              <w:rPr>
                <w:sz w:val="3"/>
                <w:szCs w:val="3"/>
                <w:color w:val="auto"/>
              </w:rPr>
            </w:pPr>
          </w:p>
        </w:tc>
        <w:tc>
          <w:tcPr>
            <w:tcW w:w="1340" w:type="dxa"/>
            <w:vAlign w:val="bottom"/>
            <w:shd w:val="clear" w:color="auto" w:fill="EEEFE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0</wp:posOffset>
            </wp:positionV>
            <wp:extent cx="1722755" cy="17145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722755" cy="1714500"/>
                    </a:xfrm>
                    <a:prstGeom prst="rect">
                      <a:avLst/>
                    </a:prstGeom>
                    <a:noFill/>
                  </pic:spPr>
                </pic:pic>
              </a:graphicData>
            </a:graphic>
          </wp:anchor>
        </w:drawing>
      </w:r>
    </w:p>
    <w:p>
      <w:pPr>
        <w:ind w:left="200" w:right="460" w:hanging="195"/>
        <w:spacing w:after="0" w:line="270" w:lineRule="auto"/>
        <w:tabs>
          <w:tab w:leader="none" w:pos="194"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Record net income on record 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$51.7B</w:t>
      </w:r>
    </w:p>
    <w:p>
      <w:pPr>
        <w:ind w:left="200" w:right="720" w:hanging="195"/>
        <w:spacing w:after="0" w:line="270" w:lineRule="auto"/>
        <w:tabs>
          <w:tab w:leader="none" w:pos="194"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Record IB fees of $13.4B (up 41%)</w:t>
      </w:r>
    </w:p>
    <w:p>
      <w:pPr>
        <w:spacing w:after="0" w:line="21" w:lineRule="exact"/>
        <w:rPr>
          <w:rFonts w:ascii="Arial" w:cs="Arial" w:eastAsia="Arial" w:hAnsi="Arial"/>
          <w:sz w:val="15"/>
          <w:szCs w:val="15"/>
          <w:color w:val="074A75"/>
        </w:rPr>
      </w:pPr>
    </w:p>
    <w:p>
      <w:pPr>
        <w:ind w:left="200" w:right="220" w:hanging="195"/>
        <w:spacing w:after="0" w:line="263" w:lineRule="auto"/>
        <w:tabs>
          <w:tab w:leader="none" w:pos="194"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#1 in IB fees for 13 consecutive years with 9.5% wallet share; #1 in Markets revenue</w:t>
      </w:r>
    </w:p>
    <w:p>
      <w:pPr>
        <w:spacing w:after="0" w:line="26" w:lineRule="exact"/>
        <w:rPr>
          <w:rFonts w:ascii="Arial" w:cs="Arial" w:eastAsia="Arial" w:hAnsi="Arial"/>
          <w:sz w:val="15"/>
          <w:szCs w:val="15"/>
          <w:color w:val="074A75"/>
        </w:rPr>
      </w:pPr>
    </w:p>
    <w:p>
      <w:pPr>
        <w:ind w:left="200" w:right="620" w:hanging="195"/>
        <w:spacing w:after="0" w:line="263" w:lineRule="auto"/>
        <w:tabs>
          <w:tab w:leader="none" w:pos="194"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#2 custodian globally as measured by assets under custody of $33.2T (up 7%)</w:t>
      </w:r>
    </w:p>
    <w:p>
      <w:pPr>
        <w:spacing w:after="0" w:line="40" w:lineRule="exact"/>
        <w:rPr>
          <w:rFonts w:ascii="Arial" w:cs="Arial" w:eastAsia="Arial" w:hAnsi="Arial"/>
          <w:sz w:val="15"/>
          <w:szCs w:val="15"/>
          <w:color w:val="074A75"/>
        </w:rPr>
      </w:pPr>
    </w:p>
    <w:p>
      <w:pPr>
        <w:ind w:left="200" w:hanging="195"/>
        <w:spacing w:after="0"/>
        <w:tabs>
          <w:tab w:leader="none" w:pos="200"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#1 in USD Payments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424180</wp:posOffset>
            </wp:positionV>
            <wp:extent cx="7115175" cy="514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074A75"/>
        </w:rPr>
        <w:t>COMMERCIAL</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074A75"/>
        </w:rPr>
        <w:t>BANKING</w:t>
      </w:r>
    </w:p>
    <w:p>
      <w:pPr>
        <w:spacing w:after="0" w:line="134" w:lineRule="exact"/>
        <w:rPr>
          <w:sz w:val="20"/>
          <w:szCs w:val="20"/>
          <w:color w:val="auto"/>
        </w:rPr>
      </w:pPr>
    </w:p>
    <w:p>
      <w:pPr>
        <w:ind w:left="240"/>
        <w:spacing w:after="0"/>
        <w:tabs>
          <w:tab w:leader="none" w:pos="1660"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5.2</w:t>
      </w:r>
      <w:r>
        <w:rPr>
          <w:rFonts w:ascii="Arial" w:cs="Arial" w:eastAsia="Arial" w:hAnsi="Arial"/>
          <w:sz w:val="23"/>
          <w:szCs w:val="23"/>
          <w:color w:val="074A75"/>
        </w:rPr>
        <w:t>B</w:t>
      </w:r>
      <w:r>
        <w:rPr>
          <w:sz w:val="20"/>
          <w:szCs w:val="20"/>
          <w:color w:val="auto"/>
        </w:rPr>
        <w:tab/>
      </w:r>
      <w:r>
        <w:rPr>
          <w:rFonts w:ascii="Arial" w:cs="Arial" w:eastAsia="Arial" w:hAnsi="Arial"/>
          <w:sz w:val="28"/>
          <w:szCs w:val="28"/>
          <w:color w:val="074A75"/>
        </w:rPr>
        <w:t>21</w:t>
      </w:r>
      <w:r>
        <w:rPr>
          <w:rFonts w:ascii="Arial" w:cs="Arial" w:eastAsia="Arial" w:hAnsi="Arial"/>
          <w:sz w:val="35"/>
          <w:szCs w:val="35"/>
          <w:color w:val="074A75"/>
          <w:vertAlign w:val="superscript"/>
        </w:rPr>
        <w:t>%</w:t>
      </w:r>
    </w:p>
    <w:p>
      <w:pPr>
        <w:spacing w:after="0" w:line="96"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1120" w:type="dxa"/>
            <w:vAlign w:val="bottom"/>
          </w:tcPr>
          <w:p>
            <w:pPr>
              <w:spacing w:after="0"/>
              <w:rPr>
                <w:sz w:val="20"/>
                <w:szCs w:val="20"/>
                <w:color w:val="auto"/>
              </w:rPr>
            </w:pPr>
            <w:r>
              <w:rPr>
                <w:rFonts w:ascii="Arial" w:cs="Arial" w:eastAsia="Arial" w:hAnsi="Arial"/>
                <w:sz w:val="14"/>
                <w:szCs w:val="14"/>
                <w:color w:val="auto"/>
              </w:rPr>
              <w:t>NET INCOME</w:t>
            </w:r>
          </w:p>
        </w:tc>
        <w:tc>
          <w:tcPr>
            <w:tcW w:w="1360" w:type="dxa"/>
            <w:vAlign w:val="bottom"/>
            <w:shd w:val="clear" w:color="auto" w:fill="EEEFEF"/>
          </w:tcPr>
          <w:p>
            <w:pPr>
              <w:ind w:left="520"/>
              <w:spacing w:after="0"/>
              <w:rPr>
                <w:sz w:val="20"/>
                <w:szCs w:val="20"/>
                <w:color w:val="auto"/>
              </w:rPr>
            </w:pPr>
            <w:r>
              <w:rPr>
                <w:rFonts w:ascii="Arial" w:cs="Arial" w:eastAsia="Arial" w:hAnsi="Arial"/>
                <w:sz w:val="14"/>
                <w:szCs w:val="14"/>
                <w:color w:val="auto"/>
              </w:rPr>
              <w:t>ROE</w:t>
            </w:r>
          </w:p>
        </w:tc>
      </w:tr>
      <w:tr>
        <w:trPr>
          <w:trHeight w:val="40"/>
        </w:trPr>
        <w:tc>
          <w:tcPr>
            <w:tcW w:w="1120" w:type="dxa"/>
            <w:vAlign w:val="bottom"/>
          </w:tcPr>
          <w:p>
            <w:pPr>
              <w:spacing w:after="0"/>
              <w:rPr>
                <w:sz w:val="3"/>
                <w:szCs w:val="3"/>
                <w:color w:val="auto"/>
              </w:rPr>
            </w:pPr>
          </w:p>
        </w:tc>
        <w:tc>
          <w:tcPr>
            <w:tcW w:w="1360" w:type="dxa"/>
            <w:vAlign w:val="bottom"/>
            <w:shd w:val="clear" w:color="auto" w:fill="EEEFE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0</wp:posOffset>
            </wp:positionV>
            <wp:extent cx="1714500" cy="17145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ind w:left="200" w:hanging="193"/>
        <w:spacing w:after="0"/>
        <w:tabs>
          <w:tab w:leader="none" w:pos="200" w:val="left"/>
        </w:tabs>
        <w:numPr>
          <w:ilvl w:val="0"/>
          <w:numId w:val="147"/>
        </w:numPr>
        <w:rPr>
          <w:rFonts w:ascii="Arial" w:cs="Arial" w:eastAsia="Arial" w:hAnsi="Arial"/>
          <w:sz w:val="15"/>
          <w:szCs w:val="15"/>
          <w:color w:val="074A75"/>
        </w:rPr>
      </w:pPr>
      <w:r>
        <w:rPr>
          <w:rFonts w:ascii="Arial" w:cs="Arial" w:eastAsia="Arial" w:hAnsi="Arial"/>
          <w:sz w:val="15"/>
          <w:szCs w:val="15"/>
          <w:color w:val="auto"/>
        </w:rPr>
        <w:t>Record 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$10.0B</w:t>
      </w:r>
    </w:p>
    <w:p>
      <w:pPr>
        <w:spacing w:after="0" w:line="48" w:lineRule="exact"/>
        <w:rPr>
          <w:rFonts w:ascii="Arial" w:cs="Arial" w:eastAsia="Arial" w:hAnsi="Arial"/>
          <w:sz w:val="15"/>
          <w:szCs w:val="15"/>
          <w:color w:val="074A75"/>
        </w:rPr>
      </w:pPr>
    </w:p>
    <w:p>
      <w:pPr>
        <w:ind w:left="200" w:hanging="193"/>
        <w:spacing w:after="0" w:line="198" w:lineRule="auto"/>
        <w:tabs>
          <w:tab w:leader="none" w:pos="200" w:val="left"/>
        </w:tabs>
        <w:numPr>
          <w:ilvl w:val="0"/>
          <w:numId w:val="147"/>
        </w:numPr>
        <w:rPr>
          <w:rFonts w:ascii="Arial" w:cs="Arial" w:eastAsia="Arial" w:hAnsi="Arial"/>
          <w:sz w:val="15"/>
          <w:szCs w:val="15"/>
          <w:color w:val="074A75"/>
        </w:rPr>
      </w:pPr>
      <w:r>
        <w:rPr>
          <w:rFonts w:ascii="Arial" w:cs="Arial" w:eastAsia="Arial" w:hAnsi="Arial"/>
          <w:sz w:val="15"/>
          <w:szCs w:val="15"/>
          <w:color w:val="auto"/>
        </w:rPr>
        <w:t>Record gross IB revenue</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of</w:t>
      </w:r>
    </w:p>
    <w:p>
      <w:pPr>
        <w:ind w:left="200" w:right="200"/>
        <w:spacing w:after="0" w:line="249" w:lineRule="auto"/>
        <w:rPr>
          <w:rFonts w:ascii="Arial" w:cs="Arial" w:eastAsia="Arial" w:hAnsi="Arial"/>
          <w:sz w:val="15"/>
          <w:szCs w:val="15"/>
          <w:color w:val="074A75"/>
        </w:rPr>
      </w:pPr>
      <w:r>
        <w:rPr>
          <w:rFonts w:ascii="Arial" w:cs="Arial" w:eastAsia="Arial" w:hAnsi="Arial"/>
          <w:sz w:val="15"/>
          <w:szCs w:val="15"/>
          <w:color w:val="auto"/>
        </w:rPr>
        <w:t>$5.1B (up 52%), including record year for both Middle Market Banking &amp; Specialized Industries and Corporate Client Banking &amp; Specialized Industries</w:t>
      </w:r>
    </w:p>
    <w:p>
      <w:pPr>
        <w:spacing w:after="0" w:line="36" w:lineRule="exact"/>
        <w:rPr>
          <w:rFonts w:ascii="Arial" w:cs="Arial" w:eastAsia="Arial" w:hAnsi="Arial"/>
          <w:sz w:val="15"/>
          <w:szCs w:val="15"/>
          <w:color w:val="074A75"/>
        </w:rPr>
      </w:pPr>
    </w:p>
    <w:p>
      <w:pPr>
        <w:ind w:left="200" w:right="460" w:hanging="193"/>
        <w:spacing w:after="0" w:line="265" w:lineRule="auto"/>
        <w:tabs>
          <w:tab w:leader="none" w:pos="194" w:val="left"/>
        </w:tabs>
        <w:numPr>
          <w:ilvl w:val="0"/>
          <w:numId w:val="147"/>
        </w:numPr>
        <w:rPr>
          <w:rFonts w:ascii="Arial" w:cs="Arial" w:eastAsia="Arial" w:hAnsi="Arial"/>
          <w:sz w:val="15"/>
          <w:szCs w:val="15"/>
          <w:color w:val="074A75"/>
        </w:rPr>
      </w:pPr>
      <w:r>
        <w:rPr>
          <w:rFonts w:ascii="Arial" w:cs="Arial" w:eastAsia="Arial" w:hAnsi="Arial"/>
          <w:sz w:val="15"/>
          <w:szCs w:val="15"/>
          <w:color w:val="auto"/>
        </w:rPr>
        <w:t>Record payments revenue of $1.8B</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(up 15%)</w:t>
      </w:r>
    </w:p>
    <w:p>
      <w:pPr>
        <w:ind w:left="200" w:right="220" w:hanging="193"/>
        <w:spacing w:after="0" w:line="263" w:lineRule="auto"/>
        <w:tabs>
          <w:tab w:leader="none" w:pos="194" w:val="left"/>
        </w:tabs>
        <w:numPr>
          <w:ilvl w:val="0"/>
          <w:numId w:val="147"/>
        </w:numPr>
        <w:rPr>
          <w:rFonts w:ascii="Arial" w:cs="Arial" w:eastAsia="Arial" w:hAnsi="Arial"/>
          <w:sz w:val="15"/>
          <w:szCs w:val="15"/>
          <w:color w:val="074A75"/>
        </w:rPr>
      </w:pPr>
      <w:r>
        <w:rPr>
          <w:rFonts w:ascii="Arial" w:cs="Arial" w:eastAsia="Arial" w:hAnsi="Arial"/>
          <w:sz w:val="15"/>
          <w:szCs w:val="15"/>
          <w:color w:val="auto"/>
        </w:rPr>
        <w:t>Strong credit performance with a net charge-off ratio of 4bps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95"/>
        <w:spacing w:after="0"/>
        <w:rPr>
          <w:sz w:val="20"/>
          <w:szCs w:val="20"/>
          <w:color w:val="auto"/>
        </w:rPr>
      </w:pPr>
      <w:r>
        <w:rPr>
          <w:rFonts w:ascii="Arial" w:cs="Arial" w:eastAsia="Arial" w:hAnsi="Arial"/>
          <w:sz w:val="22"/>
          <w:szCs w:val="22"/>
          <w:color w:val="074A75"/>
        </w:rPr>
        <w:t>ASSET &amp; WEALTH</w:t>
      </w:r>
    </w:p>
    <w:p>
      <w:pPr>
        <w:spacing w:after="0" w:line="24" w:lineRule="exact"/>
        <w:rPr>
          <w:sz w:val="20"/>
          <w:szCs w:val="20"/>
          <w:color w:val="auto"/>
        </w:rPr>
      </w:pPr>
    </w:p>
    <w:p>
      <w:pPr>
        <w:jc w:val="center"/>
        <w:ind w:right="95"/>
        <w:spacing w:after="0"/>
        <w:rPr>
          <w:sz w:val="20"/>
          <w:szCs w:val="20"/>
          <w:color w:val="auto"/>
        </w:rPr>
      </w:pPr>
      <w:r>
        <w:rPr>
          <w:rFonts w:ascii="Arial" w:cs="Arial" w:eastAsia="Arial" w:hAnsi="Arial"/>
          <w:sz w:val="22"/>
          <w:szCs w:val="22"/>
          <w:color w:val="074A75"/>
        </w:rPr>
        <w:t>MANAGEMENT</w:t>
      </w:r>
    </w:p>
    <w:p>
      <w:pPr>
        <w:spacing w:after="0" w:line="134" w:lineRule="exact"/>
        <w:rPr>
          <w:sz w:val="20"/>
          <w:szCs w:val="20"/>
          <w:color w:val="auto"/>
        </w:rPr>
      </w:pPr>
    </w:p>
    <w:p>
      <w:pPr>
        <w:ind w:left="225"/>
        <w:spacing w:after="0"/>
        <w:tabs>
          <w:tab w:leader="none" w:pos="1664"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4.7</w:t>
      </w:r>
      <w:r>
        <w:rPr>
          <w:rFonts w:ascii="Arial" w:cs="Arial" w:eastAsia="Arial" w:hAnsi="Arial"/>
          <w:sz w:val="23"/>
          <w:szCs w:val="23"/>
          <w:color w:val="074A75"/>
        </w:rPr>
        <w:t>B</w:t>
      </w:r>
      <w:r>
        <w:rPr>
          <w:sz w:val="20"/>
          <w:szCs w:val="20"/>
          <w:color w:val="auto"/>
        </w:rPr>
        <w:tab/>
      </w:r>
      <w:r>
        <w:rPr>
          <w:rFonts w:ascii="Arial" w:cs="Arial" w:eastAsia="Arial" w:hAnsi="Arial"/>
          <w:sz w:val="28"/>
          <w:szCs w:val="28"/>
          <w:color w:val="074A75"/>
        </w:rPr>
        <w:t>33</w:t>
      </w:r>
      <w:r>
        <w:rPr>
          <w:rFonts w:ascii="Arial" w:cs="Arial" w:eastAsia="Arial" w:hAnsi="Arial"/>
          <w:sz w:val="35"/>
          <w:szCs w:val="35"/>
          <w:color w:val="074A75"/>
          <w:vertAlign w:val="superscript"/>
        </w:rPr>
        <w:t>%</w:t>
      </w:r>
    </w:p>
    <w:p>
      <w:pPr>
        <w:spacing w:after="0" w:line="96" w:lineRule="exact"/>
        <w:rPr>
          <w:sz w:val="20"/>
          <w:szCs w:val="20"/>
          <w:color w:val="auto"/>
        </w:rPr>
      </w:pPr>
    </w:p>
    <w:tbl>
      <w:tblPr>
        <w:tblLayout w:type="fixed"/>
        <w:tblInd w:w="125" w:type="dxa"/>
        <w:tblCellMar>
          <w:top w:w="0" w:type="dxa"/>
          <w:left w:w="0" w:type="dxa"/>
          <w:bottom w:w="0" w:type="dxa"/>
          <w:right w:w="0" w:type="dxa"/>
        </w:tblCellMar>
      </w:tblPr>
      <w:tr>
        <w:trPr>
          <w:trHeight w:val="210"/>
        </w:trPr>
        <w:tc>
          <w:tcPr>
            <w:tcW w:w="1120" w:type="dxa"/>
            <w:vAlign w:val="bottom"/>
          </w:tcPr>
          <w:p>
            <w:pPr>
              <w:spacing w:after="0"/>
              <w:rPr>
                <w:sz w:val="20"/>
                <w:szCs w:val="20"/>
                <w:color w:val="auto"/>
              </w:rPr>
            </w:pPr>
            <w:r>
              <w:rPr>
                <w:rFonts w:ascii="Arial" w:cs="Arial" w:eastAsia="Arial" w:hAnsi="Arial"/>
                <w:sz w:val="14"/>
                <w:szCs w:val="14"/>
                <w:color w:val="auto"/>
              </w:rPr>
              <w:t>NET INCOME</w:t>
            </w:r>
          </w:p>
        </w:tc>
        <w:tc>
          <w:tcPr>
            <w:tcW w:w="1360" w:type="dxa"/>
            <w:vAlign w:val="bottom"/>
            <w:shd w:val="clear" w:color="auto" w:fill="EEEFEF"/>
          </w:tcPr>
          <w:p>
            <w:pPr>
              <w:ind w:left="540"/>
              <w:spacing w:after="0"/>
              <w:rPr>
                <w:sz w:val="20"/>
                <w:szCs w:val="20"/>
                <w:color w:val="auto"/>
              </w:rPr>
            </w:pPr>
            <w:r>
              <w:rPr>
                <w:rFonts w:ascii="Arial" w:cs="Arial" w:eastAsia="Arial" w:hAnsi="Arial"/>
                <w:sz w:val="14"/>
                <w:szCs w:val="14"/>
                <w:color w:val="auto"/>
              </w:rPr>
              <w:t>ROE</w:t>
            </w:r>
          </w:p>
        </w:tc>
      </w:tr>
      <w:tr>
        <w:trPr>
          <w:trHeight w:val="40"/>
        </w:trPr>
        <w:tc>
          <w:tcPr>
            <w:tcW w:w="1120" w:type="dxa"/>
            <w:vAlign w:val="bottom"/>
          </w:tcPr>
          <w:p>
            <w:pPr>
              <w:spacing w:after="0"/>
              <w:rPr>
                <w:sz w:val="3"/>
                <w:szCs w:val="3"/>
                <w:color w:val="auto"/>
              </w:rPr>
            </w:pPr>
          </w:p>
        </w:tc>
        <w:tc>
          <w:tcPr>
            <w:tcW w:w="1360" w:type="dxa"/>
            <w:vAlign w:val="bottom"/>
            <w:shd w:val="clear" w:color="auto" w:fill="EEEFE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0</wp:posOffset>
            </wp:positionV>
            <wp:extent cx="1714500" cy="17145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ind w:left="185" w:right="440" w:hanging="185"/>
        <w:spacing w:after="0" w:line="234" w:lineRule="auto"/>
        <w:tabs>
          <w:tab w:leader="none" w:pos="179" w:val="left"/>
        </w:tabs>
        <w:numPr>
          <w:ilvl w:val="0"/>
          <w:numId w:val="148"/>
        </w:numPr>
        <w:rPr>
          <w:rFonts w:ascii="Arial" w:cs="Arial" w:eastAsia="Arial" w:hAnsi="Arial"/>
          <w:sz w:val="15"/>
          <w:szCs w:val="15"/>
          <w:color w:val="074A75"/>
        </w:rPr>
      </w:pPr>
      <w:r>
        <w:rPr>
          <w:rFonts w:ascii="Arial" w:cs="Arial" w:eastAsia="Arial" w:hAnsi="Arial"/>
          <w:sz w:val="15"/>
          <w:szCs w:val="15"/>
          <w:color w:val="auto"/>
        </w:rPr>
        <w:t>Record net income on record revenue</w:t>
      </w:r>
      <w:r>
        <w:rPr>
          <w:rFonts w:ascii="Arial" w:cs="Arial" w:eastAsia="Arial" w:hAnsi="Arial"/>
          <w:sz w:val="19"/>
          <w:szCs w:val="19"/>
          <w:color w:val="auto"/>
          <w:vertAlign w:val="superscript"/>
        </w:rPr>
        <w:t>1</w:t>
      </w:r>
      <w:r>
        <w:rPr>
          <w:rFonts w:ascii="Arial" w:cs="Arial" w:eastAsia="Arial" w:hAnsi="Arial"/>
          <w:sz w:val="15"/>
          <w:szCs w:val="15"/>
          <w:color w:val="auto"/>
        </w:rPr>
        <w:t>of $17.0B; pre-tax margin of 37%</w:t>
      </w:r>
    </w:p>
    <w:p>
      <w:pPr>
        <w:spacing w:after="0" w:line="58" w:lineRule="exact"/>
        <w:rPr>
          <w:rFonts w:ascii="Arial" w:cs="Arial" w:eastAsia="Arial" w:hAnsi="Arial"/>
          <w:sz w:val="15"/>
          <w:szCs w:val="15"/>
          <w:color w:val="074A75"/>
        </w:rPr>
      </w:pPr>
    </w:p>
    <w:p>
      <w:pPr>
        <w:ind w:left="185" w:right="280" w:hanging="185"/>
        <w:spacing w:after="0" w:line="263" w:lineRule="auto"/>
        <w:tabs>
          <w:tab w:leader="none" w:pos="179" w:val="left"/>
        </w:tabs>
        <w:numPr>
          <w:ilvl w:val="0"/>
          <w:numId w:val="148"/>
        </w:numPr>
        <w:rPr>
          <w:rFonts w:ascii="Arial" w:cs="Arial" w:eastAsia="Arial" w:hAnsi="Arial"/>
          <w:sz w:val="15"/>
          <w:szCs w:val="15"/>
          <w:color w:val="074A75"/>
        </w:rPr>
      </w:pPr>
      <w:r>
        <w:rPr>
          <w:rFonts w:ascii="Arial" w:cs="Arial" w:eastAsia="Arial" w:hAnsi="Arial"/>
          <w:sz w:val="15"/>
          <w:szCs w:val="15"/>
          <w:color w:val="auto"/>
        </w:rPr>
        <w:t>Record AUM of $3.1T (up 15%) and client assets of $4.3T (up 18%)</w:t>
      </w:r>
    </w:p>
    <w:p>
      <w:pPr>
        <w:spacing w:after="0" w:line="26" w:lineRule="exact"/>
        <w:rPr>
          <w:rFonts w:ascii="Arial" w:cs="Arial" w:eastAsia="Arial" w:hAnsi="Arial"/>
          <w:sz w:val="15"/>
          <w:szCs w:val="15"/>
          <w:color w:val="074A75"/>
        </w:rPr>
      </w:pPr>
    </w:p>
    <w:p>
      <w:pPr>
        <w:ind w:left="185" w:right="340" w:hanging="185"/>
        <w:spacing w:after="0" w:line="283" w:lineRule="auto"/>
        <w:tabs>
          <w:tab w:leader="none" w:pos="179" w:val="left"/>
        </w:tabs>
        <w:numPr>
          <w:ilvl w:val="0"/>
          <w:numId w:val="148"/>
        </w:numPr>
        <w:rPr>
          <w:rFonts w:ascii="Arial" w:cs="Arial" w:eastAsia="Arial" w:hAnsi="Arial"/>
          <w:sz w:val="15"/>
          <w:szCs w:val="15"/>
          <w:color w:val="074A75"/>
        </w:rPr>
      </w:pPr>
      <w:r>
        <w:rPr>
          <w:rFonts w:ascii="Arial" w:cs="Arial" w:eastAsia="Arial" w:hAnsi="Arial"/>
          <w:sz w:val="15"/>
          <w:szCs w:val="15"/>
          <w:color w:val="auto"/>
        </w:rPr>
        <w:t>AUM flows of $232B and client asset flows of $389B</w:t>
      </w:r>
    </w:p>
    <w:p>
      <w:pPr>
        <w:spacing w:after="0" w:line="11" w:lineRule="exact"/>
        <w:rPr>
          <w:rFonts w:ascii="Arial" w:cs="Arial" w:eastAsia="Arial" w:hAnsi="Arial"/>
          <w:sz w:val="15"/>
          <w:szCs w:val="15"/>
          <w:color w:val="074A75"/>
        </w:rPr>
      </w:pPr>
    </w:p>
    <w:p>
      <w:pPr>
        <w:ind w:left="185" w:right="400" w:hanging="185"/>
        <w:spacing w:after="0" w:line="257" w:lineRule="auto"/>
        <w:tabs>
          <w:tab w:leader="none" w:pos="179" w:val="left"/>
        </w:tabs>
        <w:numPr>
          <w:ilvl w:val="0"/>
          <w:numId w:val="148"/>
        </w:numPr>
        <w:rPr>
          <w:rFonts w:ascii="Arial" w:cs="Arial" w:eastAsia="Arial" w:hAnsi="Arial"/>
          <w:sz w:val="15"/>
          <w:szCs w:val="15"/>
          <w:color w:val="074A75"/>
        </w:rPr>
      </w:pPr>
      <w:r>
        <w:rPr>
          <w:rFonts w:ascii="Arial" w:cs="Arial" w:eastAsia="Arial" w:hAnsi="Arial"/>
          <w:sz w:val="15"/>
          <w:szCs w:val="15"/>
          <w:color w:val="auto"/>
        </w:rPr>
        <w:t>Record average deposits of $230.3B (up 42%); record average loans of $198.5B (up 19%)</w:t>
      </w:r>
    </w:p>
    <w:p>
      <w:pPr>
        <w:spacing w:after="0" w:line="524" w:lineRule="exact"/>
        <w:rPr>
          <w:sz w:val="20"/>
          <w:szCs w:val="20"/>
          <w:color w:val="auto"/>
        </w:rPr>
      </w:pPr>
    </w:p>
    <w:p>
      <w:pPr>
        <w:sectPr>
          <w:pgSz w:w="11900" w:h="16838" w:orient="portrait"/>
          <w:cols w:equalWidth="0" w:num="4">
            <w:col w:w="2680" w:space="240"/>
            <w:col w:w="2620" w:space="240"/>
            <w:col w:w="2620" w:space="235"/>
            <w:col w:w="2605"/>
          </w:cols>
          <w:pgMar w:left="320" w:top="157" w:right="339" w:bottom="501" w:gutter="0" w:footer="0" w:header="0"/>
          <w:type w:val="continuous"/>
        </w:sectPr>
      </w:pPr>
    </w:p>
    <w:p>
      <w:pPr>
        <w:spacing w:after="0" w:line="158"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FFFFFF"/>
        </w:rPr>
        <w:t>EXCEPTIONAL CLIENT FRANCHISES</w:t>
      </w:r>
    </w:p>
    <w:p>
      <w:pPr>
        <w:spacing w:after="0" w:line="194"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FFFFFF"/>
        </w:rPr>
        <w:t>LONG-TERM SHAREHOLDER VALUE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380"/>
        <w:spacing w:after="0"/>
        <w:rPr>
          <w:sz w:val="20"/>
          <w:szCs w:val="20"/>
          <w:color w:val="auto"/>
        </w:rPr>
      </w:pPr>
      <w:r>
        <w:rPr>
          <w:rFonts w:ascii="Arial" w:cs="Arial" w:eastAsia="Arial" w:hAnsi="Arial"/>
          <w:sz w:val="16"/>
          <w:szCs w:val="16"/>
          <w:b w:val="1"/>
          <w:bCs w:val="1"/>
          <w:color w:val="FFFFFF"/>
        </w:rPr>
        <w:t>UNWAVERING PRINCIPLES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SUSTAINABLE BUSINESS PRACTICES</w:t>
      </w:r>
    </w:p>
    <w:p>
      <w:pPr>
        <w:spacing w:after="0" w:line="200" w:lineRule="exact"/>
        <w:rPr>
          <w:sz w:val="20"/>
          <w:szCs w:val="20"/>
          <w:color w:val="auto"/>
        </w:rPr>
      </w:pPr>
    </w:p>
    <w:p>
      <w:pPr>
        <w:sectPr>
          <w:pgSz w:w="11900" w:h="16838" w:orient="portrait"/>
          <w:cols w:equalWidth="0" w:num="2">
            <w:col w:w="6160" w:space="720"/>
            <w:col w:w="4360"/>
          </w:cols>
          <w:pgMar w:left="320" w:top="157" w:right="339" w:bottom="501" w:gutter="0" w:footer="0" w:header="0"/>
          <w:type w:val="continuous"/>
        </w:sectPr>
      </w:pPr>
    </w:p>
    <w:p>
      <w:pPr>
        <w:spacing w:after="0" w:line="64" w:lineRule="exact"/>
        <w:rPr>
          <w:sz w:val="20"/>
          <w:szCs w:val="20"/>
          <w:color w:val="auto"/>
        </w:rPr>
      </w:pPr>
    </w:p>
    <w:p>
      <w:pPr>
        <w:ind w:left="200" w:hanging="192"/>
        <w:spacing w:after="0"/>
        <w:tabs>
          <w:tab w:leader="none" w:pos="200" w:val="left"/>
        </w:tabs>
        <w:numPr>
          <w:ilvl w:val="0"/>
          <w:numId w:val="149"/>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111 for a definition of managed basis.</w:t>
      </w:r>
    </w:p>
    <w:p>
      <w:pPr>
        <w:ind w:left="200" w:hanging="192"/>
        <w:spacing w:after="0" w:line="187" w:lineRule="auto"/>
        <w:tabs>
          <w:tab w:leader="none" w:pos="200" w:val="left"/>
        </w:tabs>
        <w:numPr>
          <w:ilvl w:val="0"/>
          <w:numId w:val="150"/>
        </w:numPr>
        <w:rPr>
          <w:rFonts w:ascii="Arial" w:cs="Arial" w:eastAsia="Arial" w:hAnsi="Arial"/>
          <w:sz w:val="15"/>
          <w:szCs w:val="15"/>
          <w:color w:val="auto"/>
          <w:vertAlign w:val="superscript"/>
        </w:rPr>
      </w:pPr>
      <w:r>
        <w:rPr>
          <w:rFonts w:ascii="Arial" w:cs="Arial" w:eastAsia="Arial" w:hAnsi="Arial"/>
          <w:sz w:val="12"/>
          <w:szCs w:val="12"/>
          <w:color w:val="auto"/>
        </w:rPr>
        <w:t>ROTCE and TBVPS are each non-GAAP financial measures; refer to Note 1 on page 110 for a further discussion of these measures.</w:t>
      </w:r>
    </w:p>
    <w:p>
      <w:pPr>
        <w:ind w:left="200" w:hanging="192"/>
        <w:spacing w:after="0" w:line="188" w:lineRule="auto"/>
        <w:tabs>
          <w:tab w:leader="none" w:pos="200" w:val="left"/>
        </w:tabs>
        <w:numPr>
          <w:ilvl w:val="0"/>
          <w:numId w:val="151"/>
        </w:numPr>
        <w:rPr>
          <w:rFonts w:ascii="Arial" w:cs="Arial" w:eastAsia="Arial" w:hAnsi="Arial"/>
          <w:sz w:val="15"/>
          <w:szCs w:val="15"/>
          <w:color w:val="auto"/>
          <w:vertAlign w:val="superscript"/>
        </w:rPr>
      </w:pPr>
      <w:r>
        <w:rPr>
          <w:rFonts w:ascii="Arial" w:cs="Arial" w:eastAsia="Arial" w:hAnsi="Arial"/>
          <w:sz w:val="12"/>
          <w:szCs w:val="12"/>
          <w:color w:val="auto"/>
        </w:rPr>
        <w:t>Refer to Note 2 on page 39.</w:t>
      </w:r>
    </w:p>
    <w:p>
      <w:pPr>
        <w:ind w:left="200" w:hanging="192"/>
        <w:spacing w:after="0" w:line="188" w:lineRule="auto"/>
        <w:tabs>
          <w:tab w:leader="none" w:pos="200" w:val="left"/>
        </w:tabs>
        <w:numPr>
          <w:ilvl w:val="0"/>
          <w:numId w:val="152"/>
        </w:numPr>
        <w:rPr>
          <w:rFonts w:ascii="Arial" w:cs="Arial" w:eastAsia="Arial" w:hAnsi="Arial"/>
          <w:sz w:val="15"/>
          <w:szCs w:val="15"/>
          <w:color w:val="auto"/>
          <w:vertAlign w:val="superscript"/>
        </w:rPr>
      </w:pPr>
      <w:r>
        <w:rPr>
          <w:rFonts w:ascii="Arial" w:cs="Arial" w:eastAsia="Arial" w:hAnsi="Arial"/>
          <w:sz w:val="12"/>
          <w:szCs w:val="12"/>
          <w:color w:val="auto"/>
        </w:rPr>
        <w:t>Refer to Notes 2 and 3 on page 69.</w:t>
      </w:r>
    </w:p>
    <w:p>
      <w:pPr>
        <w:ind w:left="200" w:hanging="192"/>
        <w:spacing w:after="0" w:line="188" w:lineRule="auto"/>
        <w:tabs>
          <w:tab w:leader="none" w:pos="200" w:val="left"/>
        </w:tabs>
        <w:numPr>
          <w:ilvl w:val="0"/>
          <w:numId w:val="153"/>
        </w:numPr>
        <w:rPr>
          <w:rFonts w:ascii="Arial" w:cs="Arial" w:eastAsia="Arial" w:hAnsi="Arial"/>
          <w:sz w:val="15"/>
          <w:szCs w:val="15"/>
          <w:color w:val="auto"/>
          <w:vertAlign w:val="superscript"/>
        </w:rPr>
      </w:pPr>
      <w:r>
        <w:rPr>
          <w:rFonts w:ascii="Arial" w:cs="Arial" w:eastAsia="Arial" w:hAnsi="Arial"/>
          <w:sz w:val="12"/>
          <w:szCs w:val="12"/>
          <w:color w:val="auto"/>
        </w:rPr>
        <w:t>Refer to Additional notes, Note 3, on page 111.</w:t>
      </w:r>
    </w:p>
    <w:p>
      <w:pPr>
        <w:ind w:left="200" w:hanging="192"/>
        <w:spacing w:after="0" w:line="202" w:lineRule="auto"/>
        <w:tabs>
          <w:tab w:leader="none" w:pos="200" w:val="left"/>
        </w:tabs>
        <w:numPr>
          <w:ilvl w:val="0"/>
          <w:numId w:val="154"/>
        </w:numPr>
        <w:rPr>
          <w:rFonts w:ascii="Arial" w:cs="Arial" w:eastAsia="Arial" w:hAnsi="Arial"/>
          <w:sz w:val="15"/>
          <w:szCs w:val="15"/>
          <w:color w:val="auto"/>
          <w:vertAlign w:val="superscript"/>
        </w:rPr>
      </w:pPr>
      <w:r>
        <w:rPr>
          <w:rFonts w:ascii="Arial" w:cs="Arial" w:eastAsia="Arial" w:hAnsi="Arial"/>
          <w:sz w:val="12"/>
          <w:szCs w:val="12"/>
          <w:color w:val="auto"/>
        </w:rPr>
        <w:t>Refer to Additional notes, Note 4, on page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191770</wp:posOffset>
            </wp:positionV>
            <wp:extent cx="27432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53  </w:t>
      </w:r>
      <w:r>
        <w:rPr>
          <w:sz w:val="1"/>
          <w:szCs w:val="1"/>
          <w:color w:val="auto"/>
        </w:rPr>
        <w:drawing>
          <wp:inline distT="0" distB="0" distL="0" distR="0">
            <wp:extent cx="2203450" cy="154305"/>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501" w:gutter="0" w:footer="0" w:header="0"/>
          <w:type w:val="continuous"/>
        </w:sectPr>
      </w:pPr>
    </w:p>
    <w:bookmarkStart w:id="59" w:name="page60"/>
    <w:bookmarkEnd w:id="5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LONG-TERM FINANCIAL PERFORMANCE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 have generated strong financial results over time, significantly increasing net income by over 125% over the past 10 years while adding</w:t>
      </w:r>
    </w:p>
    <w:p>
      <w:pPr>
        <w:spacing w:after="0" w:line="220" w:lineRule="auto"/>
        <w:rPr>
          <w:sz w:val="20"/>
          <w:szCs w:val="20"/>
          <w:color w:val="auto"/>
        </w:rPr>
      </w:pPr>
      <w:r>
        <w:rPr>
          <w:rFonts w:ascii="Arial" w:cs="Arial" w:eastAsia="Arial" w:hAnsi="Arial"/>
          <w:sz w:val="18"/>
          <w:szCs w:val="18"/>
          <w:color w:val="auto"/>
        </w:rPr>
        <w:t>substantial capital. Over this period we increased average common equity by over 35% to $251 billion and average TCE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by over 45% to</w:t>
      </w:r>
    </w:p>
    <w:p>
      <w:pPr>
        <w:spacing w:after="0" w:line="196" w:lineRule="auto"/>
        <w:rPr>
          <w:sz w:val="20"/>
          <w:szCs w:val="20"/>
          <w:color w:val="auto"/>
        </w:rPr>
      </w:pPr>
      <w:r>
        <w:rPr>
          <w:rFonts w:ascii="Arial" w:cs="Arial" w:eastAsia="Arial" w:hAnsi="Arial"/>
          <w:sz w:val="18"/>
          <w:szCs w:val="18"/>
          <w:color w:val="auto"/>
        </w:rPr>
        <w:t>$203 billion to support growth in the businesses and maintain a fortress balance sheet. We have maintained strong ROE and ROTCE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74930</wp:posOffset>
            </wp:positionV>
            <wp:extent cx="5906135" cy="33775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90613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20"/>
        <w:spacing w:after="0" w:line="232" w:lineRule="auto"/>
        <w:rPr>
          <w:sz w:val="20"/>
          <w:szCs w:val="20"/>
          <w:color w:val="auto"/>
        </w:rPr>
      </w:pPr>
      <w:r>
        <w:rPr>
          <w:rFonts w:ascii="Arial" w:cs="Arial" w:eastAsia="Arial" w:hAnsi="Arial"/>
          <w:sz w:val="18"/>
          <w:szCs w:val="18"/>
          <w:color w:val="auto"/>
        </w:rPr>
        <w:t>We have also delivered sustained growth in EPS, BVPS, and TBVPS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 the past 10 years, reflecting compound annual growth rates of 13%, 6% and 7%,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67310</wp:posOffset>
            </wp:positionV>
            <wp:extent cx="5906135" cy="19716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90613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hanging="192"/>
        <w:spacing w:after="0"/>
        <w:tabs>
          <w:tab w:leader="none" w:pos="200" w:val="left"/>
        </w:tabs>
        <w:numPr>
          <w:ilvl w:val="0"/>
          <w:numId w:val="155"/>
        </w:numPr>
        <w:rPr>
          <w:rFonts w:ascii="Arial" w:cs="Arial" w:eastAsia="Arial" w:hAnsi="Arial"/>
          <w:sz w:val="16"/>
          <w:szCs w:val="16"/>
          <w:color w:val="auto"/>
          <w:vertAlign w:val="superscript"/>
        </w:rPr>
      </w:pPr>
      <w:r>
        <w:rPr>
          <w:rFonts w:ascii="Arial" w:cs="Arial" w:eastAsia="Arial" w:hAnsi="Arial"/>
          <w:sz w:val="13"/>
          <w:szCs w:val="13"/>
          <w:color w:val="auto"/>
        </w:rPr>
        <w:t>Average TCE, ROTCE, and TBVPS are each non-GAAP financial measures; refer to Note 1 on page 110 for a further discussion of these measures.</w:t>
      </w:r>
    </w:p>
    <w:p>
      <w:pPr>
        <w:spacing w:after="0" w:line="2" w:lineRule="exact"/>
        <w:rPr>
          <w:sz w:val="20"/>
          <w:szCs w:val="20"/>
          <w:color w:val="auto"/>
        </w:rPr>
      </w:pPr>
    </w:p>
    <w:p>
      <w:pPr>
        <w:jc w:val="both"/>
        <w:ind w:left="200" w:right="140" w:hanging="192"/>
        <w:spacing w:after="0" w:line="230" w:lineRule="auto"/>
        <w:tabs>
          <w:tab w:leader="none" w:pos="200" w:val="left"/>
        </w:tabs>
        <w:numPr>
          <w:ilvl w:val="0"/>
          <w:numId w:val="156"/>
        </w:numPr>
        <w:rPr>
          <w:rFonts w:ascii="Arial" w:cs="Arial" w:eastAsia="Arial" w:hAnsi="Arial"/>
          <w:sz w:val="16"/>
          <w:szCs w:val="16"/>
          <w:color w:val="auto"/>
          <w:vertAlign w:val="superscript"/>
        </w:rPr>
      </w:pPr>
      <w:r>
        <w:rPr>
          <w:rFonts w:ascii="Arial" w:cs="Arial" w:eastAsia="Arial" w:hAnsi="Arial"/>
          <w:sz w:val="13"/>
          <w:szCs w:val="13"/>
          <w:color w:val="auto"/>
        </w:rPr>
        <w:t>Excluding the impact of the enactment of the TCJA of $(2.4) billion and a legal benefit of $406 million (after-tax) in 2017, adjusted net income would have been $26.5 billion, adjusted ROTCE would have been 13% and adjusted EPS would have been $6.87. Adjusted net income, adjusted ROTCE and adjusted EPS are each non-GAAP financial measures; refer to Notes on non-GAAP financial measures, Note 2, on page 110 for a further discussion of these measures.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TOTAL SHAREHOLDER RETURN</w:t>
      </w:r>
    </w:p>
    <w:p>
      <w:pPr>
        <w:spacing w:after="0" w:line="10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TSR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28% in 2021, following a TSR of (6) % in 2020 and 47% in 2019, for a combined three-year TSR of 78%. The graph below shows our TSR expressed as the cumulative return to shareholders over the past decade. As illustrated, a $100 investment in JPMorgan Chase common stock on December 31, 2011 would be valued at $ 627 as of December 31, 2021, which significantly outperformed the financial services industry over the ten-year period, as measured by the S&amp;P Financials Index and the KBW Bank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66040</wp:posOffset>
            </wp:positionV>
            <wp:extent cx="5966460" cy="3446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96646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hanging="192"/>
        <w:spacing w:after="0"/>
        <w:tabs>
          <w:tab w:leader="none" w:pos="200" w:val="left"/>
        </w:tabs>
        <w:numPr>
          <w:ilvl w:val="0"/>
          <w:numId w:val="157"/>
        </w:numPr>
        <w:rPr>
          <w:rFonts w:ascii="Arial" w:cs="Arial" w:eastAsia="Arial" w:hAnsi="Arial"/>
          <w:sz w:val="16"/>
          <w:szCs w:val="16"/>
          <w:color w:val="auto"/>
          <w:vertAlign w:val="superscript"/>
        </w:rPr>
      </w:pPr>
      <w:r>
        <w:rPr>
          <w:rFonts w:ascii="Arial" w:cs="Arial" w:eastAsia="Arial" w:hAnsi="Arial"/>
          <w:sz w:val="13"/>
          <w:szCs w:val="13"/>
          <w:color w:val="auto"/>
        </w:rPr>
        <w:t>TSR shows the actual return of the stock price, with dividends reinvested.</w:t>
      </w:r>
    </w:p>
    <w:p>
      <w:pPr>
        <w:sectPr>
          <w:pgSz w:w="11900" w:h="16838" w:orient="portrait"/>
          <w:cols w:equalWidth="0" w:num="1">
            <w:col w:w="11260"/>
          </w:cols>
          <w:pgMar w:left="320" w:top="157" w:right="31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color w:val="074A75"/>
        </w:rPr>
        <w:t>Risk, controls &amp; conduct</w:t>
      </w:r>
    </w:p>
    <w:p>
      <w:pPr>
        <w:spacing w:after="0" w:line="2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a strong control environment is fundamental to the success of our Firm. We continue to invest in strengthening our controls and infrastructure, including those related to health and safety, as part of our commitment to operate an effective and efficient risk, controls and conduct environment. The LOBs, Risk Management and Compliance, Finance, Legal and Internal Audit continue to focus on identifying our risks and enhancing our control environment. We are also continuing to work on becoming more effective and efficient in addressing risks and controls while improving the client and customer experience.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074A75"/>
        </w:rPr>
        <w:t>CYBERSECURITY</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Cybersecurity risk is an important and continuously evolving focus for the Firm, and significant resources are devoted to protecting and enhancing the security of computer systems, software, networks and other technology assets. The Firm’s security efforts are designed to protect against, among other things, cybersecurity attacks by unauthorized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attempting to obtain access to confidential information, destroy data, disrupt or degrade service, sabotage systems or cause other damage.</w:t>
      </w:r>
    </w:p>
    <w:p>
      <w:pPr>
        <w:spacing w:after="0" w:line="6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risk of a security breach due to a cyber attack, including ransomware and supply-chain compromises, could increase in the future as the Firm continues ongoing business expansions which may expose the Firm to potential new threats as well as expanded regulatory scrutiny, including the introduction of new cybersecurity requirements. The Firm continues to make significant investments in enhancing its cyber defense capabilities and to strengthen its partnerships with the appropriate government and law enforcement agencies and other businesses in order to understand the full spectrum of cybersecurity risks in the operating environment, enhance defenses and improve resiliency against cybersecurity threats. The Firm continues to participate in and lead internal and industry simulations exploring new avenues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473710</wp:posOffset>
            </wp:positionV>
            <wp:extent cx="27432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650" w:lineRule="exact"/>
        <w:rPr>
          <w:sz w:val="20"/>
          <w:szCs w:val="20"/>
          <w:color w:val="auto"/>
        </w:rPr>
      </w:pPr>
    </w:p>
    <w:p>
      <w:pPr>
        <w:sectPr>
          <w:pgSz w:w="11900" w:h="16838" w:orient="portrait"/>
          <w:cols w:equalWidth="0" w:num="2">
            <w:col w:w="5340" w:space="400"/>
            <w:col w:w="5520"/>
          </w:cols>
          <w:pgMar w:left="320" w:top="157" w:right="319" w:bottom="1440" w:gutter="0" w:footer="0" w:header="0"/>
          <w:type w:val="continuous"/>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55  </w:t>
      </w:r>
      <w:r>
        <w:rPr>
          <w:sz w:val="1"/>
          <w:szCs w:val="1"/>
          <w:color w:val="auto"/>
        </w:rPr>
        <w:drawing>
          <wp:inline distT="0" distB="0" distL="0" distR="0">
            <wp:extent cx="2203450" cy="154305"/>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60"/>
          </w:cols>
          <w:pgMar w:left="320" w:top="157" w:right="319" w:bottom="1440" w:gutter="0" w:footer="0" w:header="0"/>
        </w:sectPr>
      </w:pPr>
    </w:p>
    <w:p>
      <w:pPr>
        <w:spacing w:after="0" w:line="9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Firm’s Security Awareness Program includes training that reinforces the Firm’s Information Technology Risk and Security Management policies, standards and practices, as well as the expectation that employees and contractors comply with these policies. The Security Awareness Program engages personnel through training on how to identify potential cybersecurity risks and protect the Firm’s resources and information. This periodic training is mandatory for all active employees, and is supplemented by Firmwide testing initiatives, including periodic phishing tests. Specialized security training exists for specific roles such as application developers. The Firm’s Global Privacy and Data Protection Awareness training is assigned to all active employees as well as contractors who perform roles that are similar in nature to employees. This periodic privacy-focused training includes information about confidentiality and security, as well as responding to unauthorized access to or use of information.</w:t>
      </w:r>
    </w:p>
    <w:p>
      <w:pPr>
        <w:spacing w:after="0" w:line="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 of Directors is updated periodically on the Firm’s Information Security Program, recommended changes, cybersecurity policies and practices, and ongoing efforts to improve security, as well as on its efforts regarding significant cybersecurity events. The Board of Directors approves the Information Security Program annually, and additional oversight of the relevant risk framework and controls is provided by the Audit and Risk Committees.</w:t>
      </w:r>
    </w:p>
    <w:p>
      <w:pPr>
        <w:spacing w:after="0" w:line="74"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074A75"/>
        </w:rPr>
        <w:t>CONTINUED FOCUS ON CULTURE AND CONDUCT RISK MANAGEMENT</w:t>
      </w:r>
    </w:p>
    <w:p>
      <w:pPr>
        <w:spacing w:after="0" w:line="5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continue to reinforce our culture and remain focused on managing employee conduct end-to-end. Our “How We Do Business” principles are embedded throughout the employee lifecycle, starting with the onboarding process and extending to ongoing training, compensation, promoting and rewarding employees; and our performance development and compensation processes are designed to hold employees accountable for their conduct, where appropriate.</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strive to clearly and frequently communicate our expectations that all employee conduct must adhere to the highest ethical standards encompassed by our Business Principles, including through town hall meetings and senior leadership messages, business conduct training, and by including culture and conduct related questions in our employee opinion surveys and exit surveys.</w:t>
      </w:r>
    </w:p>
    <w:p>
      <w:pPr>
        <w:spacing w:after="0" w:line="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Firm endeavors to promote a culture of respect that allows every employee to feel safe and empowered at work. To that end, the Firm has in place employee training and protocols for preventing, reporting and addressing sexual, discriminatory or other misconduct and prohibits retaliation against an individual because the person reported a concern or assisted with any inquiry or investigation. Since 2020, we have simplified channels for employees to raise conduct concerns, implemented a new intake process to facilitate appropriate and timely routing, and enhanced our investigations protocols to help guard against retaliation</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Firm continued to reinforce its culture through various efforts throughout the year in response to the COVID-19 pandemic. The Firm supported employees by providing additional paid time off, and by offering expanded healthcare, well-being and childcare resources.</w:t>
      </w:r>
    </w:p>
    <w:p>
      <w:pPr>
        <w:spacing w:after="0" w:line="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part of our employee engagement strategy, our culture initiatives have included additional training for all employees called You Belong Here: Building a More Inclusive JPMC. We have continued to make enhancements to current listening strategies that enable the Firm to more effectively measure how employees are experiencing the company. In addition, we continued to enhance our accountability framework for senior managers to further strengthen our approach to incorporate diversity, equity and inclusion priorities and progress into the way we do business.</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remain focused on our anti-harassment, anti-racism and culture of respect efforts across the company and continue to take a holistic approach to reinforce our culture by increasing awareness and education through engagement, communication and training while adhering to policy and regulatory requirements. Managers are expected to drive culture activities and initiatives that are consistent with our Business Principles and to escalate issues when appropriate. Our Code of Conduct and Culture of Respect trainings are annual requirements assigned to all active employees.</w:t>
      </w:r>
    </w:p>
    <w:p>
      <w:pPr>
        <w:spacing w:after="0" w:line="7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actual or potential misconduct of individuals involved in matters that create material risk and control concerns is escalated and reviewed through the HR Control Forum process, discussed on page 51. In connection with internal, SEC and CFTC investigations into the Firm's compliance with certain record preservations requirements, the Firm reduced the 2021 compensation of certain executives.</w:t>
      </w:r>
    </w:p>
    <w:p>
      <w:pPr>
        <w:spacing w:after="0" w:line="61" w:lineRule="exact"/>
        <w:rPr>
          <w:sz w:val="20"/>
          <w:szCs w:val="20"/>
          <w:color w:val="auto"/>
        </w:rPr>
      </w:pPr>
    </w:p>
    <w:p>
      <w:pPr>
        <w:spacing w:after="0"/>
        <w:rPr>
          <w:sz w:val="20"/>
          <w:szCs w:val="20"/>
          <w:color w:val="auto"/>
        </w:rPr>
      </w:pPr>
      <w:r>
        <w:rPr>
          <w:rFonts w:ascii="Arial" w:cs="Arial" w:eastAsia="Arial" w:hAnsi="Arial"/>
          <w:sz w:val="29"/>
          <w:szCs w:val="29"/>
          <w:color w:val="074A75"/>
        </w:rPr>
        <w:t>Client/customer/stakeholder</w:t>
      </w:r>
    </w:p>
    <w:p>
      <w:pPr>
        <w:spacing w:after="0" w:line="1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performance reflects our ongoing commitment to invest in our employees and businesses, further strengthen the market leadership of our franchises, generate long-term value for our shareholders, and help strengthen the broader economy. Amid the continued challenges of COVID-19, the Firm continued to serve our clients and customers during a time of unprecedented business demands, and continued to invest in our communities, making further progress on our longer-term commitment to advance racial equity and drive inclusive economic growth.</w:t>
      </w:r>
    </w:p>
    <w:p>
      <w:pPr>
        <w:spacing w:after="0" w:line="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Firm's future success rests on our commitment to deliver value to our customers in meeting or exceeding expectations; deal fairly and ethically with our suppliers as good partners to help us meet our missions; support the communities in which we work, and protect the environment by enhancing sustainable practices across our businesses.</w:t>
      </w:r>
    </w:p>
    <w:p>
      <w:pPr>
        <w:spacing w:after="0" w:line="1070"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ectPr>
          <w:pgSz w:w="11900" w:h="16838" w:orient="portrait"/>
          <w:cols w:equalWidth="0" w:num="1">
            <w:col w:w="11260"/>
          </w:cols>
          <w:pgMar w:left="320" w:top="157" w:right="319" w:bottom="1440" w:gutter="0" w:footer="0" w:header="0"/>
        </w:sectPr>
      </w:pPr>
    </w:p>
    <w:p>
      <w:pPr>
        <w:spacing w:after="0"/>
        <w:rPr>
          <w:sz w:val="20"/>
          <w:szCs w:val="20"/>
          <w:color w:val="auto"/>
        </w:rPr>
      </w:pPr>
      <w:r>
        <w:rPr>
          <w:rFonts w:ascii="Arial" w:cs="Arial" w:eastAsia="Arial" w:hAnsi="Arial"/>
          <w:sz w:val="19"/>
          <w:szCs w:val="19"/>
          <w:color w:val="074A75"/>
        </w:rPr>
        <w:t>ENHANCING OUR CUSTOMER AND CLIENT EXPERIENCE</w:t>
      </w:r>
    </w:p>
    <w:p>
      <w:pPr>
        <w:spacing w:after="0" w:line="12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Exceptional Client Service is one of our Business Principles. We strive to deliver value by offering our customers and clients choice, through a full set of products and services; security through processes designed to protect their data and transactions; ease of doing business in a fast and simple way; personalization through tailored customer solutions and integrated experiences; and continued investments in technology. Our LOBs are able to leverage the unique scale advantage of our Firm in order to benefit our customers and clients, as illustrated in the following examples: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&amp; Community Banking (“CCB”)</w:t>
      </w:r>
    </w:p>
    <w:p>
      <w:pPr>
        <w:spacing w:after="0" w:line="75" w:lineRule="exact"/>
        <w:rPr>
          <w:sz w:val="20"/>
          <w:szCs w:val="20"/>
          <w:color w:val="auto"/>
        </w:rPr>
      </w:pPr>
    </w:p>
    <w:p>
      <w:pPr>
        <w:ind w:left="200" w:right="160" w:hanging="192"/>
        <w:spacing w:after="0" w:line="262" w:lineRule="auto"/>
        <w:tabs>
          <w:tab w:leader="none" w:pos="204" w:val="left"/>
        </w:tabs>
        <w:numPr>
          <w:ilvl w:val="0"/>
          <w:numId w:val="158"/>
        </w:numPr>
        <w:rPr>
          <w:rFonts w:ascii="Arial" w:cs="Arial" w:eastAsia="Arial" w:hAnsi="Arial"/>
          <w:sz w:val="18"/>
          <w:szCs w:val="18"/>
          <w:color w:val="074A75"/>
        </w:rPr>
      </w:pPr>
      <w:r>
        <w:rPr>
          <w:rFonts w:ascii="Arial" w:cs="Arial" w:eastAsia="Arial" w:hAnsi="Arial"/>
          <w:sz w:val="18"/>
          <w:szCs w:val="18"/>
          <w:color w:val="auto"/>
        </w:rPr>
        <w:t>Opened 177 branches in 2021, including 23 branches in states the Firm had not previously operated in, becoming the first retail bank with branches in the lower 48 states, for a total of 271 branches opened in new markets since expansion began</w:t>
      </w:r>
    </w:p>
    <w:p>
      <w:pPr>
        <w:spacing w:after="0" w:line="27" w:lineRule="exact"/>
        <w:rPr>
          <w:rFonts w:ascii="Arial" w:cs="Arial" w:eastAsia="Arial" w:hAnsi="Arial"/>
          <w:sz w:val="18"/>
          <w:szCs w:val="18"/>
          <w:color w:val="074A75"/>
        </w:rPr>
      </w:pPr>
    </w:p>
    <w:p>
      <w:pPr>
        <w:ind w:left="200" w:right="120" w:hanging="192"/>
        <w:spacing w:after="0" w:line="262" w:lineRule="auto"/>
        <w:tabs>
          <w:tab w:leader="none" w:pos="204" w:val="left"/>
        </w:tabs>
        <w:numPr>
          <w:ilvl w:val="0"/>
          <w:numId w:val="158"/>
        </w:numPr>
        <w:rPr>
          <w:rFonts w:ascii="Arial" w:cs="Arial" w:eastAsia="Arial" w:hAnsi="Arial"/>
          <w:sz w:val="18"/>
          <w:szCs w:val="18"/>
          <w:color w:val="074A75"/>
        </w:rPr>
      </w:pPr>
      <w:r>
        <w:rPr>
          <w:rFonts w:ascii="Arial" w:cs="Arial" w:eastAsia="Arial" w:hAnsi="Arial"/>
          <w:sz w:val="18"/>
          <w:szCs w:val="18"/>
          <w:color w:val="auto"/>
        </w:rPr>
        <w:t>Supported the Firm's $30B Racial Equity Commitment, including through homeownership refinancing, and assisting over 200K additional Black, Hispanic and Latino customers open low-cost checking accounts with no overdraft fees</w:t>
      </w:r>
    </w:p>
    <w:p>
      <w:pPr>
        <w:spacing w:after="0" w:line="41" w:lineRule="exact"/>
        <w:rPr>
          <w:rFonts w:ascii="Arial" w:cs="Arial" w:eastAsia="Arial" w:hAnsi="Arial"/>
          <w:sz w:val="18"/>
          <w:szCs w:val="18"/>
          <w:color w:val="074A75"/>
        </w:rPr>
      </w:pPr>
    </w:p>
    <w:p>
      <w:pPr>
        <w:ind w:left="200" w:right="280" w:hanging="192"/>
        <w:spacing w:after="0" w:line="259" w:lineRule="auto"/>
        <w:tabs>
          <w:tab w:leader="none" w:pos="204" w:val="left"/>
        </w:tabs>
        <w:numPr>
          <w:ilvl w:val="0"/>
          <w:numId w:val="158"/>
        </w:numPr>
        <w:rPr>
          <w:rFonts w:ascii="Arial" w:cs="Arial" w:eastAsia="Arial" w:hAnsi="Arial"/>
          <w:sz w:val="18"/>
          <w:szCs w:val="18"/>
          <w:color w:val="074A75"/>
        </w:rPr>
      </w:pPr>
      <w:r>
        <w:rPr>
          <w:rFonts w:ascii="Arial" w:cs="Arial" w:eastAsia="Arial" w:hAnsi="Arial"/>
          <w:sz w:val="18"/>
          <w:szCs w:val="18"/>
          <w:color w:val="auto"/>
        </w:rPr>
        <w:t>Accelerated the business' transformation to a design-led, agile product organization, enabling faster delivery of new products and features to improve the digital and in-branch customer experience and use data to serve customers in more personalized and relevant ways</w:t>
      </w:r>
    </w:p>
    <w:p>
      <w:pPr>
        <w:spacing w:after="0" w:line="30" w:lineRule="exact"/>
        <w:rPr>
          <w:rFonts w:ascii="Arial" w:cs="Arial" w:eastAsia="Arial" w:hAnsi="Arial"/>
          <w:sz w:val="18"/>
          <w:szCs w:val="18"/>
          <w:color w:val="074A75"/>
        </w:rPr>
      </w:pPr>
    </w:p>
    <w:p>
      <w:pPr>
        <w:ind w:left="200" w:right="80" w:hanging="192"/>
        <w:spacing w:after="0" w:line="256" w:lineRule="auto"/>
        <w:tabs>
          <w:tab w:leader="none" w:pos="204" w:val="left"/>
        </w:tabs>
        <w:numPr>
          <w:ilvl w:val="0"/>
          <w:numId w:val="158"/>
        </w:numPr>
        <w:rPr>
          <w:rFonts w:ascii="Arial" w:cs="Arial" w:eastAsia="Arial" w:hAnsi="Arial"/>
          <w:sz w:val="18"/>
          <w:szCs w:val="18"/>
          <w:color w:val="074A75"/>
        </w:rPr>
      </w:pPr>
      <w:r>
        <w:rPr>
          <w:rFonts w:ascii="Arial" w:cs="Arial" w:eastAsia="Arial" w:hAnsi="Arial"/>
          <w:sz w:val="18"/>
          <w:szCs w:val="18"/>
          <w:color w:val="auto"/>
        </w:rPr>
        <w:t>Simplified the process for things customers do most often: about 50% of consumer deposit accounts were opened digitally, over $3 trillion in digital payments were safely and seamlessly processed, took nearly three-quarters of consumer mortgage applications digitally, processed over 5 million card replacements digitally and supported 28 million customers' financial health with Credit Journey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&amp; Investment Bank (“CIB”)</w:t>
      </w:r>
    </w:p>
    <w:p>
      <w:pPr>
        <w:spacing w:after="0" w:line="115" w:lineRule="exact"/>
        <w:rPr>
          <w:sz w:val="20"/>
          <w:szCs w:val="20"/>
          <w:color w:val="auto"/>
        </w:rPr>
      </w:pPr>
    </w:p>
    <w:p>
      <w:pPr>
        <w:ind w:left="200" w:right="120" w:hanging="192"/>
        <w:spacing w:after="0" w:line="262" w:lineRule="auto"/>
        <w:tabs>
          <w:tab w:leader="none" w:pos="204" w:val="left"/>
        </w:tabs>
        <w:numPr>
          <w:ilvl w:val="0"/>
          <w:numId w:val="159"/>
        </w:numPr>
        <w:rPr>
          <w:rFonts w:ascii="Arial" w:cs="Arial" w:eastAsia="Arial" w:hAnsi="Arial"/>
          <w:sz w:val="18"/>
          <w:szCs w:val="18"/>
          <w:color w:val="074A75"/>
        </w:rPr>
      </w:pPr>
      <w:r>
        <w:rPr>
          <w:rFonts w:ascii="Arial" w:cs="Arial" w:eastAsia="Arial" w:hAnsi="Arial"/>
          <w:sz w:val="18"/>
          <w:szCs w:val="18"/>
          <w:color w:val="auto"/>
        </w:rPr>
        <w:t>Continued focus on payments technologies, delivering long-term efficiencies, and driving modernization initiatives, including by continuing progress in the Onyx business and through investments and acquisitions</w:t>
      </w:r>
    </w:p>
    <w:p>
      <w:pPr>
        <w:spacing w:after="0" w:line="27" w:lineRule="exact"/>
        <w:rPr>
          <w:rFonts w:ascii="Arial" w:cs="Arial" w:eastAsia="Arial" w:hAnsi="Arial"/>
          <w:sz w:val="18"/>
          <w:szCs w:val="18"/>
          <w:color w:val="074A75"/>
        </w:rPr>
      </w:pPr>
    </w:p>
    <w:p>
      <w:pPr>
        <w:ind w:left="200" w:right="100" w:hanging="192"/>
        <w:spacing w:after="0" w:line="257" w:lineRule="auto"/>
        <w:tabs>
          <w:tab w:leader="none" w:pos="204" w:val="left"/>
        </w:tabs>
        <w:numPr>
          <w:ilvl w:val="0"/>
          <w:numId w:val="159"/>
        </w:numPr>
        <w:rPr>
          <w:rFonts w:ascii="Arial" w:cs="Arial" w:eastAsia="Arial" w:hAnsi="Arial"/>
          <w:sz w:val="18"/>
          <w:szCs w:val="18"/>
          <w:color w:val="074A75"/>
        </w:rPr>
      </w:pPr>
      <w:r>
        <w:rPr>
          <w:rFonts w:ascii="Arial" w:cs="Arial" w:eastAsia="Arial" w:hAnsi="Arial"/>
          <w:sz w:val="18"/>
          <w:szCs w:val="18"/>
          <w:color w:val="auto"/>
        </w:rPr>
        <w:t>Advanced ESG goals; first bank to act as a development finance structuring agent to advance sustainable developments in emerging markets; first U.S. bank to release sector-specific emission reduction targets as part of its Paris-Aligned financing commitment, and #1 underwriter of green and ESG-labeled bonds globally by volume</w:t>
      </w:r>
    </w:p>
    <w:p>
      <w:pPr>
        <w:spacing w:after="0" w:line="47" w:lineRule="exact"/>
        <w:rPr>
          <w:rFonts w:ascii="Arial" w:cs="Arial" w:eastAsia="Arial" w:hAnsi="Arial"/>
          <w:sz w:val="18"/>
          <w:szCs w:val="18"/>
          <w:color w:val="074A75"/>
        </w:rPr>
      </w:pPr>
    </w:p>
    <w:p>
      <w:pPr>
        <w:ind w:left="200" w:right="580" w:hanging="192"/>
        <w:spacing w:after="0" w:line="287" w:lineRule="auto"/>
        <w:tabs>
          <w:tab w:leader="none" w:pos="204" w:val="left"/>
        </w:tabs>
        <w:numPr>
          <w:ilvl w:val="0"/>
          <w:numId w:val="159"/>
        </w:numPr>
        <w:rPr>
          <w:rFonts w:ascii="Arial" w:cs="Arial" w:eastAsia="Arial" w:hAnsi="Arial"/>
          <w:sz w:val="18"/>
          <w:szCs w:val="18"/>
          <w:color w:val="074A75"/>
        </w:rPr>
      </w:pPr>
      <w:r>
        <w:rPr>
          <w:rFonts w:ascii="Arial" w:cs="Arial" w:eastAsia="Arial" w:hAnsi="Arial"/>
          <w:sz w:val="18"/>
          <w:szCs w:val="18"/>
          <w:color w:val="auto"/>
        </w:rPr>
        <w:t>Continued to expand business in China, becoming the first foreign bank to fully own a securities company in China</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200" w:right="180" w:hanging="196"/>
        <w:spacing w:after="0" w:line="268" w:lineRule="auto"/>
        <w:tabs>
          <w:tab w:leader="none" w:pos="204" w:val="left"/>
        </w:tabs>
        <w:numPr>
          <w:ilvl w:val="0"/>
          <w:numId w:val="160"/>
        </w:numPr>
        <w:rPr>
          <w:rFonts w:ascii="Arial" w:cs="Arial" w:eastAsia="Arial" w:hAnsi="Arial"/>
          <w:sz w:val="18"/>
          <w:szCs w:val="18"/>
          <w:color w:val="00497F"/>
        </w:rPr>
      </w:pPr>
      <w:r>
        <w:rPr>
          <w:rFonts w:ascii="Arial" w:cs="Arial" w:eastAsia="Arial" w:hAnsi="Arial"/>
          <w:sz w:val="18"/>
          <w:szCs w:val="18"/>
          <w:color w:val="auto"/>
        </w:rPr>
        <w:t>Supported continued high trading, payment and deposit volumes delivering best in class products and services and supporting clients end to end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 (“CB”)</w:t>
      </w:r>
    </w:p>
    <w:p>
      <w:pPr>
        <w:spacing w:after="0" w:line="88" w:lineRule="exact"/>
        <w:rPr>
          <w:sz w:val="20"/>
          <w:szCs w:val="20"/>
          <w:color w:val="auto"/>
        </w:rPr>
      </w:pPr>
    </w:p>
    <w:p>
      <w:pPr>
        <w:ind w:left="200" w:right="240" w:hanging="196"/>
        <w:spacing w:after="0" w:line="259" w:lineRule="auto"/>
        <w:tabs>
          <w:tab w:leader="none" w:pos="204" w:val="left"/>
        </w:tabs>
        <w:numPr>
          <w:ilvl w:val="0"/>
          <w:numId w:val="161"/>
        </w:numPr>
        <w:rPr>
          <w:rFonts w:ascii="Arial" w:cs="Arial" w:eastAsia="Arial" w:hAnsi="Arial"/>
          <w:sz w:val="18"/>
          <w:szCs w:val="18"/>
          <w:color w:val="074A75"/>
        </w:rPr>
      </w:pPr>
      <w:r>
        <w:rPr>
          <w:rFonts w:ascii="Arial" w:cs="Arial" w:eastAsia="Arial" w:hAnsi="Arial"/>
          <w:sz w:val="18"/>
          <w:szCs w:val="18"/>
          <w:color w:val="auto"/>
        </w:rPr>
        <w:t>Invested over $100mm in 16 diverse financial institutions; provided over $350mm in financing to Community Development Financials Institutions; and originated over $13B in loans to help create and preserve over 100K U.S. affordable housing and rental housing units</w:t>
      </w:r>
    </w:p>
    <w:p>
      <w:pPr>
        <w:spacing w:after="0" w:line="28" w:lineRule="exact"/>
        <w:rPr>
          <w:rFonts w:ascii="Arial" w:cs="Arial" w:eastAsia="Arial" w:hAnsi="Arial"/>
          <w:sz w:val="18"/>
          <w:szCs w:val="18"/>
          <w:color w:val="074A75"/>
        </w:rPr>
      </w:pPr>
    </w:p>
    <w:p>
      <w:pPr>
        <w:ind w:left="200" w:right="340" w:hanging="196"/>
        <w:spacing w:after="0" w:line="232" w:lineRule="auto"/>
        <w:tabs>
          <w:tab w:leader="none" w:pos="204" w:val="left"/>
        </w:tabs>
        <w:numPr>
          <w:ilvl w:val="0"/>
          <w:numId w:val="161"/>
        </w:numPr>
        <w:rPr>
          <w:rFonts w:ascii="Arial" w:cs="Arial" w:eastAsia="Arial" w:hAnsi="Arial"/>
          <w:sz w:val="18"/>
          <w:szCs w:val="18"/>
          <w:color w:val="074A75"/>
        </w:rPr>
      </w:pPr>
      <w:r>
        <w:rPr>
          <w:rFonts w:ascii="Arial" w:cs="Arial" w:eastAsia="Arial" w:hAnsi="Arial"/>
          <w:sz w:val="18"/>
          <w:szCs w:val="18"/>
          <w:color w:val="auto"/>
        </w:rPr>
        <w:t>Extended over $20B in credit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to vital institutions like hospitals, local governments and schools</w:t>
      </w:r>
    </w:p>
    <w:p>
      <w:pPr>
        <w:spacing w:after="0" w:line="46" w:lineRule="exact"/>
        <w:rPr>
          <w:rFonts w:ascii="Arial" w:cs="Arial" w:eastAsia="Arial" w:hAnsi="Arial"/>
          <w:sz w:val="18"/>
          <w:szCs w:val="18"/>
          <w:color w:val="074A75"/>
        </w:rPr>
      </w:pPr>
    </w:p>
    <w:p>
      <w:pPr>
        <w:ind w:left="200" w:right="980" w:hanging="196"/>
        <w:spacing w:after="0" w:line="287" w:lineRule="auto"/>
        <w:tabs>
          <w:tab w:leader="none" w:pos="204" w:val="left"/>
        </w:tabs>
        <w:numPr>
          <w:ilvl w:val="0"/>
          <w:numId w:val="161"/>
        </w:numPr>
        <w:rPr>
          <w:rFonts w:ascii="Arial" w:cs="Arial" w:eastAsia="Arial" w:hAnsi="Arial"/>
          <w:sz w:val="18"/>
          <w:szCs w:val="18"/>
          <w:color w:val="074A75"/>
        </w:rPr>
      </w:pPr>
      <w:r>
        <w:rPr>
          <w:rFonts w:ascii="Arial" w:cs="Arial" w:eastAsia="Arial" w:hAnsi="Arial"/>
          <w:sz w:val="18"/>
          <w:szCs w:val="18"/>
          <w:color w:val="auto"/>
        </w:rPr>
        <w:t>Built new Green Economy team to support sustainable businesses and their impact on the planet</w:t>
      </w:r>
    </w:p>
    <w:p>
      <w:pPr>
        <w:spacing w:after="0" w:line="17" w:lineRule="exact"/>
        <w:rPr>
          <w:rFonts w:ascii="Arial" w:cs="Arial" w:eastAsia="Arial" w:hAnsi="Arial"/>
          <w:sz w:val="18"/>
          <w:szCs w:val="18"/>
          <w:color w:val="074A75"/>
        </w:rPr>
      </w:pPr>
    </w:p>
    <w:p>
      <w:pPr>
        <w:ind w:left="200" w:right="180" w:hanging="196"/>
        <w:spacing w:after="0" w:line="268" w:lineRule="auto"/>
        <w:tabs>
          <w:tab w:leader="none" w:pos="204" w:val="left"/>
        </w:tabs>
        <w:numPr>
          <w:ilvl w:val="0"/>
          <w:numId w:val="161"/>
        </w:numPr>
        <w:rPr>
          <w:rFonts w:ascii="Arial" w:cs="Arial" w:eastAsia="Arial" w:hAnsi="Arial"/>
          <w:sz w:val="18"/>
          <w:szCs w:val="18"/>
          <w:color w:val="064A75"/>
        </w:rPr>
      </w:pPr>
      <w:r>
        <w:rPr>
          <w:rFonts w:ascii="Arial" w:cs="Arial" w:eastAsia="Arial" w:hAnsi="Arial"/>
          <w:sz w:val="18"/>
          <w:szCs w:val="18"/>
          <w:color w:val="auto"/>
        </w:rPr>
        <w:t>Continued investments in technology to modernize infrastructure and enhance ability to scale product offerings and deliver solutions to clients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&amp; Wealth Management (“AWM”)</w:t>
      </w:r>
    </w:p>
    <w:p>
      <w:pPr>
        <w:spacing w:after="0" w:line="115" w:lineRule="exact"/>
        <w:rPr>
          <w:sz w:val="20"/>
          <w:szCs w:val="20"/>
          <w:color w:val="auto"/>
        </w:rPr>
      </w:pPr>
    </w:p>
    <w:p>
      <w:pPr>
        <w:ind w:left="200" w:right="780" w:hanging="196"/>
        <w:spacing w:after="0" w:line="306" w:lineRule="auto"/>
        <w:tabs>
          <w:tab w:leader="none" w:pos="204" w:val="left"/>
        </w:tabs>
        <w:numPr>
          <w:ilvl w:val="0"/>
          <w:numId w:val="162"/>
        </w:numPr>
        <w:rPr>
          <w:rFonts w:ascii="Arial" w:cs="Arial" w:eastAsia="Arial" w:hAnsi="Arial"/>
          <w:sz w:val="17"/>
          <w:szCs w:val="17"/>
          <w:color w:val="074A75"/>
        </w:rPr>
      </w:pPr>
      <w:r>
        <w:rPr>
          <w:rFonts w:ascii="Arial" w:cs="Arial" w:eastAsia="Arial" w:hAnsi="Arial"/>
          <w:sz w:val="17"/>
          <w:szCs w:val="17"/>
          <w:color w:val="auto"/>
        </w:rPr>
        <w:t>Continued innovative strategies and solutions to optimize efficiency and enhance overall client experiences</w:t>
      </w:r>
    </w:p>
    <w:p>
      <w:pPr>
        <w:spacing w:after="0" w:line="1" w:lineRule="exact"/>
        <w:rPr>
          <w:rFonts w:ascii="Arial" w:cs="Arial" w:eastAsia="Arial" w:hAnsi="Arial"/>
          <w:sz w:val="17"/>
          <w:szCs w:val="17"/>
          <w:color w:val="074A75"/>
        </w:rPr>
      </w:pPr>
    </w:p>
    <w:p>
      <w:pPr>
        <w:ind w:left="200" w:right="180" w:hanging="196"/>
        <w:spacing w:after="0" w:line="262" w:lineRule="auto"/>
        <w:tabs>
          <w:tab w:leader="none" w:pos="204" w:val="left"/>
        </w:tabs>
        <w:numPr>
          <w:ilvl w:val="0"/>
          <w:numId w:val="162"/>
        </w:numPr>
        <w:rPr>
          <w:rFonts w:ascii="Arial" w:cs="Arial" w:eastAsia="Arial" w:hAnsi="Arial"/>
          <w:sz w:val="18"/>
          <w:szCs w:val="18"/>
          <w:color w:val="074A75"/>
        </w:rPr>
      </w:pPr>
      <w:r>
        <w:rPr>
          <w:rFonts w:ascii="Arial" w:cs="Arial" w:eastAsia="Arial" w:hAnsi="Arial"/>
          <w:sz w:val="18"/>
          <w:szCs w:val="18"/>
          <w:color w:val="auto"/>
        </w:rPr>
        <w:t>Expanded ESG capabilities by launching Sustainable Funds and growing Dedicated Sustainable AUM, and through the acquisition of Campbell Global, a leader in forest management and timberland investing</w:t>
      </w:r>
    </w:p>
    <w:p>
      <w:pPr>
        <w:spacing w:after="0" w:line="41" w:lineRule="exact"/>
        <w:rPr>
          <w:rFonts w:ascii="Arial" w:cs="Arial" w:eastAsia="Arial" w:hAnsi="Arial"/>
          <w:sz w:val="18"/>
          <w:szCs w:val="18"/>
          <w:color w:val="074A75"/>
        </w:rPr>
      </w:pPr>
    </w:p>
    <w:p>
      <w:pPr>
        <w:ind w:left="200" w:right="500" w:hanging="196"/>
        <w:spacing w:after="0" w:line="268" w:lineRule="auto"/>
        <w:tabs>
          <w:tab w:leader="none" w:pos="204" w:val="left"/>
        </w:tabs>
        <w:numPr>
          <w:ilvl w:val="0"/>
          <w:numId w:val="162"/>
        </w:numPr>
        <w:rPr>
          <w:rFonts w:ascii="Arial" w:cs="Arial" w:eastAsia="Arial" w:hAnsi="Arial"/>
          <w:sz w:val="18"/>
          <w:szCs w:val="18"/>
          <w:color w:val="074A75"/>
        </w:rPr>
      </w:pPr>
      <w:r>
        <w:rPr>
          <w:rFonts w:ascii="Arial" w:cs="Arial" w:eastAsia="Arial" w:hAnsi="Arial"/>
          <w:sz w:val="18"/>
          <w:szCs w:val="18"/>
          <w:color w:val="auto"/>
        </w:rPr>
        <w:t>Introduced new products to help clients align to personalized values-based ESG investing through the acquisition of OpenInvest</w:t>
      </w:r>
    </w:p>
    <w:p>
      <w:pPr>
        <w:spacing w:after="0" w:line="22" w:lineRule="exact"/>
        <w:rPr>
          <w:rFonts w:ascii="Arial" w:cs="Arial" w:eastAsia="Arial" w:hAnsi="Arial"/>
          <w:sz w:val="18"/>
          <w:szCs w:val="18"/>
          <w:color w:val="074A75"/>
        </w:rPr>
      </w:pPr>
    </w:p>
    <w:p>
      <w:pPr>
        <w:ind w:left="200" w:right="400" w:hanging="196"/>
        <w:spacing w:after="0" w:line="287" w:lineRule="auto"/>
        <w:tabs>
          <w:tab w:leader="none" w:pos="204" w:val="left"/>
        </w:tabs>
        <w:numPr>
          <w:ilvl w:val="0"/>
          <w:numId w:val="162"/>
        </w:numPr>
        <w:rPr>
          <w:rFonts w:ascii="Arial" w:cs="Arial" w:eastAsia="Arial" w:hAnsi="Arial"/>
          <w:sz w:val="18"/>
          <w:szCs w:val="18"/>
          <w:color w:val="074A75"/>
        </w:rPr>
      </w:pPr>
      <w:r>
        <w:rPr>
          <w:rFonts w:ascii="Arial" w:cs="Arial" w:eastAsia="Arial" w:hAnsi="Arial"/>
          <w:sz w:val="18"/>
          <w:szCs w:val="18"/>
          <w:color w:val="auto"/>
        </w:rPr>
        <w:t>Advanced DEI strategies through investments, collaborations, product offerings, and cross-functional client engagement</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074A75"/>
        </w:rPr>
        <w:t>INVESTING IN OUR COMMUNITIES</w:t>
      </w:r>
    </w:p>
    <w:p>
      <w:pPr>
        <w:spacing w:after="0" w:line="1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endeavor to help build a sustainable and inclusive global economy and advance racial equity for our employees, customers, clients and communities. Building off prior initiatives, in 2021, we announced a target to finance and facilitate $2.5 trillion by the end of 2030 to advance development finance, climate action and community development.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work include:</w:t>
      </w:r>
    </w:p>
    <w:p>
      <w:pPr>
        <w:spacing w:after="0" w:line="117" w:lineRule="exact"/>
        <w:rPr>
          <w:sz w:val="20"/>
          <w:szCs w:val="20"/>
          <w:color w:val="auto"/>
        </w:rPr>
      </w:pPr>
    </w:p>
    <w:p>
      <w:pPr>
        <w:ind w:left="200" w:right="240" w:hanging="196"/>
        <w:spacing w:after="0" w:line="257" w:lineRule="auto"/>
        <w:tabs>
          <w:tab w:leader="none" w:pos="204" w:val="left"/>
        </w:tabs>
        <w:numPr>
          <w:ilvl w:val="0"/>
          <w:numId w:val="163"/>
        </w:numPr>
        <w:rPr>
          <w:rFonts w:ascii="Arial" w:cs="Arial" w:eastAsia="Arial" w:hAnsi="Arial"/>
          <w:sz w:val="18"/>
          <w:szCs w:val="18"/>
          <w:color w:val="074A75"/>
        </w:rPr>
      </w:pPr>
      <w:r>
        <w:rPr>
          <w:rFonts w:ascii="Arial" w:cs="Arial" w:eastAsia="Arial" w:hAnsi="Arial"/>
          <w:sz w:val="18"/>
          <w:szCs w:val="18"/>
          <w:i w:val="1"/>
          <w:iCs w:val="1"/>
          <w:color w:val="auto"/>
        </w:rPr>
        <w:t xml:space="preserve">Driving inclusive recovery and economic opportunity </w:t>
      </w:r>
      <w:r>
        <w:rPr>
          <w:rFonts w:ascii="Arial" w:cs="Arial" w:eastAsia="Arial" w:hAnsi="Arial"/>
          <w:sz w:val="18"/>
          <w:szCs w:val="18"/>
          <w:color w:val="auto"/>
        </w:rPr>
        <w:t>– The Firm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to apply our business, philanthropic and policy expertise, sustainable business practices, data, capital and global presence to advance solutions that support an inclusive recovery and create economic opportunity for our customers, employees and the communities we serve.</w:t>
      </w:r>
    </w:p>
    <w:p>
      <w:pPr>
        <w:spacing w:after="0" w:line="200" w:lineRule="exact"/>
        <w:rPr>
          <w:sz w:val="20"/>
          <w:szCs w:val="20"/>
          <w:color w:val="auto"/>
        </w:rPr>
      </w:pPr>
    </w:p>
    <w:p>
      <w:pPr>
        <w:sectPr>
          <w:pgSz w:w="11900" w:h="16838" w:orient="portrait"/>
          <w:cols w:equalWidth="0" w:num="2">
            <w:col w:w="5440" w:space="300"/>
            <w:col w:w="5520"/>
          </w:cols>
          <w:pgMar w:left="320" w:top="157" w:right="31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ind w:left="200" w:hanging="192"/>
        <w:spacing w:after="0"/>
        <w:tabs>
          <w:tab w:leader="none" w:pos="200" w:val="left"/>
        </w:tabs>
        <w:numPr>
          <w:ilvl w:val="0"/>
          <w:numId w:val="164"/>
        </w:numPr>
        <w:rPr>
          <w:rFonts w:ascii="Arial" w:cs="Arial" w:eastAsia="Arial" w:hAnsi="Arial"/>
          <w:sz w:val="16"/>
          <w:szCs w:val="16"/>
          <w:color w:val="auto"/>
          <w:vertAlign w:val="superscript"/>
        </w:rPr>
      </w:pPr>
      <w:r>
        <w:rPr>
          <w:rFonts w:ascii="Arial" w:cs="Arial" w:eastAsia="Arial" w:hAnsi="Arial"/>
          <w:sz w:val="13"/>
          <w:szCs w:val="13"/>
          <w:color w:val="auto"/>
        </w:rPr>
        <w:t>Includes new credit commitment originations and existing credit commitments that experienced a major modification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197485</wp:posOffset>
            </wp:positionV>
            <wp:extent cx="27432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57  </w:t>
      </w:r>
      <w:r>
        <w:rPr>
          <w:sz w:val="1"/>
          <w:szCs w:val="1"/>
          <w:color w:val="auto"/>
        </w:rPr>
        <w:drawing>
          <wp:inline distT="0" distB="0" distL="0" distR="0">
            <wp:extent cx="2203450" cy="154305"/>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43" w:lineRule="exact"/>
        <w:rPr>
          <w:sz w:val="20"/>
          <w:szCs w:val="20"/>
          <w:color w:val="auto"/>
        </w:rPr>
      </w:pPr>
    </w:p>
    <w:p>
      <w:pPr>
        <w:sectPr>
          <w:pgSz w:w="11900" w:h="16838" w:orient="portrait"/>
          <w:cols w:equalWidth="0" w:num="1">
            <w:col w:w="11260"/>
          </w:cols>
          <w:pgMar w:left="320" w:top="157" w:right="319" w:bottom="1440" w:gutter="0" w:footer="0" w:header="0"/>
        </w:sectPr>
      </w:pPr>
    </w:p>
    <w:p>
      <w:pPr>
        <w:spacing w:after="0" w:line="41"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Our efforts focus on the areas where our business and expertise can drive long-term impact: careers and skills, business growth and entrepreneurship, community development, financial health and wealth creation as well as environmental sustainability. In 2021, we committed $454 million in philanthropic capital globally, of which $347 million was in grant capital and $107 million in loan capital and equity.</w:t>
      </w:r>
    </w:p>
    <w:p>
      <w:pPr>
        <w:spacing w:after="0" w:line="75" w:lineRule="exact"/>
        <w:rPr>
          <w:sz w:val="20"/>
          <w:szCs w:val="20"/>
          <w:color w:val="auto"/>
        </w:rPr>
      </w:pPr>
    </w:p>
    <w:p>
      <w:pPr>
        <w:ind w:left="200" w:hanging="192"/>
        <w:spacing w:after="0" w:line="253" w:lineRule="auto"/>
        <w:tabs>
          <w:tab w:leader="none" w:pos="204" w:val="left"/>
        </w:tabs>
        <w:numPr>
          <w:ilvl w:val="0"/>
          <w:numId w:val="165"/>
        </w:numPr>
        <w:rPr>
          <w:rFonts w:ascii="Arial" w:cs="Arial" w:eastAsia="Arial" w:hAnsi="Arial"/>
          <w:sz w:val="18"/>
          <w:szCs w:val="18"/>
          <w:color w:val="074A75"/>
        </w:rPr>
      </w:pPr>
      <w:r>
        <w:rPr>
          <w:rFonts w:ascii="Arial" w:cs="Arial" w:eastAsia="Arial" w:hAnsi="Arial"/>
          <w:sz w:val="18"/>
          <w:szCs w:val="18"/>
          <w:i w:val="1"/>
          <w:iCs w:val="1"/>
          <w:color w:val="auto"/>
        </w:rPr>
        <w:t xml:space="preserve">Advancing the transition to a lower-carbon economy </w:t>
      </w:r>
      <w:r>
        <w:rPr>
          <w:rFonts w:ascii="Arial" w:cs="Arial" w:eastAsia="Arial" w:hAnsi="Arial"/>
          <w:sz w:val="18"/>
          <w:szCs w:val="18"/>
          <w:color w:val="auto"/>
        </w:rPr>
        <w:t>– We are</w:t>
      </w:r>
      <w:r>
        <w:rPr>
          <w:rFonts w:ascii="Arial" w:cs="Arial" w:eastAsia="Arial" w:hAnsi="Arial"/>
          <w:sz w:val="18"/>
          <w:szCs w:val="18"/>
          <w:i w:val="1"/>
          <w:iCs w:val="1"/>
          <w:color w:val="auto"/>
        </w:rPr>
        <w:t xml:space="preserve"> </w:t>
      </w:r>
      <w:r>
        <w:rPr>
          <w:rFonts w:ascii="Arial" w:cs="Arial" w:eastAsia="Arial" w:hAnsi="Arial"/>
          <w:sz w:val="18"/>
          <w:szCs w:val="18"/>
          <w:color w:val="auto"/>
        </w:rPr>
        <w:t>applying our capital and expertise to advance the transition to a lower-carbon economy by working with clients in key sectors to reduce carbon intensity, targeting more than $1 trillion by the end of 2030 to support climate action as part of the Firm’s $2.5 trillion sustainable development target, and minimizing the environmental impact of our operations, including reducing the greenhouse gas footprint of our buildings, branches and data centers. In 2021, we became one of the first U.S. banks to set 2030 carbon intensity targets in three key sectors of our financing portfolio – Oil &amp; Gas, Electric Power, and Auto Manufacturing. In addition, we plan to maintain carbon neutral operations annually, and are aiming to reduce Scope 1 and Scope 2 greenhouse gas emissions by 40% by 2030.</w:t>
      </w:r>
    </w:p>
    <w:p>
      <w:pPr>
        <w:spacing w:after="0" w:line="36" w:lineRule="exact"/>
        <w:rPr>
          <w:rFonts w:ascii="Arial" w:cs="Arial" w:eastAsia="Arial" w:hAnsi="Arial"/>
          <w:sz w:val="18"/>
          <w:szCs w:val="18"/>
          <w:color w:val="074A75"/>
        </w:rPr>
      </w:pPr>
    </w:p>
    <w:p>
      <w:pPr>
        <w:ind w:left="200" w:right="20" w:hanging="192"/>
        <w:spacing w:after="0" w:line="254" w:lineRule="auto"/>
        <w:tabs>
          <w:tab w:leader="none" w:pos="190" w:val="left"/>
        </w:tabs>
        <w:numPr>
          <w:ilvl w:val="0"/>
          <w:numId w:val="165"/>
        </w:numPr>
        <w:rPr>
          <w:rFonts w:ascii="Arial" w:cs="Arial" w:eastAsia="Arial" w:hAnsi="Arial"/>
          <w:sz w:val="18"/>
          <w:szCs w:val="18"/>
          <w:i w:val="1"/>
          <w:iCs w:val="1"/>
          <w:color w:val="064A75"/>
        </w:rPr>
      </w:pPr>
      <w:r>
        <w:rPr>
          <w:rFonts w:ascii="Arial" w:cs="Arial" w:eastAsia="Arial" w:hAnsi="Arial"/>
          <w:sz w:val="18"/>
          <w:szCs w:val="18"/>
          <w:i w:val="1"/>
          <w:iCs w:val="1"/>
          <w:color w:val="auto"/>
        </w:rPr>
        <w:t xml:space="preserve">Advancing development finance </w:t>
      </w:r>
      <w:r>
        <w:rPr>
          <w:rFonts w:ascii="Arial" w:cs="Arial" w:eastAsia="Arial" w:hAnsi="Arial"/>
          <w:sz w:val="18"/>
          <w:szCs w:val="18"/>
          <w:color w:val="auto"/>
        </w:rPr>
        <w:t>– The J.P. Morgan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Institution ("JPM DFI") works to mobilize capital to advance the U.N. Sustainable Development Goals ("SDGs") in emerging markets. The JPM DFI assists corporates and sovereigns to measure, manage, and communicate their impact towards advancing the SDGs in developing economies, while identifying sources of capital interested in financing opportunities with measurable development impact. By supporting the origination and distribution of financial products promoting sustainable development, the JPM DFI aims to establish development finance as a traded asset class.</w:t>
      </w:r>
    </w:p>
    <w:p>
      <w:pPr>
        <w:spacing w:after="0" w:line="33" w:lineRule="exact"/>
        <w:rPr>
          <w:rFonts w:ascii="Arial" w:cs="Arial" w:eastAsia="Arial" w:hAnsi="Arial"/>
          <w:sz w:val="18"/>
          <w:szCs w:val="18"/>
          <w:i w:val="1"/>
          <w:iCs w:val="1"/>
          <w:color w:val="064A75"/>
        </w:rPr>
      </w:pPr>
    </w:p>
    <w:p>
      <w:pPr>
        <w:ind w:left="200" w:right="80" w:hanging="192"/>
        <w:spacing w:after="0" w:line="255" w:lineRule="auto"/>
        <w:tabs>
          <w:tab w:leader="none" w:pos="204" w:val="left"/>
        </w:tabs>
        <w:numPr>
          <w:ilvl w:val="0"/>
          <w:numId w:val="165"/>
        </w:numPr>
        <w:rPr>
          <w:rFonts w:ascii="Arial" w:cs="Arial" w:eastAsia="Arial" w:hAnsi="Arial"/>
          <w:sz w:val="18"/>
          <w:szCs w:val="18"/>
          <w:color w:val="064A75"/>
        </w:rPr>
      </w:pPr>
      <w:r>
        <w:rPr>
          <w:rFonts w:ascii="Arial" w:cs="Arial" w:eastAsia="Arial" w:hAnsi="Arial"/>
          <w:sz w:val="18"/>
          <w:szCs w:val="18"/>
          <w:i w:val="1"/>
          <w:iCs w:val="1"/>
          <w:color w:val="auto"/>
        </w:rPr>
        <w:t xml:space="preserve">Advancing racial equity – </w:t>
      </w:r>
      <w:r>
        <w:rPr>
          <w:rFonts w:ascii="Arial" w:cs="Arial" w:eastAsia="Arial" w:hAnsi="Arial"/>
          <w:sz w:val="18"/>
          <w:szCs w:val="18"/>
          <w:color w:val="auto"/>
        </w:rPr>
        <w:t>By the end of 2021, we deployed or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over $18 billion of our $30 billion Racial Equity Commitment to help close the racial wealth gap among Black, Hispanic and Latino communities. We are harnessing our business, philanthropic, policy and data expertise to advance racial equity and help drive inclusive growth by providing more opportunities for home ownership, access to affordable housing, entrepreneurship and bolstering financial health.</w:t>
      </w:r>
    </w:p>
    <w:p>
      <w:pPr>
        <w:spacing w:after="0" w:line="49" w:lineRule="exact"/>
        <w:rPr>
          <w:rFonts w:ascii="Arial" w:cs="Arial" w:eastAsia="Arial" w:hAnsi="Arial"/>
          <w:sz w:val="18"/>
          <w:szCs w:val="18"/>
          <w:color w:val="064A75"/>
        </w:rPr>
      </w:pPr>
    </w:p>
    <w:p>
      <w:pPr>
        <w:ind w:left="200" w:hanging="192"/>
        <w:spacing w:after="0" w:line="256" w:lineRule="auto"/>
        <w:tabs>
          <w:tab w:leader="none" w:pos="204" w:val="left"/>
        </w:tabs>
        <w:numPr>
          <w:ilvl w:val="0"/>
          <w:numId w:val="165"/>
        </w:numPr>
        <w:rPr>
          <w:rFonts w:ascii="Arial" w:cs="Arial" w:eastAsia="Arial" w:hAnsi="Arial"/>
          <w:sz w:val="18"/>
          <w:szCs w:val="18"/>
          <w:color w:val="074A75"/>
        </w:rPr>
      </w:pPr>
      <w:r>
        <w:rPr>
          <w:rFonts w:ascii="Arial" w:cs="Arial" w:eastAsia="Arial" w:hAnsi="Arial"/>
          <w:sz w:val="18"/>
          <w:szCs w:val="18"/>
          <w:i w:val="1"/>
          <w:iCs w:val="1"/>
          <w:color w:val="auto"/>
        </w:rPr>
        <w:t xml:space="preserve">Providing skills, expertise and career opportunities </w:t>
      </w:r>
      <w:r>
        <w:rPr>
          <w:rFonts w:ascii="Arial" w:cs="Arial" w:eastAsia="Arial" w:hAnsi="Arial"/>
          <w:sz w:val="18"/>
          <w:szCs w:val="18"/>
          <w:color w:val="auto"/>
        </w:rPr>
        <w: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skills-based volunteering programs, we support our employees' desire to help their communities and causes that are important to them, while providing opportunities for them to apply their expertise and expand their skills. One of our signature programs is the Service Corps, through which teams address specific organizational challenges and opportunities for nonprofits.</w:t>
      </w:r>
    </w:p>
    <w:p>
      <w:pPr>
        <w:spacing w:after="0" w:line="20" w:lineRule="exact"/>
        <w:rPr>
          <w:sz w:val="20"/>
          <w:szCs w:val="20"/>
          <w:color w:val="auto"/>
        </w:rPr>
      </w:pPr>
      <w:r>
        <w:rPr>
          <w:sz w:val="20"/>
          <w:szCs w:val="20"/>
          <w:color w:val="auto"/>
        </w:rPr>
        <w:br w:type="column"/>
      </w:r>
    </w:p>
    <w:p>
      <w:pPr>
        <w:ind w:left="200" w:right="140"/>
        <w:spacing w:after="0" w:line="267" w:lineRule="auto"/>
        <w:rPr>
          <w:sz w:val="20"/>
          <w:szCs w:val="20"/>
          <w:color w:val="auto"/>
        </w:rPr>
      </w:pPr>
      <w:r>
        <w:rPr>
          <w:rFonts w:ascii="Arial" w:cs="Arial" w:eastAsia="Arial" w:hAnsi="Arial"/>
          <w:sz w:val="17"/>
          <w:szCs w:val="17"/>
          <w:color w:val="auto"/>
        </w:rPr>
        <w:t>Approximately 275 employees from around the world volunteered their skills and expertise to help nonprofits expand their impact in 2021. Our employees also use their skills to mentor minority-led small businesses through the Founders Forward program. In addition, our career mentorship programs have allowed us to connect more than 1,200 employees with youth, helping to set them on a path toward their future career endeavors. Board Service program trained and placed more than 110 employees on nonprofit boards across the U.S. last year. Tech for Social Good ("T4SG") and Emerging Talent create opportunities for employee engagement in communities around the world. Through Force for Good, T4SG's skilled-volunteering program, almost 1,300 employees volunteered over 58,000 hours to help build tech-based solutions for approximately 200 social good organizations. Our Youth Program and Social Good Hackathons harness the skills of external talent to support the social good sector, while also exposing participants to the Firm's culture. Last year, we engaged approximately 28,000 youths in our communities and connected over 3,000 students with social impact projects and initiatives to promote their interest in FinTech, and the Firm went on to directly hire over 1,500 individuals. Similarly, the Emerging Talent program, which focuses on individuals who are often overlooked in traditional talent pipelines and programs, provided career opportunities for more than 1,400 individuals, including 300 youths.</w:t>
      </w:r>
    </w:p>
    <w:p>
      <w:pPr>
        <w:spacing w:after="0" w:line="248" w:lineRule="exact"/>
        <w:rPr>
          <w:sz w:val="20"/>
          <w:szCs w:val="20"/>
          <w:color w:val="auto"/>
        </w:rPr>
      </w:pPr>
    </w:p>
    <w:p>
      <w:pPr>
        <w:ind w:left="200" w:right="140" w:hanging="196"/>
        <w:spacing w:after="0" w:line="253" w:lineRule="auto"/>
        <w:tabs>
          <w:tab w:leader="none" w:pos="204" w:val="left"/>
        </w:tabs>
        <w:numPr>
          <w:ilvl w:val="0"/>
          <w:numId w:val="166"/>
        </w:numPr>
        <w:rPr>
          <w:rFonts w:ascii="Arial" w:cs="Arial" w:eastAsia="Arial" w:hAnsi="Arial"/>
          <w:sz w:val="18"/>
          <w:szCs w:val="18"/>
          <w:color w:val="074A75"/>
        </w:rPr>
      </w:pPr>
      <w:r>
        <w:rPr>
          <w:rFonts w:ascii="Arial" w:cs="Arial" w:eastAsia="Arial" w:hAnsi="Arial"/>
          <w:sz w:val="18"/>
          <w:szCs w:val="18"/>
          <w:i w:val="1"/>
          <w:iCs w:val="1"/>
          <w:color w:val="auto"/>
        </w:rPr>
        <w:t xml:space="preserve">Mentoring students and young professionals </w:t>
      </w:r>
      <w:r>
        <w:rPr>
          <w:rFonts w:ascii="Arial" w:cs="Arial" w:eastAsia="Arial" w:hAnsi="Arial"/>
          <w:sz w:val="18"/>
          <w:szCs w:val="18"/>
          <w:color w:val="auto"/>
        </w:rPr>
        <w:t>– Globally,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have dedicated their time to help young people develop the skills necessary for future success through programs such as The Fellowship Initiative and Advancing Young Professionals. For example, through The Schools Challenge, approximately 600 employees in nine cities across the globe have volunteered their time as mentors in the program to support the students as they gain employability skills that will help them to pursue promising careers in the future. In delivering all of these programs virtually during the COVID-19 pandemic in 2021, we were able to establish a culture of continuous learning and development while giving back to the community.</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074A75"/>
        </w:rPr>
        <w:t>Reporting on our efforts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Each spring we publish a dedicated ESG Report, which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summarizes our efforts and performance on ESG matters that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our stakeholders view as important to our business. This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 informed by two key ESG reporting frameworks: the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Reporting Initiative (GRI) and the Sustainability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Standards Board (SASB), and is available along with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resources on our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jpmorganchase.com/about/governance/esg.</w:t>
      </w:r>
    </w:p>
    <w:p>
      <w:pPr>
        <w:spacing w:after="0" w:line="507" w:lineRule="exact"/>
        <w:rPr>
          <w:sz w:val="20"/>
          <w:szCs w:val="20"/>
          <w:color w:val="auto"/>
        </w:rPr>
      </w:pPr>
    </w:p>
    <w:p>
      <w:pPr>
        <w:sectPr>
          <w:pgSz w:w="11900" w:h="16838" w:orient="portrait"/>
          <w:cols w:equalWidth="0" w:num="2">
            <w:col w:w="5380" w:space="360"/>
            <w:col w:w="5520"/>
          </w:cols>
          <w:pgMar w:left="320" w:top="157" w:right="319" w:bottom="1440" w:gutter="0" w:footer="0" w:header="0"/>
          <w:type w:val="continuous"/>
        </w:sectPr>
      </w:pP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9"/>
          <w:szCs w:val="29"/>
          <w:color w:val="074A75"/>
        </w:rPr>
        <w:t>Teamwork &amp; leadership</w:t>
      </w:r>
    </w:p>
    <w:p>
      <w:pPr>
        <w:spacing w:after="0" w:line="125"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Our employees’ effectiveness, career development and ability to adapt to a changing landscape enables continued delivery of sustained shareholder value. In order to attract and retain the highest quality talent, we develop key talent and succession plans, invest in Firmwide diversity, equity and inclusion initiatives, and provide well-paid jobs with strong benefits and wellness programs.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74A75"/>
        </w:rPr>
        <w:t>SUCCESSION PLANNING</w:t>
      </w:r>
    </w:p>
    <w:p>
      <w:pPr>
        <w:spacing w:after="0" w:line="1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Succession planning is a top priority for the Board and the Firm’s senior leadership, with the objective of having a pipeline of diverse executives who lead inclusively for today and the future. We have implemented a disciplined executive talent management and succession planning process that includes LOBs and Functions holding talent review discussions within their management teams and identifying successors for key leadership roles.</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CMDC reviews the succession plan for the CEO followed by discussion with the non-executive directors of the Board led by the Lead Independent Director. The CMDC also reviews the succession plan for members of the Operating Committee other than the CEO, which is discussed by the full Board of Directors. Moreover, individual OC members are provided with opportunities on a recurring basis to discuss top and diverse talent within their respective teams with the CMDC. These processes enable the Board to address both short-term unexpected events and long-term planned occurrences, such as retirement or changes in roles. For example, in January 2022, Daniel Pinto became the Firm's sole President and Chief Operating Officer, following the retirement of Gordon Smith as Co-President, Co-Chief Operating Officer and Chief Executive Officer of Consumer &amp; Community Banking in December 2021. In addition, the Firm announced in 2021 that Jennifer Piepszak, Chief Financial Officer, and Marianne Lake, CEO of Consumer Lending, would succeed Mr. Smith as Co-Chief Executive Officers of Consumer &amp; Community Banking; and that Jeremy Barnum, head of Global Research for the Corporate &amp; Investment Bank, would succeed Ms. Piepszak as Chief Financial Officer.</w:t>
      </w:r>
    </w:p>
    <w:p>
      <w:pPr>
        <w:spacing w:after="0" w:line="7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We continue to focus on our leadership pipeline through enhanced data and reporting capabilities to drive manager engagement and accountability in processes, including our mobility and promotion pipeline from Executive Director to Managing Director.</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074A75"/>
        </w:rPr>
        <w:t>DIVERSITY, EQUITY AND INCLUSION</w:t>
      </w:r>
    </w:p>
    <w:p>
      <w:pPr>
        <w:spacing w:after="0" w:line="1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Promoting diversity, equity and inclusion is important to the work we do. We are committed to maintaining a culture of respect and inclusion and believe that all individuals should have the opportunity to succeed. We believe a diverse and inclusive environment fosters innovation, creativity and productivity, which is critical to our long-term success. We are committed to hiring and retaining employees from all races, ethnicities, genders, sexual orientations, abilities, backgrounds, experiences and locations.</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focused on being an employer of choice for all talent, where employees feel like they belong. As a firm, we strive to embed diversity, inclusion and accessibility into the way we do business every day. While we are proud of the industry recognition our Firm and leaders have received, we continue to be intentional about investing in women; Black, Hispanic and Latino, Asian, Pacific Islander and LGBT+ communities; individuals with disabilities; and veterans.</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2021, we enhanced and scaled our Accountability Framework, which is used to evaluate senior leaders, including Operating Committee members, on behaviors, practices and progress toward goals related to the Firm's diversity, equity and inclusion priorities, and to incorporate that into year-end performance and compensation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are proud of the external recognition we received in 2021, some of which are listed below:</w:t>
      </w:r>
    </w:p>
    <w:p>
      <w:pPr>
        <w:spacing w:after="0" w:line="77" w:lineRule="exact"/>
        <w:rPr>
          <w:sz w:val="20"/>
          <w:szCs w:val="20"/>
          <w:color w:val="auto"/>
        </w:rPr>
      </w:pPr>
    </w:p>
    <w:p>
      <w:pPr>
        <w:ind w:left="200" w:hanging="192"/>
        <w:spacing w:after="0"/>
        <w:tabs>
          <w:tab w:leader="none" w:pos="200" w:val="left"/>
        </w:tabs>
        <w:numPr>
          <w:ilvl w:val="0"/>
          <w:numId w:val="167"/>
        </w:numPr>
        <w:rPr>
          <w:rFonts w:ascii="Arial" w:cs="Arial" w:eastAsia="Arial" w:hAnsi="Arial"/>
          <w:sz w:val="18"/>
          <w:szCs w:val="18"/>
          <w:color w:val="074A75"/>
        </w:rPr>
      </w:pPr>
      <w:r>
        <w:rPr>
          <w:rFonts w:ascii="Arial" w:cs="Arial" w:eastAsia="Arial" w:hAnsi="Arial"/>
          <w:sz w:val="18"/>
          <w:szCs w:val="18"/>
          <w:color w:val="auto"/>
        </w:rPr>
        <w:t xml:space="preserve">World's Most Admired Companies, </w:t>
      </w:r>
      <w:r>
        <w:rPr>
          <w:rFonts w:ascii="Arial" w:cs="Arial" w:eastAsia="Arial" w:hAnsi="Arial"/>
          <w:sz w:val="18"/>
          <w:szCs w:val="18"/>
          <w:i w:val="1"/>
          <w:iCs w:val="1"/>
          <w:color w:val="auto"/>
        </w:rPr>
        <w:t>Fortune</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7"/>
        </w:numPr>
        <w:rPr>
          <w:rFonts w:ascii="Arial" w:cs="Arial" w:eastAsia="Arial" w:hAnsi="Arial"/>
          <w:sz w:val="18"/>
          <w:szCs w:val="18"/>
          <w:color w:val="064A75"/>
        </w:rPr>
      </w:pPr>
      <w:r>
        <w:rPr>
          <w:rFonts w:ascii="Arial" w:cs="Arial" w:eastAsia="Arial" w:hAnsi="Arial"/>
          <w:sz w:val="18"/>
          <w:szCs w:val="18"/>
          <w:color w:val="auto"/>
        </w:rPr>
        <w:t xml:space="preserve">Top Companies 2021, </w:t>
      </w:r>
      <w:r>
        <w:rPr>
          <w:rFonts w:ascii="Arial" w:cs="Arial" w:eastAsia="Arial" w:hAnsi="Arial"/>
          <w:sz w:val="18"/>
          <w:szCs w:val="18"/>
          <w:i w:val="1"/>
          <w:iCs w:val="1"/>
          <w:color w:val="auto"/>
        </w:rPr>
        <w:t>LinkedIn</w:t>
      </w:r>
    </w:p>
    <w:p>
      <w:pPr>
        <w:spacing w:after="0" w:line="90" w:lineRule="exact"/>
        <w:rPr>
          <w:rFonts w:ascii="Arial" w:cs="Arial" w:eastAsia="Arial" w:hAnsi="Arial"/>
          <w:sz w:val="18"/>
          <w:szCs w:val="18"/>
          <w:color w:val="064A75"/>
        </w:rPr>
      </w:pPr>
    </w:p>
    <w:p>
      <w:pPr>
        <w:ind w:left="200" w:hanging="192"/>
        <w:spacing w:after="0"/>
        <w:tabs>
          <w:tab w:leader="none" w:pos="200" w:val="left"/>
        </w:tabs>
        <w:numPr>
          <w:ilvl w:val="0"/>
          <w:numId w:val="167"/>
        </w:numPr>
        <w:rPr>
          <w:rFonts w:ascii="Arial" w:cs="Arial" w:eastAsia="Arial" w:hAnsi="Arial"/>
          <w:sz w:val="18"/>
          <w:szCs w:val="18"/>
          <w:color w:val="064A75"/>
        </w:rPr>
      </w:pPr>
      <w:r>
        <w:rPr>
          <w:rFonts w:ascii="Arial" w:cs="Arial" w:eastAsia="Arial" w:hAnsi="Arial"/>
          <w:sz w:val="18"/>
          <w:szCs w:val="18"/>
          <w:color w:val="auto"/>
        </w:rPr>
        <w:t xml:space="preserve">2021 Top Corporations for Women's Business Enterprises, </w:t>
      </w:r>
      <w:r>
        <w:rPr>
          <w:rFonts w:ascii="Arial" w:cs="Arial" w:eastAsia="Arial" w:hAnsi="Arial"/>
          <w:sz w:val="18"/>
          <w:szCs w:val="18"/>
          <w:i w:val="1"/>
          <w:iCs w:val="1"/>
          <w:color w:val="auto"/>
        </w:rPr>
        <w:t>Women's Business Enterprise National Council</w:t>
      </w:r>
    </w:p>
    <w:p>
      <w:pPr>
        <w:spacing w:after="0" w:line="76" w:lineRule="exact"/>
        <w:rPr>
          <w:rFonts w:ascii="Arial" w:cs="Arial" w:eastAsia="Arial" w:hAnsi="Arial"/>
          <w:sz w:val="18"/>
          <w:szCs w:val="18"/>
          <w:color w:val="064A75"/>
        </w:rPr>
      </w:pPr>
    </w:p>
    <w:p>
      <w:pPr>
        <w:ind w:left="200" w:hanging="192"/>
        <w:spacing w:after="0"/>
        <w:tabs>
          <w:tab w:leader="none" w:pos="200" w:val="left"/>
        </w:tabs>
        <w:numPr>
          <w:ilvl w:val="0"/>
          <w:numId w:val="167"/>
        </w:numPr>
        <w:rPr>
          <w:rFonts w:ascii="Arial" w:cs="Arial" w:eastAsia="Arial" w:hAnsi="Arial"/>
          <w:sz w:val="18"/>
          <w:szCs w:val="18"/>
          <w:color w:val="074A75"/>
        </w:rPr>
      </w:pPr>
      <w:r>
        <w:rPr>
          <w:rFonts w:ascii="Arial" w:cs="Arial" w:eastAsia="Arial" w:hAnsi="Arial"/>
          <w:sz w:val="18"/>
          <w:szCs w:val="18"/>
          <w:color w:val="auto"/>
        </w:rPr>
        <w:t xml:space="preserve">Best employer list for people with disabilities, </w:t>
      </w:r>
      <w:r>
        <w:rPr>
          <w:rFonts w:ascii="Arial" w:cs="Arial" w:eastAsia="Arial" w:hAnsi="Arial"/>
          <w:sz w:val="18"/>
          <w:szCs w:val="18"/>
          <w:i w:val="1"/>
          <w:iCs w:val="1"/>
          <w:color w:val="auto"/>
        </w:rPr>
        <w:t>CAREERS &amp; the disABLED</w:t>
      </w:r>
      <w:r>
        <w:rPr>
          <w:rFonts w:ascii="Arial" w:cs="Arial" w:eastAsia="Arial" w:hAnsi="Arial"/>
          <w:sz w:val="18"/>
          <w:szCs w:val="18"/>
          <w:color w:val="auto"/>
        </w:rPr>
        <w:t xml:space="preserve"> magazine</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7"/>
        </w:numPr>
        <w:rPr>
          <w:rFonts w:ascii="Arial" w:cs="Arial" w:eastAsia="Arial" w:hAnsi="Arial"/>
          <w:sz w:val="18"/>
          <w:szCs w:val="18"/>
          <w:color w:val="074A75"/>
        </w:rPr>
      </w:pPr>
      <w:r>
        <w:rPr>
          <w:rFonts w:ascii="Arial" w:cs="Arial" w:eastAsia="Arial" w:hAnsi="Arial"/>
          <w:sz w:val="18"/>
          <w:szCs w:val="18"/>
          <w:color w:val="auto"/>
        </w:rPr>
        <w:t xml:space="preserve">JPMorgan Chase recognized as top LGBT+ workplace, </w:t>
      </w:r>
      <w:r>
        <w:rPr>
          <w:rFonts w:ascii="Arial" w:cs="Arial" w:eastAsia="Arial" w:hAnsi="Arial"/>
          <w:sz w:val="18"/>
          <w:szCs w:val="18"/>
          <w:i w:val="1"/>
          <w:iCs w:val="1"/>
          <w:color w:val="auto"/>
        </w:rPr>
        <w:t>Out &amp; Equal Outie Award</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67"/>
        </w:numPr>
        <w:rPr>
          <w:rFonts w:ascii="Arial" w:cs="Arial" w:eastAsia="Arial" w:hAnsi="Arial"/>
          <w:sz w:val="18"/>
          <w:szCs w:val="18"/>
          <w:color w:val="074A75"/>
        </w:rPr>
      </w:pPr>
      <w:r>
        <w:rPr>
          <w:rFonts w:ascii="Arial" w:cs="Arial" w:eastAsia="Arial" w:hAnsi="Arial"/>
          <w:sz w:val="18"/>
          <w:szCs w:val="18"/>
          <w:color w:val="auto"/>
        </w:rPr>
        <w:t xml:space="preserve">JPMorgan Chase, 2021 Trailblazer Award, </w:t>
      </w:r>
      <w:r>
        <w:rPr>
          <w:rFonts w:ascii="Arial" w:cs="Arial" w:eastAsia="Arial" w:hAnsi="Arial"/>
          <w:sz w:val="18"/>
          <w:szCs w:val="18"/>
          <w:i w:val="1"/>
          <w:iCs w:val="1"/>
          <w:color w:val="auto"/>
        </w:rPr>
        <w:t>Western Region Minority Supplier Development Council</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7"/>
        </w:numPr>
        <w:rPr>
          <w:rFonts w:ascii="Arial" w:cs="Arial" w:eastAsia="Arial" w:hAnsi="Arial"/>
          <w:sz w:val="18"/>
          <w:szCs w:val="18"/>
          <w:color w:val="074A75"/>
        </w:rPr>
      </w:pPr>
      <w:r>
        <w:rPr>
          <w:rFonts w:ascii="Arial" w:cs="Arial" w:eastAsia="Arial" w:hAnsi="Arial"/>
          <w:sz w:val="18"/>
          <w:szCs w:val="18"/>
          <w:color w:val="auto"/>
        </w:rPr>
        <w:t xml:space="preserve">Best Companies for Latinos to Work 2021, </w:t>
      </w:r>
      <w:r>
        <w:rPr>
          <w:rFonts w:ascii="Arial" w:cs="Arial" w:eastAsia="Arial" w:hAnsi="Arial"/>
          <w:sz w:val="18"/>
          <w:szCs w:val="18"/>
          <w:i w:val="1"/>
          <w:iCs w:val="1"/>
          <w:color w:val="auto"/>
        </w:rPr>
        <w:t>Latino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506095</wp:posOffset>
            </wp:positionV>
            <wp:extent cx="27432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59  </w:t>
      </w:r>
      <w:r>
        <w:rPr>
          <w:sz w:val="1"/>
          <w:szCs w:val="1"/>
          <w:color w:val="auto"/>
        </w:rPr>
        <w:drawing>
          <wp:inline distT="0" distB="0" distL="0" distR="0">
            <wp:extent cx="2203450" cy="154305"/>
            <wp:effectExtent l="0" t="0" r="0" b="0"/>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074A75"/>
        </w:rPr>
        <w:t>Business Resource Groups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continue to invest significant time and resources toward executing diversity, equity and inclusion best practices firmwide. Our Business Resource Groups (“BRGs”) are groups of employees who volunteer to serve as ambassadors to drive inclusiveness, mentor junior talent and help facilitate career development opportunities. With approximately 48% of our employees participating in one of our 10 BRGs, they provide a unique bridge between the organization and our people - driving Firmwide diversity, equity and inclusion strategies and helping to connect employees to the Firm's business priorities. Overall, our BRGs focus on providing support for various communities:</w:t>
      </w:r>
    </w:p>
    <w:p>
      <w:pPr>
        <w:sectPr>
          <w:pgSz w:w="11900" w:h="16838" w:orient="portrait"/>
          <w:cols w:equalWidth="0" w:num="1">
            <w:col w:w="11260"/>
          </w:cols>
          <w:pgMar w:left="320" w:top="157" w:right="319" w:bottom="1440" w:gutter="0" w:footer="0" w:header="0"/>
        </w:sectPr>
      </w:pPr>
    </w:p>
    <w:p>
      <w:pPr>
        <w:spacing w:after="0" w:line="193" w:lineRule="exact"/>
        <w:rPr>
          <w:sz w:val="20"/>
          <w:szCs w:val="20"/>
          <w:color w:val="auto"/>
        </w:rPr>
      </w:pPr>
    </w:p>
    <w:p>
      <w:pPr>
        <w:ind w:left="220" w:hanging="194"/>
        <w:spacing w:after="0"/>
        <w:tabs>
          <w:tab w:leader="none" w:pos="220" w:val="left"/>
        </w:tabs>
        <w:numPr>
          <w:ilvl w:val="0"/>
          <w:numId w:val="168"/>
        </w:numPr>
        <w:rPr>
          <w:rFonts w:ascii="Arial" w:cs="Arial" w:eastAsia="Arial" w:hAnsi="Arial"/>
          <w:sz w:val="17"/>
          <w:szCs w:val="17"/>
          <w:color w:val="074A75"/>
        </w:rPr>
      </w:pPr>
      <w:r>
        <w:rPr>
          <w:rFonts w:ascii="Arial" w:cs="Arial" w:eastAsia="Arial" w:hAnsi="Arial"/>
          <w:sz w:val="17"/>
          <w:szCs w:val="17"/>
          <w:b w:val="1"/>
          <w:bCs w:val="1"/>
          <w:color w:val="auto"/>
        </w:rPr>
        <w:t xml:space="preserve">Access Ability </w:t>
      </w:r>
      <w:r>
        <w:rPr>
          <w:rFonts w:ascii="Arial" w:cs="Arial" w:eastAsia="Arial" w:hAnsi="Arial"/>
          <w:sz w:val="17"/>
          <w:szCs w:val="17"/>
          <w:color w:val="auto"/>
        </w:rPr>
        <w:t>(employees with disabilities)</w:t>
      </w:r>
    </w:p>
    <w:p>
      <w:pPr>
        <w:spacing w:after="0" w:line="88" w:lineRule="exact"/>
        <w:rPr>
          <w:rFonts w:ascii="Arial" w:cs="Arial" w:eastAsia="Arial" w:hAnsi="Arial"/>
          <w:sz w:val="17"/>
          <w:szCs w:val="17"/>
          <w:color w:val="074A75"/>
        </w:rPr>
      </w:pPr>
    </w:p>
    <w:p>
      <w:pPr>
        <w:ind w:left="220" w:hanging="194"/>
        <w:spacing w:after="0"/>
        <w:tabs>
          <w:tab w:leader="none" w:pos="220" w:val="left"/>
        </w:tabs>
        <w:numPr>
          <w:ilvl w:val="0"/>
          <w:numId w:val="168"/>
        </w:numPr>
        <w:rPr>
          <w:rFonts w:ascii="Arial" w:cs="Arial" w:eastAsia="Arial" w:hAnsi="Arial"/>
          <w:sz w:val="18"/>
          <w:szCs w:val="18"/>
          <w:color w:val="074A75"/>
        </w:rPr>
      </w:pPr>
      <w:r>
        <w:rPr>
          <w:rFonts w:ascii="Arial" w:cs="Arial" w:eastAsia="Arial" w:hAnsi="Arial"/>
          <w:sz w:val="18"/>
          <w:szCs w:val="18"/>
          <w:b w:val="1"/>
          <w:bCs w:val="1"/>
          <w:color w:val="auto"/>
        </w:rPr>
        <w:t xml:space="preserve">Adelante </w:t>
      </w:r>
      <w:r>
        <w:rPr>
          <w:rFonts w:ascii="Arial" w:cs="Arial" w:eastAsia="Arial" w:hAnsi="Arial"/>
          <w:sz w:val="18"/>
          <w:szCs w:val="18"/>
          <w:color w:val="auto"/>
        </w:rPr>
        <w:t>(Hispanic/Latino)</w:t>
      </w:r>
    </w:p>
    <w:p>
      <w:pPr>
        <w:spacing w:after="0" w:line="90" w:lineRule="exact"/>
        <w:rPr>
          <w:rFonts w:ascii="Arial" w:cs="Arial" w:eastAsia="Arial" w:hAnsi="Arial"/>
          <w:sz w:val="18"/>
          <w:szCs w:val="18"/>
          <w:color w:val="074A75"/>
        </w:rPr>
      </w:pPr>
    </w:p>
    <w:p>
      <w:pPr>
        <w:ind w:left="220" w:hanging="194"/>
        <w:spacing w:after="0"/>
        <w:tabs>
          <w:tab w:leader="none" w:pos="220" w:val="left"/>
        </w:tabs>
        <w:numPr>
          <w:ilvl w:val="0"/>
          <w:numId w:val="168"/>
        </w:numPr>
        <w:rPr>
          <w:rFonts w:ascii="Arial" w:cs="Arial" w:eastAsia="Arial" w:hAnsi="Arial"/>
          <w:sz w:val="18"/>
          <w:szCs w:val="18"/>
          <w:color w:val="074A75"/>
        </w:rPr>
      </w:pPr>
      <w:r>
        <w:rPr>
          <w:rFonts w:ascii="Arial" w:cs="Arial" w:eastAsia="Arial" w:hAnsi="Arial"/>
          <w:sz w:val="18"/>
          <w:szCs w:val="18"/>
          <w:b w:val="1"/>
          <w:bCs w:val="1"/>
          <w:color w:val="auto"/>
        </w:rPr>
        <w:t xml:space="preserve">AsPIRE </w:t>
      </w:r>
      <w:r>
        <w:rPr>
          <w:rFonts w:ascii="Arial" w:cs="Arial" w:eastAsia="Arial" w:hAnsi="Arial"/>
          <w:sz w:val="18"/>
          <w:szCs w:val="18"/>
          <w:color w:val="auto"/>
        </w:rPr>
        <w:t>(Asian/Pacific Islander)</w:t>
      </w:r>
    </w:p>
    <w:p>
      <w:pPr>
        <w:spacing w:after="0" w:line="76" w:lineRule="exact"/>
        <w:rPr>
          <w:rFonts w:ascii="Arial" w:cs="Arial" w:eastAsia="Arial" w:hAnsi="Arial"/>
          <w:sz w:val="18"/>
          <w:szCs w:val="18"/>
          <w:color w:val="074A75"/>
        </w:rPr>
      </w:pPr>
    </w:p>
    <w:p>
      <w:pPr>
        <w:ind w:left="220" w:hanging="194"/>
        <w:spacing w:after="0"/>
        <w:tabs>
          <w:tab w:leader="none" w:pos="220" w:val="left"/>
        </w:tabs>
        <w:numPr>
          <w:ilvl w:val="0"/>
          <w:numId w:val="168"/>
        </w:numPr>
        <w:rPr>
          <w:rFonts w:ascii="Arial" w:cs="Arial" w:eastAsia="Arial" w:hAnsi="Arial"/>
          <w:sz w:val="18"/>
          <w:szCs w:val="18"/>
          <w:color w:val="074A75"/>
        </w:rPr>
      </w:pPr>
      <w:r>
        <w:rPr>
          <w:rFonts w:ascii="Arial" w:cs="Arial" w:eastAsia="Arial" w:hAnsi="Arial"/>
          <w:sz w:val="18"/>
          <w:szCs w:val="18"/>
          <w:b w:val="1"/>
          <w:bCs w:val="1"/>
          <w:color w:val="auto"/>
        </w:rPr>
        <w:t xml:space="preserve">BOLD </w:t>
      </w:r>
      <w:r>
        <w:rPr>
          <w:rFonts w:ascii="Arial" w:cs="Arial" w:eastAsia="Arial" w:hAnsi="Arial"/>
          <w:sz w:val="18"/>
          <w:szCs w:val="18"/>
          <w:color w:val="auto"/>
        </w:rPr>
        <w:t>(Black)</w:t>
      </w:r>
    </w:p>
    <w:p>
      <w:pPr>
        <w:spacing w:after="0" w:line="76" w:lineRule="exact"/>
        <w:rPr>
          <w:rFonts w:ascii="Arial" w:cs="Arial" w:eastAsia="Arial" w:hAnsi="Arial"/>
          <w:sz w:val="18"/>
          <w:szCs w:val="18"/>
          <w:color w:val="074A75"/>
        </w:rPr>
      </w:pPr>
    </w:p>
    <w:p>
      <w:pPr>
        <w:ind w:left="220" w:hanging="194"/>
        <w:spacing w:after="0"/>
        <w:tabs>
          <w:tab w:leader="none" w:pos="220" w:val="left"/>
        </w:tabs>
        <w:numPr>
          <w:ilvl w:val="0"/>
          <w:numId w:val="168"/>
        </w:numPr>
        <w:rPr>
          <w:rFonts w:ascii="Arial" w:cs="Arial" w:eastAsia="Arial" w:hAnsi="Arial"/>
          <w:sz w:val="18"/>
          <w:szCs w:val="18"/>
          <w:color w:val="074A75"/>
        </w:rPr>
      </w:pPr>
      <w:r>
        <w:rPr>
          <w:rFonts w:ascii="Arial" w:cs="Arial" w:eastAsia="Arial" w:hAnsi="Arial"/>
          <w:sz w:val="18"/>
          <w:szCs w:val="18"/>
          <w:b w:val="1"/>
          <w:bCs w:val="1"/>
          <w:color w:val="auto"/>
        </w:rPr>
        <w:t xml:space="preserve">NextGen </w:t>
      </w:r>
      <w:r>
        <w:rPr>
          <w:rFonts w:ascii="Arial" w:cs="Arial" w:eastAsia="Arial" w:hAnsi="Arial"/>
          <w:sz w:val="18"/>
          <w:szCs w:val="18"/>
          <w:color w:val="auto"/>
        </w:rPr>
        <w:t>(early career professionals)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90" w:hanging="190"/>
        <w:spacing w:after="0"/>
        <w:tabs>
          <w:tab w:leader="none" w:pos="190" w:val="left"/>
        </w:tabs>
        <w:numPr>
          <w:ilvl w:val="0"/>
          <w:numId w:val="169"/>
        </w:numPr>
        <w:rPr>
          <w:rFonts w:ascii="Arial" w:cs="Arial" w:eastAsia="Arial" w:hAnsi="Arial"/>
          <w:sz w:val="18"/>
          <w:szCs w:val="18"/>
          <w:color w:val="074A75"/>
        </w:rPr>
      </w:pPr>
      <w:r>
        <w:rPr>
          <w:rFonts w:ascii="Arial" w:cs="Arial" w:eastAsia="Arial" w:hAnsi="Arial"/>
          <w:sz w:val="18"/>
          <w:szCs w:val="18"/>
          <w:b w:val="1"/>
          <w:bCs w:val="1"/>
          <w:color w:val="auto"/>
        </w:rPr>
        <w:t xml:space="preserve">PRIDE </w:t>
      </w:r>
      <w:r>
        <w:rPr>
          <w:rFonts w:ascii="Arial" w:cs="Arial" w:eastAsia="Arial" w:hAnsi="Arial"/>
          <w:sz w:val="18"/>
          <w:szCs w:val="18"/>
          <w:color w:val="auto"/>
        </w:rPr>
        <w:t>(LGBT+)</w:t>
      </w:r>
    </w:p>
    <w:p>
      <w:pPr>
        <w:spacing w:after="0" w:line="76" w:lineRule="exact"/>
        <w:rPr>
          <w:rFonts w:ascii="Arial" w:cs="Arial" w:eastAsia="Arial" w:hAnsi="Arial"/>
          <w:sz w:val="18"/>
          <w:szCs w:val="18"/>
          <w:color w:val="074A75"/>
        </w:rPr>
      </w:pPr>
    </w:p>
    <w:p>
      <w:pPr>
        <w:ind w:left="190" w:hanging="190"/>
        <w:spacing w:after="0"/>
        <w:tabs>
          <w:tab w:leader="none" w:pos="190" w:val="left"/>
        </w:tabs>
        <w:numPr>
          <w:ilvl w:val="0"/>
          <w:numId w:val="169"/>
        </w:numPr>
        <w:rPr>
          <w:rFonts w:ascii="Arial" w:cs="Arial" w:eastAsia="Arial" w:hAnsi="Arial"/>
          <w:sz w:val="18"/>
          <w:szCs w:val="18"/>
          <w:color w:val="074A75"/>
        </w:rPr>
      </w:pPr>
      <w:r>
        <w:rPr>
          <w:rFonts w:ascii="Arial" w:cs="Arial" w:eastAsia="Arial" w:hAnsi="Arial"/>
          <w:sz w:val="18"/>
          <w:szCs w:val="18"/>
          <w:b w:val="1"/>
          <w:bCs w:val="1"/>
          <w:color w:val="auto"/>
        </w:rPr>
        <w:t xml:space="preserve">Sage </w:t>
      </w:r>
      <w:r>
        <w:rPr>
          <w:rFonts w:ascii="Arial" w:cs="Arial" w:eastAsia="Arial" w:hAnsi="Arial"/>
          <w:sz w:val="18"/>
          <w:szCs w:val="18"/>
          <w:color w:val="auto"/>
        </w:rPr>
        <w:t>(administrative professionals)</w:t>
      </w:r>
    </w:p>
    <w:p>
      <w:pPr>
        <w:spacing w:after="0" w:line="90" w:lineRule="exact"/>
        <w:rPr>
          <w:rFonts w:ascii="Arial" w:cs="Arial" w:eastAsia="Arial" w:hAnsi="Arial"/>
          <w:sz w:val="18"/>
          <w:szCs w:val="18"/>
          <w:color w:val="074A75"/>
        </w:rPr>
      </w:pPr>
    </w:p>
    <w:p>
      <w:pPr>
        <w:ind w:left="190" w:hanging="190"/>
        <w:spacing w:after="0"/>
        <w:tabs>
          <w:tab w:leader="none" w:pos="190" w:val="left"/>
        </w:tabs>
        <w:numPr>
          <w:ilvl w:val="0"/>
          <w:numId w:val="169"/>
        </w:numPr>
        <w:rPr>
          <w:rFonts w:ascii="Arial" w:cs="Arial" w:eastAsia="Arial" w:hAnsi="Arial"/>
          <w:sz w:val="17"/>
          <w:szCs w:val="17"/>
          <w:color w:val="074A75"/>
        </w:rPr>
      </w:pPr>
      <w:r>
        <w:rPr>
          <w:rFonts w:ascii="Arial" w:cs="Arial" w:eastAsia="Arial" w:hAnsi="Arial"/>
          <w:sz w:val="17"/>
          <w:szCs w:val="17"/>
          <w:b w:val="1"/>
          <w:bCs w:val="1"/>
          <w:color w:val="auto"/>
        </w:rPr>
        <w:t xml:space="preserve">VETS </w:t>
      </w:r>
      <w:r>
        <w:rPr>
          <w:rFonts w:ascii="Arial" w:cs="Arial" w:eastAsia="Arial" w:hAnsi="Arial"/>
          <w:sz w:val="17"/>
          <w:szCs w:val="17"/>
          <w:color w:val="auto"/>
        </w:rPr>
        <w:t>(military, veterans, and their families)</w:t>
      </w:r>
    </w:p>
    <w:p>
      <w:pPr>
        <w:spacing w:after="0" w:line="88" w:lineRule="exact"/>
        <w:rPr>
          <w:rFonts w:ascii="Arial" w:cs="Arial" w:eastAsia="Arial" w:hAnsi="Arial"/>
          <w:sz w:val="17"/>
          <w:szCs w:val="17"/>
          <w:color w:val="074A75"/>
        </w:rPr>
      </w:pPr>
    </w:p>
    <w:p>
      <w:pPr>
        <w:ind w:left="190" w:hanging="190"/>
        <w:spacing w:after="0"/>
        <w:tabs>
          <w:tab w:leader="none" w:pos="190" w:val="left"/>
        </w:tabs>
        <w:numPr>
          <w:ilvl w:val="0"/>
          <w:numId w:val="169"/>
        </w:numPr>
        <w:rPr>
          <w:rFonts w:ascii="Arial" w:cs="Arial" w:eastAsia="Arial" w:hAnsi="Arial"/>
          <w:sz w:val="17"/>
          <w:szCs w:val="17"/>
          <w:color w:val="074A75"/>
        </w:rPr>
      </w:pPr>
      <w:r>
        <w:rPr>
          <w:rFonts w:ascii="Arial" w:cs="Arial" w:eastAsia="Arial" w:hAnsi="Arial"/>
          <w:sz w:val="17"/>
          <w:szCs w:val="17"/>
          <w:b w:val="1"/>
          <w:bCs w:val="1"/>
          <w:color w:val="auto"/>
        </w:rPr>
        <w:t>Women on the Move Interactive Network</w:t>
      </w:r>
    </w:p>
    <w:p>
      <w:pPr>
        <w:spacing w:after="0" w:line="88" w:lineRule="exact"/>
        <w:rPr>
          <w:rFonts w:ascii="Arial" w:cs="Arial" w:eastAsia="Arial" w:hAnsi="Arial"/>
          <w:sz w:val="17"/>
          <w:szCs w:val="17"/>
          <w:color w:val="074A75"/>
        </w:rPr>
      </w:pPr>
    </w:p>
    <w:p>
      <w:pPr>
        <w:ind w:left="190" w:hanging="190"/>
        <w:spacing w:after="0"/>
        <w:tabs>
          <w:tab w:leader="none" w:pos="190" w:val="left"/>
        </w:tabs>
        <w:numPr>
          <w:ilvl w:val="0"/>
          <w:numId w:val="169"/>
        </w:numPr>
        <w:rPr>
          <w:rFonts w:ascii="Arial" w:cs="Arial" w:eastAsia="Arial" w:hAnsi="Arial"/>
          <w:sz w:val="18"/>
          <w:szCs w:val="18"/>
          <w:color w:val="074A75"/>
        </w:rPr>
      </w:pPr>
      <w:r>
        <w:rPr>
          <w:rFonts w:ascii="Arial" w:cs="Arial" w:eastAsia="Arial" w:hAnsi="Arial"/>
          <w:sz w:val="18"/>
          <w:szCs w:val="18"/>
          <w:b w:val="1"/>
          <w:bCs w:val="1"/>
          <w:color w:val="auto"/>
        </w:rPr>
        <w:t>Working Families Network</w:t>
      </w:r>
    </w:p>
    <w:p>
      <w:pPr>
        <w:spacing w:after="0" w:line="200" w:lineRule="exact"/>
        <w:rPr>
          <w:sz w:val="20"/>
          <w:szCs w:val="20"/>
          <w:color w:val="auto"/>
        </w:rPr>
      </w:pPr>
    </w:p>
    <w:p>
      <w:pPr>
        <w:sectPr>
          <w:pgSz w:w="11900" w:h="16838" w:orient="portrait"/>
          <w:cols w:equalWidth="0" w:num="2">
            <w:col w:w="5070" w:space="720"/>
            <w:col w:w="5470"/>
          </w:cols>
          <w:pgMar w:left="320" w:top="157" w:right="31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074A75"/>
        </w:rPr>
        <w:t>Centers of Excellence</w:t>
      </w:r>
    </w:p>
    <w:p>
      <w:pPr>
        <w:spacing w:after="0" w:line="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to our BRGs, we have developed Centers of Excellence to take a unified and intersectional approach to delivering impact for employees, clients, customers and the communities we serve. We launched three new Centers of Excellence in 2021, expanding our efforts to include: Advancing Hispanics &amp; Latinos, the Office of Asian &amp; Pacific Islander Affairs, and the Office of LGBT+ Affairs.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ADVANCING</w:t>
            </w: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Launched in 2019, ABP is working to help the Black community chart stronger paths towards economic success and</w:t>
            </w:r>
          </w:p>
        </w:tc>
      </w:tr>
      <w:tr>
        <w:trPr>
          <w:trHeight w:val="216"/>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BLACK</w:t>
            </w:r>
          </w:p>
        </w:tc>
        <w:tc>
          <w:tcPr>
            <w:tcW w:w="9280" w:type="dxa"/>
            <w:vAlign w:val="bottom"/>
          </w:tcPr>
          <w:p>
            <w:pPr>
              <w:ind w:left="280"/>
              <w:spacing w:after="0"/>
              <w:rPr>
                <w:sz w:val="20"/>
                <w:szCs w:val="20"/>
                <w:color w:val="auto"/>
              </w:rPr>
            </w:pPr>
            <w:r>
              <w:rPr>
                <w:rFonts w:ascii="Arial" w:cs="Arial" w:eastAsia="Arial" w:hAnsi="Arial"/>
                <w:sz w:val="16"/>
                <w:szCs w:val="16"/>
                <w:color w:val="auto"/>
              </w:rPr>
              <w:t>empowerment</w:t>
            </w:r>
          </w:p>
        </w:tc>
      </w:tr>
      <w:tr>
        <w:trPr>
          <w:trHeight w:val="216"/>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PATHWAYS</w:t>
            </w:r>
          </w:p>
        </w:tc>
        <w:tc>
          <w:tcPr>
            <w:tcW w:w="9280" w:type="dxa"/>
            <w:vAlign w:val="bottom"/>
          </w:tcPr>
          <w:p>
            <w:pPr>
              <w:ind w:left="80"/>
              <w:spacing w:after="0"/>
              <w:rPr>
                <w:sz w:val="20"/>
                <w:szCs w:val="20"/>
                <w:color w:val="auto"/>
              </w:rPr>
            </w:pPr>
            <w:r>
              <w:rPr>
                <w:rFonts w:ascii="Arial" w:cs="Arial" w:eastAsia="Arial" w:hAnsi="Arial"/>
                <w:sz w:val="16"/>
                <w:szCs w:val="16"/>
                <w:color w:val="064A75"/>
              </w:rPr>
              <w:t xml:space="preserve">•  </w:t>
            </w:r>
            <w:r>
              <w:rPr>
                <w:rFonts w:ascii="Arial" w:cs="Arial" w:eastAsia="Arial" w:hAnsi="Arial"/>
                <w:sz w:val="16"/>
                <w:szCs w:val="16"/>
                <w:color w:val="000000"/>
              </w:rPr>
              <w:t>ABP focuses on four key areas where there are racial and economic disparities that create barriers to long-term financial</w:t>
            </w:r>
          </w:p>
        </w:tc>
      </w:tr>
      <w:tr>
        <w:trPr>
          <w:trHeight w:val="194"/>
        </w:trPr>
        <w:tc>
          <w:tcPr>
            <w:tcW w:w="1960" w:type="dxa"/>
            <w:vAlign w:val="bottom"/>
            <w:shd w:val="clear" w:color="auto" w:fill="3E693D"/>
          </w:tcPr>
          <w:p>
            <w:pPr>
              <w:jc w:val="right"/>
              <w:ind w:right="30"/>
              <w:spacing w:after="0" w:line="194" w:lineRule="exact"/>
              <w:rPr>
                <w:sz w:val="20"/>
                <w:szCs w:val="20"/>
                <w:color w:val="auto"/>
              </w:rPr>
            </w:pPr>
            <w:r>
              <w:rPr>
                <w:rFonts w:ascii="Arial" w:cs="Arial" w:eastAsia="Arial" w:hAnsi="Arial"/>
                <w:sz w:val="18"/>
                <w:szCs w:val="18"/>
                <w:b w:val="1"/>
                <w:bCs w:val="1"/>
                <w:color w:val="FFFFFF"/>
              </w:rPr>
              <w:t>(“ABP”)</w:t>
            </w:r>
          </w:p>
        </w:tc>
        <w:tc>
          <w:tcPr>
            <w:tcW w:w="9280" w:type="dxa"/>
            <w:vAlign w:val="bottom"/>
          </w:tcPr>
          <w:p>
            <w:pPr>
              <w:ind w:left="280"/>
              <w:spacing w:after="0"/>
              <w:rPr>
                <w:sz w:val="20"/>
                <w:szCs w:val="20"/>
                <w:color w:val="auto"/>
              </w:rPr>
            </w:pPr>
            <w:r>
              <w:rPr>
                <w:rFonts w:ascii="Arial" w:cs="Arial" w:eastAsia="Arial" w:hAnsi="Arial"/>
                <w:sz w:val="16"/>
                <w:szCs w:val="16"/>
                <w:color w:val="auto"/>
              </w:rPr>
              <w:t>success: careers and skill building, business growth and entrepreneurship, financial health and wealth creation, and</w:t>
            </w:r>
          </w:p>
        </w:tc>
      </w:tr>
      <w:tr>
        <w:trPr>
          <w:trHeight w:val="215"/>
        </w:trPr>
        <w:tc>
          <w:tcPr>
            <w:tcW w:w="1960" w:type="dxa"/>
            <w:vAlign w:val="bottom"/>
            <w:shd w:val="clear" w:color="auto" w:fill="3E693D"/>
          </w:tcPr>
          <w:p>
            <w:pPr>
              <w:spacing w:after="0"/>
              <w:rPr>
                <w:sz w:val="18"/>
                <w:szCs w:val="18"/>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community development</w:t>
            </w:r>
          </w:p>
        </w:tc>
      </w:tr>
      <w:tr>
        <w:trPr>
          <w:trHeight w:val="190"/>
        </w:trPr>
        <w:tc>
          <w:tcPr>
            <w:tcW w:w="1960" w:type="dxa"/>
            <w:vAlign w:val="bottom"/>
            <w:shd w:val="clear" w:color="auto" w:fill="3E693D"/>
          </w:tcPr>
          <w:p>
            <w:pPr>
              <w:spacing w:after="0"/>
              <w:rPr>
                <w:sz w:val="16"/>
                <w:szCs w:val="16"/>
                <w:color w:val="auto"/>
              </w:rPr>
            </w:pP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ABP Fellowship Program is aimed at helping Black college undergraduates access internships and entry-level roles with</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the Firm after graduation. In 2021, we grew the program to 169 students, up from 74 in 2020. Nearly 90% of the 2021</w:t>
            </w:r>
          </w:p>
        </w:tc>
      </w:tr>
      <w:tr>
        <w:trPr>
          <w:trHeight w:val="215"/>
        </w:trPr>
        <w:tc>
          <w:tcPr>
            <w:tcW w:w="1960" w:type="dxa"/>
            <w:vAlign w:val="bottom"/>
            <w:shd w:val="clear" w:color="auto" w:fill="3E693D"/>
          </w:tcPr>
          <w:p>
            <w:pPr>
              <w:spacing w:after="0"/>
              <w:rPr>
                <w:sz w:val="18"/>
                <w:szCs w:val="18"/>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Fellows went on to be offered, and accept, internships with our Firm</w:t>
            </w:r>
          </w:p>
        </w:tc>
      </w:tr>
      <w:tr>
        <w:trPr>
          <w:trHeight w:val="204"/>
        </w:trPr>
        <w:tc>
          <w:tcPr>
            <w:tcW w:w="1960" w:type="dxa"/>
            <w:vAlign w:val="bottom"/>
            <w:shd w:val="clear" w:color="auto" w:fill="3E693D"/>
          </w:tcPr>
          <w:p>
            <w:pPr>
              <w:spacing w:after="0"/>
              <w:rPr>
                <w:sz w:val="17"/>
                <w:szCs w:val="17"/>
                <w:color w:val="auto"/>
              </w:rPr>
            </w:pP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In 2021, ABP launched a mentoring circles program, in collaboration with our Black Executive Forum and BOLD BRG.</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Through the program, Managing Directors provide career coaching and mentorship to more junior employees. Over 600</w:t>
            </w:r>
          </w:p>
        </w:tc>
      </w:tr>
      <w:tr>
        <w:trPr>
          <w:trHeight w:val="215"/>
        </w:trPr>
        <w:tc>
          <w:tcPr>
            <w:tcW w:w="1960" w:type="dxa"/>
            <w:vAlign w:val="bottom"/>
            <w:shd w:val="clear" w:color="auto" w:fill="3E693D"/>
          </w:tcPr>
          <w:p>
            <w:pPr>
              <w:spacing w:after="0"/>
              <w:rPr>
                <w:sz w:val="18"/>
                <w:szCs w:val="18"/>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mentees enrolled in 2021</w:t>
            </w:r>
          </w:p>
        </w:tc>
      </w:tr>
      <w:tr>
        <w:trPr>
          <w:trHeight w:val="204"/>
        </w:trPr>
        <w:tc>
          <w:tcPr>
            <w:tcW w:w="1960" w:type="dxa"/>
            <w:vAlign w:val="bottom"/>
            <w:shd w:val="clear" w:color="auto" w:fill="3E693D"/>
          </w:tcPr>
          <w:p>
            <w:pPr>
              <w:spacing w:after="0"/>
              <w:rPr>
                <w:sz w:val="17"/>
                <w:szCs w:val="17"/>
                <w:color w:val="auto"/>
              </w:rPr>
            </w:pPr>
          </w:p>
        </w:tc>
        <w:tc>
          <w:tcPr>
            <w:tcW w:w="9280" w:type="dxa"/>
            <w:vAlign w:val="bottom"/>
          </w:tcPr>
          <w:p>
            <w:pPr>
              <w:ind w:left="80"/>
              <w:spacing w:after="0"/>
              <w:rPr>
                <w:sz w:val="20"/>
                <w:szCs w:val="20"/>
                <w:color w:val="auto"/>
              </w:rPr>
            </w:pPr>
            <w:r>
              <w:rPr>
                <w:rFonts w:ascii="Arial" w:cs="Arial" w:eastAsia="Arial" w:hAnsi="Arial"/>
                <w:sz w:val="16"/>
                <w:szCs w:val="16"/>
                <w:color w:val="064A75"/>
              </w:rPr>
              <w:t xml:space="preserve">•  </w:t>
            </w:r>
            <w:r>
              <w:rPr>
                <w:rFonts w:ascii="Arial" w:cs="Arial" w:eastAsia="Arial" w:hAnsi="Arial"/>
                <w:sz w:val="16"/>
                <w:szCs w:val="16"/>
                <w:color w:val="000000"/>
              </w:rPr>
              <w:t>ABP's mandate to drive diversity, equity and inclusion within the Firm and beyond includes an effort to diversify board rooms</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at public companies. As part of this effort, ABP submits 75 board-ready candidates per year to JPMorgan's Director Advisory</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(DAS) program, which offers a curated, referral-based platform of independent director candidates to our corporate clients.</w:t>
            </w:r>
          </w:p>
        </w:tc>
      </w:tr>
      <w:tr>
        <w:trPr>
          <w:trHeight w:val="237"/>
        </w:trPr>
        <w:tc>
          <w:tcPr>
            <w:tcW w:w="1960" w:type="dxa"/>
            <w:vAlign w:val="bottom"/>
            <w:tcBorders>
              <w:bottom w:val="single" w:sz="8" w:color="3E693D"/>
            </w:tcBorders>
            <w:shd w:val="clear" w:color="auto" w:fill="3E693D"/>
          </w:tcPr>
          <w:p>
            <w:pPr>
              <w:spacing w:after="0"/>
              <w:rPr>
                <w:sz w:val="20"/>
                <w:szCs w:val="20"/>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Over the last five years, we've provided more than 1,000 companies with director referrals for board placement</w:t>
            </w:r>
          </w:p>
        </w:tc>
      </w:tr>
      <w:tr>
        <w:trPr>
          <w:trHeight w:val="108"/>
        </w:trPr>
        <w:tc>
          <w:tcPr>
            <w:tcW w:w="1960" w:type="dxa"/>
            <w:vAlign w:val="bottom"/>
            <w:tcBorders>
              <w:bottom w:val="single" w:sz="8" w:color="494949"/>
            </w:tcBorders>
          </w:tcPr>
          <w:p>
            <w:pPr>
              <w:spacing w:after="0"/>
              <w:rPr>
                <w:sz w:val="9"/>
                <w:szCs w:val="9"/>
                <w:color w:val="auto"/>
              </w:rPr>
            </w:pPr>
          </w:p>
        </w:tc>
        <w:tc>
          <w:tcPr>
            <w:tcW w:w="9280" w:type="dxa"/>
            <w:vAlign w:val="bottom"/>
            <w:tcBorders>
              <w:bottom w:val="single" w:sz="8" w:color="49494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234440" cy="161163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34440" cy="161163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p>
      <w:pPr>
        <w:spacing w:after="0" w:line="49" w:lineRule="exact"/>
        <w:rPr>
          <w:sz w:val="20"/>
          <w:szCs w:val="20"/>
          <w:color w:val="auto"/>
        </w:rPr>
      </w:pPr>
    </w:p>
    <w:p>
      <w:pPr>
        <w:jc w:val="right"/>
        <w:ind w:left="680"/>
        <w:spacing w:after="0" w:line="265" w:lineRule="auto"/>
        <w:rPr>
          <w:sz w:val="20"/>
          <w:szCs w:val="20"/>
          <w:color w:val="auto"/>
        </w:rPr>
      </w:pPr>
      <w:r>
        <w:rPr>
          <w:rFonts w:ascii="Arial" w:cs="Arial" w:eastAsia="Arial" w:hAnsi="Arial"/>
          <w:sz w:val="18"/>
          <w:szCs w:val="18"/>
          <w:b w:val="1"/>
          <w:bCs w:val="1"/>
          <w:color w:val="FFFFFF"/>
        </w:rPr>
        <w:t>ADVANCING HISPANICS &amp; LATINOS (“AHL”)</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left="193" w:right="100" w:hanging="193"/>
        <w:spacing w:after="0" w:line="264" w:lineRule="auto"/>
        <w:tabs>
          <w:tab w:leader="none" w:pos="190" w:val="left"/>
        </w:tabs>
        <w:numPr>
          <w:ilvl w:val="0"/>
          <w:numId w:val="170"/>
        </w:numPr>
        <w:rPr>
          <w:rFonts w:ascii="Arial" w:cs="Arial" w:eastAsia="Arial" w:hAnsi="Arial"/>
          <w:sz w:val="16"/>
          <w:szCs w:val="16"/>
          <w:color w:val="074A75"/>
        </w:rPr>
      </w:pPr>
      <w:r>
        <w:rPr>
          <w:rFonts w:ascii="Arial" w:cs="Arial" w:eastAsia="Arial" w:hAnsi="Arial"/>
          <w:sz w:val="16"/>
          <w:szCs w:val="16"/>
          <w:color w:val="auto"/>
        </w:rPr>
        <w:t>Established in 2021, AHL provides a unified vision and strategy to help expand access to economic opportunity and advance equity for the Hispanic and Latino communities. The team is focused on advancing career opportunities, financial health and community development for Hispanics and Latinos globally</w:t>
      </w:r>
    </w:p>
    <w:p>
      <w:pPr>
        <w:ind w:left="193" w:right="60" w:hanging="193"/>
        <w:spacing w:after="0" w:line="264" w:lineRule="auto"/>
        <w:tabs>
          <w:tab w:leader="none" w:pos="190" w:val="left"/>
        </w:tabs>
        <w:numPr>
          <w:ilvl w:val="0"/>
          <w:numId w:val="170"/>
        </w:numPr>
        <w:rPr>
          <w:rFonts w:ascii="Arial" w:cs="Arial" w:eastAsia="Arial" w:hAnsi="Arial"/>
          <w:sz w:val="16"/>
          <w:szCs w:val="16"/>
          <w:color w:val="064A75"/>
        </w:rPr>
      </w:pPr>
      <w:r>
        <w:rPr>
          <w:rFonts w:ascii="Arial" w:cs="Arial" w:eastAsia="Arial" w:hAnsi="Arial"/>
          <w:sz w:val="16"/>
          <w:szCs w:val="16"/>
          <w:color w:val="auto"/>
        </w:rPr>
        <w:t>Hispanic and Latino communities are one of the largest growing segments in the U.S. and a significant global population, and AHL is committed to supporting the communities</w:t>
      </w:r>
    </w:p>
    <w:p>
      <w:pPr>
        <w:ind w:left="193" w:right="80" w:hanging="193"/>
        <w:spacing w:after="0" w:line="272" w:lineRule="auto"/>
        <w:tabs>
          <w:tab w:leader="none" w:pos="190" w:val="left"/>
        </w:tabs>
        <w:numPr>
          <w:ilvl w:val="0"/>
          <w:numId w:val="170"/>
        </w:numPr>
        <w:rPr>
          <w:rFonts w:ascii="Arial" w:cs="Arial" w:eastAsia="Arial" w:hAnsi="Arial"/>
          <w:sz w:val="16"/>
          <w:szCs w:val="16"/>
          <w:color w:val="064A75"/>
        </w:rPr>
      </w:pPr>
      <w:r>
        <w:rPr>
          <w:rFonts w:ascii="Arial" w:cs="Arial" w:eastAsia="Arial" w:hAnsi="Arial"/>
          <w:sz w:val="16"/>
          <w:szCs w:val="16"/>
          <w:color w:val="auto"/>
        </w:rPr>
        <w:t>AHL is partnering with employee groups, including Adelante, Hispanic Leader Forum, Hispanic Executive Forum and all lines of business to promote an inclusive culture and promote career development opportunities</w:t>
      </w:r>
    </w:p>
    <w:p>
      <w:pPr>
        <w:spacing w:after="0" w:line="1" w:lineRule="exact"/>
        <w:rPr>
          <w:rFonts w:ascii="Arial" w:cs="Arial" w:eastAsia="Arial" w:hAnsi="Arial"/>
          <w:sz w:val="16"/>
          <w:szCs w:val="16"/>
          <w:color w:val="064A75"/>
        </w:rPr>
      </w:pPr>
    </w:p>
    <w:p>
      <w:pPr>
        <w:ind w:left="193" w:right="180" w:hanging="193"/>
        <w:spacing w:after="0" w:line="272" w:lineRule="auto"/>
        <w:tabs>
          <w:tab w:leader="none" w:pos="190" w:val="left"/>
        </w:tabs>
        <w:numPr>
          <w:ilvl w:val="0"/>
          <w:numId w:val="170"/>
        </w:numPr>
        <w:rPr>
          <w:rFonts w:ascii="Arial" w:cs="Arial" w:eastAsia="Arial" w:hAnsi="Arial"/>
          <w:sz w:val="16"/>
          <w:szCs w:val="16"/>
          <w:color w:val="074A75"/>
        </w:rPr>
      </w:pPr>
      <w:r>
        <w:rPr>
          <w:rFonts w:ascii="Arial" w:cs="Arial" w:eastAsia="Arial" w:hAnsi="Arial"/>
          <w:sz w:val="16"/>
          <w:szCs w:val="16"/>
          <w:color w:val="auto"/>
        </w:rPr>
        <w:t>In its inaugural year, AHL prepared to launch the AHL fellowship program, starting with the class of 2022, through which the Firm is expanding the ABP Fellowship Program to include Hispanic and Latino students</w:t>
      </w:r>
    </w:p>
    <w:p>
      <w:pPr>
        <w:spacing w:after="0" w:line="1" w:lineRule="exact"/>
        <w:rPr>
          <w:rFonts w:ascii="Arial" w:cs="Arial" w:eastAsia="Arial" w:hAnsi="Arial"/>
          <w:sz w:val="16"/>
          <w:szCs w:val="16"/>
          <w:color w:val="074A75"/>
        </w:rPr>
      </w:pPr>
    </w:p>
    <w:p>
      <w:pPr>
        <w:jc w:val="both"/>
        <w:ind w:left="193" w:right="80" w:hanging="193"/>
        <w:spacing w:after="0" w:line="266" w:lineRule="auto"/>
        <w:tabs>
          <w:tab w:leader="none" w:pos="190" w:val="left"/>
        </w:tabs>
        <w:numPr>
          <w:ilvl w:val="0"/>
          <w:numId w:val="170"/>
        </w:numPr>
        <w:rPr>
          <w:rFonts w:ascii="Arial" w:cs="Arial" w:eastAsia="Arial" w:hAnsi="Arial"/>
          <w:sz w:val="16"/>
          <w:szCs w:val="16"/>
          <w:color w:val="074A75"/>
        </w:rPr>
      </w:pPr>
      <w:r>
        <w:rPr>
          <w:rFonts w:ascii="Arial" w:cs="Arial" w:eastAsia="Arial" w:hAnsi="Arial"/>
          <w:sz w:val="16"/>
          <w:szCs w:val="16"/>
          <w:color w:val="auto"/>
        </w:rPr>
        <w:t>In November 2021, AHL aligned with the Latin GRAMMY Cultural Foundation with a plan to deliver financial health education to 200 students in select Racial Equity Commitment cities, and made a contribution to support fellowship opportunities in the U.S. for music students across 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48895</wp:posOffset>
            </wp:positionV>
            <wp:extent cx="713232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207"/>
            <w:col w:w="9213"/>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234440" cy="17741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34440" cy="17741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38" w:lineRule="exact"/>
        <w:rPr>
          <w:sz w:val="20"/>
          <w:szCs w:val="20"/>
          <w:color w:val="auto"/>
        </w:rPr>
      </w:pPr>
    </w:p>
    <w:p>
      <w:pPr>
        <w:jc w:val="right"/>
        <w:ind w:left="340"/>
        <w:spacing w:after="0" w:line="262" w:lineRule="auto"/>
        <w:rPr>
          <w:sz w:val="20"/>
          <w:szCs w:val="20"/>
          <w:color w:val="auto"/>
        </w:rPr>
      </w:pPr>
      <w:r>
        <w:rPr>
          <w:rFonts w:ascii="Arial" w:cs="Arial" w:eastAsia="Arial" w:hAnsi="Arial"/>
          <w:sz w:val="18"/>
          <w:szCs w:val="18"/>
          <w:b w:val="1"/>
          <w:bCs w:val="1"/>
          <w:color w:val="FFFFFF"/>
        </w:rPr>
        <w:t>OFFICE OF ASIAN &amp; PACIFIC ISLANDER AFFAIRS (“API”)</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193" w:right="460" w:hanging="193"/>
        <w:spacing w:after="0" w:line="272" w:lineRule="auto"/>
        <w:tabs>
          <w:tab w:leader="none" w:pos="190" w:val="left"/>
        </w:tabs>
        <w:numPr>
          <w:ilvl w:val="0"/>
          <w:numId w:val="171"/>
        </w:numPr>
        <w:rPr>
          <w:rFonts w:ascii="Arial" w:cs="Arial" w:eastAsia="Arial" w:hAnsi="Arial"/>
          <w:sz w:val="16"/>
          <w:szCs w:val="16"/>
          <w:color w:val="074A75"/>
        </w:rPr>
      </w:pPr>
      <w:r>
        <w:rPr>
          <w:rFonts w:ascii="Arial" w:cs="Arial" w:eastAsia="Arial" w:hAnsi="Arial"/>
          <w:sz w:val="16"/>
          <w:szCs w:val="16"/>
          <w:color w:val="auto"/>
        </w:rPr>
        <w:t>Established in late 2021, API leads the Firm's global programs to advance equity and inclusion for the Asian and Pacific Islander community:</w:t>
      </w:r>
    </w:p>
    <w:p>
      <w:pPr>
        <w:spacing w:after="0" w:line="1" w:lineRule="exact"/>
        <w:rPr>
          <w:rFonts w:ascii="Arial" w:cs="Arial" w:eastAsia="Arial" w:hAnsi="Arial"/>
          <w:sz w:val="16"/>
          <w:szCs w:val="16"/>
          <w:color w:val="074A75"/>
        </w:rPr>
      </w:pPr>
    </w:p>
    <w:p>
      <w:pPr>
        <w:ind w:left="393" w:right="700" w:hanging="198"/>
        <w:spacing w:after="0" w:line="272" w:lineRule="auto"/>
        <w:tabs>
          <w:tab w:leader="none" w:pos="391" w:val="left"/>
        </w:tabs>
        <w:numPr>
          <w:ilvl w:val="1"/>
          <w:numId w:val="171"/>
        </w:numPr>
        <w:rPr>
          <w:rFonts w:ascii="Arial" w:cs="Arial" w:eastAsia="Arial" w:hAnsi="Arial"/>
          <w:sz w:val="16"/>
          <w:szCs w:val="16"/>
          <w:color w:val="064A75"/>
        </w:rPr>
      </w:pPr>
      <w:r>
        <w:rPr>
          <w:rFonts w:ascii="Arial" w:cs="Arial" w:eastAsia="Arial" w:hAnsi="Arial"/>
          <w:sz w:val="16"/>
          <w:szCs w:val="16"/>
          <w:color w:val="auto"/>
        </w:rPr>
        <w:t>Educating and raising awareness about cultural identity and the challenges and inequities experienced by the API community in the U.S.</w:t>
      </w:r>
    </w:p>
    <w:p>
      <w:pPr>
        <w:spacing w:after="0" w:line="1" w:lineRule="exact"/>
        <w:rPr>
          <w:rFonts w:ascii="Arial" w:cs="Arial" w:eastAsia="Arial" w:hAnsi="Arial"/>
          <w:sz w:val="16"/>
          <w:szCs w:val="16"/>
          <w:color w:val="064A75"/>
        </w:rPr>
      </w:pPr>
    </w:p>
    <w:p>
      <w:pPr>
        <w:ind w:left="393" w:right="840" w:hanging="198"/>
        <w:spacing w:after="0" w:line="264" w:lineRule="auto"/>
        <w:tabs>
          <w:tab w:leader="none" w:pos="391" w:val="left"/>
        </w:tabs>
        <w:numPr>
          <w:ilvl w:val="1"/>
          <w:numId w:val="171"/>
        </w:numPr>
        <w:rPr>
          <w:rFonts w:ascii="Arial" w:cs="Arial" w:eastAsia="Arial" w:hAnsi="Arial"/>
          <w:sz w:val="16"/>
          <w:szCs w:val="16"/>
          <w:color w:val="064A75"/>
        </w:rPr>
      </w:pPr>
      <w:r>
        <w:rPr>
          <w:rFonts w:ascii="Arial" w:cs="Arial" w:eastAsia="Arial" w:hAnsi="Arial"/>
          <w:sz w:val="16"/>
          <w:szCs w:val="16"/>
          <w:color w:val="auto"/>
        </w:rPr>
        <w:t>Driving opportunity and progress for API employees, customers and clients globally through investment, cultural understanding and collaboration</w:t>
      </w:r>
    </w:p>
    <w:p>
      <w:pPr>
        <w:ind w:left="393" w:right="260" w:hanging="198"/>
        <w:spacing w:after="0" w:line="272" w:lineRule="auto"/>
        <w:tabs>
          <w:tab w:leader="none" w:pos="391" w:val="left"/>
        </w:tabs>
        <w:numPr>
          <w:ilvl w:val="1"/>
          <w:numId w:val="171"/>
        </w:numPr>
        <w:rPr>
          <w:rFonts w:ascii="Arial" w:cs="Arial" w:eastAsia="Arial" w:hAnsi="Arial"/>
          <w:sz w:val="16"/>
          <w:szCs w:val="16"/>
          <w:color w:val="064A75"/>
        </w:rPr>
      </w:pPr>
      <w:r>
        <w:rPr>
          <w:rFonts w:ascii="Arial" w:cs="Arial" w:eastAsia="Arial" w:hAnsi="Arial"/>
          <w:sz w:val="16"/>
          <w:szCs w:val="16"/>
          <w:color w:val="auto"/>
        </w:rPr>
        <w:t>Advancing equity for underserved API communities through advocacy, economic inclusion and community development initiatives</w:t>
      </w:r>
    </w:p>
    <w:p>
      <w:pPr>
        <w:spacing w:after="0" w:line="1" w:lineRule="exact"/>
        <w:rPr>
          <w:rFonts w:ascii="Arial" w:cs="Arial" w:eastAsia="Arial" w:hAnsi="Arial"/>
          <w:sz w:val="16"/>
          <w:szCs w:val="16"/>
          <w:color w:val="064A75"/>
        </w:rPr>
      </w:pPr>
    </w:p>
    <w:p>
      <w:pPr>
        <w:ind w:left="193" w:right="100" w:hanging="193"/>
        <w:spacing w:after="0" w:line="272" w:lineRule="auto"/>
        <w:tabs>
          <w:tab w:leader="none" w:pos="190" w:val="left"/>
        </w:tabs>
        <w:numPr>
          <w:ilvl w:val="0"/>
          <w:numId w:val="171"/>
        </w:numPr>
        <w:rPr>
          <w:rFonts w:ascii="Arial" w:cs="Arial" w:eastAsia="Arial" w:hAnsi="Arial"/>
          <w:sz w:val="16"/>
          <w:szCs w:val="16"/>
          <w:color w:val="074A75"/>
        </w:rPr>
      </w:pPr>
      <w:r>
        <w:rPr>
          <w:rFonts w:ascii="Arial" w:cs="Arial" w:eastAsia="Arial" w:hAnsi="Arial"/>
          <w:sz w:val="16"/>
          <w:szCs w:val="16"/>
          <w:color w:val="auto"/>
        </w:rPr>
        <w:t>The Asian Executive Forum serves as a collective voice for the API community within the Firm, and works in partnership with AsPIRE to drive equity and inclusion for API employees across the Firm</w:t>
      </w:r>
    </w:p>
    <w:p>
      <w:pPr>
        <w:spacing w:after="0" w:line="1" w:lineRule="exact"/>
        <w:rPr>
          <w:rFonts w:ascii="Arial" w:cs="Arial" w:eastAsia="Arial" w:hAnsi="Arial"/>
          <w:sz w:val="16"/>
          <w:szCs w:val="16"/>
          <w:color w:val="074A75"/>
        </w:rPr>
      </w:pPr>
    </w:p>
    <w:p>
      <w:pPr>
        <w:ind w:left="193" w:right="180" w:hanging="193"/>
        <w:spacing w:after="0" w:line="264" w:lineRule="auto"/>
        <w:tabs>
          <w:tab w:leader="none" w:pos="190" w:val="left"/>
        </w:tabs>
        <w:numPr>
          <w:ilvl w:val="0"/>
          <w:numId w:val="171"/>
        </w:numPr>
        <w:rPr>
          <w:rFonts w:ascii="Arial" w:cs="Arial" w:eastAsia="Arial" w:hAnsi="Arial"/>
          <w:sz w:val="16"/>
          <w:szCs w:val="16"/>
          <w:color w:val="064A75"/>
        </w:rPr>
      </w:pPr>
      <w:r>
        <w:rPr>
          <w:rFonts w:ascii="Arial" w:cs="Arial" w:eastAsia="Arial" w:hAnsi="Arial"/>
          <w:sz w:val="16"/>
          <w:szCs w:val="16"/>
          <w:color w:val="auto"/>
        </w:rPr>
        <w:t>Following a series of attacks against the API community in the U.S. and U.K. in 2021, the Firm committed $1 million to raise awareness of the urgent need to support the API community</w:t>
      </w:r>
    </w:p>
    <w:p>
      <w:pPr>
        <w:ind w:left="193" w:hanging="193"/>
        <w:spacing w:after="0"/>
        <w:tabs>
          <w:tab w:leader="none" w:pos="193" w:val="left"/>
        </w:tabs>
        <w:numPr>
          <w:ilvl w:val="0"/>
          <w:numId w:val="171"/>
        </w:numPr>
        <w:rPr>
          <w:rFonts w:ascii="Arial" w:cs="Arial" w:eastAsia="Arial" w:hAnsi="Arial"/>
          <w:sz w:val="16"/>
          <w:szCs w:val="16"/>
          <w:color w:val="074A75"/>
        </w:rPr>
      </w:pPr>
      <w:r>
        <w:rPr>
          <w:rFonts w:ascii="Arial" w:cs="Arial" w:eastAsia="Arial" w:hAnsi="Arial"/>
          <w:sz w:val="16"/>
          <w:szCs w:val="16"/>
          <w:color w:val="auto"/>
        </w:rPr>
        <w:t>During its first year, API partnered with Women on the Move on career advancement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89535</wp:posOffset>
            </wp:positionV>
            <wp:extent cx="713232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207"/>
            <w:col w:w="9213"/>
          </w:cols>
          <w:pgMar w:left="320" w:top="157" w:right="319" w:bottom="144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OFFICE OF</w:t>
            </w: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Created in 2016, ODI is striving to make JPMorgan Chase an employer of choice for people with disabilities, and a bank of</w:t>
            </w:r>
          </w:p>
        </w:tc>
      </w:tr>
      <w:tr>
        <w:trPr>
          <w:trHeight w:val="216"/>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DISABILITY</w:t>
            </w:r>
          </w:p>
        </w:tc>
        <w:tc>
          <w:tcPr>
            <w:tcW w:w="9280" w:type="dxa"/>
            <w:vAlign w:val="bottom"/>
          </w:tcPr>
          <w:p>
            <w:pPr>
              <w:ind w:left="280"/>
              <w:spacing w:after="0"/>
              <w:rPr>
                <w:sz w:val="20"/>
                <w:szCs w:val="20"/>
                <w:color w:val="auto"/>
              </w:rPr>
            </w:pPr>
            <w:r>
              <w:rPr>
                <w:rFonts w:ascii="Arial" w:cs="Arial" w:eastAsia="Arial" w:hAnsi="Arial"/>
                <w:sz w:val="16"/>
                <w:szCs w:val="16"/>
                <w:color w:val="auto"/>
              </w:rPr>
              <w:t>choice for customers with disabilities</w:t>
            </w:r>
          </w:p>
        </w:tc>
      </w:tr>
      <w:tr>
        <w:trPr>
          <w:trHeight w:val="216"/>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INCLUSION</w:t>
            </w: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ODI leads strategy and initiatives worldwide aimed at advancing careers and an inclusive workplace, providing the best</w:t>
            </w:r>
          </w:p>
        </w:tc>
      </w:tr>
      <w:tr>
        <w:trPr>
          <w:trHeight w:val="221"/>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(“ODI”)</w:t>
            </w:r>
          </w:p>
        </w:tc>
        <w:tc>
          <w:tcPr>
            <w:tcW w:w="9280" w:type="dxa"/>
            <w:vAlign w:val="bottom"/>
          </w:tcPr>
          <w:p>
            <w:pPr>
              <w:ind w:left="280"/>
              <w:spacing w:after="0"/>
              <w:rPr>
                <w:sz w:val="20"/>
                <w:szCs w:val="20"/>
                <w:color w:val="auto"/>
              </w:rPr>
            </w:pPr>
            <w:r>
              <w:rPr>
                <w:rFonts w:ascii="Arial" w:cs="Arial" w:eastAsia="Arial" w:hAnsi="Arial"/>
                <w:sz w:val="16"/>
                <w:szCs w:val="16"/>
                <w:color w:val="auto"/>
              </w:rPr>
              <w:t>support and environmental accommodations for people with disabilities</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In 2021, we launched a global, 24/7 help desk for employees with disabilities, dedicated solely to delivering assistive</w:t>
            </w:r>
          </w:p>
        </w:tc>
      </w:tr>
      <w:tr>
        <w:trPr>
          <w:trHeight w:val="215"/>
        </w:trPr>
        <w:tc>
          <w:tcPr>
            <w:tcW w:w="1960" w:type="dxa"/>
            <w:vAlign w:val="bottom"/>
            <w:shd w:val="clear" w:color="auto" w:fill="3E693D"/>
          </w:tcPr>
          <w:p>
            <w:pPr>
              <w:spacing w:after="0"/>
              <w:rPr>
                <w:sz w:val="18"/>
                <w:szCs w:val="18"/>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technology to employees with disabilities to help them perform their jobs</w:t>
            </w:r>
          </w:p>
        </w:tc>
      </w:tr>
      <w:tr>
        <w:trPr>
          <w:trHeight w:val="204"/>
        </w:trPr>
        <w:tc>
          <w:tcPr>
            <w:tcW w:w="1960" w:type="dxa"/>
            <w:vAlign w:val="bottom"/>
            <w:shd w:val="clear" w:color="auto" w:fill="3E693D"/>
          </w:tcPr>
          <w:p>
            <w:pPr>
              <w:spacing w:after="0"/>
              <w:rPr>
                <w:sz w:val="17"/>
                <w:szCs w:val="17"/>
                <w:color w:val="auto"/>
              </w:rPr>
            </w:pP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ODI also introduced live, automated Zoom closed captioning, to make the Firm's Zoom meetings more accessible for</w:t>
            </w:r>
          </w:p>
        </w:tc>
      </w:tr>
      <w:tr>
        <w:trPr>
          <w:trHeight w:val="215"/>
        </w:trPr>
        <w:tc>
          <w:tcPr>
            <w:tcW w:w="1960" w:type="dxa"/>
            <w:vAlign w:val="bottom"/>
            <w:shd w:val="clear" w:color="auto" w:fill="3E693D"/>
          </w:tcPr>
          <w:p>
            <w:pPr>
              <w:spacing w:after="0"/>
              <w:rPr>
                <w:sz w:val="18"/>
                <w:szCs w:val="18"/>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employees</w:t>
            </w:r>
          </w:p>
        </w:tc>
      </w:tr>
      <w:tr>
        <w:trPr>
          <w:trHeight w:val="204"/>
        </w:trPr>
        <w:tc>
          <w:tcPr>
            <w:tcW w:w="1960" w:type="dxa"/>
            <w:vAlign w:val="bottom"/>
            <w:shd w:val="clear" w:color="auto" w:fill="3E693D"/>
          </w:tcPr>
          <w:p>
            <w:pPr>
              <w:spacing w:after="0"/>
              <w:rPr>
                <w:sz w:val="17"/>
                <w:szCs w:val="17"/>
                <w:color w:val="auto"/>
              </w:rPr>
            </w:pP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ODI expanded the Firm's centralized process for requesting reasonable accommodations - MyAccessibility Hub - into India;</w:t>
            </w:r>
          </w:p>
        </w:tc>
      </w:tr>
      <w:tr>
        <w:trPr>
          <w:trHeight w:val="215"/>
        </w:trPr>
        <w:tc>
          <w:tcPr>
            <w:tcW w:w="1960" w:type="dxa"/>
            <w:vAlign w:val="bottom"/>
            <w:shd w:val="clear" w:color="auto" w:fill="3E693D"/>
          </w:tcPr>
          <w:p>
            <w:pPr>
              <w:spacing w:after="0"/>
              <w:rPr>
                <w:sz w:val="18"/>
                <w:szCs w:val="18"/>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the process was first rolled out to employees in the U.S. and the Philippines in 2018</w:t>
            </w:r>
          </w:p>
        </w:tc>
      </w:tr>
      <w:tr>
        <w:trPr>
          <w:trHeight w:val="190"/>
        </w:trPr>
        <w:tc>
          <w:tcPr>
            <w:tcW w:w="1960" w:type="dxa"/>
            <w:vAlign w:val="bottom"/>
            <w:shd w:val="clear" w:color="auto" w:fill="3E693D"/>
          </w:tcPr>
          <w:p>
            <w:pPr>
              <w:spacing w:after="0"/>
              <w:rPr>
                <w:sz w:val="16"/>
                <w:szCs w:val="16"/>
                <w:color w:val="auto"/>
              </w:rPr>
            </w:pP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Firm was named one of two preferred Small Business Administration lenders to help improve access to resources for</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small business owners and entrepreneurs with disabilities in connection with a $2.5 million grant the SBA awarded to</w:t>
            </w:r>
          </w:p>
        </w:tc>
      </w:tr>
      <w:tr>
        <w:trPr>
          <w:trHeight w:val="251"/>
        </w:trPr>
        <w:tc>
          <w:tcPr>
            <w:tcW w:w="1960" w:type="dxa"/>
            <w:vAlign w:val="bottom"/>
            <w:tcBorders>
              <w:bottom w:val="single" w:sz="8" w:color="3E693D"/>
            </w:tcBorders>
            <w:shd w:val="clear" w:color="auto" w:fill="3E693D"/>
          </w:tcPr>
          <w:p>
            <w:pPr>
              <w:spacing w:after="0"/>
              <w:rPr>
                <w:sz w:val="21"/>
                <w:szCs w:val="21"/>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National Disability Institute, to fund a Community Navigator Pilot Program in the Greater Washington, D.C. area</w:t>
            </w:r>
          </w:p>
        </w:tc>
      </w:tr>
      <w:tr>
        <w:trPr>
          <w:trHeight w:val="54"/>
        </w:trPr>
        <w:tc>
          <w:tcPr>
            <w:tcW w:w="1960" w:type="dxa"/>
            <w:vAlign w:val="bottom"/>
            <w:tcBorders>
              <w:bottom w:val="single" w:sz="8" w:color="494949"/>
            </w:tcBorders>
          </w:tcPr>
          <w:p>
            <w:pPr>
              <w:spacing w:after="0"/>
              <w:rPr>
                <w:sz w:val="4"/>
                <w:szCs w:val="4"/>
                <w:color w:val="auto"/>
              </w:rPr>
            </w:pPr>
          </w:p>
        </w:tc>
        <w:tc>
          <w:tcPr>
            <w:tcW w:w="9280" w:type="dxa"/>
            <w:vAlign w:val="bottom"/>
            <w:tcBorders>
              <w:bottom w:val="single" w:sz="8" w:color="494949"/>
            </w:tcBorders>
          </w:tcPr>
          <w:p>
            <w:pPr>
              <w:spacing w:after="0"/>
              <w:rPr>
                <w:sz w:val="4"/>
                <w:szCs w:val="4"/>
                <w:color w:val="auto"/>
              </w:rPr>
            </w:pPr>
          </w:p>
        </w:tc>
      </w:tr>
      <w:tr>
        <w:trPr>
          <w:trHeight w:val="34"/>
        </w:trPr>
        <w:tc>
          <w:tcPr>
            <w:tcW w:w="1960" w:type="dxa"/>
            <w:vAlign w:val="bottom"/>
          </w:tcPr>
          <w:p>
            <w:pPr>
              <w:spacing w:after="0"/>
              <w:rPr>
                <w:sz w:val="2"/>
                <w:szCs w:val="2"/>
                <w:color w:val="auto"/>
              </w:rPr>
            </w:pPr>
          </w:p>
        </w:tc>
        <w:tc>
          <w:tcPr>
            <w:tcW w:w="9280" w:type="dxa"/>
            <w:vAlign w:val="bottom"/>
          </w:tcPr>
          <w:p>
            <w:pPr>
              <w:spacing w:after="0"/>
              <w:rPr>
                <w:sz w:val="2"/>
                <w:szCs w:val="2"/>
                <w:color w:val="auto"/>
              </w:rPr>
            </w:pPr>
          </w:p>
        </w:tc>
      </w:tr>
      <w:tr>
        <w:trPr>
          <w:trHeight w:val="224"/>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OFFICE OF</w:t>
            </w: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Building on the Firm's long-standing support for the LGBT+ community, in 2021 we created the Office of LGBT+ Affairs,</w:t>
            </w:r>
          </w:p>
        </w:tc>
      </w:tr>
      <w:tr>
        <w:trPr>
          <w:trHeight w:val="207"/>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LGBT+</w:t>
            </w:r>
          </w:p>
        </w:tc>
        <w:tc>
          <w:tcPr>
            <w:tcW w:w="9280" w:type="dxa"/>
            <w:vAlign w:val="bottom"/>
          </w:tcPr>
          <w:p>
            <w:pPr>
              <w:ind w:left="280"/>
              <w:spacing w:after="0"/>
              <w:rPr>
                <w:sz w:val="20"/>
                <w:szCs w:val="20"/>
                <w:color w:val="auto"/>
              </w:rPr>
            </w:pPr>
            <w:r>
              <w:rPr>
                <w:rFonts w:ascii="Arial" w:cs="Arial" w:eastAsia="Arial" w:hAnsi="Arial"/>
                <w:sz w:val="16"/>
                <w:szCs w:val="16"/>
                <w:color w:val="auto"/>
              </w:rPr>
              <w:t>focused on advancing careers and a culture of inclusion, supporting LGBT+ owned businesses, providing financial health</w:t>
            </w:r>
          </w:p>
        </w:tc>
      </w:tr>
      <w:tr>
        <w:trPr>
          <w:trHeight w:val="225"/>
        </w:trPr>
        <w:tc>
          <w:tcPr>
            <w:tcW w:w="196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AFFAIRS</w:t>
            </w:r>
          </w:p>
        </w:tc>
        <w:tc>
          <w:tcPr>
            <w:tcW w:w="9280" w:type="dxa"/>
            <w:vAlign w:val="bottom"/>
          </w:tcPr>
          <w:p>
            <w:pPr>
              <w:ind w:left="280"/>
              <w:spacing w:after="0"/>
              <w:rPr>
                <w:sz w:val="20"/>
                <w:szCs w:val="20"/>
                <w:color w:val="auto"/>
              </w:rPr>
            </w:pPr>
            <w:r>
              <w:rPr>
                <w:rFonts w:ascii="Arial" w:cs="Arial" w:eastAsia="Arial" w:hAnsi="Arial"/>
                <w:sz w:val="16"/>
                <w:szCs w:val="16"/>
                <w:color w:val="auto"/>
              </w:rPr>
              <w:t>awareness and education, and driving progress on equity and inclusion for the LGBT+ community globally</w:t>
            </w:r>
          </w:p>
        </w:tc>
      </w:tr>
      <w:tr>
        <w:trPr>
          <w:trHeight w:val="194"/>
        </w:trPr>
        <w:tc>
          <w:tcPr>
            <w:tcW w:w="1960" w:type="dxa"/>
            <w:vAlign w:val="bottom"/>
            <w:shd w:val="clear" w:color="auto" w:fill="3E693D"/>
          </w:tcPr>
          <w:p>
            <w:pPr>
              <w:jc w:val="right"/>
              <w:ind w:right="30"/>
              <w:spacing w:after="0" w:line="194" w:lineRule="exact"/>
              <w:rPr>
                <w:sz w:val="20"/>
                <w:szCs w:val="20"/>
                <w:color w:val="auto"/>
              </w:rPr>
            </w:pPr>
            <w:r>
              <w:rPr>
                <w:rFonts w:ascii="Arial" w:cs="Arial" w:eastAsia="Arial" w:hAnsi="Arial"/>
                <w:sz w:val="18"/>
                <w:szCs w:val="18"/>
                <w:b w:val="1"/>
                <w:bCs w:val="1"/>
                <w:color w:val="FFFFFF"/>
              </w:rPr>
              <w:t>("LGBT+ Affairs")</w:t>
            </w:r>
          </w:p>
        </w:tc>
        <w:tc>
          <w:tcPr>
            <w:tcW w:w="9280" w:type="dxa"/>
            <w:vAlign w:val="bottom"/>
          </w:tcPr>
          <w:p>
            <w:pPr>
              <w:ind w:left="80"/>
              <w:spacing w:after="0"/>
              <w:rPr>
                <w:sz w:val="20"/>
                <w:szCs w:val="20"/>
                <w:color w:val="auto"/>
              </w:rPr>
            </w:pPr>
            <w:r>
              <w:rPr>
                <w:rFonts w:ascii="Arial" w:cs="Arial" w:eastAsia="Arial" w:hAnsi="Arial"/>
                <w:sz w:val="16"/>
                <w:szCs w:val="16"/>
                <w:color w:val="064A75"/>
              </w:rPr>
              <w:t xml:space="preserve">•  </w:t>
            </w:r>
            <w:r>
              <w:rPr>
                <w:rFonts w:ascii="Arial" w:cs="Arial" w:eastAsia="Arial" w:hAnsi="Arial"/>
                <w:sz w:val="16"/>
                <w:szCs w:val="16"/>
                <w:color w:val="000000"/>
              </w:rPr>
              <w:t>For our LGBT+ employees, we are focused on full-cycle talent management, accountability and best-in-class policies,</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practices and benefits, with an equal focus on allyship and intersectionality. In 2021, we greatly advanced representation,</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increasing LGBT+ self-identification by 50% year over year globally, and expanding membership and engagement in the</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LGBT+ Executive Forum, a consortium of senior leaders who self-identify as LGBT+ and serve as advocates for the LGBT+</w:t>
            </w:r>
          </w:p>
        </w:tc>
      </w:tr>
      <w:tr>
        <w:trPr>
          <w:trHeight w:val="215"/>
        </w:trPr>
        <w:tc>
          <w:tcPr>
            <w:tcW w:w="1960" w:type="dxa"/>
            <w:vAlign w:val="bottom"/>
            <w:shd w:val="clear" w:color="auto" w:fill="3E693D"/>
          </w:tcPr>
          <w:p>
            <w:pPr>
              <w:spacing w:after="0"/>
              <w:rPr>
                <w:sz w:val="18"/>
                <w:szCs w:val="18"/>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community, by 85% to over 370 LGBT+ Managing Directors and Executive Directors</w:t>
            </w:r>
          </w:p>
        </w:tc>
      </w:tr>
      <w:tr>
        <w:trPr>
          <w:trHeight w:val="190"/>
        </w:trPr>
        <w:tc>
          <w:tcPr>
            <w:tcW w:w="1960" w:type="dxa"/>
            <w:vAlign w:val="bottom"/>
            <w:shd w:val="clear" w:color="auto" w:fill="3E693D"/>
          </w:tcPr>
          <w:p>
            <w:pPr>
              <w:spacing w:after="0"/>
              <w:rPr>
                <w:sz w:val="16"/>
                <w:szCs w:val="16"/>
                <w:color w:val="auto"/>
              </w:rPr>
            </w:pPr>
          </w:p>
        </w:tc>
        <w:tc>
          <w:tcPr>
            <w:tcW w:w="928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LGBT+ Affairs made a $5 million philanthropic commitment, $1 million to each of five U.S. nonprofits, to support their efforts</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to drive economic inclusion for LGBT+ youth, workforce and elder communities. We also made a $500,000 commitment to</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StartOut for the expansion of their Pride U.S. Economic Inclusion Index, providing insights for LGBT+ and other diverse</w:t>
            </w:r>
          </w:p>
        </w:tc>
      </w:tr>
      <w:tr>
        <w:trPr>
          <w:trHeight w:val="189"/>
        </w:trPr>
        <w:tc>
          <w:tcPr>
            <w:tcW w:w="1960" w:type="dxa"/>
            <w:vAlign w:val="bottom"/>
            <w:shd w:val="clear" w:color="auto" w:fill="3E693D"/>
          </w:tcPr>
          <w:p>
            <w:pPr>
              <w:spacing w:after="0"/>
              <w:rPr>
                <w:sz w:val="16"/>
                <w:szCs w:val="16"/>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entrepreneurs, as well as $250,000 of additional LGBT+ focused grants and sponsorships globally, in the U.K., Philippines,</w:t>
            </w:r>
          </w:p>
        </w:tc>
      </w:tr>
      <w:tr>
        <w:trPr>
          <w:trHeight w:val="251"/>
        </w:trPr>
        <w:tc>
          <w:tcPr>
            <w:tcW w:w="1960" w:type="dxa"/>
            <w:vAlign w:val="bottom"/>
            <w:tcBorders>
              <w:bottom w:val="single" w:sz="8" w:color="3E693D"/>
            </w:tcBorders>
            <w:shd w:val="clear" w:color="auto" w:fill="3E693D"/>
          </w:tcPr>
          <w:p>
            <w:pPr>
              <w:spacing w:after="0"/>
              <w:rPr>
                <w:sz w:val="21"/>
                <w:szCs w:val="21"/>
                <w:color w:val="auto"/>
              </w:rPr>
            </w:pPr>
          </w:p>
        </w:tc>
        <w:tc>
          <w:tcPr>
            <w:tcW w:w="9280" w:type="dxa"/>
            <w:vAlign w:val="bottom"/>
          </w:tcPr>
          <w:p>
            <w:pPr>
              <w:ind w:left="280"/>
              <w:spacing w:after="0"/>
              <w:rPr>
                <w:sz w:val="20"/>
                <w:szCs w:val="20"/>
                <w:color w:val="auto"/>
              </w:rPr>
            </w:pPr>
            <w:r>
              <w:rPr>
                <w:rFonts w:ascii="Arial" w:cs="Arial" w:eastAsia="Arial" w:hAnsi="Arial"/>
                <w:sz w:val="16"/>
                <w:szCs w:val="16"/>
                <w:color w:val="auto"/>
              </w:rPr>
              <w:t>Argentina and India</w:t>
            </w:r>
          </w:p>
        </w:tc>
      </w:tr>
      <w:tr>
        <w:trPr>
          <w:trHeight w:val="54"/>
        </w:trPr>
        <w:tc>
          <w:tcPr>
            <w:tcW w:w="1960" w:type="dxa"/>
            <w:vAlign w:val="bottom"/>
            <w:tcBorders>
              <w:bottom w:val="single" w:sz="8" w:color="494949"/>
            </w:tcBorders>
          </w:tcPr>
          <w:p>
            <w:pPr>
              <w:spacing w:after="0"/>
              <w:rPr>
                <w:sz w:val="4"/>
                <w:szCs w:val="4"/>
                <w:color w:val="auto"/>
              </w:rPr>
            </w:pPr>
          </w:p>
        </w:tc>
        <w:tc>
          <w:tcPr>
            <w:tcW w:w="9280" w:type="dxa"/>
            <w:vAlign w:val="bottom"/>
            <w:tcBorders>
              <w:bottom w:val="single" w:sz="8" w:color="494949"/>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574675</wp:posOffset>
            </wp:positionV>
            <wp:extent cx="27432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61  </w:t>
      </w:r>
      <w:r>
        <w:rPr>
          <w:sz w:val="1"/>
          <w:szCs w:val="1"/>
          <w:color w:val="auto"/>
        </w:rPr>
        <w:drawing>
          <wp:inline distT="0" distB="0" distL="0" distR="0">
            <wp:extent cx="2203450" cy="154305"/>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gridSpan w:val="2"/>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1940" w:type="dxa"/>
            <w:vAlign w:val="bottom"/>
            <w:tcBorders>
              <w:left w:val="single" w:sz="8" w:color="E7E7E8"/>
              <w:bottom w:val="single" w:sz="8" w:color="E7E7E8"/>
            </w:tcBorders>
          </w:tcPr>
          <w:p>
            <w:pPr>
              <w:spacing w:after="0"/>
              <w:rPr>
                <w:sz w:val="5"/>
                <w:szCs w:val="5"/>
                <w:color w:val="auto"/>
              </w:rPr>
            </w:pPr>
          </w:p>
        </w:tc>
        <w:tc>
          <w:tcPr>
            <w:tcW w:w="110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r>
        <w:trPr>
          <w:trHeight w:val="447"/>
        </w:trPr>
        <w:tc>
          <w:tcPr>
            <w:tcW w:w="1940" w:type="dxa"/>
            <w:vAlign w:val="bottom"/>
          </w:tcPr>
          <w:p>
            <w:pPr>
              <w:jc w:val="right"/>
              <w:ind w:right="12"/>
              <w:spacing w:after="0"/>
              <w:rPr>
                <w:sz w:val="20"/>
                <w:szCs w:val="20"/>
                <w:color w:val="auto"/>
              </w:rPr>
            </w:pPr>
            <w:r>
              <w:rPr>
                <w:rFonts w:ascii="Arial" w:cs="Arial" w:eastAsia="Arial" w:hAnsi="Arial"/>
                <w:sz w:val="18"/>
                <w:szCs w:val="18"/>
                <w:b w:val="1"/>
                <w:bCs w:val="1"/>
                <w:color w:val="FFFFFF"/>
              </w:rPr>
              <w:t>OFFICE OF</w:t>
            </w:r>
          </w:p>
        </w:tc>
        <w:tc>
          <w:tcPr>
            <w:tcW w:w="9320" w:type="dxa"/>
            <w:vAlign w:val="bottom"/>
            <w:gridSpan w:val="5"/>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Established in 2011, MVA is focused on attracting, retaining and developing diverse veteran talent, supporting veteran-owned</w:t>
            </w:r>
          </w:p>
        </w:tc>
      </w:tr>
      <w:tr>
        <w:trPr>
          <w:trHeight w:val="194"/>
        </w:trPr>
        <w:tc>
          <w:tcPr>
            <w:tcW w:w="1940" w:type="dxa"/>
            <w:vAlign w:val="bottom"/>
          </w:tcPr>
          <w:p>
            <w:pPr>
              <w:jc w:val="right"/>
              <w:ind w:right="12"/>
              <w:spacing w:after="0" w:line="194" w:lineRule="exact"/>
              <w:rPr>
                <w:sz w:val="20"/>
                <w:szCs w:val="20"/>
                <w:color w:val="auto"/>
              </w:rPr>
            </w:pPr>
            <w:r>
              <w:rPr>
                <w:rFonts w:ascii="Arial" w:cs="Arial" w:eastAsia="Arial" w:hAnsi="Arial"/>
                <w:sz w:val="18"/>
                <w:szCs w:val="18"/>
                <w:b w:val="1"/>
                <w:bCs w:val="1"/>
                <w:color w:val="FFFFFF"/>
              </w:rPr>
              <w:t>MILITARY</w:t>
            </w:r>
          </w:p>
        </w:tc>
        <w:tc>
          <w:tcPr>
            <w:tcW w:w="9320" w:type="dxa"/>
            <w:vAlign w:val="bottom"/>
            <w:gridSpan w:val="5"/>
          </w:tcPr>
          <w:p>
            <w:pPr>
              <w:ind w:left="300"/>
              <w:spacing w:after="0"/>
              <w:rPr>
                <w:sz w:val="20"/>
                <w:szCs w:val="20"/>
                <w:color w:val="auto"/>
              </w:rPr>
            </w:pPr>
            <w:r>
              <w:rPr>
                <w:rFonts w:ascii="Arial" w:cs="Arial" w:eastAsia="Arial" w:hAnsi="Arial"/>
                <w:sz w:val="16"/>
                <w:szCs w:val="16"/>
                <w:color w:val="auto"/>
              </w:rPr>
              <w:t>businesses and entrepreneurs, increasing the financial health of veterans and military families, and supporting top veteran</w:t>
            </w:r>
          </w:p>
        </w:tc>
      </w:tr>
      <w:tr>
        <w:trPr>
          <w:trHeight w:val="229"/>
        </w:trPr>
        <w:tc>
          <w:tcPr>
            <w:tcW w:w="1940" w:type="dxa"/>
            <w:vAlign w:val="bottom"/>
          </w:tcPr>
          <w:p>
            <w:pPr>
              <w:jc w:val="right"/>
              <w:ind w:right="12"/>
              <w:spacing w:after="0"/>
              <w:rPr>
                <w:sz w:val="20"/>
                <w:szCs w:val="20"/>
                <w:color w:val="auto"/>
              </w:rPr>
            </w:pPr>
            <w:r>
              <w:rPr>
                <w:rFonts w:ascii="Arial" w:cs="Arial" w:eastAsia="Arial" w:hAnsi="Arial"/>
                <w:sz w:val="18"/>
                <w:szCs w:val="18"/>
                <w:b w:val="1"/>
                <w:bCs w:val="1"/>
                <w:color w:val="FFFFFF"/>
              </w:rPr>
              <w:t>AND</w:t>
            </w:r>
          </w:p>
        </w:tc>
        <w:tc>
          <w:tcPr>
            <w:tcW w:w="5420" w:type="dxa"/>
            <w:vAlign w:val="bottom"/>
            <w:gridSpan w:val="3"/>
          </w:tcPr>
          <w:p>
            <w:pPr>
              <w:ind w:left="300"/>
              <w:spacing w:after="0"/>
              <w:rPr>
                <w:sz w:val="20"/>
                <w:szCs w:val="20"/>
                <w:color w:val="auto"/>
              </w:rPr>
            </w:pPr>
            <w:r>
              <w:rPr>
                <w:rFonts w:ascii="Arial" w:cs="Arial" w:eastAsia="Arial" w:hAnsi="Arial"/>
                <w:sz w:val="16"/>
                <w:szCs w:val="16"/>
                <w:color w:val="auto"/>
              </w:rPr>
              <w:t>service organizations</w:t>
            </w:r>
          </w:p>
        </w:tc>
        <w:tc>
          <w:tcPr>
            <w:tcW w:w="4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25"/>
        </w:trPr>
        <w:tc>
          <w:tcPr>
            <w:tcW w:w="1940" w:type="dxa"/>
            <w:vAlign w:val="bottom"/>
          </w:tcPr>
          <w:p>
            <w:pPr>
              <w:jc w:val="right"/>
              <w:ind w:right="12"/>
              <w:spacing w:after="0"/>
              <w:rPr>
                <w:sz w:val="20"/>
                <w:szCs w:val="20"/>
                <w:color w:val="auto"/>
              </w:rPr>
            </w:pPr>
            <w:r>
              <w:rPr>
                <w:rFonts w:ascii="Arial" w:cs="Arial" w:eastAsia="Arial" w:hAnsi="Arial"/>
                <w:sz w:val="18"/>
                <w:szCs w:val="18"/>
                <w:b w:val="1"/>
                <w:bCs w:val="1"/>
                <w:color w:val="FFFFFF"/>
              </w:rPr>
              <w:t>VETERANS</w:t>
            </w:r>
          </w:p>
        </w:tc>
        <w:tc>
          <w:tcPr>
            <w:tcW w:w="9320" w:type="dxa"/>
            <w:vAlign w:val="bottom"/>
            <w:gridSpan w:val="5"/>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Since 2011, the Firm has hired more than 17,000 U.S. military veterans across all lines of business</w:t>
            </w:r>
          </w:p>
        </w:tc>
      </w:tr>
      <w:tr>
        <w:trPr>
          <w:trHeight w:val="194"/>
        </w:trPr>
        <w:tc>
          <w:tcPr>
            <w:tcW w:w="1940" w:type="dxa"/>
            <w:vAlign w:val="bottom"/>
          </w:tcPr>
          <w:p>
            <w:pPr>
              <w:jc w:val="right"/>
              <w:ind w:right="12"/>
              <w:spacing w:after="0" w:line="194" w:lineRule="exact"/>
              <w:rPr>
                <w:sz w:val="20"/>
                <w:szCs w:val="20"/>
                <w:color w:val="auto"/>
              </w:rPr>
            </w:pPr>
            <w:r>
              <w:rPr>
                <w:rFonts w:ascii="Arial" w:cs="Arial" w:eastAsia="Arial" w:hAnsi="Arial"/>
                <w:sz w:val="18"/>
                <w:szCs w:val="18"/>
                <w:b w:val="1"/>
                <w:bCs w:val="1"/>
                <w:color w:val="FFFFFF"/>
              </w:rPr>
              <w:t>AFFAIRS</w:t>
            </w:r>
          </w:p>
        </w:tc>
        <w:tc>
          <w:tcPr>
            <w:tcW w:w="9320" w:type="dxa"/>
            <w:vAlign w:val="bottom"/>
            <w:gridSpan w:val="5"/>
          </w:tcPr>
          <w:p>
            <w:pPr>
              <w:ind w:left="100"/>
              <w:spacing w:after="0"/>
              <w:rPr>
                <w:sz w:val="20"/>
                <w:szCs w:val="20"/>
                <w:color w:val="auto"/>
              </w:rPr>
            </w:pPr>
            <w:r>
              <w:rPr>
                <w:rFonts w:ascii="Arial" w:cs="Arial" w:eastAsia="Arial" w:hAnsi="Arial"/>
                <w:sz w:val="16"/>
                <w:szCs w:val="16"/>
                <w:color w:val="064A75"/>
              </w:rPr>
              <w:t xml:space="preserve">•  </w:t>
            </w:r>
            <w:r>
              <w:rPr>
                <w:rFonts w:ascii="Arial" w:cs="Arial" w:eastAsia="Arial" w:hAnsi="Arial"/>
                <w:sz w:val="16"/>
                <w:szCs w:val="16"/>
                <w:color w:val="000000"/>
              </w:rPr>
              <w:t>The Military Pathways Development Program works across all lines of business to offer two specialized pathways for recently</w:t>
            </w:r>
          </w:p>
        </w:tc>
      </w:tr>
      <w:tr>
        <w:trPr>
          <w:trHeight w:val="203"/>
        </w:trPr>
        <w:tc>
          <w:tcPr>
            <w:tcW w:w="1940" w:type="dxa"/>
            <w:vAlign w:val="bottom"/>
          </w:tcPr>
          <w:p>
            <w:pPr>
              <w:jc w:val="right"/>
              <w:ind w:right="12"/>
              <w:spacing w:after="0" w:line="203" w:lineRule="exact"/>
              <w:rPr>
                <w:sz w:val="20"/>
                <w:szCs w:val="20"/>
                <w:color w:val="auto"/>
              </w:rPr>
            </w:pPr>
            <w:r>
              <w:rPr>
                <w:rFonts w:ascii="Arial" w:cs="Arial" w:eastAsia="Arial" w:hAnsi="Arial"/>
                <w:sz w:val="18"/>
                <w:szCs w:val="18"/>
                <w:b w:val="1"/>
                <w:bCs w:val="1"/>
                <w:color w:val="FFFFFF"/>
              </w:rPr>
              <w:t>("MVA")</w:t>
            </w:r>
          </w:p>
        </w:tc>
        <w:tc>
          <w:tcPr>
            <w:tcW w:w="9320" w:type="dxa"/>
            <w:vAlign w:val="bottom"/>
            <w:gridSpan w:val="5"/>
          </w:tcPr>
          <w:p>
            <w:pPr>
              <w:ind w:left="300"/>
              <w:spacing w:after="0"/>
              <w:rPr>
                <w:sz w:val="20"/>
                <w:szCs w:val="20"/>
                <w:color w:val="auto"/>
              </w:rPr>
            </w:pPr>
            <w:r>
              <w:rPr>
                <w:rFonts w:ascii="Arial" w:cs="Arial" w:eastAsia="Arial" w:hAnsi="Arial"/>
                <w:sz w:val="16"/>
                <w:szCs w:val="16"/>
                <w:color w:val="auto"/>
              </w:rPr>
              <w:t>transitioned veterans, which provide entry into the Firm, a defined network of veteran peers, and programmatic support to</w:t>
            </w:r>
          </w:p>
        </w:tc>
      </w:tr>
      <w:tr>
        <w:trPr>
          <w:trHeight w:val="215"/>
        </w:trPr>
        <w:tc>
          <w:tcPr>
            <w:tcW w:w="1940" w:type="dxa"/>
            <w:vAlign w:val="bottom"/>
          </w:tcPr>
          <w:p>
            <w:pPr>
              <w:spacing w:after="0"/>
              <w:rPr>
                <w:sz w:val="18"/>
                <w:szCs w:val="18"/>
                <w:color w:val="auto"/>
              </w:rPr>
            </w:pPr>
          </w:p>
        </w:tc>
        <w:tc>
          <w:tcPr>
            <w:tcW w:w="5420" w:type="dxa"/>
            <w:vAlign w:val="bottom"/>
            <w:gridSpan w:val="3"/>
          </w:tcPr>
          <w:p>
            <w:pPr>
              <w:ind w:left="300"/>
              <w:spacing w:after="0"/>
              <w:rPr>
                <w:sz w:val="20"/>
                <w:szCs w:val="20"/>
                <w:color w:val="auto"/>
              </w:rPr>
            </w:pPr>
            <w:r>
              <w:rPr>
                <w:rFonts w:ascii="Arial" w:cs="Arial" w:eastAsia="Arial" w:hAnsi="Arial"/>
                <w:sz w:val="16"/>
                <w:szCs w:val="16"/>
                <w:color w:val="auto"/>
              </w:rPr>
              <w:t>promote career success</w:t>
            </w:r>
          </w:p>
        </w:tc>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-941705</wp:posOffset>
            </wp:positionV>
            <wp:extent cx="1234440" cy="199707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34440" cy="1997075"/>
                    </a:xfrm>
                    <a:prstGeom prst="rect">
                      <a:avLst/>
                    </a:prstGeom>
                    <a:noFill/>
                  </pic:spPr>
                </pic:pic>
              </a:graphicData>
            </a:graphic>
          </wp:anchor>
        </w:drawing>
      </w:r>
    </w:p>
    <w:p>
      <w:pPr>
        <w:ind w:left="2240" w:right="60" w:hanging="193"/>
        <w:spacing w:after="0" w:line="264" w:lineRule="auto"/>
        <w:tabs>
          <w:tab w:leader="none" w:pos="2237" w:val="left"/>
        </w:tabs>
        <w:numPr>
          <w:ilvl w:val="0"/>
          <w:numId w:val="172"/>
        </w:numPr>
        <w:rPr>
          <w:rFonts w:ascii="Arial" w:cs="Arial" w:eastAsia="Arial" w:hAnsi="Arial"/>
          <w:sz w:val="16"/>
          <w:szCs w:val="16"/>
          <w:color w:val="064A75"/>
        </w:rPr>
      </w:pPr>
      <w:r>
        <w:rPr>
          <w:rFonts w:ascii="Arial" w:cs="Arial" w:eastAsia="Arial" w:hAnsi="Arial"/>
          <w:sz w:val="16"/>
          <w:szCs w:val="16"/>
          <w:color w:val="auto"/>
        </w:rPr>
        <w:t>The Firm leads the Veteran Jobs Mission, a coalition of more than 250 companies committed to hiring and developing military talent, with over 800,000 veterans hired over the last 10 years</w:t>
      </w:r>
    </w:p>
    <w:p>
      <w:pPr>
        <w:spacing w:after="0" w:line="1" w:lineRule="exact"/>
        <w:rPr>
          <w:rFonts w:ascii="Arial" w:cs="Arial" w:eastAsia="Arial" w:hAnsi="Arial"/>
          <w:sz w:val="16"/>
          <w:szCs w:val="16"/>
          <w:color w:val="064A75"/>
        </w:rPr>
      </w:pPr>
    </w:p>
    <w:p>
      <w:pPr>
        <w:ind w:left="2240" w:right="400" w:hanging="193"/>
        <w:spacing w:after="0" w:line="264" w:lineRule="auto"/>
        <w:tabs>
          <w:tab w:leader="none" w:pos="2237" w:val="left"/>
        </w:tabs>
        <w:numPr>
          <w:ilvl w:val="0"/>
          <w:numId w:val="172"/>
        </w:numPr>
        <w:rPr>
          <w:rFonts w:ascii="Arial" w:cs="Arial" w:eastAsia="Arial" w:hAnsi="Arial"/>
          <w:sz w:val="16"/>
          <w:szCs w:val="16"/>
          <w:color w:val="074A75"/>
        </w:rPr>
      </w:pPr>
      <w:r>
        <w:rPr>
          <w:rFonts w:ascii="Arial" w:cs="Arial" w:eastAsia="Arial" w:hAnsi="Arial"/>
          <w:sz w:val="16"/>
          <w:szCs w:val="16"/>
          <w:color w:val="auto"/>
        </w:rPr>
        <w:t>In 2021, the Firm created CEOcircle, in collaboration with Bunker Labs, which is a program focused on helping veterans, active-duty service members, and military family members who are founders or executives to advance their businesses through peer-to-peer networking, in-person sessions and a ten-week mentorship program with the Firm</w:t>
      </w:r>
    </w:p>
    <w:p>
      <w:pPr>
        <w:ind w:left="2240" w:right="520" w:hanging="193"/>
        <w:spacing w:after="0" w:line="266" w:lineRule="auto"/>
        <w:tabs>
          <w:tab w:leader="none" w:pos="2237" w:val="left"/>
        </w:tabs>
        <w:numPr>
          <w:ilvl w:val="0"/>
          <w:numId w:val="172"/>
        </w:numPr>
        <w:rPr>
          <w:rFonts w:ascii="Arial" w:cs="Arial" w:eastAsia="Arial" w:hAnsi="Arial"/>
          <w:sz w:val="16"/>
          <w:szCs w:val="16"/>
          <w:color w:val="064A75"/>
        </w:rPr>
      </w:pPr>
      <w:r>
        <w:rPr>
          <w:rFonts w:ascii="Arial" w:cs="Arial" w:eastAsia="Arial" w:hAnsi="Arial"/>
          <w:sz w:val="16"/>
          <w:szCs w:val="16"/>
          <w:color w:val="auto"/>
        </w:rPr>
        <w:t>In 2021, the Firm also partnered with national non-profit VetsinTech to host a pitch competition for veteran and military spouse-owned startups. Approximately 60 companies applied to participate, offering tech solutions relevant to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60" w:type="dxa"/>
            <w:vAlign w:val="bottom"/>
            <w:tcBorders>
              <w:right w:val="single" w:sz="8" w:color="3E693D"/>
            </w:tcBorders>
            <w:shd w:val="clear" w:color="auto" w:fill="3E693D"/>
          </w:tcPr>
          <w:p>
            <w:pPr>
              <w:jc w:val="right"/>
              <w:ind w:right="35"/>
              <w:spacing w:after="0"/>
              <w:rPr>
                <w:sz w:val="20"/>
                <w:szCs w:val="20"/>
                <w:color w:val="auto"/>
              </w:rPr>
            </w:pPr>
            <w:r>
              <w:rPr>
                <w:rFonts w:ascii="Arial" w:cs="Arial" w:eastAsia="Arial" w:hAnsi="Arial"/>
                <w:sz w:val="18"/>
                <w:szCs w:val="18"/>
                <w:b w:val="1"/>
                <w:bCs w:val="1"/>
                <w:color w:val="FFFFFF"/>
              </w:rPr>
              <w:t>WOMEN ON</w:t>
            </w:r>
          </w:p>
        </w:tc>
        <w:tc>
          <w:tcPr>
            <w:tcW w:w="9280" w:type="dxa"/>
            <w:vAlign w:val="bottom"/>
            <w:gridSpan w:val="4"/>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Formalized in 2013, WOTM is a global, Firmwide effort designed to support the empowerment and advancement of our</w:t>
            </w:r>
          </w:p>
        </w:tc>
        <w:tc>
          <w:tcPr>
            <w:tcW w:w="0" w:type="dxa"/>
            <w:vAlign w:val="bottom"/>
          </w:tcPr>
          <w:p>
            <w:pPr>
              <w:spacing w:after="0"/>
              <w:rPr>
                <w:sz w:val="1"/>
                <w:szCs w:val="1"/>
                <w:color w:val="auto"/>
              </w:rPr>
            </w:pPr>
          </w:p>
        </w:tc>
      </w:tr>
      <w:tr>
        <w:trPr>
          <w:trHeight w:val="216"/>
        </w:trPr>
        <w:tc>
          <w:tcPr>
            <w:tcW w:w="1960" w:type="dxa"/>
            <w:vAlign w:val="bottom"/>
            <w:tcBorders>
              <w:right w:val="single" w:sz="8" w:color="3E693D"/>
            </w:tcBorders>
            <w:shd w:val="clear" w:color="auto" w:fill="3E693D"/>
          </w:tcPr>
          <w:p>
            <w:pPr>
              <w:jc w:val="right"/>
              <w:ind w:right="35"/>
              <w:spacing w:after="0"/>
              <w:rPr>
                <w:sz w:val="20"/>
                <w:szCs w:val="20"/>
                <w:color w:val="auto"/>
              </w:rPr>
            </w:pPr>
            <w:r>
              <w:rPr>
                <w:rFonts w:ascii="Arial" w:cs="Arial" w:eastAsia="Arial" w:hAnsi="Arial"/>
                <w:sz w:val="18"/>
                <w:szCs w:val="18"/>
                <w:b w:val="1"/>
                <w:bCs w:val="1"/>
                <w:color w:val="FFFFFF"/>
              </w:rPr>
              <w:t>THE MOVE</w:t>
            </w:r>
          </w:p>
        </w:tc>
        <w:tc>
          <w:tcPr>
            <w:tcW w:w="7340" w:type="dxa"/>
            <w:vAlign w:val="bottom"/>
            <w:gridSpan w:val="3"/>
          </w:tcPr>
          <w:p>
            <w:pPr>
              <w:ind w:left="280"/>
              <w:spacing w:after="0"/>
              <w:rPr>
                <w:sz w:val="20"/>
                <w:szCs w:val="20"/>
                <w:color w:val="auto"/>
              </w:rPr>
            </w:pPr>
            <w:r>
              <w:rPr>
                <w:rFonts w:ascii="Arial" w:cs="Arial" w:eastAsia="Arial" w:hAnsi="Arial"/>
                <w:sz w:val="16"/>
                <w:szCs w:val="16"/>
                <w:color w:val="auto"/>
              </w:rPr>
              <w:t>women employees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60" w:type="dxa"/>
            <w:vAlign w:val="bottom"/>
            <w:tcBorders>
              <w:right w:val="single" w:sz="8" w:color="3E693D"/>
            </w:tcBorders>
            <w:shd w:val="clear" w:color="auto" w:fill="3E693D"/>
          </w:tcPr>
          <w:p>
            <w:pPr>
              <w:jc w:val="right"/>
              <w:ind w:right="35"/>
              <w:spacing w:after="0"/>
              <w:rPr>
                <w:sz w:val="20"/>
                <w:szCs w:val="20"/>
                <w:color w:val="auto"/>
              </w:rPr>
            </w:pPr>
            <w:r>
              <w:rPr>
                <w:rFonts w:ascii="Arial" w:cs="Arial" w:eastAsia="Arial" w:hAnsi="Arial"/>
                <w:sz w:val="18"/>
                <w:szCs w:val="18"/>
                <w:b w:val="1"/>
                <w:bCs w:val="1"/>
                <w:color w:val="FFFFFF"/>
              </w:rPr>
              <w:t>(“WOTM”)</w:t>
            </w:r>
          </w:p>
        </w:tc>
        <w:tc>
          <w:tcPr>
            <w:tcW w:w="9280" w:type="dxa"/>
            <w:vAlign w:val="bottom"/>
            <w:gridSpan w:val="4"/>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WOTM continue to focus on our three strategic pillars: expand women-run businesses, improve women’s financial health,</w:t>
            </w:r>
          </w:p>
        </w:tc>
        <w:tc>
          <w:tcPr>
            <w:tcW w:w="0" w:type="dxa"/>
            <w:vAlign w:val="bottom"/>
          </w:tcPr>
          <w:p>
            <w:pPr>
              <w:spacing w:after="0"/>
              <w:rPr>
                <w:sz w:val="1"/>
                <w:szCs w:val="1"/>
                <w:color w:val="auto"/>
              </w:rPr>
            </w:pPr>
          </w:p>
        </w:tc>
      </w:tr>
      <w:tr>
        <w:trPr>
          <w:trHeight w:val="215"/>
        </w:trPr>
        <w:tc>
          <w:tcPr>
            <w:tcW w:w="1960" w:type="dxa"/>
            <w:vAlign w:val="bottom"/>
            <w:tcBorders>
              <w:right w:val="single" w:sz="8" w:color="3E693D"/>
            </w:tcBorders>
            <w:shd w:val="clear" w:color="auto" w:fill="3E693D"/>
          </w:tcPr>
          <w:p>
            <w:pPr>
              <w:spacing w:after="0"/>
              <w:rPr>
                <w:sz w:val="18"/>
                <w:szCs w:val="18"/>
                <w:color w:val="auto"/>
              </w:rPr>
            </w:pPr>
          </w:p>
        </w:tc>
        <w:tc>
          <w:tcPr>
            <w:tcW w:w="7340" w:type="dxa"/>
            <w:vAlign w:val="bottom"/>
            <w:gridSpan w:val="3"/>
          </w:tcPr>
          <w:p>
            <w:pPr>
              <w:ind w:left="280"/>
              <w:spacing w:after="0"/>
              <w:rPr>
                <w:sz w:val="20"/>
                <w:szCs w:val="20"/>
                <w:color w:val="auto"/>
              </w:rPr>
            </w:pPr>
            <w:r>
              <w:rPr>
                <w:rFonts w:ascii="Arial" w:cs="Arial" w:eastAsia="Arial" w:hAnsi="Arial"/>
                <w:sz w:val="16"/>
                <w:szCs w:val="16"/>
                <w:color w:val="auto"/>
              </w:rPr>
              <w:t>and empower women’s career growth</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3E693D"/>
            </w:tcBorders>
            <w:shd w:val="clear" w:color="auto" w:fill="3E693D"/>
          </w:tcPr>
          <w:p>
            <w:pPr>
              <w:spacing w:after="0"/>
              <w:rPr>
                <w:sz w:val="17"/>
                <w:szCs w:val="17"/>
                <w:color w:val="auto"/>
              </w:rPr>
            </w:pPr>
          </w:p>
        </w:tc>
        <w:tc>
          <w:tcPr>
            <w:tcW w:w="9280" w:type="dxa"/>
            <w:vAlign w:val="bottom"/>
            <w:gridSpan w:val="4"/>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In 2021, WOTM launched Curated Coaching for Entrepreneurs, providing free one-on-one coaching for over 700 women</w:t>
            </w:r>
          </w:p>
        </w:tc>
        <w:tc>
          <w:tcPr>
            <w:tcW w:w="0" w:type="dxa"/>
            <w:vAlign w:val="bottom"/>
          </w:tcPr>
          <w:p>
            <w:pPr>
              <w:spacing w:after="0"/>
              <w:rPr>
                <w:sz w:val="1"/>
                <w:szCs w:val="1"/>
                <w:color w:val="auto"/>
              </w:rPr>
            </w:pPr>
          </w:p>
        </w:tc>
      </w:tr>
      <w:tr>
        <w:trPr>
          <w:trHeight w:val="215"/>
        </w:trPr>
        <w:tc>
          <w:tcPr>
            <w:tcW w:w="1960" w:type="dxa"/>
            <w:vAlign w:val="bottom"/>
            <w:tcBorders>
              <w:right w:val="single" w:sz="8" w:color="3E693D"/>
            </w:tcBorders>
            <w:shd w:val="clear" w:color="auto" w:fill="3E693D"/>
          </w:tcPr>
          <w:p>
            <w:pPr>
              <w:spacing w:after="0"/>
              <w:rPr>
                <w:sz w:val="18"/>
                <w:szCs w:val="18"/>
                <w:color w:val="auto"/>
              </w:rPr>
            </w:pPr>
          </w:p>
        </w:tc>
        <w:tc>
          <w:tcPr>
            <w:tcW w:w="7340" w:type="dxa"/>
            <w:vAlign w:val="bottom"/>
            <w:gridSpan w:val="3"/>
          </w:tcPr>
          <w:p>
            <w:pPr>
              <w:ind w:left="280"/>
              <w:spacing w:after="0"/>
              <w:rPr>
                <w:sz w:val="20"/>
                <w:szCs w:val="20"/>
                <w:color w:val="auto"/>
              </w:rPr>
            </w:pPr>
            <w:r>
              <w:rPr>
                <w:rFonts w:ascii="Arial" w:cs="Arial" w:eastAsia="Arial" w:hAnsi="Arial"/>
                <w:sz w:val="16"/>
                <w:szCs w:val="16"/>
                <w:color w:val="auto"/>
              </w:rPr>
              <w:t>small business owners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60" w:type="dxa"/>
            <w:vAlign w:val="bottom"/>
            <w:tcBorders>
              <w:right w:val="single" w:sz="8" w:color="3E693D"/>
            </w:tcBorders>
            <w:shd w:val="clear" w:color="auto" w:fill="3E693D"/>
          </w:tcPr>
          <w:p>
            <w:pPr>
              <w:spacing w:after="0"/>
              <w:rPr>
                <w:sz w:val="16"/>
                <w:szCs w:val="16"/>
                <w:color w:val="auto"/>
              </w:rPr>
            </w:pPr>
          </w:p>
        </w:tc>
        <w:tc>
          <w:tcPr>
            <w:tcW w:w="9280" w:type="dxa"/>
            <w:vAlign w:val="bottom"/>
            <w:gridSpan w:val="4"/>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WOTM also kicked off a partnership with Techstars Founder Catalyst Program, a pre-accelerator program which provides</w:t>
            </w:r>
          </w:p>
        </w:tc>
        <w:tc>
          <w:tcPr>
            <w:tcW w:w="0" w:type="dxa"/>
            <w:vAlign w:val="bottom"/>
          </w:tcPr>
          <w:p>
            <w:pPr>
              <w:spacing w:after="0"/>
              <w:rPr>
                <w:sz w:val="1"/>
                <w:szCs w:val="1"/>
                <w:color w:val="auto"/>
              </w:rPr>
            </w:pPr>
          </w:p>
        </w:tc>
      </w:tr>
      <w:tr>
        <w:trPr>
          <w:trHeight w:val="215"/>
        </w:trPr>
        <w:tc>
          <w:tcPr>
            <w:tcW w:w="1960" w:type="dxa"/>
            <w:vAlign w:val="bottom"/>
            <w:tcBorders>
              <w:right w:val="single" w:sz="8" w:color="3E693D"/>
            </w:tcBorders>
            <w:shd w:val="clear" w:color="auto" w:fill="3E693D"/>
          </w:tcPr>
          <w:p>
            <w:pPr>
              <w:spacing w:after="0"/>
              <w:rPr>
                <w:sz w:val="18"/>
                <w:szCs w:val="18"/>
                <w:color w:val="auto"/>
              </w:rPr>
            </w:pPr>
          </w:p>
        </w:tc>
        <w:tc>
          <w:tcPr>
            <w:tcW w:w="7340" w:type="dxa"/>
            <w:vAlign w:val="bottom"/>
            <w:gridSpan w:val="3"/>
          </w:tcPr>
          <w:p>
            <w:pPr>
              <w:ind w:left="280"/>
              <w:spacing w:after="0"/>
              <w:rPr>
                <w:sz w:val="20"/>
                <w:szCs w:val="20"/>
                <w:color w:val="auto"/>
              </w:rPr>
            </w:pPr>
            <w:r>
              <w:rPr>
                <w:rFonts w:ascii="Arial" w:cs="Arial" w:eastAsia="Arial" w:hAnsi="Arial"/>
                <w:sz w:val="16"/>
                <w:szCs w:val="16"/>
                <w:color w:val="auto"/>
              </w:rPr>
              <w:t>startup education and mentorship to a diverse cohort of women entrepreneurs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3E693D"/>
            </w:tcBorders>
            <w:shd w:val="clear" w:color="auto" w:fill="3E693D"/>
          </w:tcPr>
          <w:p>
            <w:pPr>
              <w:spacing w:after="0"/>
              <w:rPr>
                <w:sz w:val="17"/>
                <w:szCs w:val="17"/>
                <w:color w:val="auto"/>
              </w:rPr>
            </w:pPr>
          </w:p>
        </w:tc>
        <w:tc>
          <w:tcPr>
            <w:tcW w:w="9280" w:type="dxa"/>
            <w:vAlign w:val="bottom"/>
            <w:gridSpan w:val="4"/>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To promote financial health, the Firm signed up more than 1 million women for Autosave, a feature in the Chase mobile app.</w:t>
            </w:r>
          </w:p>
        </w:tc>
        <w:tc>
          <w:tcPr>
            <w:tcW w:w="0" w:type="dxa"/>
            <w:vAlign w:val="bottom"/>
          </w:tcPr>
          <w:p>
            <w:pPr>
              <w:spacing w:after="0"/>
              <w:rPr>
                <w:sz w:val="1"/>
                <w:szCs w:val="1"/>
                <w:color w:val="auto"/>
              </w:rPr>
            </w:pPr>
          </w:p>
        </w:tc>
      </w:tr>
      <w:tr>
        <w:trPr>
          <w:trHeight w:val="215"/>
        </w:trPr>
        <w:tc>
          <w:tcPr>
            <w:tcW w:w="1960" w:type="dxa"/>
            <w:vAlign w:val="bottom"/>
            <w:tcBorders>
              <w:right w:val="single" w:sz="8" w:color="3E693D"/>
            </w:tcBorders>
            <w:shd w:val="clear" w:color="auto" w:fill="3E693D"/>
          </w:tcPr>
          <w:p>
            <w:pPr>
              <w:spacing w:after="0"/>
              <w:rPr>
                <w:sz w:val="18"/>
                <w:szCs w:val="18"/>
                <w:color w:val="auto"/>
              </w:rPr>
            </w:pPr>
          </w:p>
        </w:tc>
        <w:tc>
          <w:tcPr>
            <w:tcW w:w="7340" w:type="dxa"/>
            <w:vAlign w:val="bottom"/>
            <w:gridSpan w:val="3"/>
          </w:tcPr>
          <w:p>
            <w:pPr>
              <w:ind w:left="280"/>
              <w:spacing w:after="0"/>
              <w:rPr>
                <w:sz w:val="20"/>
                <w:szCs w:val="20"/>
                <w:color w:val="auto"/>
              </w:rPr>
            </w:pPr>
            <w:r>
              <w:rPr>
                <w:rFonts w:ascii="Arial" w:cs="Arial" w:eastAsia="Arial" w:hAnsi="Arial"/>
                <w:sz w:val="16"/>
                <w:szCs w:val="16"/>
                <w:color w:val="auto"/>
              </w:rPr>
              <w:t>These women have saved an aggregate of $3.2 billion</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3E693D"/>
            </w:tcBorders>
            <w:shd w:val="clear" w:color="auto" w:fill="3E693D"/>
          </w:tcPr>
          <w:p>
            <w:pPr>
              <w:spacing w:after="0"/>
              <w:rPr>
                <w:sz w:val="17"/>
                <w:szCs w:val="17"/>
                <w:color w:val="auto"/>
              </w:rPr>
            </w:pPr>
          </w:p>
        </w:tc>
        <w:tc>
          <w:tcPr>
            <w:tcW w:w="9280" w:type="dxa"/>
            <w:vAlign w:val="bottom"/>
            <w:gridSpan w:val="4"/>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In 2021, the Firm had the largest number of women promoted to Managing Director in the last five years, and a record</w:t>
            </w:r>
          </w:p>
        </w:tc>
        <w:tc>
          <w:tcPr>
            <w:tcW w:w="0" w:type="dxa"/>
            <w:vAlign w:val="bottom"/>
          </w:tcPr>
          <w:p>
            <w:pPr>
              <w:spacing w:after="0"/>
              <w:rPr>
                <w:sz w:val="1"/>
                <w:szCs w:val="1"/>
                <w:color w:val="auto"/>
              </w:rPr>
            </w:pPr>
          </w:p>
        </w:tc>
      </w:tr>
      <w:tr>
        <w:trPr>
          <w:trHeight w:val="189"/>
        </w:trPr>
        <w:tc>
          <w:tcPr>
            <w:tcW w:w="1960" w:type="dxa"/>
            <w:vAlign w:val="bottom"/>
            <w:tcBorders>
              <w:right w:val="single" w:sz="8" w:color="3E693D"/>
            </w:tcBorders>
            <w:shd w:val="clear" w:color="auto" w:fill="3E693D"/>
          </w:tcPr>
          <w:p>
            <w:pPr>
              <w:spacing w:after="0"/>
              <w:rPr>
                <w:sz w:val="16"/>
                <w:szCs w:val="16"/>
                <w:color w:val="auto"/>
              </w:rPr>
            </w:pPr>
          </w:p>
        </w:tc>
        <w:tc>
          <w:tcPr>
            <w:tcW w:w="9280" w:type="dxa"/>
            <w:vAlign w:val="bottom"/>
            <w:gridSpan w:val="4"/>
          </w:tcPr>
          <w:p>
            <w:pPr>
              <w:ind w:left="280"/>
              <w:spacing w:after="0"/>
              <w:rPr>
                <w:sz w:val="20"/>
                <w:szCs w:val="20"/>
                <w:color w:val="auto"/>
              </w:rPr>
            </w:pPr>
            <w:r>
              <w:rPr>
                <w:rFonts w:ascii="Arial" w:cs="Arial" w:eastAsia="Arial" w:hAnsi="Arial"/>
                <w:sz w:val="16"/>
                <w:szCs w:val="16"/>
                <w:color w:val="auto"/>
              </w:rPr>
              <w:t>number of women promoted to Executive Director. Additionally, 50% of the 2021 intern class was women, and 51% of the</w:t>
            </w:r>
          </w:p>
        </w:tc>
        <w:tc>
          <w:tcPr>
            <w:tcW w:w="0" w:type="dxa"/>
            <w:vAlign w:val="bottom"/>
          </w:tcPr>
          <w:p>
            <w:pPr>
              <w:spacing w:after="0"/>
              <w:rPr>
                <w:sz w:val="1"/>
                <w:szCs w:val="1"/>
                <w:color w:val="auto"/>
              </w:rPr>
            </w:pPr>
          </w:p>
        </w:tc>
      </w:tr>
      <w:tr>
        <w:trPr>
          <w:trHeight w:val="215"/>
        </w:trPr>
        <w:tc>
          <w:tcPr>
            <w:tcW w:w="1960" w:type="dxa"/>
            <w:vAlign w:val="bottom"/>
            <w:tcBorders>
              <w:right w:val="single" w:sz="8" w:color="3E693D"/>
            </w:tcBorders>
            <w:shd w:val="clear" w:color="auto" w:fill="3E693D"/>
          </w:tcPr>
          <w:p>
            <w:pPr>
              <w:spacing w:after="0"/>
              <w:rPr>
                <w:sz w:val="18"/>
                <w:szCs w:val="18"/>
                <w:color w:val="auto"/>
              </w:rPr>
            </w:pPr>
          </w:p>
        </w:tc>
        <w:tc>
          <w:tcPr>
            <w:tcW w:w="7340" w:type="dxa"/>
            <w:vAlign w:val="bottom"/>
            <w:gridSpan w:val="3"/>
          </w:tcPr>
          <w:p>
            <w:pPr>
              <w:ind w:left="280"/>
              <w:spacing w:after="0"/>
              <w:rPr>
                <w:sz w:val="20"/>
                <w:szCs w:val="20"/>
                <w:color w:val="auto"/>
              </w:rPr>
            </w:pPr>
            <w:r>
              <w:rPr>
                <w:rFonts w:ascii="Arial" w:cs="Arial" w:eastAsia="Arial" w:hAnsi="Arial"/>
                <w:sz w:val="16"/>
                <w:szCs w:val="16"/>
                <w:color w:val="auto"/>
              </w:rPr>
              <w:t>full-time analyst and associate offers firmwide went to women</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60" w:type="dxa"/>
            <w:vAlign w:val="bottom"/>
            <w:tcBorders>
              <w:right w:val="single" w:sz="8" w:color="3E693D"/>
            </w:tcBorders>
            <w:shd w:val="clear" w:color="auto" w:fill="3E693D"/>
          </w:tcPr>
          <w:p>
            <w:pPr>
              <w:spacing w:after="0"/>
              <w:rPr>
                <w:sz w:val="16"/>
                <w:szCs w:val="16"/>
                <w:color w:val="auto"/>
              </w:rPr>
            </w:pPr>
          </w:p>
        </w:tc>
        <w:tc>
          <w:tcPr>
            <w:tcW w:w="9280" w:type="dxa"/>
            <w:vAlign w:val="bottom"/>
            <w:gridSpan w:val="4"/>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Firm reached more than 7,000 female employees across all levels and geographies through our Fast Forward career</w:t>
            </w:r>
          </w:p>
        </w:tc>
        <w:tc>
          <w:tcPr>
            <w:tcW w:w="0" w:type="dxa"/>
            <w:vAlign w:val="bottom"/>
          </w:tcPr>
          <w:p>
            <w:pPr>
              <w:spacing w:after="0"/>
              <w:rPr>
                <w:sz w:val="1"/>
                <w:szCs w:val="1"/>
                <w:color w:val="auto"/>
              </w:rPr>
            </w:pPr>
          </w:p>
        </w:tc>
      </w:tr>
      <w:tr>
        <w:trPr>
          <w:trHeight w:val="251"/>
        </w:trPr>
        <w:tc>
          <w:tcPr>
            <w:tcW w:w="1960" w:type="dxa"/>
            <w:vAlign w:val="bottom"/>
            <w:tcBorders>
              <w:bottom w:val="single" w:sz="8" w:color="3E693D"/>
              <w:right w:val="single" w:sz="8" w:color="3E693D"/>
            </w:tcBorders>
            <w:shd w:val="clear" w:color="auto" w:fill="3E693D"/>
          </w:tcPr>
          <w:p>
            <w:pPr>
              <w:spacing w:after="0"/>
              <w:rPr>
                <w:sz w:val="21"/>
                <w:szCs w:val="21"/>
                <w:color w:val="auto"/>
              </w:rPr>
            </w:pPr>
          </w:p>
        </w:tc>
        <w:tc>
          <w:tcPr>
            <w:tcW w:w="7340" w:type="dxa"/>
            <w:vAlign w:val="bottom"/>
            <w:gridSpan w:val="3"/>
          </w:tcPr>
          <w:p>
            <w:pPr>
              <w:ind w:left="280"/>
              <w:spacing w:after="0"/>
              <w:rPr>
                <w:sz w:val="20"/>
                <w:szCs w:val="20"/>
                <w:color w:val="auto"/>
              </w:rPr>
            </w:pPr>
            <w:r>
              <w:rPr>
                <w:rFonts w:ascii="Arial" w:cs="Arial" w:eastAsia="Arial" w:hAnsi="Arial"/>
                <w:sz w:val="16"/>
                <w:szCs w:val="16"/>
                <w:color w:val="auto"/>
              </w:rPr>
              <w:t>development program in 2021</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960" w:type="dxa"/>
            <w:vAlign w:val="bottom"/>
            <w:tcBorders>
              <w:bottom w:val="single" w:sz="8" w:color="494949"/>
            </w:tcBorders>
          </w:tcPr>
          <w:p>
            <w:pPr>
              <w:spacing w:after="0"/>
              <w:rPr>
                <w:sz w:val="4"/>
                <w:szCs w:val="4"/>
                <w:color w:val="auto"/>
              </w:rPr>
            </w:pPr>
          </w:p>
        </w:tc>
        <w:tc>
          <w:tcPr>
            <w:tcW w:w="3460" w:type="dxa"/>
            <w:vAlign w:val="bottom"/>
            <w:tcBorders>
              <w:bottom w:val="single" w:sz="8" w:color="494949"/>
            </w:tcBorders>
          </w:tcPr>
          <w:p>
            <w:pPr>
              <w:spacing w:after="0"/>
              <w:rPr>
                <w:sz w:val="4"/>
                <w:szCs w:val="4"/>
                <w:color w:val="auto"/>
              </w:rPr>
            </w:pPr>
          </w:p>
        </w:tc>
        <w:tc>
          <w:tcPr>
            <w:tcW w:w="420" w:type="dxa"/>
            <w:vAlign w:val="bottom"/>
            <w:tcBorders>
              <w:bottom w:val="single" w:sz="8" w:color="494949"/>
            </w:tcBorders>
          </w:tcPr>
          <w:p>
            <w:pPr>
              <w:spacing w:after="0"/>
              <w:rPr>
                <w:sz w:val="4"/>
                <w:szCs w:val="4"/>
                <w:color w:val="auto"/>
              </w:rPr>
            </w:pPr>
          </w:p>
        </w:tc>
        <w:tc>
          <w:tcPr>
            <w:tcW w:w="3460" w:type="dxa"/>
            <w:vAlign w:val="bottom"/>
            <w:tcBorders>
              <w:bottom w:val="single" w:sz="8" w:color="494949"/>
            </w:tcBorders>
          </w:tcPr>
          <w:p>
            <w:pPr>
              <w:spacing w:after="0"/>
              <w:rPr>
                <w:sz w:val="4"/>
                <w:szCs w:val="4"/>
                <w:color w:val="auto"/>
              </w:rPr>
            </w:pPr>
          </w:p>
        </w:tc>
        <w:tc>
          <w:tcPr>
            <w:tcW w:w="194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506"/>
        </w:trPr>
        <w:tc>
          <w:tcPr>
            <w:tcW w:w="1960" w:type="dxa"/>
            <w:vAlign w:val="bottom"/>
            <w:vMerge w:val="restart"/>
          </w:tcPr>
          <w:p>
            <w:pPr>
              <w:jc w:val="right"/>
              <w:ind w:right="75"/>
              <w:spacing w:after="0"/>
              <w:rPr>
                <w:sz w:val="20"/>
                <w:szCs w:val="20"/>
                <w:color w:val="auto"/>
              </w:rPr>
            </w:pPr>
            <w:r>
              <w:rPr>
                <w:rFonts w:ascii="Arial" w:cs="Arial" w:eastAsia="Arial" w:hAnsi="Arial"/>
                <w:sz w:val="14"/>
                <w:szCs w:val="14"/>
                <w:color w:val="074A75"/>
              </w:rPr>
              <w:t>JPMORGAN CHASE &amp; CO.</w:t>
            </w:r>
          </w:p>
        </w:tc>
        <w:tc>
          <w:tcPr>
            <w:tcW w:w="3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4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88"/>
        </w:trPr>
        <w:tc>
          <w:tcPr>
            <w:tcW w:w="1960" w:type="dxa"/>
            <w:vAlign w:val="bottom"/>
            <w:vMerge w:val="continue"/>
          </w:tcPr>
          <w:p>
            <w:pPr>
              <w:spacing w:after="0"/>
              <w:rPr>
                <w:sz w:val="7"/>
                <w:szCs w:val="7"/>
                <w:color w:val="auto"/>
              </w:rPr>
            </w:pPr>
          </w:p>
        </w:tc>
        <w:tc>
          <w:tcPr>
            <w:tcW w:w="3460" w:type="dxa"/>
            <w:vAlign w:val="bottom"/>
            <w:tcBorders>
              <w:bottom w:val="single" w:sz="8" w:color="8A8C8F"/>
              <w:right w:val="single" w:sz="8" w:color="8A8C8F"/>
            </w:tcBorders>
          </w:tcPr>
          <w:p>
            <w:pPr>
              <w:spacing w:after="0"/>
              <w:rPr>
                <w:sz w:val="7"/>
                <w:szCs w:val="7"/>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62</w:t>
            </w:r>
          </w:p>
        </w:tc>
        <w:tc>
          <w:tcPr>
            <w:tcW w:w="3460" w:type="dxa"/>
            <w:vAlign w:val="bottom"/>
            <w:tcBorders>
              <w:bottom w:val="single" w:sz="8" w:color="8A8C8F"/>
            </w:tcBorders>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346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EMPLOYEE GROWTH</w:t>
      </w:r>
    </w:p>
    <w:p>
      <w:pPr>
        <w:spacing w:after="0" w:line="1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dedicated to a culture that enables employees and leaders to grow and succeed throughout their careers while encouraging them to uphold a standard of excellence. To do so, we make substantial investments in learning content, tools and training programs to help employees build their knowledge, skills and experience, and to guide their career advancement. In 2021, we continued to deliver development and training programs to our employees by using virtual learning and creating content to support our employees in managing and adapting to unprecedented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234440" cy="17405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34440" cy="174053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79" w:lineRule="exact"/>
        <w:rPr>
          <w:sz w:val="20"/>
          <w:szCs w:val="20"/>
          <w:color w:val="auto"/>
        </w:rPr>
      </w:pPr>
    </w:p>
    <w:p>
      <w:pPr>
        <w:ind w:left="460" w:firstLine="210"/>
        <w:spacing w:after="0" w:line="296" w:lineRule="auto"/>
        <w:rPr>
          <w:sz w:val="20"/>
          <w:szCs w:val="20"/>
          <w:color w:val="auto"/>
        </w:rPr>
      </w:pPr>
      <w:r>
        <w:rPr>
          <w:rFonts w:ascii="Arial" w:cs="Arial" w:eastAsia="Arial" w:hAnsi="Arial"/>
          <w:sz w:val="18"/>
          <w:szCs w:val="18"/>
          <w:b w:val="1"/>
          <w:bCs w:val="1"/>
          <w:color w:val="FFFFFF"/>
        </w:rPr>
        <w:t>LEADERSHIP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1445260</wp:posOffset>
            </wp:positionV>
            <wp:extent cx="1234440" cy="126047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34440" cy="1260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93" w:right="340" w:hanging="193"/>
        <w:spacing w:after="0" w:line="264" w:lineRule="auto"/>
        <w:tabs>
          <w:tab w:leader="none" w:pos="190" w:val="left"/>
        </w:tabs>
        <w:numPr>
          <w:ilvl w:val="0"/>
          <w:numId w:val="173"/>
        </w:numPr>
        <w:rPr>
          <w:rFonts w:ascii="Arial" w:cs="Arial" w:eastAsia="Arial" w:hAnsi="Arial"/>
          <w:sz w:val="16"/>
          <w:szCs w:val="16"/>
          <w:color w:val="074A75"/>
        </w:rPr>
      </w:pPr>
      <w:r>
        <w:rPr>
          <w:rFonts w:ascii="Arial" w:cs="Arial" w:eastAsia="Arial" w:hAnsi="Arial"/>
          <w:sz w:val="16"/>
          <w:szCs w:val="16"/>
          <w:color w:val="auto"/>
        </w:rPr>
        <w:t>Our global leadership development Center of Excellence, Leadership Edge, is focused on creating one leadership culture and helping managers become better leaders every day. Since its launch in 2015, more than 100,000 managers have participated in Leadership Edge programs</w:t>
      </w:r>
    </w:p>
    <w:p>
      <w:pPr>
        <w:jc w:val="both"/>
        <w:ind w:left="193" w:right="220" w:hanging="193"/>
        <w:spacing w:after="0" w:line="264" w:lineRule="auto"/>
        <w:tabs>
          <w:tab w:leader="none" w:pos="190" w:val="left"/>
        </w:tabs>
        <w:numPr>
          <w:ilvl w:val="0"/>
          <w:numId w:val="173"/>
        </w:numPr>
        <w:rPr>
          <w:rFonts w:ascii="Arial" w:cs="Arial" w:eastAsia="Arial" w:hAnsi="Arial"/>
          <w:sz w:val="16"/>
          <w:szCs w:val="16"/>
          <w:color w:val="074A75"/>
        </w:rPr>
      </w:pPr>
      <w:r>
        <w:rPr>
          <w:rFonts w:ascii="Arial" w:cs="Arial" w:eastAsia="Arial" w:hAnsi="Arial"/>
          <w:sz w:val="16"/>
          <w:szCs w:val="16"/>
          <w:color w:val="auto"/>
        </w:rPr>
        <w:t>We continued to build out the Manager Excellence framework, which clearly defines effective and inclusive leadership. This includes designing learning specifically tailored to manager capabilities, including driving performance, prioritizing diversity, equity and inclusion, and guiding careers</w:t>
      </w:r>
    </w:p>
    <w:p>
      <w:pPr>
        <w:ind w:left="193" w:right="260" w:hanging="193"/>
        <w:spacing w:after="0" w:line="258" w:lineRule="auto"/>
        <w:tabs>
          <w:tab w:leader="none" w:pos="190" w:val="left"/>
        </w:tabs>
        <w:numPr>
          <w:ilvl w:val="0"/>
          <w:numId w:val="173"/>
        </w:numPr>
        <w:rPr>
          <w:rFonts w:ascii="Arial" w:cs="Arial" w:eastAsia="Arial" w:hAnsi="Arial"/>
          <w:sz w:val="16"/>
          <w:szCs w:val="16"/>
          <w:color w:val="074A75"/>
        </w:rPr>
      </w:pPr>
      <w:r>
        <w:rPr>
          <w:rFonts w:ascii="Arial" w:cs="Arial" w:eastAsia="Arial" w:hAnsi="Arial"/>
          <w:sz w:val="16"/>
          <w:szCs w:val="16"/>
          <w:color w:val="auto"/>
        </w:rPr>
        <w:t>During 2021, we continued to support our leaders and managers through unprecedented times, utilizing virtual classrooms and self-paced digital content to deliver our learning solutions; over 14,000 leaders and managers have engaged in the Leadership Edge suite of programs during the course of the year</w:t>
      </w:r>
    </w:p>
    <w:p>
      <w:pPr>
        <w:ind w:left="193" w:right="100" w:hanging="193"/>
        <w:spacing w:after="0" w:line="259" w:lineRule="auto"/>
        <w:tabs>
          <w:tab w:leader="none" w:pos="190" w:val="left"/>
        </w:tabs>
        <w:numPr>
          <w:ilvl w:val="0"/>
          <w:numId w:val="173"/>
        </w:numPr>
        <w:rPr>
          <w:rFonts w:ascii="Arial" w:cs="Arial" w:eastAsia="Arial" w:hAnsi="Arial"/>
          <w:sz w:val="16"/>
          <w:szCs w:val="16"/>
          <w:color w:val="074A75"/>
        </w:rPr>
      </w:pPr>
      <w:r>
        <w:rPr>
          <w:rFonts w:ascii="Arial" w:cs="Arial" w:eastAsia="Arial" w:hAnsi="Arial"/>
          <w:sz w:val="16"/>
          <w:szCs w:val="16"/>
          <w:color w:val="auto"/>
        </w:rPr>
        <w:t>We adapted our Senior Executive Development Portfolio to be delivered virtually, and introduced content specifically focused on helping senior managers and their teams lead through pivotal strategic business transformations. This included the New Managing Directors Workshop, where our Operating Committee and other senior leaders delivered a virtual program to over 350 newly promoted Managing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61595</wp:posOffset>
            </wp:positionV>
            <wp:extent cx="713232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207"/>
            <w:col w:w="9213"/>
          </w:cols>
          <w:pgMar w:left="320" w:top="157" w:right="319" w:bottom="1440" w:gutter="0" w:footer="0" w:header="0"/>
          <w:type w:val="continuous"/>
        </w:sectPr>
      </w:pPr>
    </w:p>
    <w:p>
      <w:pPr>
        <w:spacing w:after="0" w:line="1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FFFFFF"/>
        </w:rPr>
        <w:t>EMPLOYEE</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FFFFFF"/>
        </w:rPr>
        <w:t>LEARNING</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93" w:right="980" w:hanging="193"/>
        <w:spacing w:after="0" w:line="272" w:lineRule="auto"/>
        <w:tabs>
          <w:tab w:leader="none" w:pos="190" w:val="left"/>
        </w:tabs>
        <w:numPr>
          <w:ilvl w:val="0"/>
          <w:numId w:val="174"/>
        </w:numPr>
        <w:rPr>
          <w:rFonts w:ascii="Arial" w:cs="Arial" w:eastAsia="Arial" w:hAnsi="Arial"/>
          <w:sz w:val="16"/>
          <w:szCs w:val="16"/>
          <w:color w:val="074A75"/>
        </w:rPr>
      </w:pPr>
      <w:r>
        <w:rPr>
          <w:rFonts w:ascii="Arial" w:cs="Arial" w:eastAsia="Arial" w:hAnsi="Arial"/>
          <w:sz w:val="16"/>
          <w:szCs w:val="16"/>
          <w:color w:val="auto"/>
        </w:rPr>
        <w:t>Our learning agenda is designed to enable our employees to succeed in their careers while navigating the digital transformation occurring in our economy</w:t>
      </w:r>
    </w:p>
    <w:p>
      <w:pPr>
        <w:spacing w:after="0" w:line="1" w:lineRule="exact"/>
        <w:rPr>
          <w:rFonts w:ascii="Arial" w:cs="Arial" w:eastAsia="Arial" w:hAnsi="Arial"/>
          <w:sz w:val="16"/>
          <w:szCs w:val="16"/>
          <w:color w:val="074A75"/>
        </w:rPr>
      </w:pPr>
    </w:p>
    <w:p>
      <w:pPr>
        <w:ind w:left="193" w:right="180" w:hanging="193"/>
        <w:spacing w:after="0" w:line="272" w:lineRule="auto"/>
        <w:tabs>
          <w:tab w:leader="none" w:pos="190" w:val="left"/>
        </w:tabs>
        <w:numPr>
          <w:ilvl w:val="0"/>
          <w:numId w:val="174"/>
        </w:numPr>
        <w:rPr>
          <w:rFonts w:ascii="Arial" w:cs="Arial" w:eastAsia="Arial" w:hAnsi="Arial"/>
          <w:sz w:val="16"/>
          <w:szCs w:val="16"/>
          <w:color w:val="074A75"/>
        </w:rPr>
      </w:pPr>
      <w:r>
        <w:rPr>
          <w:rFonts w:ascii="Arial" w:cs="Arial" w:eastAsia="Arial" w:hAnsi="Arial"/>
          <w:sz w:val="16"/>
          <w:szCs w:val="16"/>
          <w:color w:val="auto"/>
        </w:rPr>
        <w:t>In 2021, we delivered over 8 million hours of training to employees globally, transitioning all learning to digital through online courses and virtual instruction. This included training a record number of new hires</w:t>
      </w:r>
    </w:p>
    <w:p>
      <w:pPr>
        <w:spacing w:after="0" w:line="1" w:lineRule="exact"/>
        <w:rPr>
          <w:rFonts w:ascii="Arial" w:cs="Arial" w:eastAsia="Arial" w:hAnsi="Arial"/>
          <w:sz w:val="16"/>
          <w:szCs w:val="16"/>
          <w:color w:val="074A75"/>
        </w:rPr>
      </w:pPr>
    </w:p>
    <w:p>
      <w:pPr>
        <w:ind w:left="193" w:right="640" w:hanging="193"/>
        <w:spacing w:after="0" w:line="264" w:lineRule="auto"/>
        <w:tabs>
          <w:tab w:leader="none" w:pos="190" w:val="left"/>
        </w:tabs>
        <w:numPr>
          <w:ilvl w:val="0"/>
          <w:numId w:val="174"/>
        </w:numPr>
        <w:rPr>
          <w:rFonts w:ascii="Arial" w:cs="Arial" w:eastAsia="Arial" w:hAnsi="Arial"/>
          <w:sz w:val="16"/>
          <w:szCs w:val="16"/>
          <w:color w:val="074A75"/>
        </w:rPr>
      </w:pPr>
      <w:r>
        <w:rPr>
          <w:rFonts w:ascii="Arial" w:cs="Arial" w:eastAsia="Arial" w:hAnsi="Arial"/>
          <w:sz w:val="16"/>
          <w:szCs w:val="16"/>
          <w:color w:val="auto"/>
        </w:rPr>
        <w:t>The Education Benefit program was expanded to provide employees with access to over 400 bachelors, masters and certification programs</w:t>
      </w:r>
    </w:p>
    <w:p>
      <w:pPr>
        <w:jc w:val="both"/>
        <w:ind w:left="193" w:right="80" w:hanging="193"/>
        <w:spacing w:after="0" w:line="266" w:lineRule="auto"/>
        <w:tabs>
          <w:tab w:leader="none" w:pos="190" w:val="left"/>
        </w:tabs>
        <w:numPr>
          <w:ilvl w:val="0"/>
          <w:numId w:val="174"/>
        </w:numPr>
        <w:rPr>
          <w:rFonts w:ascii="Arial" w:cs="Arial" w:eastAsia="Arial" w:hAnsi="Arial"/>
          <w:sz w:val="16"/>
          <w:szCs w:val="16"/>
          <w:color w:val="064A75"/>
        </w:rPr>
      </w:pPr>
      <w:r>
        <w:rPr>
          <w:rFonts w:ascii="Arial" w:cs="Arial" w:eastAsia="Arial" w:hAnsi="Arial"/>
          <w:sz w:val="16"/>
          <w:szCs w:val="16"/>
          <w:color w:val="auto"/>
        </w:rPr>
        <w:t>In order to help employees understand the skills they need to advance their careers at the Firm, and identify relevant training opportunities, we expanded communication of skill requirements for over 350 Technology, Operations and Branch job profiles covering over half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57785</wp:posOffset>
            </wp:positionV>
            <wp:extent cx="713232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323215</wp:posOffset>
            </wp:positionV>
            <wp:extent cx="27432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207"/>
            <w:col w:w="9213"/>
          </w:cols>
          <w:pgMar w:left="320" w:top="157" w:right="319" w:bottom="1440" w:gutter="0" w:footer="0" w:header="0"/>
          <w:type w:val="continuous"/>
        </w:sect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63  </w:t>
      </w:r>
      <w:r>
        <w:rPr>
          <w:sz w:val="1"/>
          <w:szCs w:val="1"/>
          <w:color w:val="auto"/>
        </w:rPr>
        <w:drawing>
          <wp:inline distT="0" distB="0" distL="0" distR="0">
            <wp:extent cx="2203450" cy="154305"/>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EMPLOYEE BENEFITS &amp; WELLNESS</w:t>
      </w:r>
    </w:p>
    <w:p>
      <w:pPr>
        <w:spacing w:after="0" w:line="11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are committed to providing compensation and benefits programs and policies that support the needs of our employees and their families. Our benefits and wellness strategy is based on three key components: Health (physical well-being), Balance (emotional well-being and social connectedness) and Finances (financial well-being).</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continue to update and enhance safety protocols and support based on evolving best practices and employee needs. For the second year in a row, the Firm was awarded the "WELL Health-Safety Rating" for all of our approximately 6,200 locations globally based on our operational policies, maintenance protocols, stakeholder engagement and emergency plans to address a COVID-19 environment. We enhanced our paid time off policies to include incremental time off related to getting the COVID-19 vaccine and booster shots. We also ran an educational campaign featuring 15 events with over 30 medical doctors and industry experts who discussed the importance of vaccines and addressed employee questions, reaching over 10,000 participants. These events, developed in partnership with our Business Resource Groups, brought in diverse speakers to help address vaccine hesitancy in various communities and populations.</w:t>
      </w:r>
    </w:p>
    <w:p>
      <w:pPr>
        <w:spacing w:after="0" w:line="7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Additionally, we offer our employees and their families an extensive benefits and wellness package that includes healthcare coverage, retirement benefits, life and disability insurance, onsite health and wellness centers, employee assistance programs, competitive vacation and leave policies, backup childcare arrangements, tuition reimbursement programs and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097280" cy="10204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097280" cy="1020445"/>
                    </a:xfrm>
                    <a:prstGeom prst="rect">
                      <a:avLst/>
                    </a:prstGeom>
                    <a:noFill/>
                  </pic:spPr>
                </pic:pic>
              </a:graphicData>
            </a:graphic>
          </wp:anchor>
        </w:drawing>
      </w:r>
    </w:p>
    <w:p>
      <w:pPr>
        <w:spacing w:after="0" w:line="97" w:lineRule="exact"/>
        <w:rPr>
          <w:sz w:val="20"/>
          <w:szCs w:val="20"/>
          <w:color w:val="auto"/>
        </w:rPr>
      </w:pPr>
    </w:p>
    <w:p>
      <w:pPr>
        <w:ind w:left="1840" w:right="500" w:hanging="1126"/>
        <w:spacing w:after="0" w:line="286" w:lineRule="auto"/>
        <w:tabs>
          <w:tab w:leader="none" w:pos="1820" w:val="left"/>
        </w:tabs>
        <w:rPr>
          <w:sz w:val="20"/>
          <w:szCs w:val="20"/>
          <w:color w:val="auto"/>
        </w:rPr>
      </w:pPr>
      <w:r>
        <w:rPr>
          <w:rFonts w:ascii="Arial" w:cs="Arial" w:eastAsia="Arial" w:hAnsi="Arial"/>
          <w:sz w:val="18"/>
          <w:szCs w:val="18"/>
          <w:b w:val="1"/>
          <w:bCs w:val="1"/>
          <w:color w:val="FFFFFF"/>
        </w:rPr>
        <w:t>HEALTH</w:t>
      </w:r>
      <w:r>
        <w:rPr>
          <w:sz w:val="20"/>
          <w:szCs w:val="20"/>
          <w:color w:val="auto"/>
        </w:rPr>
        <w:tab/>
      </w:r>
      <w:r>
        <w:rPr>
          <w:rFonts w:ascii="Arial" w:cs="Arial" w:eastAsia="Arial" w:hAnsi="Arial"/>
          <w:sz w:val="16"/>
          <w:szCs w:val="16"/>
          <w:color w:val="074A75"/>
        </w:rPr>
        <w:t xml:space="preserve">• </w:t>
      </w:r>
      <w:r>
        <w:rPr>
          <w:rFonts w:ascii="Arial" w:cs="Arial" w:eastAsia="Arial" w:hAnsi="Arial"/>
          <w:sz w:val="16"/>
          <w:szCs w:val="16"/>
          <w:color w:val="000000"/>
        </w:rPr>
        <w:t>Our U.S. medical plan covers over 283,000 individuals, including approximately 133,000 employees, 101,000 children and</w:t>
      </w:r>
      <w:r>
        <w:rPr>
          <w:rFonts w:ascii="Arial" w:cs="Arial" w:eastAsia="Arial" w:hAnsi="Arial"/>
          <w:sz w:val="16"/>
          <w:szCs w:val="16"/>
          <w:color w:val="074A75"/>
        </w:rPr>
        <w:t xml:space="preserve"> </w:t>
      </w:r>
      <w:r>
        <w:rPr>
          <w:rFonts w:ascii="Arial" w:cs="Arial" w:eastAsia="Arial" w:hAnsi="Arial"/>
          <w:sz w:val="16"/>
          <w:szCs w:val="16"/>
          <w:color w:val="000000"/>
        </w:rPr>
        <w:t>49,000 spouses / domestic partners</w:t>
      </w:r>
    </w:p>
    <w:p>
      <w:pPr>
        <w:spacing w:after="0" w:line="12" w:lineRule="exact"/>
        <w:rPr>
          <w:sz w:val="20"/>
          <w:szCs w:val="20"/>
          <w:color w:val="auto"/>
        </w:rPr>
      </w:pPr>
    </w:p>
    <w:p>
      <w:pPr>
        <w:ind w:left="2020" w:hanging="189"/>
        <w:spacing w:after="0"/>
        <w:tabs>
          <w:tab w:leader="none" w:pos="2020" w:val="left"/>
        </w:tabs>
        <w:numPr>
          <w:ilvl w:val="0"/>
          <w:numId w:val="175"/>
        </w:numPr>
        <w:rPr>
          <w:rFonts w:ascii="Arial" w:cs="Arial" w:eastAsia="Arial" w:hAnsi="Arial"/>
          <w:sz w:val="16"/>
          <w:szCs w:val="16"/>
          <w:color w:val="074A75"/>
        </w:rPr>
      </w:pPr>
      <w:r>
        <w:rPr>
          <w:rFonts w:ascii="Arial" w:cs="Arial" w:eastAsia="Arial" w:hAnsi="Arial"/>
          <w:sz w:val="16"/>
          <w:szCs w:val="16"/>
          <w:color w:val="auto"/>
        </w:rPr>
        <w:t>We have an integrated wellness program, of which a fundamental component is biometric screenings and health assessments</w:t>
      </w:r>
    </w:p>
    <w:p>
      <w:pPr>
        <w:spacing w:after="0" w:line="45" w:lineRule="exact"/>
        <w:rPr>
          <w:rFonts w:ascii="Arial" w:cs="Arial" w:eastAsia="Arial" w:hAnsi="Arial"/>
          <w:sz w:val="16"/>
          <w:szCs w:val="16"/>
          <w:color w:val="074A75"/>
        </w:rPr>
      </w:pPr>
    </w:p>
    <w:p>
      <w:pPr>
        <w:ind w:left="2020" w:right="80" w:hanging="189"/>
        <w:spacing w:after="0" w:line="264" w:lineRule="auto"/>
        <w:tabs>
          <w:tab w:leader="none" w:pos="2017" w:val="left"/>
        </w:tabs>
        <w:numPr>
          <w:ilvl w:val="0"/>
          <w:numId w:val="175"/>
        </w:numPr>
        <w:rPr>
          <w:rFonts w:ascii="Arial" w:cs="Arial" w:eastAsia="Arial" w:hAnsi="Arial"/>
          <w:sz w:val="16"/>
          <w:szCs w:val="16"/>
          <w:color w:val="074A75"/>
        </w:rPr>
      </w:pPr>
      <w:r>
        <w:rPr>
          <w:rFonts w:ascii="Arial" w:cs="Arial" w:eastAsia="Arial" w:hAnsi="Arial"/>
          <w:sz w:val="16"/>
          <w:szCs w:val="16"/>
          <w:color w:val="auto"/>
        </w:rPr>
        <w:t>Since the beginning of 2021, we've facilitated the delivery of over 70,000 COVID-19 vaccine and/or booster doses to employees and their families globally</w:t>
      </w:r>
    </w:p>
    <w:p>
      <w:pPr>
        <w:ind w:left="2020" w:right="180" w:hanging="189"/>
        <w:spacing w:after="0" w:line="286" w:lineRule="auto"/>
        <w:tabs>
          <w:tab w:leader="none" w:pos="2017" w:val="left"/>
        </w:tabs>
        <w:numPr>
          <w:ilvl w:val="0"/>
          <w:numId w:val="175"/>
        </w:numPr>
        <w:rPr>
          <w:rFonts w:ascii="Arial" w:cs="Arial" w:eastAsia="Arial" w:hAnsi="Arial"/>
          <w:sz w:val="16"/>
          <w:szCs w:val="16"/>
          <w:color w:val="074A75"/>
        </w:rPr>
      </w:pPr>
      <w:r>
        <w:rPr>
          <w:rFonts w:ascii="Arial" w:cs="Arial" w:eastAsia="Arial" w:hAnsi="Arial"/>
          <w:sz w:val="16"/>
          <w:szCs w:val="16"/>
          <w:color w:val="auto"/>
        </w:rPr>
        <w:t>Our onsite Health &amp; Wellness Centers help employees navigate urgent care needs and specialty services by accessing trusted clinicians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9169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171" w:lineRule="exact"/>
        <w:rPr>
          <w:sz w:val="20"/>
          <w:szCs w:val="20"/>
          <w:color w:val="auto"/>
        </w:rPr>
      </w:pPr>
    </w:p>
    <w:p>
      <w:pPr>
        <w:ind w:left="1840" w:right="140" w:hanging="1290"/>
        <w:spacing w:after="0" w:line="286" w:lineRule="auto"/>
        <w:tabs>
          <w:tab w:leader="none" w:pos="1820" w:val="left"/>
        </w:tabs>
        <w:rPr>
          <w:sz w:val="20"/>
          <w:szCs w:val="20"/>
          <w:color w:val="auto"/>
        </w:rPr>
      </w:pPr>
      <w:r>
        <w:rPr>
          <w:rFonts w:ascii="Arial" w:cs="Arial" w:eastAsia="Arial" w:hAnsi="Arial"/>
          <w:sz w:val="18"/>
          <w:szCs w:val="18"/>
          <w:b w:val="1"/>
          <w:bCs w:val="1"/>
          <w:color w:val="FFFFFF"/>
        </w:rPr>
        <w:t>BALANCE</w:t>
      </w:r>
      <w:r>
        <w:rPr>
          <w:sz w:val="20"/>
          <w:szCs w:val="20"/>
          <w:color w:val="auto"/>
        </w:rPr>
        <w:tab/>
      </w:r>
      <w:r>
        <w:rPr>
          <w:rFonts w:ascii="Arial" w:cs="Arial" w:eastAsia="Arial" w:hAnsi="Arial"/>
          <w:sz w:val="16"/>
          <w:szCs w:val="16"/>
          <w:color w:val="074A75"/>
        </w:rPr>
        <w:t xml:space="preserve">• </w:t>
      </w:r>
      <w:r>
        <w:rPr>
          <w:rFonts w:ascii="Arial" w:cs="Arial" w:eastAsia="Arial" w:hAnsi="Arial"/>
          <w:sz w:val="16"/>
          <w:szCs w:val="16"/>
          <w:color w:val="000000"/>
        </w:rPr>
        <w:t>To support employees and their families, we provided 10 additional days of backup childcare in the U.S. and U.K., discounts for</w:t>
      </w:r>
      <w:r>
        <w:rPr>
          <w:rFonts w:ascii="Arial" w:cs="Arial" w:eastAsia="Arial" w:hAnsi="Arial"/>
          <w:sz w:val="16"/>
          <w:szCs w:val="16"/>
          <w:color w:val="074A75"/>
        </w:rPr>
        <w:t xml:space="preserve"> </w:t>
      </w:r>
      <w:r>
        <w:rPr>
          <w:rFonts w:ascii="Arial" w:cs="Arial" w:eastAsia="Arial" w:hAnsi="Arial"/>
          <w:sz w:val="16"/>
          <w:szCs w:val="16"/>
          <w:color w:val="000000"/>
        </w:rPr>
        <w:t>virtual tutoring, and subsidized full-service childcare at our 13 U.S. onsite childcare centers</w:t>
      </w:r>
    </w:p>
    <w:p>
      <w:pPr>
        <w:spacing w:after="0" w:line="12" w:lineRule="exact"/>
        <w:rPr>
          <w:sz w:val="20"/>
          <w:szCs w:val="20"/>
          <w:color w:val="auto"/>
        </w:rPr>
      </w:pPr>
    </w:p>
    <w:p>
      <w:pPr>
        <w:ind w:left="2020" w:right="140" w:hanging="189"/>
        <w:spacing w:after="0" w:line="272" w:lineRule="auto"/>
        <w:tabs>
          <w:tab w:leader="none" w:pos="2017" w:val="left"/>
        </w:tabs>
        <w:numPr>
          <w:ilvl w:val="0"/>
          <w:numId w:val="176"/>
        </w:numPr>
        <w:rPr>
          <w:rFonts w:ascii="Arial" w:cs="Arial" w:eastAsia="Arial" w:hAnsi="Arial"/>
          <w:sz w:val="16"/>
          <w:szCs w:val="16"/>
          <w:color w:val="074A75"/>
        </w:rPr>
      </w:pPr>
      <w:r>
        <w:rPr>
          <w:rFonts w:ascii="Arial" w:cs="Arial" w:eastAsia="Arial" w:hAnsi="Arial"/>
          <w:sz w:val="16"/>
          <w:szCs w:val="16"/>
          <w:color w:val="auto"/>
        </w:rPr>
        <w:t>We continued to focus on mental health by expanding the “This is Me - A Dialogue on Mental Health” campaign, which features employees sharing their experiences on how they are dealing with and overcoming mental health issues</w:t>
      </w:r>
    </w:p>
    <w:p>
      <w:pPr>
        <w:spacing w:after="0" w:line="1" w:lineRule="exact"/>
        <w:rPr>
          <w:rFonts w:ascii="Arial" w:cs="Arial" w:eastAsia="Arial" w:hAnsi="Arial"/>
          <w:sz w:val="16"/>
          <w:szCs w:val="16"/>
          <w:color w:val="074A75"/>
        </w:rPr>
      </w:pPr>
    </w:p>
    <w:p>
      <w:pPr>
        <w:ind w:left="2020" w:right="220" w:hanging="189"/>
        <w:spacing w:after="0" w:line="286" w:lineRule="auto"/>
        <w:tabs>
          <w:tab w:leader="none" w:pos="2017" w:val="left"/>
        </w:tabs>
        <w:numPr>
          <w:ilvl w:val="0"/>
          <w:numId w:val="176"/>
        </w:numPr>
        <w:rPr>
          <w:rFonts w:ascii="Arial" w:cs="Arial" w:eastAsia="Arial" w:hAnsi="Arial"/>
          <w:sz w:val="16"/>
          <w:szCs w:val="16"/>
          <w:color w:val="074A75"/>
        </w:rPr>
      </w:pPr>
      <w:r>
        <w:rPr>
          <w:rFonts w:ascii="Arial" w:cs="Arial" w:eastAsia="Arial" w:hAnsi="Arial"/>
          <w:sz w:val="16"/>
          <w:szCs w:val="16"/>
          <w:color w:val="auto"/>
        </w:rPr>
        <w:t>We offered education, support and awareness on important topics including suicide, substance abuse/addiction, and domestic violence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414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1414145"/>
                    </a:xfrm>
                    <a:prstGeom prst="rect">
                      <a:avLst/>
                    </a:prstGeom>
                    <a:noFill/>
                  </pic:spPr>
                </pic:pic>
              </a:graphicData>
            </a:graphic>
          </wp:anchor>
        </w:drawing>
      </w:r>
    </w:p>
    <w:p>
      <w:pPr>
        <w:spacing w:after="0" w:line="171" w:lineRule="exact"/>
        <w:rPr>
          <w:sz w:val="20"/>
          <w:szCs w:val="20"/>
          <w:color w:val="auto"/>
        </w:rPr>
      </w:pPr>
    </w:p>
    <w:p>
      <w:pPr>
        <w:jc w:val="both"/>
        <w:ind w:left="1840" w:right="480" w:hanging="1330"/>
        <w:spacing w:after="0" w:line="266" w:lineRule="auto"/>
        <w:tabs>
          <w:tab w:leader="none" w:pos="1820" w:val="left"/>
        </w:tabs>
        <w:rPr>
          <w:sz w:val="20"/>
          <w:szCs w:val="20"/>
          <w:color w:val="auto"/>
        </w:rPr>
      </w:pPr>
      <w:r>
        <w:rPr>
          <w:rFonts w:ascii="Arial" w:cs="Arial" w:eastAsia="Arial" w:hAnsi="Arial"/>
          <w:sz w:val="18"/>
          <w:szCs w:val="18"/>
          <w:b w:val="1"/>
          <w:bCs w:val="1"/>
          <w:color w:val="FFFFFF"/>
        </w:rPr>
        <w:t>FINANCES</w:t>
      </w:r>
      <w:r>
        <w:rPr>
          <w:sz w:val="20"/>
          <w:szCs w:val="20"/>
          <w:color w:val="auto"/>
        </w:rPr>
        <w:tab/>
      </w:r>
      <w:r>
        <w:rPr>
          <w:rFonts w:ascii="Arial" w:cs="Arial" w:eastAsia="Arial" w:hAnsi="Arial"/>
          <w:sz w:val="16"/>
          <w:szCs w:val="16"/>
          <w:color w:val="074A75"/>
        </w:rPr>
        <w:t xml:space="preserve">• </w:t>
      </w:r>
      <w:r>
        <w:rPr>
          <w:rFonts w:ascii="Arial" w:cs="Arial" w:eastAsia="Arial" w:hAnsi="Arial"/>
          <w:sz w:val="16"/>
          <w:szCs w:val="16"/>
          <w:color w:val="000000"/>
        </w:rPr>
        <w:t>Effective September 2021, we raised our minimum wage for U.S.-based overtime-eligible employees to $18 - $22 per hour</w:t>
      </w:r>
      <w:r>
        <w:rPr>
          <w:rFonts w:ascii="Arial" w:cs="Arial" w:eastAsia="Arial" w:hAnsi="Arial"/>
          <w:sz w:val="16"/>
          <w:szCs w:val="16"/>
          <w:color w:val="074A75"/>
        </w:rPr>
        <w:t xml:space="preserve"> </w:t>
      </w:r>
      <w:r>
        <w:rPr>
          <w:rFonts w:ascii="Arial" w:cs="Arial" w:eastAsia="Arial" w:hAnsi="Arial"/>
          <w:sz w:val="16"/>
          <w:szCs w:val="16"/>
          <w:color w:val="000000"/>
        </w:rPr>
        <w:t>depending on the local cost of living. This is in addition to the extensive benefits package the Firm offers that is valued, on average, at approximately $14,500 per employee for this population</w:t>
      </w:r>
    </w:p>
    <w:p>
      <w:pPr>
        <w:spacing w:after="0" w:line="27" w:lineRule="exact"/>
        <w:rPr>
          <w:sz w:val="20"/>
          <w:szCs w:val="20"/>
          <w:color w:val="auto"/>
        </w:rPr>
      </w:pPr>
    </w:p>
    <w:p>
      <w:pPr>
        <w:ind w:left="2020" w:right="360" w:hanging="189"/>
        <w:spacing w:after="0" w:line="272" w:lineRule="auto"/>
        <w:tabs>
          <w:tab w:leader="none" w:pos="2017" w:val="left"/>
        </w:tabs>
        <w:numPr>
          <w:ilvl w:val="0"/>
          <w:numId w:val="177"/>
        </w:numPr>
        <w:rPr>
          <w:rFonts w:ascii="Arial" w:cs="Arial" w:eastAsia="Arial" w:hAnsi="Arial"/>
          <w:sz w:val="16"/>
          <w:szCs w:val="16"/>
          <w:color w:val="074A75"/>
        </w:rPr>
      </w:pPr>
      <w:r>
        <w:rPr>
          <w:rFonts w:ascii="Arial" w:cs="Arial" w:eastAsia="Arial" w:hAnsi="Arial"/>
          <w:sz w:val="16"/>
          <w:szCs w:val="16"/>
          <w:color w:val="auto"/>
        </w:rPr>
        <w:t>Our retirement benefits in the U.S. include a 5% dollar-for-dollar 401(k) match for employees making up to $250,000 in cash compensation annually, plus additional non-matching retirement contributions of 3% - 5% of pay up to $100,000 annually</w:t>
      </w:r>
    </w:p>
    <w:p>
      <w:pPr>
        <w:spacing w:after="0" w:line="1" w:lineRule="exact"/>
        <w:rPr>
          <w:rFonts w:ascii="Arial" w:cs="Arial" w:eastAsia="Arial" w:hAnsi="Arial"/>
          <w:sz w:val="16"/>
          <w:szCs w:val="16"/>
          <w:color w:val="074A75"/>
        </w:rPr>
      </w:pPr>
    </w:p>
    <w:p>
      <w:pPr>
        <w:ind w:left="2020" w:right="480" w:hanging="189"/>
        <w:spacing w:after="0" w:line="264" w:lineRule="auto"/>
        <w:tabs>
          <w:tab w:leader="none" w:pos="2017" w:val="left"/>
        </w:tabs>
        <w:numPr>
          <w:ilvl w:val="0"/>
          <w:numId w:val="177"/>
        </w:numPr>
        <w:rPr>
          <w:rFonts w:ascii="Arial" w:cs="Arial" w:eastAsia="Arial" w:hAnsi="Arial"/>
          <w:sz w:val="16"/>
          <w:szCs w:val="16"/>
          <w:color w:val="074A75"/>
        </w:rPr>
      </w:pPr>
      <w:r>
        <w:rPr>
          <w:rFonts w:ascii="Arial" w:cs="Arial" w:eastAsia="Arial" w:hAnsi="Arial"/>
          <w:sz w:val="16"/>
          <w:szCs w:val="16"/>
          <w:color w:val="auto"/>
        </w:rPr>
        <w:t>We made a $750 special award to employees earning less than $60,000 through 401(k) contributions in the U.S. and cash awards outside of the U.S.</w:t>
      </w:r>
    </w:p>
    <w:p>
      <w:pPr>
        <w:jc w:val="both"/>
        <w:ind w:left="2020" w:right="180" w:hanging="189"/>
        <w:spacing w:after="0" w:line="266" w:lineRule="auto"/>
        <w:tabs>
          <w:tab w:leader="none" w:pos="2017" w:val="left"/>
        </w:tabs>
        <w:numPr>
          <w:ilvl w:val="0"/>
          <w:numId w:val="177"/>
        </w:numPr>
        <w:rPr>
          <w:rFonts w:ascii="Arial" w:cs="Arial" w:eastAsia="Arial" w:hAnsi="Arial"/>
          <w:sz w:val="16"/>
          <w:szCs w:val="16"/>
          <w:color w:val="074A75"/>
        </w:rPr>
      </w:pPr>
      <w:r>
        <w:rPr>
          <w:rFonts w:ascii="Arial" w:cs="Arial" w:eastAsia="Arial" w:hAnsi="Arial"/>
          <w:sz w:val="16"/>
          <w:szCs w:val="16"/>
          <w:color w:val="auto"/>
        </w:rPr>
        <w:t>We offer a financial wellness program for U.S. benefits-eligible employees called "My Finances and Me", offering several ways to help employees with their finances including online financial wellness assessments and free unlimited access to one-on-one telephonic financial coaching with certified financial planners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483"/>
        </w:trPr>
        <w:tc>
          <w:tcPr>
            <w:tcW w:w="1440" w:type="dxa"/>
            <w:vAlign w:val="bottom"/>
            <w:vMerge w:val="restart"/>
            <w:shd w:val="clear" w:color="auto" w:fill="E7E7E8"/>
          </w:tcPr>
          <w:p>
            <w:pPr>
              <w:jc w:val="right"/>
              <w:spacing w:after="0"/>
              <w:rPr>
                <w:sz w:val="20"/>
                <w:szCs w:val="20"/>
                <w:color w:val="auto"/>
              </w:rPr>
            </w:pPr>
            <w:r>
              <w:rPr>
                <w:rFonts w:ascii="Arial" w:cs="Arial" w:eastAsia="Arial" w:hAnsi="Arial"/>
                <w:sz w:val="104"/>
                <w:szCs w:val="104"/>
                <w:color w:val="074A75"/>
              </w:rPr>
              <w:t>3</w:t>
            </w:r>
          </w:p>
        </w:tc>
        <w:tc>
          <w:tcPr>
            <w:tcW w:w="9460" w:type="dxa"/>
            <w:vAlign w:val="bottom"/>
          </w:tcPr>
          <w:p>
            <w:pPr>
              <w:ind w:left="180"/>
              <w:spacing w:after="0"/>
              <w:rPr>
                <w:sz w:val="20"/>
                <w:szCs w:val="20"/>
                <w:color w:val="auto"/>
              </w:rPr>
            </w:pPr>
            <w:r>
              <w:rPr>
                <w:rFonts w:ascii="Arial" w:cs="Arial" w:eastAsia="Arial" w:hAnsi="Arial"/>
                <w:sz w:val="40"/>
                <w:szCs w:val="40"/>
                <w:color w:val="074A75"/>
              </w:rPr>
              <w:t>How performance determined pay in 2021</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460" w:type="dxa"/>
            <w:vAlign w:val="bottom"/>
          </w:tcPr>
          <w:p>
            <w:pPr>
              <w:ind w:left="180"/>
              <w:spacing w:after="0"/>
              <w:rPr>
                <w:sz w:val="20"/>
                <w:szCs w:val="20"/>
                <w:color w:val="auto"/>
              </w:rPr>
            </w:pPr>
            <w:r>
              <w:rPr>
                <w:rFonts w:ascii="Arial" w:cs="Arial" w:eastAsia="Arial" w:hAnsi="Arial"/>
                <w:sz w:val="18"/>
                <w:szCs w:val="18"/>
                <w:i w:val="1"/>
                <w:iCs w:val="1"/>
                <w:color w:val="074A75"/>
                <w:w w:val="99"/>
              </w:rPr>
              <w:t>CEO pay is strongly aligned to the Firm’s short-, medium- and long-term performance, with approximately 85% of the</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460" w:type="dxa"/>
            <w:vAlign w:val="bottom"/>
          </w:tcPr>
          <w:p>
            <w:pPr>
              <w:ind w:left="180"/>
              <w:spacing w:after="0"/>
              <w:rPr>
                <w:sz w:val="20"/>
                <w:szCs w:val="20"/>
                <w:color w:val="auto"/>
              </w:rPr>
            </w:pPr>
            <w:r>
              <w:rPr>
                <w:rFonts w:ascii="Arial" w:cs="Arial" w:eastAsia="Arial" w:hAnsi="Arial"/>
                <w:sz w:val="18"/>
                <w:szCs w:val="18"/>
                <w:i w:val="1"/>
                <w:iCs w:val="1"/>
                <w:color w:val="074A75"/>
              </w:rPr>
              <w:t>CEO’s variable pay deferred into equity, of which 100% is in at-risk PSUs. Other NEO pay is also strongly aligned to</w:t>
            </w:r>
          </w:p>
        </w:tc>
        <w:tc>
          <w:tcPr>
            <w:tcW w:w="0" w:type="dxa"/>
            <w:vAlign w:val="bottom"/>
          </w:tcPr>
          <w:p>
            <w:pPr>
              <w:spacing w:after="0"/>
              <w:rPr>
                <w:sz w:val="1"/>
                <w:szCs w:val="1"/>
                <w:color w:val="auto"/>
              </w:rPr>
            </w:pPr>
          </w:p>
        </w:tc>
      </w:tr>
      <w:tr>
        <w:trPr>
          <w:trHeight w:val="381"/>
        </w:trPr>
        <w:tc>
          <w:tcPr>
            <w:tcW w:w="1440" w:type="dxa"/>
            <w:vAlign w:val="bottom"/>
            <w:vMerge w:val="continue"/>
            <w:shd w:val="clear" w:color="auto" w:fill="E7E7E8"/>
          </w:tcPr>
          <w:p>
            <w:pPr>
              <w:spacing w:after="0"/>
              <w:rPr>
                <w:sz w:val="24"/>
                <w:szCs w:val="24"/>
                <w:color w:val="auto"/>
              </w:rPr>
            </w:pPr>
          </w:p>
        </w:tc>
        <w:tc>
          <w:tcPr>
            <w:tcW w:w="9460" w:type="dxa"/>
            <w:vAlign w:val="bottom"/>
          </w:tcPr>
          <w:p>
            <w:pPr>
              <w:ind w:left="180"/>
              <w:spacing w:after="0"/>
              <w:rPr>
                <w:sz w:val="20"/>
                <w:szCs w:val="20"/>
                <w:color w:val="auto"/>
              </w:rPr>
            </w:pPr>
            <w:r>
              <w:rPr>
                <w:rFonts w:ascii="Arial" w:cs="Arial" w:eastAsia="Arial" w:hAnsi="Arial"/>
                <w:sz w:val="18"/>
                <w:szCs w:val="18"/>
                <w:i w:val="1"/>
                <w:iCs w:val="1"/>
                <w:color w:val="074A75"/>
                <w:w w:val="99"/>
              </w:rPr>
              <w:t>Firm and LOB performance, with a majority of their variable pay deferred into equity, of which 50% is in at-risk PSUs.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table below sets forth salary and incentive compensation awarded to our NEOs for 2021 performance. The pages that follow summarize the performance of individual NEOs that drove the CMDC’s 2021 pay decisions.</w:t>
      </w:r>
    </w:p>
    <w:p>
      <w:pPr>
        <w:spacing w:after="0" w:line="207" w:lineRule="exact"/>
        <w:rPr>
          <w:sz w:val="20"/>
          <w:szCs w:val="20"/>
          <w:color w:val="auto"/>
        </w:rPr>
      </w:pPr>
    </w:p>
    <w:p>
      <w:pPr>
        <w:spacing w:after="0"/>
        <w:rPr>
          <w:sz w:val="20"/>
          <w:szCs w:val="20"/>
          <w:color w:val="auto"/>
        </w:rPr>
      </w:pPr>
      <w:r>
        <w:rPr>
          <w:rFonts w:ascii="Arial" w:cs="Arial" w:eastAsia="Arial" w:hAnsi="Arial"/>
          <w:sz w:val="29"/>
          <w:szCs w:val="29"/>
          <w:color w:val="074A75"/>
        </w:rPr>
        <w:t>NEO compensation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Borders>
              <w:bottom w:val="single" w:sz="8" w:color="494949"/>
            </w:tcBorders>
          </w:tcPr>
          <w:p>
            <w:pPr>
              <w:spacing w:after="0"/>
              <w:rPr>
                <w:sz w:val="19"/>
                <w:szCs w:val="19"/>
                <w:color w:val="auto"/>
              </w:rPr>
            </w:pPr>
          </w:p>
        </w:tc>
        <w:tc>
          <w:tcPr>
            <w:tcW w:w="1000" w:type="dxa"/>
            <w:vAlign w:val="bottom"/>
            <w:tcBorders>
              <w:bottom w:val="single" w:sz="8" w:color="494949"/>
            </w:tcBorders>
          </w:tcPr>
          <w:p>
            <w:pPr>
              <w:spacing w:after="0"/>
              <w:rPr>
                <w:sz w:val="19"/>
                <w:szCs w:val="19"/>
                <w:color w:val="auto"/>
              </w:rPr>
            </w:pPr>
          </w:p>
        </w:tc>
        <w:tc>
          <w:tcPr>
            <w:tcW w:w="3460" w:type="dxa"/>
            <w:vAlign w:val="bottom"/>
            <w:tcBorders>
              <w:bottom w:val="single" w:sz="8" w:color="494949"/>
            </w:tcBorders>
            <w:gridSpan w:val="5"/>
          </w:tcPr>
          <w:p>
            <w:pPr>
              <w:ind w:left="120"/>
              <w:spacing w:after="0"/>
              <w:rPr>
                <w:sz w:val="20"/>
                <w:szCs w:val="20"/>
                <w:color w:val="auto"/>
              </w:rPr>
            </w:pPr>
            <w:r>
              <w:rPr>
                <w:rFonts w:ascii="Arial" w:cs="Arial" w:eastAsia="Arial" w:hAnsi="Arial"/>
                <w:sz w:val="16"/>
                <w:szCs w:val="16"/>
                <w:color w:val="auto"/>
              </w:rPr>
              <w:t>Annual Compensation (For Performance Year)</w:t>
            </w:r>
          </w:p>
        </w:tc>
        <w:tc>
          <w:tcPr>
            <w:tcW w:w="440" w:type="dxa"/>
            <w:vAlign w:val="bottom"/>
            <w:tcBorders>
              <w:bottom w:val="single" w:sz="8" w:color="494949"/>
            </w:tcBorders>
          </w:tcPr>
          <w:p>
            <w:pPr>
              <w:spacing w:after="0"/>
              <w:rPr>
                <w:sz w:val="19"/>
                <w:szCs w:val="19"/>
                <w:color w:val="auto"/>
              </w:rPr>
            </w:pPr>
          </w:p>
        </w:tc>
        <w:tc>
          <w:tcPr>
            <w:tcW w:w="920" w:type="dxa"/>
            <w:vAlign w:val="bottom"/>
            <w:tcBorders>
              <w:bottom w:val="single" w:sz="8" w:color="494949"/>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494949"/>
            </w:tcBorders>
          </w:tcPr>
          <w:p>
            <w:pPr>
              <w:spacing w:after="0"/>
              <w:rPr>
                <w:sz w:val="20"/>
                <w:szCs w:val="20"/>
                <w:color w:val="auto"/>
              </w:rPr>
            </w:pPr>
          </w:p>
        </w:tc>
        <w:tc>
          <w:tcPr>
            <w:tcW w:w="2300" w:type="dxa"/>
            <w:vAlign w:val="bottom"/>
            <w:tcBorders>
              <w:bottom w:val="single" w:sz="8" w:color="494949"/>
            </w:tcBorders>
            <w:gridSpan w:val="3"/>
          </w:tcPr>
          <w:p>
            <w:pPr>
              <w:jc w:val="right"/>
              <w:spacing w:after="0"/>
              <w:rPr>
                <w:sz w:val="20"/>
                <w:szCs w:val="20"/>
                <w:color w:val="auto"/>
              </w:rPr>
            </w:pPr>
            <w:r>
              <w:rPr>
                <w:rFonts w:ascii="Arial" w:cs="Arial" w:eastAsia="Arial" w:hAnsi="Arial"/>
                <w:sz w:val="16"/>
                <w:szCs w:val="16"/>
                <w:color w:val="auto"/>
              </w:rPr>
              <w:t>Incentive Compensation</w:t>
            </w:r>
          </w:p>
        </w:tc>
        <w:tc>
          <w:tcPr>
            <w:tcW w:w="860" w:type="dxa"/>
            <w:vAlign w:val="bottom"/>
            <w:tcBorders>
              <w:bottom w:val="single" w:sz="8" w:color="494949"/>
            </w:tcBorders>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76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Name and principal position</w:t>
            </w:r>
          </w:p>
        </w:tc>
        <w:tc>
          <w:tcPr>
            <w:tcW w:w="1400" w:type="dxa"/>
            <w:vAlign w:val="bottom"/>
            <w:tcBorders>
              <w:bottom w:val="single" w:sz="8" w:color="494949"/>
            </w:tcBorders>
          </w:tcPr>
          <w:p>
            <w:pPr>
              <w:jc w:val="right"/>
              <w:ind w:right="168"/>
              <w:spacing w:after="0"/>
              <w:rPr>
                <w:sz w:val="20"/>
                <w:szCs w:val="20"/>
                <w:color w:val="auto"/>
              </w:rPr>
            </w:pPr>
            <w:r>
              <w:rPr>
                <w:rFonts w:ascii="Arial" w:cs="Arial" w:eastAsia="Arial" w:hAnsi="Arial"/>
                <w:sz w:val="16"/>
                <w:szCs w:val="16"/>
                <w:color w:val="074A75"/>
              </w:rPr>
              <w:t>Year</w:t>
            </w:r>
          </w:p>
        </w:tc>
        <w:tc>
          <w:tcPr>
            <w:tcW w:w="260" w:type="dxa"/>
            <w:vAlign w:val="bottom"/>
            <w:tcBorders>
              <w:bottom w:val="single" w:sz="8" w:color="494949"/>
            </w:tcBorders>
          </w:tcPr>
          <w:p>
            <w:pPr>
              <w:spacing w:after="0"/>
              <w:rPr>
                <w:sz w:val="24"/>
                <w:szCs w:val="24"/>
                <w:color w:val="auto"/>
              </w:rPr>
            </w:pPr>
          </w:p>
        </w:tc>
        <w:tc>
          <w:tcPr>
            <w:tcW w:w="1000" w:type="dxa"/>
            <w:vAlign w:val="bottom"/>
            <w:tcBorders>
              <w:bottom w:val="single" w:sz="8" w:color="494949"/>
            </w:tcBorders>
          </w:tcPr>
          <w:p>
            <w:pPr>
              <w:jc w:val="right"/>
              <w:ind w:right="388"/>
              <w:spacing w:after="0"/>
              <w:rPr>
                <w:sz w:val="20"/>
                <w:szCs w:val="20"/>
                <w:color w:val="auto"/>
              </w:rPr>
            </w:pPr>
            <w:r>
              <w:rPr>
                <w:rFonts w:ascii="Arial" w:cs="Arial" w:eastAsia="Arial" w:hAnsi="Arial"/>
                <w:sz w:val="16"/>
                <w:szCs w:val="16"/>
                <w:color w:val="074A75"/>
              </w:rPr>
              <w:t>Salary</w:t>
            </w:r>
          </w:p>
        </w:tc>
        <w:tc>
          <w:tcPr>
            <w:tcW w:w="300" w:type="dxa"/>
            <w:vAlign w:val="bottom"/>
            <w:tcBorders>
              <w:bottom w:val="single" w:sz="8" w:color="494949"/>
            </w:tcBorders>
          </w:tcPr>
          <w:p>
            <w:pPr>
              <w:spacing w:after="0"/>
              <w:rPr>
                <w:sz w:val="24"/>
                <w:szCs w:val="24"/>
                <w:color w:val="auto"/>
              </w:rPr>
            </w:pPr>
          </w:p>
        </w:tc>
        <w:tc>
          <w:tcPr>
            <w:tcW w:w="880" w:type="dxa"/>
            <w:vAlign w:val="bottom"/>
            <w:tcBorders>
              <w:bottom w:val="single" w:sz="8" w:color="494949"/>
            </w:tcBorders>
          </w:tcPr>
          <w:p>
            <w:pPr>
              <w:jc w:val="right"/>
              <w:ind w:right="367"/>
              <w:spacing w:after="0"/>
              <w:rPr>
                <w:sz w:val="20"/>
                <w:szCs w:val="20"/>
                <w:color w:val="auto"/>
              </w:rPr>
            </w:pPr>
            <w:r>
              <w:rPr>
                <w:rFonts w:ascii="Arial" w:cs="Arial" w:eastAsia="Arial" w:hAnsi="Arial"/>
                <w:sz w:val="16"/>
                <w:szCs w:val="16"/>
                <w:color w:val="074A75"/>
              </w:rPr>
              <w:t>Cash</w:t>
            </w:r>
          </w:p>
        </w:tc>
        <w:tc>
          <w:tcPr>
            <w:tcW w:w="220" w:type="dxa"/>
            <w:vAlign w:val="bottom"/>
            <w:tcBorders>
              <w:bottom w:val="single" w:sz="8" w:color="494949"/>
            </w:tcBorders>
          </w:tcPr>
          <w:p>
            <w:pPr>
              <w:spacing w:after="0"/>
              <w:rPr>
                <w:sz w:val="24"/>
                <w:szCs w:val="24"/>
                <w:color w:val="auto"/>
              </w:rPr>
            </w:pPr>
          </w:p>
        </w:tc>
        <w:tc>
          <w:tcPr>
            <w:tcW w:w="1200" w:type="dxa"/>
            <w:vAlign w:val="bottom"/>
            <w:tcBorders>
              <w:bottom w:val="single" w:sz="8" w:color="494949"/>
            </w:tcBorders>
          </w:tcPr>
          <w:p>
            <w:pPr>
              <w:jc w:val="right"/>
              <w:ind w:right="628"/>
              <w:spacing w:after="0"/>
              <w:rPr>
                <w:sz w:val="20"/>
                <w:szCs w:val="20"/>
                <w:color w:val="auto"/>
              </w:rPr>
            </w:pPr>
            <w:r>
              <w:rPr>
                <w:rFonts w:ascii="Arial" w:cs="Arial" w:eastAsia="Arial" w:hAnsi="Arial"/>
                <w:sz w:val="16"/>
                <w:szCs w:val="16"/>
                <w:color w:val="074A75"/>
              </w:rPr>
              <w:t>RSUs</w:t>
            </w:r>
          </w:p>
        </w:tc>
        <w:tc>
          <w:tcPr>
            <w:tcW w:w="860" w:type="dxa"/>
            <w:vAlign w:val="bottom"/>
            <w:tcBorders>
              <w:bottom w:val="single" w:sz="8" w:color="494949"/>
            </w:tcBorders>
          </w:tcPr>
          <w:p>
            <w:pPr>
              <w:jc w:val="right"/>
              <w:ind w:right="308"/>
              <w:spacing w:after="0"/>
              <w:rPr>
                <w:sz w:val="20"/>
                <w:szCs w:val="20"/>
                <w:color w:val="auto"/>
              </w:rPr>
            </w:pPr>
            <w:r>
              <w:rPr>
                <w:rFonts w:ascii="Arial" w:cs="Arial" w:eastAsia="Arial" w:hAnsi="Arial"/>
                <w:sz w:val="16"/>
                <w:szCs w:val="16"/>
                <w:color w:val="074A75"/>
                <w:w w:val="94"/>
              </w:rPr>
              <w:t>PSUs</w:t>
            </w:r>
            <w:r>
              <w:rPr>
                <w:rFonts w:ascii="Arial" w:cs="Arial" w:eastAsia="Arial" w:hAnsi="Arial"/>
                <w:sz w:val="21"/>
                <w:szCs w:val="21"/>
                <w:color w:val="074A75"/>
                <w:w w:val="94"/>
                <w:vertAlign w:val="superscript"/>
              </w:rPr>
              <w:t>1</w:t>
            </w:r>
          </w:p>
        </w:tc>
        <w:tc>
          <w:tcPr>
            <w:tcW w:w="440" w:type="dxa"/>
            <w:vAlign w:val="bottom"/>
            <w:tcBorders>
              <w:bottom w:val="single" w:sz="8" w:color="494949"/>
            </w:tcBorders>
          </w:tcPr>
          <w:p>
            <w:pPr>
              <w:spacing w:after="0"/>
              <w:rPr>
                <w:sz w:val="24"/>
                <w:szCs w:val="24"/>
                <w:color w:val="auto"/>
              </w:rPr>
            </w:pPr>
          </w:p>
        </w:tc>
        <w:tc>
          <w:tcPr>
            <w:tcW w:w="920" w:type="dxa"/>
            <w:vAlign w:val="bottom"/>
            <w:tcBorders>
              <w:bottom w:val="single" w:sz="8" w:color="494949"/>
            </w:tcBorders>
          </w:tcPr>
          <w:p>
            <w:pPr>
              <w:ind w:left="140"/>
              <w:spacing w:after="0"/>
              <w:rPr>
                <w:sz w:val="20"/>
                <w:szCs w:val="20"/>
                <w:color w:val="auto"/>
              </w:rPr>
            </w:pPr>
            <w:r>
              <w:rPr>
                <w:rFonts w:ascii="Arial" w:cs="Arial" w:eastAsia="Arial" w:hAnsi="Arial"/>
                <w:sz w:val="16"/>
                <w:szCs w:val="16"/>
                <w:color w:val="074A75"/>
              </w:rPr>
              <w:t>Total</w:t>
            </w:r>
          </w:p>
        </w:tc>
        <w:tc>
          <w:tcPr>
            <w:tcW w:w="0" w:type="dxa"/>
            <w:vAlign w:val="bottom"/>
          </w:tcPr>
          <w:p>
            <w:pPr>
              <w:spacing w:after="0"/>
              <w:rPr>
                <w:sz w:val="1"/>
                <w:szCs w:val="1"/>
                <w:color w:val="auto"/>
              </w:rPr>
            </w:pPr>
          </w:p>
        </w:tc>
      </w:tr>
      <w:tr>
        <w:trPr>
          <w:trHeight w:val="17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James Dimon</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1,500,000</w:t>
            </w:r>
          </w:p>
        </w:tc>
        <w:tc>
          <w:tcPr>
            <w:tcW w:w="3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
              <w:spacing w:after="0"/>
              <w:rPr>
                <w:sz w:val="20"/>
                <w:szCs w:val="20"/>
                <w:color w:val="auto"/>
              </w:rPr>
            </w:pPr>
            <w:r>
              <w:rPr>
                <w:rFonts w:ascii="Arial" w:cs="Arial" w:eastAsia="Arial" w:hAnsi="Arial"/>
                <w:sz w:val="14"/>
                <w:szCs w:val="14"/>
                <w:b w:val="1"/>
                <w:bCs w:val="1"/>
                <w:color w:val="auto"/>
              </w:rPr>
              <w:t>5,000,000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  $</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28,000,000</w:t>
            </w:r>
          </w:p>
        </w:tc>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34,500,000</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1400" w:type="dxa"/>
            <w:vAlign w:val="bottom"/>
            <w:vMerge w:val="restart"/>
          </w:tcPr>
          <w:p>
            <w:pPr>
              <w:jc w:val="right"/>
              <w:ind w:right="168"/>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6"/>
                <w:szCs w:val="16"/>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6"/>
                <w:szCs w:val="16"/>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6"/>
                <w:szCs w:val="16"/>
                <w:color w:val="auto"/>
              </w:rPr>
            </w:pP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25,000,000</w:t>
            </w:r>
          </w:p>
        </w:tc>
        <w:tc>
          <w:tcPr>
            <w:tcW w:w="440" w:type="dxa"/>
            <w:vAlign w:val="bottom"/>
          </w:tcPr>
          <w:p>
            <w:pPr>
              <w:spacing w:after="0"/>
              <w:rPr>
                <w:sz w:val="16"/>
                <w:szCs w:val="16"/>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31,500,000</w:t>
            </w:r>
          </w:p>
        </w:tc>
        <w:tc>
          <w:tcPr>
            <w:tcW w:w="0" w:type="dxa"/>
            <w:vAlign w:val="bottom"/>
          </w:tcPr>
          <w:p>
            <w:pPr>
              <w:spacing w:after="0"/>
              <w:rPr>
                <w:sz w:val="1"/>
                <w:szCs w:val="1"/>
                <w:color w:val="auto"/>
              </w:rPr>
            </w:pPr>
          </w:p>
        </w:tc>
      </w:tr>
      <w:tr>
        <w:trPr>
          <w:trHeight w:val="81"/>
        </w:trPr>
        <w:tc>
          <w:tcPr>
            <w:tcW w:w="37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760" w:type="dxa"/>
            <w:vAlign w:val="bottom"/>
          </w:tcPr>
          <w:p>
            <w:pPr>
              <w:spacing w:after="0"/>
              <w:rPr>
                <w:sz w:val="22"/>
                <w:szCs w:val="22"/>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22"/>
                <w:szCs w:val="22"/>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22"/>
                <w:szCs w:val="22"/>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440" w:type="dxa"/>
            <w:vAlign w:val="bottom"/>
          </w:tcPr>
          <w:p>
            <w:pPr>
              <w:spacing w:after="0"/>
              <w:rPr>
                <w:sz w:val="22"/>
                <w:szCs w:val="22"/>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31,500,000</w:t>
            </w:r>
          </w:p>
        </w:tc>
        <w:tc>
          <w:tcPr>
            <w:tcW w:w="0" w:type="dxa"/>
            <w:vAlign w:val="bottom"/>
          </w:tcPr>
          <w:p>
            <w:pPr>
              <w:spacing w:after="0"/>
              <w:rPr>
                <w:sz w:val="1"/>
                <w:szCs w:val="1"/>
                <w:color w:val="auto"/>
              </w:rPr>
            </w:pPr>
          </w:p>
        </w:tc>
      </w:tr>
      <w:tr>
        <w:trPr>
          <w:trHeight w:val="48"/>
        </w:trPr>
        <w:tc>
          <w:tcPr>
            <w:tcW w:w="3760" w:type="dxa"/>
            <w:vAlign w:val="bottom"/>
            <w:tcBorders>
              <w:bottom w:val="single" w:sz="8" w:color="494949"/>
            </w:tcBorders>
          </w:tcPr>
          <w:p>
            <w:pPr>
              <w:spacing w:after="0"/>
              <w:rPr>
                <w:sz w:val="4"/>
                <w:szCs w:val="4"/>
                <w:color w:val="auto"/>
              </w:rPr>
            </w:pPr>
          </w:p>
        </w:tc>
        <w:tc>
          <w:tcPr>
            <w:tcW w:w="1400" w:type="dxa"/>
            <w:vAlign w:val="bottom"/>
            <w:tcBorders>
              <w:bottom w:val="single" w:sz="8" w:color="494949"/>
            </w:tcBorders>
          </w:tcPr>
          <w:p>
            <w:pPr>
              <w:spacing w:after="0"/>
              <w:rPr>
                <w:sz w:val="4"/>
                <w:szCs w:val="4"/>
                <w:color w:val="auto"/>
              </w:rPr>
            </w:pPr>
          </w:p>
        </w:tc>
        <w:tc>
          <w:tcPr>
            <w:tcW w:w="260" w:type="dxa"/>
            <w:vAlign w:val="bottom"/>
            <w:tcBorders>
              <w:bottom w:val="single" w:sz="8" w:color="494949"/>
            </w:tcBorders>
          </w:tcPr>
          <w:p>
            <w:pPr>
              <w:spacing w:after="0"/>
              <w:rPr>
                <w:sz w:val="4"/>
                <w:szCs w:val="4"/>
                <w:color w:val="auto"/>
              </w:rPr>
            </w:pPr>
          </w:p>
        </w:tc>
        <w:tc>
          <w:tcPr>
            <w:tcW w:w="1000" w:type="dxa"/>
            <w:vAlign w:val="bottom"/>
            <w:tcBorders>
              <w:bottom w:val="single" w:sz="8" w:color="494949"/>
            </w:tcBorders>
          </w:tcPr>
          <w:p>
            <w:pPr>
              <w:spacing w:after="0"/>
              <w:rPr>
                <w:sz w:val="4"/>
                <w:szCs w:val="4"/>
                <w:color w:val="auto"/>
              </w:rPr>
            </w:pPr>
          </w:p>
        </w:tc>
        <w:tc>
          <w:tcPr>
            <w:tcW w:w="300" w:type="dxa"/>
            <w:vAlign w:val="bottom"/>
            <w:tcBorders>
              <w:bottom w:val="single" w:sz="8" w:color="494949"/>
            </w:tcBorders>
          </w:tcPr>
          <w:p>
            <w:pPr>
              <w:spacing w:after="0"/>
              <w:rPr>
                <w:sz w:val="4"/>
                <w:szCs w:val="4"/>
                <w:color w:val="auto"/>
              </w:rPr>
            </w:pPr>
          </w:p>
        </w:tc>
        <w:tc>
          <w:tcPr>
            <w:tcW w:w="880" w:type="dxa"/>
            <w:vAlign w:val="bottom"/>
            <w:tcBorders>
              <w:bottom w:val="single" w:sz="8" w:color="494949"/>
            </w:tcBorders>
          </w:tcPr>
          <w:p>
            <w:pPr>
              <w:spacing w:after="0"/>
              <w:rPr>
                <w:sz w:val="4"/>
                <w:szCs w:val="4"/>
                <w:color w:val="auto"/>
              </w:rPr>
            </w:pPr>
          </w:p>
        </w:tc>
        <w:tc>
          <w:tcPr>
            <w:tcW w:w="22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60" w:type="dxa"/>
            <w:vAlign w:val="bottom"/>
            <w:tcBorders>
              <w:bottom w:val="single" w:sz="8" w:color="494949"/>
            </w:tcBorders>
          </w:tcPr>
          <w:p>
            <w:pPr>
              <w:spacing w:after="0"/>
              <w:rPr>
                <w:sz w:val="4"/>
                <w:szCs w:val="4"/>
                <w:color w:val="auto"/>
              </w:rPr>
            </w:pPr>
          </w:p>
        </w:tc>
        <w:tc>
          <w:tcPr>
            <w:tcW w:w="440" w:type="dxa"/>
            <w:vAlign w:val="bottom"/>
            <w:tcBorders>
              <w:bottom w:val="single" w:sz="8" w:color="494949"/>
            </w:tcBorders>
          </w:tcPr>
          <w:p>
            <w:pPr>
              <w:spacing w:after="0"/>
              <w:rPr>
                <w:sz w:val="4"/>
                <w:szCs w:val="4"/>
                <w:color w:val="auto"/>
              </w:rPr>
            </w:pPr>
          </w:p>
        </w:tc>
        <w:tc>
          <w:tcPr>
            <w:tcW w:w="92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Daniel Pinto</w:t>
            </w:r>
            <w:r>
              <w:rPr>
                <w:rFonts w:ascii="Arial" w:cs="Arial" w:eastAsia="Arial" w:hAnsi="Arial"/>
                <w:sz w:val="18"/>
                <w:szCs w:val="18"/>
                <w:b w:val="1"/>
                <w:bCs w:val="1"/>
                <w:color w:val="auto"/>
                <w:vertAlign w:val="superscript"/>
              </w:rPr>
              <w:t>2</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9,055,948</w:t>
            </w:r>
          </w:p>
        </w:tc>
        <w:tc>
          <w:tcPr>
            <w:tcW w:w="30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9,722,026</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9,722,026</w:t>
            </w:r>
          </w:p>
        </w:tc>
        <w:tc>
          <w:tcPr>
            <w:tcW w:w="440" w:type="dxa"/>
            <w:vAlign w:val="bottom"/>
          </w:tcPr>
          <w:p>
            <w:pPr>
              <w:spacing w:after="0"/>
              <w:rPr>
                <w:sz w:val="15"/>
                <w:szCs w:val="15"/>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28,500,000</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Arial" w:cs="Arial" w:eastAsia="Arial" w:hAnsi="Arial"/>
                <w:sz w:val="14"/>
                <w:szCs w:val="14"/>
                <w:color w:val="auto"/>
              </w:rPr>
              <w:t>Co-President and Co-Chief Operating Officer;</w:t>
            </w:r>
          </w:p>
        </w:tc>
        <w:tc>
          <w:tcPr>
            <w:tcW w:w="1400" w:type="dxa"/>
            <w:vAlign w:val="bottom"/>
            <w:vMerge w:val="restart"/>
          </w:tcPr>
          <w:p>
            <w:pPr>
              <w:jc w:val="right"/>
              <w:ind w:right="168"/>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8,240,290</w:t>
            </w:r>
          </w:p>
        </w:tc>
        <w:tc>
          <w:tcPr>
            <w:tcW w:w="30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8,129,855</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8,129,855</w:t>
            </w:r>
          </w:p>
        </w:tc>
        <w:tc>
          <w:tcPr>
            <w:tcW w:w="440" w:type="dxa"/>
            <w:vAlign w:val="bottom"/>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24,500,000</w:t>
            </w:r>
          </w:p>
        </w:tc>
        <w:tc>
          <w:tcPr>
            <w:tcW w:w="0" w:type="dxa"/>
            <w:vAlign w:val="bottom"/>
          </w:tcPr>
          <w:p>
            <w:pPr>
              <w:spacing w:after="0"/>
              <w:rPr>
                <w:sz w:val="1"/>
                <w:szCs w:val="1"/>
                <w:color w:val="auto"/>
              </w:rPr>
            </w:pPr>
          </w:p>
        </w:tc>
      </w:tr>
      <w:tr>
        <w:trPr>
          <w:trHeight w:val="109"/>
        </w:trPr>
        <w:tc>
          <w:tcPr>
            <w:tcW w:w="376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w:t>
            </w:r>
          </w:p>
        </w:tc>
        <w:tc>
          <w:tcPr>
            <w:tcW w:w="1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6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760" w:type="dxa"/>
            <w:vAlign w:val="bottom"/>
          </w:tcPr>
          <w:p>
            <w:pPr>
              <w:ind w:left="20"/>
              <w:spacing w:after="0"/>
              <w:rPr>
                <w:sz w:val="20"/>
                <w:szCs w:val="20"/>
                <w:color w:val="auto"/>
              </w:rPr>
            </w:pPr>
            <w:r>
              <w:rPr>
                <w:rFonts w:ascii="Arial" w:cs="Arial" w:eastAsia="Arial" w:hAnsi="Arial"/>
                <w:sz w:val="14"/>
                <w:szCs w:val="14"/>
                <w:color w:val="auto"/>
              </w:rPr>
              <w:t>Corporate &amp; Investment Bank</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8,239,222</w:t>
            </w:r>
          </w:p>
        </w:tc>
        <w:tc>
          <w:tcPr>
            <w:tcW w:w="300" w:type="dxa"/>
            <w:vAlign w:val="bottom"/>
          </w:tcPr>
          <w:p>
            <w:pPr>
              <w:spacing w:after="0"/>
              <w:rPr>
                <w:sz w:val="17"/>
                <w:szCs w:val="17"/>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7,130,389</w:t>
            </w:r>
          </w:p>
        </w:tc>
        <w:tc>
          <w:tcPr>
            <w:tcW w:w="860" w:type="dxa"/>
            <w:vAlign w:val="bottom"/>
          </w:tcPr>
          <w:p>
            <w:pPr>
              <w:jc w:val="right"/>
              <w:spacing w:after="0"/>
              <w:rPr>
                <w:sz w:val="20"/>
                <w:szCs w:val="20"/>
                <w:color w:val="auto"/>
              </w:rPr>
            </w:pPr>
            <w:r>
              <w:rPr>
                <w:rFonts w:ascii="Arial" w:cs="Arial" w:eastAsia="Arial" w:hAnsi="Arial"/>
                <w:sz w:val="14"/>
                <w:szCs w:val="14"/>
                <w:color w:val="auto"/>
              </w:rPr>
              <w:t>7,130,389</w:t>
            </w:r>
          </w:p>
        </w:tc>
        <w:tc>
          <w:tcPr>
            <w:tcW w:w="440" w:type="dxa"/>
            <w:vAlign w:val="bottom"/>
          </w:tcPr>
          <w:p>
            <w:pPr>
              <w:spacing w:after="0"/>
              <w:rPr>
                <w:sz w:val="17"/>
                <w:szCs w:val="17"/>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48"/>
        </w:trPr>
        <w:tc>
          <w:tcPr>
            <w:tcW w:w="3760" w:type="dxa"/>
            <w:vAlign w:val="bottom"/>
            <w:tcBorders>
              <w:bottom w:val="single" w:sz="8" w:color="494949"/>
            </w:tcBorders>
          </w:tcPr>
          <w:p>
            <w:pPr>
              <w:spacing w:after="0"/>
              <w:rPr>
                <w:sz w:val="4"/>
                <w:szCs w:val="4"/>
                <w:color w:val="auto"/>
              </w:rPr>
            </w:pPr>
          </w:p>
        </w:tc>
        <w:tc>
          <w:tcPr>
            <w:tcW w:w="1400" w:type="dxa"/>
            <w:vAlign w:val="bottom"/>
            <w:tcBorders>
              <w:bottom w:val="single" w:sz="8" w:color="494949"/>
            </w:tcBorders>
          </w:tcPr>
          <w:p>
            <w:pPr>
              <w:spacing w:after="0"/>
              <w:rPr>
                <w:sz w:val="4"/>
                <w:szCs w:val="4"/>
                <w:color w:val="auto"/>
              </w:rPr>
            </w:pPr>
          </w:p>
        </w:tc>
        <w:tc>
          <w:tcPr>
            <w:tcW w:w="260" w:type="dxa"/>
            <w:vAlign w:val="bottom"/>
            <w:tcBorders>
              <w:bottom w:val="single" w:sz="8" w:color="494949"/>
            </w:tcBorders>
          </w:tcPr>
          <w:p>
            <w:pPr>
              <w:spacing w:after="0"/>
              <w:rPr>
                <w:sz w:val="4"/>
                <w:szCs w:val="4"/>
                <w:color w:val="auto"/>
              </w:rPr>
            </w:pPr>
          </w:p>
        </w:tc>
        <w:tc>
          <w:tcPr>
            <w:tcW w:w="1000" w:type="dxa"/>
            <w:vAlign w:val="bottom"/>
            <w:tcBorders>
              <w:bottom w:val="single" w:sz="8" w:color="494949"/>
            </w:tcBorders>
          </w:tcPr>
          <w:p>
            <w:pPr>
              <w:spacing w:after="0"/>
              <w:rPr>
                <w:sz w:val="4"/>
                <w:szCs w:val="4"/>
                <w:color w:val="auto"/>
              </w:rPr>
            </w:pPr>
          </w:p>
        </w:tc>
        <w:tc>
          <w:tcPr>
            <w:tcW w:w="300" w:type="dxa"/>
            <w:vAlign w:val="bottom"/>
            <w:tcBorders>
              <w:bottom w:val="single" w:sz="8" w:color="494949"/>
            </w:tcBorders>
          </w:tcPr>
          <w:p>
            <w:pPr>
              <w:spacing w:after="0"/>
              <w:rPr>
                <w:sz w:val="4"/>
                <w:szCs w:val="4"/>
                <w:color w:val="auto"/>
              </w:rPr>
            </w:pPr>
          </w:p>
        </w:tc>
        <w:tc>
          <w:tcPr>
            <w:tcW w:w="880" w:type="dxa"/>
            <w:vAlign w:val="bottom"/>
            <w:tcBorders>
              <w:bottom w:val="single" w:sz="8" w:color="494949"/>
            </w:tcBorders>
          </w:tcPr>
          <w:p>
            <w:pPr>
              <w:spacing w:after="0"/>
              <w:rPr>
                <w:sz w:val="4"/>
                <w:szCs w:val="4"/>
                <w:color w:val="auto"/>
              </w:rPr>
            </w:pPr>
          </w:p>
        </w:tc>
        <w:tc>
          <w:tcPr>
            <w:tcW w:w="22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60" w:type="dxa"/>
            <w:vAlign w:val="bottom"/>
            <w:tcBorders>
              <w:bottom w:val="single" w:sz="8" w:color="494949"/>
            </w:tcBorders>
          </w:tcPr>
          <w:p>
            <w:pPr>
              <w:spacing w:after="0"/>
              <w:rPr>
                <w:sz w:val="4"/>
                <w:szCs w:val="4"/>
                <w:color w:val="auto"/>
              </w:rPr>
            </w:pPr>
          </w:p>
        </w:tc>
        <w:tc>
          <w:tcPr>
            <w:tcW w:w="440" w:type="dxa"/>
            <w:vAlign w:val="bottom"/>
            <w:tcBorders>
              <w:bottom w:val="single" w:sz="8" w:color="494949"/>
            </w:tcBorders>
          </w:tcPr>
          <w:p>
            <w:pPr>
              <w:spacing w:after="0"/>
              <w:rPr>
                <w:sz w:val="4"/>
                <w:szCs w:val="4"/>
                <w:color w:val="auto"/>
              </w:rPr>
            </w:pPr>
          </w:p>
        </w:tc>
        <w:tc>
          <w:tcPr>
            <w:tcW w:w="92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Gordon Smith</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750,000</w:t>
            </w:r>
          </w:p>
        </w:tc>
        <w:tc>
          <w:tcPr>
            <w:tcW w:w="30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b w:val="1"/>
                <w:bCs w:val="1"/>
                <w:color w:val="auto"/>
              </w:rPr>
              <w:t>8,700,000</w:t>
            </w:r>
          </w:p>
        </w:tc>
        <w:tc>
          <w:tcPr>
            <w:tcW w:w="220" w:type="dxa"/>
            <w:vAlign w:val="bottom"/>
          </w:tcPr>
          <w:p>
            <w:pPr>
              <w:spacing w:after="0"/>
              <w:rPr>
                <w:sz w:val="15"/>
                <w:szCs w:val="15"/>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6,525,000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6,525,000</w:t>
            </w:r>
          </w:p>
        </w:tc>
        <w:tc>
          <w:tcPr>
            <w:tcW w:w="440" w:type="dxa"/>
            <w:vAlign w:val="bottom"/>
          </w:tcPr>
          <w:p>
            <w:pPr>
              <w:spacing w:after="0"/>
              <w:rPr>
                <w:sz w:val="15"/>
                <w:szCs w:val="15"/>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22,500,000</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Arial" w:cs="Arial" w:eastAsia="Arial" w:hAnsi="Arial"/>
                <w:sz w:val="14"/>
                <w:szCs w:val="14"/>
                <w:color w:val="auto"/>
              </w:rPr>
              <w:t>Co-President and Co-Chief Operating Officer;</w:t>
            </w:r>
          </w:p>
        </w:tc>
        <w:tc>
          <w:tcPr>
            <w:tcW w:w="1400" w:type="dxa"/>
            <w:vAlign w:val="bottom"/>
            <w:vMerge w:val="restart"/>
          </w:tcPr>
          <w:p>
            <w:pPr>
              <w:jc w:val="right"/>
              <w:ind w:right="168"/>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auto"/>
              </w:rPr>
              <w:t>8,700,000</w:t>
            </w:r>
          </w:p>
        </w:tc>
        <w:tc>
          <w:tcPr>
            <w:tcW w:w="220" w:type="dxa"/>
            <w:vAlign w:val="bottom"/>
          </w:tcPr>
          <w:p>
            <w:pPr>
              <w:spacing w:after="0"/>
              <w:rPr>
                <w:sz w:val="14"/>
                <w:szCs w:val="14"/>
                <w:color w:val="auto"/>
              </w:rPr>
            </w:pP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6,525,000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6,525,000</w:t>
            </w:r>
          </w:p>
        </w:tc>
        <w:tc>
          <w:tcPr>
            <w:tcW w:w="440" w:type="dxa"/>
            <w:vAlign w:val="bottom"/>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109"/>
        </w:trPr>
        <w:tc>
          <w:tcPr>
            <w:tcW w:w="376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w:t>
            </w:r>
          </w:p>
        </w:tc>
        <w:tc>
          <w:tcPr>
            <w:tcW w:w="1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6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760" w:type="dxa"/>
            <w:vAlign w:val="bottom"/>
          </w:tcPr>
          <w:p>
            <w:pPr>
              <w:ind w:left="20"/>
              <w:spacing w:after="0"/>
              <w:rPr>
                <w:sz w:val="20"/>
                <w:szCs w:val="20"/>
                <w:color w:val="auto"/>
              </w:rPr>
            </w:pPr>
            <w:r>
              <w:rPr>
                <w:rFonts w:ascii="Arial" w:cs="Arial" w:eastAsia="Arial" w:hAnsi="Arial"/>
                <w:sz w:val="14"/>
                <w:szCs w:val="14"/>
                <w:color w:val="auto"/>
              </w:rPr>
              <w:t>Consumer &amp; Community Banking</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7"/>
                <w:szCs w:val="17"/>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color w:val="auto"/>
              </w:rPr>
              <w:t>8,700,000</w:t>
            </w:r>
          </w:p>
        </w:tc>
        <w:tc>
          <w:tcPr>
            <w:tcW w:w="220" w:type="dxa"/>
            <w:vAlign w:val="bottom"/>
          </w:tcPr>
          <w:p>
            <w:pPr>
              <w:spacing w:after="0"/>
              <w:rPr>
                <w:sz w:val="17"/>
                <w:szCs w:val="17"/>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6,525,000</w:t>
            </w:r>
          </w:p>
        </w:tc>
        <w:tc>
          <w:tcPr>
            <w:tcW w:w="860" w:type="dxa"/>
            <w:vAlign w:val="bottom"/>
          </w:tcPr>
          <w:p>
            <w:pPr>
              <w:jc w:val="right"/>
              <w:spacing w:after="0"/>
              <w:rPr>
                <w:sz w:val="20"/>
                <w:szCs w:val="20"/>
                <w:color w:val="auto"/>
              </w:rPr>
            </w:pPr>
            <w:r>
              <w:rPr>
                <w:rFonts w:ascii="Arial" w:cs="Arial" w:eastAsia="Arial" w:hAnsi="Arial"/>
                <w:sz w:val="14"/>
                <w:szCs w:val="14"/>
                <w:color w:val="auto"/>
              </w:rPr>
              <w:t>6,525,000</w:t>
            </w:r>
          </w:p>
        </w:tc>
        <w:tc>
          <w:tcPr>
            <w:tcW w:w="440" w:type="dxa"/>
            <w:vAlign w:val="bottom"/>
          </w:tcPr>
          <w:p>
            <w:pPr>
              <w:spacing w:after="0"/>
              <w:rPr>
                <w:sz w:val="17"/>
                <w:szCs w:val="17"/>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49"/>
        </w:trPr>
        <w:tc>
          <w:tcPr>
            <w:tcW w:w="3760" w:type="dxa"/>
            <w:vAlign w:val="bottom"/>
            <w:tcBorders>
              <w:bottom w:val="single" w:sz="8" w:color="494949"/>
            </w:tcBorders>
          </w:tcPr>
          <w:p>
            <w:pPr>
              <w:spacing w:after="0"/>
              <w:rPr>
                <w:sz w:val="4"/>
                <w:szCs w:val="4"/>
                <w:color w:val="auto"/>
              </w:rPr>
            </w:pPr>
          </w:p>
        </w:tc>
        <w:tc>
          <w:tcPr>
            <w:tcW w:w="1400" w:type="dxa"/>
            <w:vAlign w:val="bottom"/>
            <w:tcBorders>
              <w:bottom w:val="single" w:sz="8" w:color="494949"/>
            </w:tcBorders>
          </w:tcPr>
          <w:p>
            <w:pPr>
              <w:spacing w:after="0"/>
              <w:rPr>
                <w:sz w:val="4"/>
                <w:szCs w:val="4"/>
                <w:color w:val="auto"/>
              </w:rPr>
            </w:pPr>
          </w:p>
        </w:tc>
        <w:tc>
          <w:tcPr>
            <w:tcW w:w="260" w:type="dxa"/>
            <w:vAlign w:val="bottom"/>
            <w:tcBorders>
              <w:bottom w:val="single" w:sz="8" w:color="494949"/>
            </w:tcBorders>
          </w:tcPr>
          <w:p>
            <w:pPr>
              <w:spacing w:after="0"/>
              <w:rPr>
                <w:sz w:val="4"/>
                <w:szCs w:val="4"/>
                <w:color w:val="auto"/>
              </w:rPr>
            </w:pPr>
          </w:p>
        </w:tc>
        <w:tc>
          <w:tcPr>
            <w:tcW w:w="1000" w:type="dxa"/>
            <w:vAlign w:val="bottom"/>
            <w:tcBorders>
              <w:bottom w:val="single" w:sz="8" w:color="494949"/>
            </w:tcBorders>
          </w:tcPr>
          <w:p>
            <w:pPr>
              <w:spacing w:after="0"/>
              <w:rPr>
                <w:sz w:val="4"/>
                <w:szCs w:val="4"/>
                <w:color w:val="auto"/>
              </w:rPr>
            </w:pPr>
          </w:p>
        </w:tc>
        <w:tc>
          <w:tcPr>
            <w:tcW w:w="300" w:type="dxa"/>
            <w:vAlign w:val="bottom"/>
            <w:tcBorders>
              <w:bottom w:val="single" w:sz="8" w:color="494949"/>
            </w:tcBorders>
          </w:tcPr>
          <w:p>
            <w:pPr>
              <w:spacing w:after="0"/>
              <w:rPr>
                <w:sz w:val="4"/>
                <w:szCs w:val="4"/>
                <w:color w:val="auto"/>
              </w:rPr>
            </w:pPr>
          </w:p>
        </w:tc>
        <w:tc>
          <w:tcPr>
            <w:tcW w:w="880" w:type="dxa"/>
            <w:vAlign w:val="bottom"/>
            <w:tcBorders>
              <w:bottom w:val="single" w:sz="8" w:color="494949"/>
            </w:tcBorders>
          </w:tcPr>
          <w:p>
            <w:pPr>
              <w:spacing w:after="0"/>
              <w:rPr>
                <w:sz w:val="4"/>
                <w:szCs w:val="4"/>
                <w:color w:val="auto"/>
              </w:rPr>
            </w:pPr>
          </w:p>
        </w:tc>
        <w:tc>
          <w:tcPr>
            <w:tcW w:w="22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60" w:type="dxa"/>
            <w:vAlign w:val="bottom"/>
            <w:tcBorders>
              <w:bottom w:val="single" w:sz="8" w:color="494949"/>
            </w:tcBorders>
          </w:tcPr>
          <w:p>
            <w:pPr>
              <w:spacing w:after="0"/>
              <w:rPr>
                <w:sz w:val="4"/>
                <w:szCs w:val="4"/>
                <w:color w:val="auto"/>
              </w:rPr>
            </w:pPr>
          </w:p>
        </w:tc>
        <w:tc>
          <w:tcPr>
            <w:tcW w:w="440" w:type="dxa"/>
            <w:vAlign w:val="bottom"/>
            <w:tcBorders>
              <w:bottom w:val="single" w:sz="8" w:color="494949"/>
            </w:tcBorders>
          </w:tcPr>
          <w:p>
            <w:pPr>
              <w:spacing w:after="0"/>
              <w:rPr>
                <w:sz w:val="4"/>
                <w:szCs w:val="4"/>
                <w:color w:val="auto"/>
              </w:rPr>
            </w:pPr>
          </w:p>
        </w:tc>
        <w:tc>
          <w:tcPr>
            <w:tcW w:w="92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Mary Callahan Erdoes</w:t>
            </w:r>
            <w:r>
              <w:rPr>
                <w:rFonts w:ascii="Arial" w:cs="Arial" w:eastAsia="Arial" w:hAnsi="Arial"/>
                <w:sz w:val="18"/>
                <w:szCs w:val="18"/>
                <w:b w:val="1"/>
                <w:bCs w:val="1"/>
                <w:color w:val="auto"/>
                <w:vertAlign w:val="superscript"/>
              </w:rPr>
              <w:t>3</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750,000</w:t>
            </w:r>
          </w:p>
        </w:tc>
        <w:tc>
          <w:tcPr>
            <w:tcW w:w="30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b w:val="1"/>
                <w:bCs w:val="1"/>
                <w:color w:val="auto"/>
              </w:rPr>
              <w:t>7,900,000</w:t>
            </w:r>
          </w:p>
        </w:tc>
        <w:tc>
          <w:tcPr>
            <w:tcW w:w="220" w:type="dxa"/>
            <w:vAlign w:val="bottom"/>
          </w:tcPr>
          <w:p>
            <w:pPr>
              <w:spacing w:after="0"/>
              <w:rPr>
                <w:sz w:val="15"/>
                <w:szCs w:val="15"/>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5,925,000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5,925,000</w:t>
            </w:r>
          </w:p>
        </w:tc>
        <w:tc>
          <w:tcPr>
            <w:tcW w:w="440" w:type="dxa"/>
            <w:vAlign w:val="bottom"/>
          </w:tcPr>
          <w:p>
            <w:pPr>
              <w:spacing w:after="0"/>
              <w:rPr>
                <w:sz w:val="15"/>
                <w:szCs w:val="15"/>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20,500,000</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Arial" w:cs="Arial" w:eastAsia="Arial" w:hAnsi="Arial"/>
                <w:sz w:val="14"/>
                <w:szCs w:val="14"/>
                <w:color w:val="auto"/>
              </w:rPr>
              <w:t>Chief Executive Officer</w:t>
            </w:r>
          </w:p>
        </w:tc>
        <w:tc>
          <w:tcPr>
            <w:tcW w:w="1400" w:type="dxa"/>
            <w:vAlign w:val="bottom"/>
            <w:vMerge w:val="restart"/>
          </w:tcPr>
          <w:p>
            <w:pPr>
              <w:jc w:val="right"/>
              <w:ind w:right="168"/>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auto"/>
              </w:rPr>
              <w:t>8,100,000</w:t>
            </w:r>
          </w:p>
        </w:tc>
        <w:tc>
          <w:tcPr>
            <w:tcW w:w="220" w:type="dxa"/>
            <w:vAlign w:val="bottom"/>
          </w:tcPr>
          <w:p>
            <w:pPr>
              <w:spacing w:after="0"/>
              <w:rPr>
                <w:sz w:val="14"/>
                <w:szCs w:val="14"/>
                <w:color w:val="auto"/>
              </w:rPr>
            </w:pP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6,075,000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6,075,000</w:t>
            </w:r>
          </w:p>
        </w:tc>
        <w:tc>
          <w:tcPr>
            <w:tcW w:w="440" w:type="dxa"/>
            <w:vAlign w:val="bottom"/>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21,000,000</w:t>
            </w:r>
          </w:p>
        </w:tc>
        <w:tc>
          <w:tcPr>
            <w:tcW w:w="0" w:type="dxa"/>
            <w:vAlign w:val="bottom"/>
          </w:tcPr>
          <w:p>
            <w:pPr>
              <w:spacing w:after="0"/>
              <w:rPr>
                <w:sz w:val="1"/>
                <w:szCs w:val="1"/>
                <w:color w:val="auto"/>
              </w:rPr>
            </w:pPr>
          </w:p>
        </w:tc>
      </w:tr>
      <w:tr>
        <w:trPr>
          <w:trHeight w:val="109"/>
        </w:trPr>
        <w:tc>
          <w:tcPr>
            <w:tcW w:w="3760" w:type="dxa"/>
            <w:vAlign w:val="bottom"/>
            <w:vMerge w:val="restart"/>
          </w:tcPr>
          <w:p>
            <w:pPr>
              <w:ind w:left="20"/>
              <w:spacing w:after="0"/>
              <w:rPr>
                <w:sz w:val="20"/>
                <w:szCs w:val="20"/>
                <w:color w:val="auto"/>
              </w:rPr>
            </w:pPr>
            <w:r>
              <w:rPr>
                <w:rFonts w:ascii="Arial" w:cs="Arial" w:eastAsia="Arial" w:hAnsi="Arial"/>
                <w:sz w:val="14"/>
                <w:szCs w:val="14"/>
                <w:color w:val="auto"/>
              </w:rPr>
              <w:t>Asset &amp; Wealth Management</w:t>
            </w:r>
          </w:p>
        </w:tc>
        <w:tc>
          <w:tcPr>
            <w:tcW w:w="1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760" w:type="dxa"/>
            <w:vAlign w:val="bottom"/>
            <w:vMerge w:val="continue"/>
          </w:tcPr>
          <w:p>
            <w:pPr>
              <w:spacing w:after="0"/>
              <w:rPr>
                <w:sz w:val="7"/>
                <w:szCs w:val="7"/>
                <w:color w:val="auto"/>
              </w:rPr>
            </w:pPr>
          </w:p>
        </w:tc>
        <w:tc>
          <w:tcPr>
            <w:tcW w:w="1400" w:type="dxa"/>
            <w:vAlign w:val="bottom"/>
            <w:vMerge w:val="restart"/>
          </w:tcPr>
          <w:p>
            <w:pPr>
              <w:jc w:val="right"/>
              <w:ind w:right="168"/>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7"/>
                <w:szCs w:val="7"/>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7"/>
                <w:szCs w:val="7"/>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auto"/>
              </w:rPr>
              <w:t>8,100,000</w:t>
            </w:r>
          </w:p>
        </w:tc>
        <w:tc>
          <w:tcPr>
            <w:tcW w:w="220" w:type="dxa"/>
            <w:vAlign w:val="bottom"/>
          </w:tcPr>
          <w:p>
            <w:pPr>
              <w:spacing w:after="0"/>
              <w:rPr>
                <w:sz w:val="7"/>
                <w:szCs w:val="7"/>
                <w:color w:val="auto"/>
              </w:rPr>
            </w:pP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6,075,000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6,075,000</w:t>
            </w:r>
          </w:p>
        </w:tc>
        <w:tc>
          <w:tcPr>
            <w:tcW w:w="440" w:type="dxa"/>
            <w:vAlign w:val="bottom"/>
          </w:tcPr>
          <w:p>
            <w:pPr>
              <w:spacing w:after="0"/>
              <w:rPr>
                <w:sz w:val="7"/>
                <w:szCs w:val="7"/>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21,000,000</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3760" w:type="dxa"/>
            <w:vAlign w:val="bottom"/>
            <w:tcBorders>
              <w:bottom w:val="single" w:sz="8" w:color="494949"/>
            </w:tcBorders>
          </w:tcPr>
          <w:p>
            <w:pPr>
              <w:spacing w:after="0"/>
              <w:rPr>
                <w:sz w:val="4"/>
                <w:szCs w:val="4"/>
                <w:color w:val="auto"/>
              </w:rPr>
            </w:pPr>
          </w:p>
        </w:tc>
        <w:tc>
          <w:tcPr>
            <w:tcW w:w="1400" w:type="dxa"/>
            <w:vAlign w:val="bottom"/>
            <w:tcBorders>
              <w:bottom w:val="single" w:sz="8" w:color="494949"/>
            </w:tcBorders>
          </w:tcPr>
          <w:p>
            <w:pPr>
              <w:spacing w:after="0"/>
              <w:rPr>
                <w:sz w:val="4"/>
                <w:szCs w:val="4"/>
                <w:color w:val="auto"/>
              </w:rPr>
            </w:pPr>
          </w:p>
        </w:tc>
        <w:tc>
          <w:tcPr>
            <w:tcW w:w="260" w:type="dxa"/>
            <w:vAlign w:val="bottom"/>
            <w:tcBorders>
              <w:bottom w:val="single" w:sz="8" w:color="494949"/>
            </w:tcBorders>
          </w:tcPr>
          <w:p>
            <w:pPr>
              <w:spacing w:after="0"/>
              <w:rPr>
                <w:sz w:val="4"/>
                <w:szCs w:val="4"/>
                <w:color w:val="auto"/>
              </w:rPr>
            </w:pPr>
          </w:p>
        </w:tc>
        <w:tc>
          <w:tcPr>
            <w:tcW w:w="1000" w:type="dxa"/>
            <w:vAlign w:val="bottom"/>
            <w:tcBorders>
              <w:bottom w:val="single" w:sz="8" w:color="494949"/>
            </w:tcBorders>
          </w:tcPr>
          <w:p>
            <w:pPr>
              <w:spacing w:after="0"/>
              <w:rPr>
                <w:sz w:val="4"/>
                <w:szCs w:val="4"/>
                <w:color w:val="auto"/>
              </w:rPr>
            </w:pPr>
          </w:p>
        </w:tc>
        <w:tc>
          <w:tcPr>
            <w:tcW w:w="300" w:type="dxa"/>
            <w:vAlign w:val="bottom"/>
            <w:tcBorders>
              <w:bottom w:val="single" w:sz="8" w:color="494949"/>
            </w:tcBorders>
          </w:tcPr>
          <w:p>
            <w:pPr>
              <w:spacing w:after="0"/>
              <w:rPr>
                <w:sz w:val="4"/>
                <w:szCs w:val="4"/>
                <w:color w:val="auto"/>
              </w:rPr>
            </w:pPr>
          </w:p>
        </w:tc>
        <w:tc>
          <w:tcPr>
            <w:tcW w:w="880" w:type="dxa"/>
            <w:vAlign w:val="bottom"/>
            <w:tcBorders>
              <w:bottom w:val="single" w:sz="8" w:color="494949"/>
            </w:tcBorders>
          </w:tcPr>
          <w:p>
            <w:pPr>
              <w:spacing w:after="0"/>
              <w:rPr>
                <w:sz w:val="4"/>
                <w:szCs w:val="4"/>
                <w:color w:val="auto"/>
              </w:rPr>
            </w:pPr>
          </w:p>
        </w:tc>
        <w:tc>
          <w:tcPr>
            <w:tcW w:w="22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60" w:type="dxa"/>
            <w:vAlign w:val="bottom"/>
            <w:tcBorders>
              <w:bottom w:val="single" w:sz="8" w:color="494949"/>
            </w:tcBorders>
          </w:tcPr>
          <w:p>
            <w:pPr>
              <w:spacing w:after="0"/>
              <w:rPr>
                <w:sz w:val="4"/>
                <w:szCs w:val="4"/>
                <w:color w:val="auto"/>
              </w:rPr>
            </w:pPr>
          </w:p>
        </w:tc>
        <w:tc>
          <w:tcPr>
            <w:tcW w:w="440" w:type="dxa"/>
            <w:vAlign w:val="bottom"/>
            <w:tcBorders>
              <w:bottom w:val="single" w:sz="8" w:color="494949"/>
            </w:tcBorders>
          </w:tcPr>
          <w:p>
            <w:pPr>
              <w:spacing w:after="0"/>
              <w:rPr>
                <w:sz w:val="4"/>
                <w:szCs w:val="4"/>
                <w:color w:val="auto"/>
              </w:rPr>
            </w:pPr>
          </w:p>
        </w:tc>
        <w:tc>
          <w:tcPr>
            <w:tcW w:w="92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750,000</w:t>
            </w:r>
          </w:p>
        </w:tc>
        <w:tc>
          <w:tcPr>
            <w:tcW w:w="30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b w:val="1"/>
                <w:bCs w:val="1"/>
                <w:color w:val="auto"/>
              </w:rPr>
              <w:t>6,300,000</w:t>
            </w:r>
          </w:p>
        </w:tc>
        <w:tc>
          <w:tcPr>
            <w:tcW w:w="220" w:type="dxa"/>
            <w:vAlign w:val="bottom"/>
          </w:tcPr>
          <w:p>
            <w:pPr>
              <w:spacing w:after="0"/>
              <w:rPr>
                <w:sz w:val="15"/>
                <w:szCs w:val="15"/>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4,725,000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4,725,000</w:t>
            </w:r>
          </w:p>
        </w:tc>
        <w:tc>
          <w:tcPr>
            <w:tcW w:w="440" w:type="dxa"/>
            <w:vAlign w:val="bottom"/>
          </w:tcPr>
          <w:p>
            <w:pPr>
              <w:spacing w:after="0"/>
              <w:rPr>
                <w:sz w:val="15"/>
                <w:szCs w:val="15"/>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16,500,000</w:t>
            </w:r>
          </w:p>
        </w:tc>
        <w:tc>
          <w:tcPr>
            <w:tcW w:w="0" w:type="dxa"/>
            <w:vAlign w:val="bottom"/>
          </w:tcPr>
          <w:p>
            <w:pPr>
              <w:spacing w:after="0"/>
              <w:rPr>
                <w:sz w:val="1"/>
                <w:szCs w:val="1"/>
                <w:color w:val="auto"/>
              </w:rPr>
            </w:pPr>
          </w:p>
        </w:tc>
      </w:tr>
      <w:tr>
        <w:trPr>
          <w:trHeight w:val="162"/>
        </w:trPr>
        <w:tc>
          <w:tcPr>
            <w:tcW w:w="3760" w:type="dxa"/>
            <w:vAlign w:val="bottom"/>
          </w:tcPr>
          <w:p>
            <w:pPr>
              <w:ind w:left="20"/>
              <w:spacing w:after="0"/>
              <w:rPr>
                <w:sz w:val="20"/>
                <w:szCs w:val="20"/>
                <w:color w:val="auto"/>
              </w:rPr>
            </w:pPr>
            <w:r>
              <w:rPr>
                <w:rFonts w:ascii="Arial" w:cs="Arial" w:eastAsia="Arial" w:hAnsi="Arial"/>
                <w:sz w:val="14"/>
                <w:szCs w:val="14"/>
                <w:color w:val="auto"/>
              </w:rPr>
              <w:t>Co-Chief Executive Officer</w:t>
            </w:r>
          </w:p>
        </w:tc>
        <w:tc>
          <w:tcPr>
            <w:tcW w:w="1400" w:type="dxa"/>
            <w:vAlign w:val="bottom"/>
            <w:vMerge w:val="restart"/>
          </w:tcPr>
          <w:p>
            <w:pPr>
              <w:jc w:val="right"/>
              <w:ind w:right="168"/>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750,000</w:t>
            </w:r>
          </w:p>
        </w:tc>
        <w:tc>
          <w:tcPr>
            <w:tcW w:w="30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auto"/>
              </w:rPr>
              <w:t>4,500,000</w:t>
            </w:r>
          </w:p>
        </w:tc>
        <w:tc>
          <w:tcPr>
            <w:tcW w:w="220" w:type="dxa"/>
            <w:vAlign w:val="bottom"/>
          </w:tcPr>
          <w:p>
            <w:pPr>
              <w:spacing w:after="0"/>
              <w:rPr>
                <w:sz w:val="14"/>
                <w:szCs w:val="14"/>
                <w:color w:val="auto"/>
              </w:rPr>
            </w:pP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3,375,000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3,375,000</w:t>
            </w:r>
          </w:p>
        </w:tc>
        <w:tc>
          <w:tcPr>
            <w:tcW w:w="440" w:type="dxa"/>
            <w:vAlign w:val="bottom"/>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109"/>
        </w:trPr>
        <w:tc>
          <w:tcPr>
            <w:tcW w:w="3760" w:type="dxa"/>
            <w:vAlign w:val="bottom"/>
            <w:vMerge w:val="restart"/>
          </w:tcPr>
          <w:p>
            <w:pPr>
              <w:ind w:left="20"/>
              <w:spacing w:after="0"/>
              <w:rPr>
                <w:sz w:val="20"/>
                <w:szCs w:val="20"/>
                <w:color w:val="auto"/>
              </w:rPr>
            </w:pPr>
            <w:r>
              <w:rPr>
                <w:rFonts w:ascii="Arial" w:cs="Arial" w:eastAsia="Arial" w:hAnsi="Arial"/>
                <w:sz w:val="14"/>
                <w:szCs w:val="14"/>
                <w:color w:val="auto"/>
              </w:rPr>
              <w:t>Consumer &amp; Community Banking</w:t>
            </w:r>
          </w:p>
        </w:tc>
        <w:tc>
          <w:tcPr>
            <w:tcW w:w="1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760" w:type="dxa"/>
            <w:vAlign w:val="bottom"/>
            <w:vMerge w:val="continue"/>
          </w:tcPr>
          <w:p>
            <w:pPr>
              <w:spacing w:after="0"/>
              <w:rPr>
                <w:sz w:val="7"/>
                <w:szCs w:val="7"/>
                <w:color w:val="auto"/>
              </w:rPr>
            </w:pPr>
          </w:p>
        </w:tc>
        <w:tc>
          <w:tcPr>
            <w:tcW w:w="1400" w:type="dxa"/>
            <w:vAlign w:val="bottom"/>
            <w:vMerge w:val="restart"/>
          </w:tcPr>
          <w:p>
            <w:pPr>
              <w:jc w:val="right"/>
              <w:ind w:right="168"/>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7"/>
                <w:szCs w:val="7"/>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666,667</w:t>
            </w:r>
          </w:p>
        </w:tc>
        <w:tc>
          <w:tcPr>
            <w:tcW w:w="300" w:type="dxa"/>
            <w:vAlign w:val="bottom"/>
          </w:tcPr>
          <w:p>
            <w:pPr>
              <w:spacing w:after="0"/>
              <w:rPr>
                <w:sz w:val="7"/>
                <w:szCs w:val="7"/>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auto"/>
              </w:rPr>
              <w:t>3,733,333</w:t>
            </w:r>
          </w:p>
        </w:tc>
        <w:tc>
          <w:tcPr>
            <w:tcW w:w="220" w:type="dxa"/>
            <w:vAlign w:val="bottom"/>
          </w:tcPr>
          <w:p>
            <w:pPr>
              <w:spacing w:after="0"/>
              <w:rPr>
                <w:sz w:val="7"/>
                <w:szCs w:val="7"/>
                <w:color w:val="auto"/>
              </w:rPr>
            </w:pP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color w:val="auto"/>
              </w:rPr>
              <w:t>2,800,000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2,800,000</w:t>
            </w:r>
          </w:p>
        </w:tc>
        <w:tc>
          <w:tcPr>
            <w:tcW w:w="440" w:type="dxa"/>
            <w:vAlign w:val="bottom"/>
          </w:tcPr>
          <w:p>
            <w:pPr>
              <w:spacing w:after="0"/>
              <w:rPr>
                <w:sz w:val="7"/>
                <w:szCs w:val="7"/>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4"/>
                <w:szCs w:val="14"/>
                <w:color w:val="auto"/>
              </w:rPr>
              <w:t>Former Chief Financial Officer</w:t>
            </w:r>
          </w:p>
        </w:tc>
        <w:tc>
          <w:tcPr>
            <w:tcW w:w="1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760" w:type="dxa"/>
            <w:vAlign w:val="bottom"/>
            <w:tcBorders>
              <w:bottom w:val="single" w:sz="8" w:color="494949"/>
            </w:tcBorders>
          </w:tcPr>
          <w:p>
            <w:pPr>
              <w:spacing w:after="0" w:line="20" w:lineRule="exact"/>
              <w:rPr>
                <w:sz w:val="1"/>
                <w:szCs w:val="1"/>
                <w:color w:val="auto"/>
              </w:rPr>
            </w:pPr>
          </w:p>
        </w:tc>
        <w:tc>
          <w:tcPr>
            <w:tcW w:w="1400" w:type="dxa"/>
            <w:vAlign w:val="bottom"/>
            <w:tcBorders>
              <w:bottom w:val="single" w:sz="8" w:color="494949"/>
            </w:tcBorders>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1000" w:type="dxa"/>
            <w:vAlign w:val="bottom"/>
            <w:tcBorders>
              <w:bottom w:val="single" w:sz="8" w:color="494949"/>
            </w:tcBorders>
          </w:tcPr>
          <w:p>
            <w:pPr>
              <w:spacing w:after="0" w:line="20" w:lineRule="exact"/>
              <w:rPr>
                <w:sz w:val="1"/>
                <w:szCs w:val="1"/>
                <w:color w:val="auto"/>
              </w:rPr>
            </w:pPr>
          </w:p>
        </w:tc>
        <w:tc>
          <w:tcPr>
            <w:tcW w:w="300" w:type="dxa"/>
            <w:vAlign w:val="bottom"/>
            <w:tcBorders>
              <w:bottom w:val="single" w:sz="8" w:color="494949"/>
            </w:tcBorders>
          </w:tcPr>
          <w:p>
            <w:pPr>
              <w:spacing w:after="0" w:line="20" w:lineRule="exact"/>
              <w:rPr>
                <w:sz w:val="1"/>
                <w:szCs w:val="1"/>
                <w:color w:val="auto"/>
              </w:rPr>
            </w:pPr>
          </w:p>
        </w:tc>
        <w:tc>
          <w:tcPr>
            <w:tcW w:w="880" w:type="dxa"/>
            <w:vAlign w:val="bottom"/>
            <w:tcBorders>
              <w:bottom w:val="single" w:sz="8" w:color="494949"/>
            </w:tcBorders>
          </w:tcPr>
          <w:p>
            <w:pPr>
              <w:spacing w:after="0" w:line="20" w:lineRule="exact"/>
              <w:rPr>
                <w:sz w:val="1"/>
                <w:szCs w:val="1"/>
                <w:color w:val="auto"/>
              </w:rPr>
            </w:pPr>
          </w:p>
        </w:tc>
        <w:tc>
          <w:tcPr>
            <w:tcW w:w="220" w:type="dxa"/>
            <w:vAlign w:val="bottom"/>
            <w:tcBorders>
              <w:bottom w:val="single" w:sz="8" w:color="494949"/>
            </w:tcBorders>
          </w:tcPr>
          <w:p>
            <w:pPr>
              <w:spacing w:after="0" w:line="20" w:lineRule="exact"/>
              <w:rPr>
                <w:sz w:val="1"/>
                <w:szCs w:val="1"/>
                <w:color w:val="auto"/>
              </w:rPr>
            </w:pPr>
          </w:p>
        </w:tc>
        <w:tc>
          <w:tcPr>
            <w:tcW w:w="1200" w:type="dxa"/>
            <w:vAlign w:val="bottom"/>
            <w:tcBorders>
              <w:bottom w:val="single" w:sz="8" w:color="494949"/>
            </w:tcBorders>
          </w:tcPr>
          <w:p>
            <w:pPr>
              <w:spacing w:after="0" w:line="20" w:lineRule="exact"/>
              <w:rPr>
                <w:sz w:val="1"/>
                <w:szCs w:val="1"/>
                <w:color w:val="auto"/>
              </w:rPr>
            </w:pPr>
          </w:p>
        </w:tc>
        <w:tc>
          <w:tcPr>
            <w:tcW w:w="860" w:type="dxa"/>
            <w:vAlign w:val="bottom"/>
            <w:tcBorders>
              <w:bottom w:val="single" w:sz="8" w:color="494949"/>
            </w:tcBorders>
          </w:tcPr>
          <w:p>
            <w:pPr>
              <w:spacing w:after="0" w:line="20" w:lineRule="exact"/>
              <w:rPr>
                <w:sz w:val="1"/>
                <w:szCs w:val="1"/>
                <w:color w:val="auto"/>
              </w:rPr>
            </w:pPr>
          </w:p>
        </w:tc>
        <w:tc>
          <w:tcPr>
            <w:tcW w:w="440" w:type="dxa"/>
            <w:vAlign w:val="bottom"/>
            <w:tcBorders>
              <w:bottom w:val="single" w:sz="8" w:color="494949"/>
            </w:tcBorders>
          </w:tcPr>
          <w:p>
            <w:pPr>
              <w:spacing w:after="0" w:line="20" w:lineRule="exact"/>
              <w:rPr>
                <w:sz w:val="1"/>
                <w:szCs w:val="1"/>
                <w:color w:val="auto"/>
              </w:rPr>
            </w:pPr>
          </w:p>
        </w:tc>
        <w:tc>
          <w:tcPr>
            <w:tcW w:w="920" w:type="dxa"/>
            <w:vAlign w:val="bottom"/>
            <w:tcBorders>
              <w:bottom w:val="single" w:sz="8" w:color="49494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20"/>
              <w:spacing w:after="0" w:line="173" w:lineRule="exact"/>
              <w:rPr>
                <w:sz w:val="20"/>
                <w:szCs w:val="20"/>
                <w:color w:val="auto"/>
              </w:rPr>
            </w:pPr>
            <w:r>
              <w:rPr>
                <w:rFonts w:ascii="Arial" w:cs="Arial" w:eastAsia="Arial" w:hAnsi="Arial"/>
                <w:sz w:val="14"/>
                <w:szCs w:val="14"/>
                <w:b w:val="1"/>
                <w:bCs w:val="1"/>
                <w:color w:val="auto"/>
              </w:rPr>
              <w:t>Jeremy Barnum</w:t>
            </w:r>
            <w:r>
              <w:rPr>
                <w:rFonts w:ascii="Arial" w:cs="Arial" w:eastAsia="Arial" w:hAnsi="Arial"/>
                <w:sz w:val="18"/>
                <w:szCs w:val="18"/>
                <w:b w:val="1"/>
                <w:bCs w:val="1"/>
                <w:color w:val="auto"/>
                <w:vertAlign w:val="superscript"/>
              </w:rPr>
              <w:t>4</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693,750</w:t>
            </w:r>
          </w:p>
        </w:tc>
        <w:tc>
          <w:tcPr>
            <w:tcW w:w="30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Arial" w:cs="Arial" w:eastAsia="Arial" w:hAnsi="Arial"/>
                <w:sz w:val="14"/>
                <w:szCs w:val="14"/>
                <w:b w:val="1"/>
                <w:bCs w:val="1"/>
                <w:color w:val="auto"/>
              </w:rPr>
              <w:t>3,722,500</w:t>
            </w:r>
          </w:p>
        </w:tc>
        <w:tc>
          <w:tcPr>
            <w:tcW w:w="220" w:type="dxa"/>
            <w:vAlign w:val="bottom"/>
          </w:tcPr>
          <w:p>
            <w:pPr>
              <w:spacing w:after="0"/>
              <w:rPr>
                <w:sz w:val="15"/>
                <w:szCs w:val="15"/>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2,791,875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2,791,875</w:t>
            </w:r>
          </w:p>
        </w:tc>
        <w:tc>
          <w:tcPr>
            <w:tcW w:w="440" w:type="dxa"/>
            <w:vAlign w:val="bottom"/>
          </w:tcPr>
          <w:p>
            <w:pPr>
              <w:spacing w:after="0"/>
              <w:rPr>
                <w:sz w:val="15"/>
                <w:szCs w:val="15"/>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10,000,000</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p>
      <w:pPr>
        <w:ind w:left="200" w:right="360" w:hanging="192"/>
        <w:spacing w:after="0" w:line="221" w:lineRule="auto"/>
        <w:tabs>
          <w:tab w:leader="none" w:pos="200" w:val="left"/>
        </w:tabs>
        <w:numPr>
          <w:ilvl w:val="0"/>
          <w:numId w:val="178"/>
        </w:numPr>
        <w:rPr>
          <w:rFonts w:ascii="Arial" w:cs="Arial" w:eastAsia="Arial" w:hAnsi="Arial"/>
          <w:sz w:val="16"/>
          <w:szCs w:val="16"/>
          <w:color w:val="auto"/>
          <w:vertAlign w:val="superscript"/>
        </w:rPr>
      </w:pPr>
      <w:r>
        <w:rPr>
          <w:rFonts w:ascii="Arial" w:cs="Arial" w:eastAsia="Arial" w:hAnsi="Arial"/>
          <w:sz w:val="13"/>
          <w:szCs w:val="13"/>
          <w:color w:val="auto"/>
        </w:rPr>
        <w:t>Reflects the grant date fair value. Actual amounts of PSUs received by NEOs upon vesting may range from 0% to 150% of the target shares (excluding accrued dividends), depending upon the Firm’s performance.</w:t>
      </w:r>
    </w:p>
    <w:p>
      <w:pPr>
        <w:ind w:left="200" w:hanging="192"/>
        <w:spacing w:after="0" w:line="209" w:lineRule="auto"/>
        <w:tabs>
          <w:tab w:leader="none" w:pos="200"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Mr. Pinto’s fixed allowance, which is paid in British pound sterling, increased to $8,400,000 in 2021 from $7,635,000 in 2020 and 2019. His salary of £475,000 has remained unchanged since 2016.</w:t>
      </w:r>
    </w:p>
    <w:p>
      <w:pPr>
        <w:ind w:left="200" w:right="200"/>
        <w:spacing w:after="0" w:line="237" w:lineRule="auto"/>
        <w:rPr>
          <w:sz w:val="20"/>
          <w:szCs w:val="20"/>
          <w:color w:val="auto"/>
        </w:rPr>
      </w:pPr>
      <w:r>
        <w:rPr>
          <w:rFonts w:ascii="Arial" w:cs="Arial" w:eastAsia="Arial" w:hAnsi="Arial"/>
          <w:sz w:val="13"/>
          <w:szCs w:val="13"/>
          <w:color w:val="auto"/>
        </w:rPr>
        <w:t>For the purposes of determining the number of RSUs and PSUs granted to Mr. Pinto in 2022 for 2021 performance, the Firm established a grant date fair value per unit that takes into account that these awards do not carry the right to dividends or dividend equivalents prior to vesting, in accordance with local regulations.</w:t>
      </w:r>
    </w:p>
    <w:p>
      <w:pPr>
        <w:ind w:left="200" w:hanging="192"/>
        <w:spacing w:after="0" w:line="208" w:lineRule="auto"/>
        <w:tabs>
          <w:tab w:leader="none" w:pos="200" w:val="left"/>
        </w:tabs>
        <w:numPr>
          <w:ilvl w:val="0"/>
          <w:numId w:val="180"/>
        </w:numPr>
        <w:rPr>
          <w:rFonts w:ascii="Arial" w:cs="Arial" w:eastAsia="Arial" w:hAnsi="Arial"/>
          <w:sz w:val="15"/>
          <w:szCs w:val="15"/>
          <w:color w:val="auto"/>
          <w:vertAlign w:val="superscript"/>
        </w:rPr>
      </w:pPr>
      <w:r>
        <w:rPr>
          <w:rFonts w:ascii="Arial" w:cs="Arial" w:eastAsia="Arial" w:hAnsi="Arial"/>
          <w:sz w:val="12"/>
          <w:szCs w:val="12"/>
          <w:color w:val="auto"/>
        </w:rPr>
        <w:t>Ms. Erdoes's 2021 incentive compensation includes a significant reduction related to internal, SEC and CFTC investigations into the Firm's compliance with certain record preservation requirements.</w:t>
      </w:r>
    </w:p>
    <w:p>
      <w:pPr>
        <w:ind w:left="200" w:hanging="192"/>
        <w:spacing w:after="0" w:line="201"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Mr. Barnum was not a NEO in 2019 or 2020.</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074A75"/>
        </w:rPr>
        <w:t>INTERPRETING 2021 NEO COMPENSATION</w:t>
      </w:r>
    </w:p>
    <w:p>
      <w:pPr>
        <w:spacing w:after="0" w:line="2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table above is presented to show how the CMDC and Board viewed compensation awarded for 2021 performance. It differs from how compensation is reported in the “Summary Compensation Table” (“SCT”) on page 74, which is required by the SEC, and is not intended as a substitute for the SCT. There are two principal differences between the SCT and the table above:</w:t>
      </w:r>
    </w:p>
    <w:p>
      <w:pPr>
        <w:spacing w:after="0" w:line="70" w:lineRule="exact"/>
        <w:rPr>
          <w:sz w:val="20"/>
          <w:szCs w:val="20"/>
          <w:color w:val="auto"/>
        </w:rPr>
      </w:pPr>
    </w:p>
    <w:p>
      <w:pPr>
        <w:ind w:left="260" w:right="160" w:hanging="252"/>
        <w:spacing w:after="0" w:line="259" w:lineRule="auto"/>
        <w:tabs>
          <w:tab w:leader="none" w:pos="25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Firm grants both cash and equity incentive compensation after a performance year is completed. In both the table above and the SCT, cash incentive compensation paid in 2022 for 2021 performance is shown as 2021 compensation. In the table above, the equity awards (RSUs and PSUs) granted in 2022 for 2021 performance are shown as 2021 compensation. In contrast, the SCT reports the value of equity awards in the year in which they are granted. As a result, awards granted in 2021 for 2020 performance are shown in the SCT as 2021 compensation.</w:t>
      </w:r>
    </w:p>
    <w:p>
      <w:pPr>
        <w:spacing w:after="0" w:line="71" w:lineRule="exact"/>
        <w:rPr>
          <w:rFonts w:ascii="Arial" w:cs="Arial" w:eastAsia="Arial" w:hAnsi="Arial"/>
          <w:sz w:val="18"/>
          <w:szCs w:val="18"/>
          <w:color w:val="auto"/>
        </w:rPr>
      </w:pPr>
    </w:p>
    <w:p>
      <w:pPr>
        <w:ind w:left="260" w:right="240" w:hanging="252"/>
        <w:spacing w:after="0" w:line="287" w:lineRule="auto"/>
        <w:tabs>
          <w:tab w:leader="none" w:pos="25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SCT reports the change in pension value and nonqualified deferred compensation and all other compensation. These amounts are not shown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237490</wp:posOffset>
            </wp:positionV>
            <wp:extent cx="27432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65  </w:t>
      </w:r>
      <w:r>
        <w:rPr>
          <w:sz w:val="1"/>
          <w:szCs w:val="1"/>
          <w:color w:val="auto"/>
        </w:rPr>
        <w:drawing>
          <wp:inline distT="0" distB="0" distL="0" distR="0">
            <wp:extent cx="2203450" cy="154305"/>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074A75"/>
        </w:rPr>
        <w:t>CONSISTENTLY STRONG RELATIVE CEO PAY-FOR-PERFORMANCE ALIGNMENT</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6140" w:type="dxa"/>
            <w:vAlign w:val="bottom"/>
          </w:tcPr>
          <w:p>
            <w:pPr>
              <w:spacing w:after="0"/>
              <w:rPr>
                <w:sz w:val="20"/>
                <w:szCs w:val="20"/>
                <w:color w:val="auto"/>
              </w:rPr>
            </w:pPr>
            <w:r>
              <w:rPr>
                <w:rFonts w:ascii="Arial" w:cs="Arial" w:eastAsia="Arial" w:hAnsi="Arial"/>
                <w:sz w:val="18"/>
                <w:szCs w:val="18"/>
                <w:color w:val="auto"/>
              </w:rPr>
              <w:t>The CEO pay allocation chart alongside compares Mr. Dimon’s</w:t>
            </w:r>
          </w:p>
        </w:tc>
        <w:tc>
          <w:tcPr>
            <w:tcW w:w="5080" w:type="dxa"/>
            <w:vAlign w:val="bottom"/>
            <w:shd w:val="clear" w:color="auto" w:fill="EEEFEF"/>
          </w:tcPr>
          <w:p>
            <w:pPr>
              <w:ind w:left="240"/>
              <w:spacing w:after="0"/>
              <w:rPr>
                <w:sz w:val="20"/>
                <w:szCs w:val="20"/>
                <w:color w:val="auto"/>
              </w:rPr>
            </w:pPr>
            <w:r>
              <w:rPr>
                <w:rFonts w:ascii="Arial" w:cs="Arial" w:eastAsia="Arial" w:hAnsi="Arial"/>
                <w:sz w:val="16"/>
                <w:szCs w:val="16"/>
                <w:b w:val="1"/>
                <w:bCs w:val="1"/>
                <w:color w:val="074A75"/>
              </w:rPr>
              <w:t>Prior 3-Year Average % of Profits Paid to CEOs (2018-2020)</w:t>
            </w:r>
            <w:r>
              <w:rPr>
                <w:rFonts w:ascii="Arial" w:cs="Arial" w:eastAsia="Arial" w:hAnsi="Arial"/>
                <w:sz w:val="21"/>
                <w:szCs w:val="21"/>
                <w:b w:val="1"/>
                <w:bCs w:val="1"/>
                <w:color w:val="074A75"/>
                <w:vertAlign w:val="superscript"/>
              </w:rPr>
              <w:t>1</w:t>
            </w:r>
          </w:p>
        </w:tc>
      </w:tr>
      <w:tr>
        <w:trPr>
          <w:trHeight w:val="157"/>
        </w:trPr>
        <w:tc>
          <w:tcPr>
            <w:tcW w:w="6140" w:type="dxa"/>
            <w:vAlign w:val="bottom"/>
          </w:tcPr>
          <w:p>
            <w:pPr>
              <w:spacing w:after="0" w:line="157" w:lineRule="exact"/>
              <w:rPr>
                <w:sz w:val="20"/>
                <w:szCs w:val="20"/>
                <w:color w:val="auto"/>
              </w:rPr>
            </w:pPr>
            <w:r>
              <w:rPr>
                <w:rFonts w:ascii="Arial" w:cs="Arial" w:eastAsia="Arial" w:hAnsi="Arial"/>
                <w:sz w:val="18"/>
                <w:szCs w:val="18"/>
                <w:color w:val="auto"/>
              </w:rPr>
              <w:t>compensation to that of the CEOs of our six financial services peers, based</w:t>
            </w:r>
          </w:p>
        </w:tc>
        <w:tc>
          <w:tcPr>
            <w:tcW w:w="5080" w:type="dxa"/>
            <w:vAlign w:val="bottom"/>
            <w:shd w:val="clear" w:color="auto" w:fill="EEEFEF"/>
          </w:tcPr>
          <w:p>
            <w:pPr>
              <w:spacing w:after="0"/>
              <w:rPr>
                <w:sz w:val="13"/>
                <w:szCs w:val="13"/>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on three-year average total compensation expressed as a percentage of net</w:t>
            </w:r>
          </w:p>
        </w:tc>
        <w:tc>
          <w:tcPr>
            <w:tcW w:w="5080" w:type="dxa"/>
            <w:vAlign w:val="bottom"/>
            <w:shd w:val="clear" w:color="auto" w:fill="EEEFEF"/>
          </w:tcPr>
          <w:p>
            <w:pPr>
              <w:spacing w:after="0"/>
              <w:rPr>
                <w:sz w:val="18"/>
                <w:szCs w:val="18"/>
                <w:color w:val="auto"/>
              </w:rPr>
            </w:pPr>
          </w:p>
        </w:tc>
      </w:tr>
      <w:tr>
        <w:trPr>
          <w:trHeight w:val="239"/>
        </w:trPr>
        <w:tc>
          <w:tcPr>
            <w:tcW w:w="6140" w:type="dxa"/>
            <w:vAlign w:val="bottom"/>
          </w:tcPr>
          <w:p>
            <w:pPr>
              <w:spacing w:after="0"/>
              <w:rPr>
                <w:sz w:val="20"/>
                <w:szCs w:val="20"/>
                <w:color w:val="auto"/>
              </w:rPr>
            </w:pPr>
            <w:r>
              <w:rPr>
                <w:rFonts w:ascii="Arial" w:cs="Arial" w:eastAsia="Arial" w:hAnsi="Arial"/>
                <w:sz w:val="18"/>
                <w:szCs w:val="18"/>
                <w:color w:val="auto"/>
              </w:rPr>
              <w:t>income.</w:t>
            </w:r>
          </w:p>
        </w:tc>
        <w:tc>
          <w:tcPr>
            <w:tcW w:w="5080" w:type="dxa"/>
            <w:vAlign w:val="bottom"/>
            <w:shd w:val="clear" w:color="auto" w:fill="EEEFEF"/>
          </w:tcPr>
          <w:p>
            <w:pPr>
              <w:spacing w:after="0"/>
              <w:rPr>
                <w:sz w:val="20"/>
                <w:szCs w:val="20"/>
                <w:color w:val="auto"/>
              </w:rPr>
            </w:pPr>
          </w:p>
        </w:tc>
      </w:tr>
      <w:tr>
        <w:trPr>
          <w:trHeight w:val="301"/>
        </w:trPr>
        <w:tc>
          <w:tcPr>
            <w:tcW w:w="6140" w:type="dxa"/>
            <w:vAlign w:val="bottom"/>
          </w:tcPr>
          <w:p>
            <w:pPr>
              <w:spacing w:after="0"/>
              <w:rPr>
                <w:sz w:val="20"/>
                <w:szCs w:val="20"/>
                <w:color w:val="auto"/>
              </w:rPr>
            </w:pPr>
            <w:r>
              <w:rPr>
                <w:rFonts w:ascii="Arial" w:cs="Arial" w:eastAsia="Arial" w:hAnsi="Arial"/>
                <w:sz w:val="18"/>
                <w:szCs w:val="18"/>
                <w:color w:val="auto"/>
              </w:rPr>
              <w:t>The Firm's trailing average percentage of net income paid to Mr. Dimon</w:t>
            </w:r>
          </w:p>
        </w:tc>
        <w:tc>
          <w:tcPr>
            <w:tcW w:w="5080" w:type="dxa"/>
            <w:vAlign w:val="bottom"/>
            <w:shd w:val="clear" w:color="auto" w:fill="EEEFEF"/>
          </w:tcPr>
          <w:p>
            <w:pPr>
              <w:spacing w:after="0"/>
              <w:rPr>
                <w:sz w:val="24"/>
                <w:szCs w:val="24"/>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continues to rank among the lowest of our peers, demonstrating our strong</w:t>
            </w:r>
          </w:p>
        </w:tc>
        <w:tc>
          <w:tcPr>
            <w:tcW w:w="5080" w:type="dxa"/>
            <w:vAlign w:val="bottom"/>
            <w:shd w:val="clear" w:color="auto" w:fill="EEEFE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pay-for-performance alignment, and a more efficient CEO pay allocation</w:t>
            </w:r>
          </w:p>
        </w:tc>
        <w:tc>
          <w:tcPr>
            <w:tcW w:w="5080" w:type="dxa"/>
            <w:vAlign w:val="bottom"/>
            <w:shd w:val="clear" w:color="auto" w:fill="EEEFEF"/>
          </w:tcPr>
          <w:p>
            <w:pPr>
              <w:spacing w:after="0"/>
              <w:rPr>
                <w:sz w:val="18"/>
                <w:szCs w:val="18"/>
                <w:color w:val="auto"/>
              </w:rPr>
            </w:pPr>
          </w:p>
        </w:tc>
      </w:tr>
      <w:tr>
        <w:trPr>
          <w:trHeight w:val="239"/>
        </w:trPr>
        <w:tc>
          <w:tcPr>
            <w:tcW w:w="6140" w:type="dxa"/>
            <w:vAlign w:val="bottom"/>
          </w:tcPr>
          <w:p>
            <w:pPr>
              <w:spacing w:after="0"/>
              <w:rPr>
                <w:sz w:val="20"/>
                <w:szCs w:val="20"/>
                <w:color w:val="auto"/>
              </w:rPr>
            </w:pPr>
            <w:r>
              <w:rPr>
                <w:rFonts w:ascii="Arial" w:cs="Arial" w:eastAsia="Arial" w:hAnsi="Arial"/>
                <w:sz w:val="18"/>
                <w:szCs w:val="18"/>
                <w:color w:val="auto"/>
              </w:rPr>
              <w:t>ratio.</w:t>
            </w:r>
          </w:p>
        </w:tc>
        <w:tc>
          <w:tcPr>
            <w:tcW w:w="5080" w:type="dxa"/>
            <w:vAlign w:val="bottom"/>
            <w:shd w:val="clear" w:color="auto" w:fill="EEEFEF"/>
          </w:tcPr>
          <w:p>
            <w:pPr>
              <w:spacing w:after="0"/>
              <w:rPr>
                <w:sz w:val="20"/>
                <w:szCs w:val="20"/>
                <w:color w:val="auto"/>
              </w:rPr>
            </w:pPr>
          </w:p>
        </w:tc>
      </w:tr>
      <w:tr>
        <w:trPr>
          <w:trHeight w:val="576"/>
        </w:trPr>
        <w:tc>
          <w:tcPr>
            <w:tcW w:w="6140" w:type="dxa"/>
            <w:vAlign w:val="bottom"/>
          </w:tcPr>
          <w:p>
            <w:pPr>
              <w:spacing w:after="0"/>
              <w:rPr>
                <w:sz w:val="24"/>
                <w:szCs w:val="24"/>
                <w:color w:val="auto"/>
              </w:rPr>
            </w:pPr>
          </w:p>
        </w:tc>
        <w:tc>
          <w:tcPr>
            <w:tcW w:w="5080" w:type="dxa"/>
            <w:vAlign w:val="bottom"/>
            <w:shd w:val="clear" w:color="auto" w:fill="EEEF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-1182370</wp:posOffset>
            </wp:positionV>
            <wp:extent cx="2648585" cy="10369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648585" cy="10369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074A75"/>
        </w:rPr>
        <w:t>SPECIAL AWARDS GRANTED TO MR. DIMON AND MR. PINTO</w:t>
      </w:r>
    </w:p>
    <w:p>
      <w:pPr>
        <w:spacing w:after="0" w:line="1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part of the Firm's long-term executive retention and succession planning, the Board and CMDC granted special awards of 1,500,000 options to Mr. Dimon on July 20, 2021 and 750,000 options to Mr. Pinto on December 14, 2021, respectively, in the form of stock appreciation rights.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special award granted to Mr. Dimon reflects the Board's desire for him to continue to lead the Firm for a further significant number of years. In making the special award, the Board considered the importance of Mr. Dimon's continuing, long-term stewardship of the Firm, leadership continuity, and management succession planning amidst a highly competitive landscape for executive leadership talent. The Board also took into account other factors, including the Firm's strong performance under Mr. Dimon’s stewardship since 2005, his exemplary leadership, and his significant contributions to the Firm’s success during his tenure. The nature of this special award reflects the unique inflection point in Mr. Dimon’s tenure and the importance of his continued leadership and support of the Firm's longer-term succession plans.</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CMDC made the special award to Mr. Pinto for prospective purposes, with respect to his promotion to the Firm’s sole President and Chief Operating Officer, which became effective January 1, 2022 following the retirement of Mr. Smith. The special award reflects the CMDC’s desire for Mr. Pinto to continue his outstanding leadership in this new role for a further significant number of years. Mr. Pinto moved from the United Kingdom to the United States in early 2022.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options are not part of Mr. Dimon's and Mr. Pinto's regular annual compensation and will not be awarded on a recurring basis.</w:t>
      </w:r>
    </w:p>
    <w:p>
      <w:pPr>
        <w:spacing w:after="0" w:line="117"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terms of the grants are distinct from, and are generally more restrictive than, other equity grants regularly awarded by the Firm. The options have an exercise price equal to the average of the high and low prices of JPMorgan Chase &amp; Co. common stock on the dates of each of the respective grants (the “Effective Dates”).</w:t>
      </w:r>
    </w:p>
    <w:p>
      <w:pPr>
        <w:spacing w:after="0" w:line="6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options have ten-year terms, will become exercisable no earlier than July 20, 2026 and December 14, 2026 respectively, or five years after the Effective Dates, and are subject to protection-based vesting, clawback and recovery provisions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Apart from certain limited exceptions, vesting is subject to Mr. Dimon's and Mr. Pinto's respective continuous leadership of, or employment with, the Firm.</w:t>
      </w:r>
    </w:p>
    <w:p>
      <w:pPr>
        <w:spacing w:after="0" w:line="8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Moreover, net shares delivered from the exercise of the options must be held until July 20, 2031 and December 14, 2031 respectively, which coincides with the end of the ten-year terms of each of the special awards. Net shares received from exercise of the options are also subject to the Firm’s stock ownership guideline and retention requirements applicable to the Firm’s OC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200" w:right="100" w:hanging="192"/>
        <w:spacing w:after="0" w:line="246" w:lineRule="auto"/>
        <w:tabs>
          <w:tab w:leader="none" w:pos="196" w:val="left"/>
        </w:tabs>
        <w:numPr>
          <w:ilvl w:val="0"/>
          <w:numId w:val="183"/>
        </w:numPr>
        <w:rPr>
          <w:rFonts w:ascii="Arial" w:cs="Arial" w:eastAsia="Arial" w:hAnsi="Arial"/>
          <w:sz w:val="14"/>
          <w:szCs w:val="14"/>
          <w:color w:val="auto"/>
          <w:vertAlign w:val="superscript"/>
        </w:rPr>
      </w:pPr>
      <w:r>
        <w:rPr>
          <w:rFonts w:ascii="Arial" w:cs="Arial" w:eastAsia="Arial" w:hAnsi="Arial"/>
          <w:sz w:val="11"/>
          <w:szCs w:val="11"/>
          <w:color w:val="auto"/>
        </w:rPr>
        <w:t>Total compensation is comprised of base salary, cash bonus paid and long-term incentive compensation (target value) in connection with the performance year, which may be different from amounts reported in the SCT. The most recently used peer compensation data is from 2020 since not all our financial services peers will have filed proxy statements containing 2021 compensation data before the preparation of this proxy statement. The percentage of profits paid is equal to three-year average CEO compensation divided by three-year average net income. Source: 2019-2021 proxy statements; 2018-2020 Form 10-K filings.</w:t>
      </w:r>
    </w:p>
    <w:p>
      <w:pPr>
        <w:spacing w:after="0" w:line="8" w:lineRule="exact"/>
        <w:rPr>
          <w:sz w:val="20"/>
          <w:szCs w:val="20"/>
          <w:color w:val="auto"/>
        </w:rPr>
      </w:pPr>
    </w:p>
    <w:p>
      <w:pPr>
        <w:ind w:left="200" w:right="180" w:hanging="192"/>
        <w:spacing w:after="0" w:line="227" w:lineRule="auto"/>
        <w:tabs>
          <w:tab w:leader="none" w:pos="196" w:val="left"/>
        </w:tabs>
        <w:numPr>
          <w:ilvl w:val="0"/>
          <w:numId w:val="184"/>
        </w:numPr>
        <w:rPr>
          <w:rFonts w:ascii="Arial" w:cs="Arial" w:eastAsia="Arial" w:hAnsi="Arial"/>
          <w:sz w:val="15"/>
          <w:szCs w:val="15"/>
          <w:color w:val="auto"/>
          <w:vertAlign w:val="superscript"/>
        </w:rPr>
      </w:pPr>
      <w:r>
        <w:rPr>
          <w:rFonts w:ascii="Arial" w:cs="Arial" w:eastAsia="Arial" w:hAnsi="Arial"/>
          <w:sz w:val="12"/>
          <w:szCs w:val="12"/>
          <w:color w:val="auto"/>
        </w:rPr>
        <w:t>Equity incentives are subject to the JPMorgan Chase Bonus Recoupment Policy which applies in the event of a material restatement of the Firm's financial results. In addition, all equity awards granted in 2021 contain recapture provisions that enable the Firm to cancel outstanding awards and/or recover the value of certain stock distributed under the award in specified circumstances. In addition to recapture provisions, portions of equity awards awarded to Mr. Dimon and Mr. Pinto are also subject to performance conditions as part of the Firm's protection-based vesting provisions, under which awards may be cancelled as determined by the CMDC and, in the case of Mr. Dimon, ratified by the Board of Directors. Refer to page 52 for further information.</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29"/>
          <w:szCs w:val="29"/>
          <w:color w:val="074A75"/>
        </w:rPr>
        <w:t>2021 CEO compensation is aligned with multi-year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0050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2320" cy="1500505"/>
                    </a:xfrm>
                    <a:prstGeom prst="rect">
                      <a:avLst/>
                    </a:prstGeom>
                    <a:noFill/>
                  </pic:spPr>
                </pic:pic>
              </a:graphicData>
            </a:graphic>
          </wp:anchor>
        </w:drawing>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9"/>
          <w:szCs w:val="29"/>
          <w:color w:val="074A75"/>
        </w:rPr>
        <w:t>James Dimon</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CHAIRMAN &amp; CHIEF EXECUTIVE OFFICER</w:t>
      </w:r>
    </w:p>
    <w:p>
      <w:pPr>
        <w:spacing w:after="0" w:line="104" w:lineRule="exact"/>
        <w:rPr>
          <w:sz w:val="20"/>
          <w:szCs w:val="20"/>
          <w:color w:val="auto"/>
        </w:rPr>
      </w:pPr>
    </w:p>
    <w:p>
      <w:pPr>
        <w:ind w:left="160" w:right="4180"/>
        <w:spacing w:after="0"/>
        <w:rPr>
          <w:sz w:val="20"/>
          <w:szCs w:val="20"/>
          <w:color w:val="auto"/>
        </w:rPr>
      </w:pPr>
      <w:r>
        <w:rPr>
          <w:rFonts w:ascii="Arial" w:cs="Arial" w:eastAsia="Arial" w:hAnsi="Arial"/>
          <w:sz w:val="16"/>
          <w:szCs w:val="16"/>
          <w:color w:val="242424"/>
        </w:rPr>
        <w:t>In determining Mr. Dimon’s compensation, independent members of the Board took into account Mr. Dimon’s achievements across four broad performance dimensions: Business Results; Risk, Controls &amp; Conduct; Client/Customer/Stakeholder; and Teamwork &amp; Leadership</w:t>
      </w:r>
      <w:r>
        <w:rPr>
          <w:rFonts w:ascii="Arial" w:cs="Arial" w:eastAsia="Arial" w:hAnsi="Arial"/>
          <w:sz w:val="16"/>
          <w:szCs w:val="16"/>
          <w:color w:val="000000"/>
        </w:rPr>
        <w:t>. The Board</w:t>
      </w:r>
      <w:r>
        <w:rPr>
          <w:rFonts w:ascii="Arial" w:cs="Arial" w:eastAsia="Arial" w:hAnsi="Arial"/>
          <w:sz w:val="16"/>
          <w:szCs w:val="16"/>
          <w:color w:val="242424"/>
        </w:rPr>
        <w:t xml:space="preserve"> </w:t>
      </w:r>
      <w:r>
        <w:rPr>
          <w:rFonts w:ascii="Arial" w:cs="Arial" w:eastAsia="Arial" w:hAnsi="Arial"/>
          <w:sz w:val="16"/>
          <w:szCs w:val="16"/>
          <w:color w:val="000000"/>
        </w:rPr>
        <w:t>considered that under Mr. Dimon’s stewardship, the Firm continued to build upon its strong momentum from prior years</w:t>
      </w:r>
      <w:r>
        <w:rPr>
          <w:rFonts w:ascii="Arial" w:cs="Arial" w:eastAsia="Arial" w:hAnsi="Arial"/>
          <w:sz w:val="16"/>
          <w:szCs w:val="16"/>
          <w:color w:val="242424"/>
        </w:rPr>
        <w:t>, reporting record revenue</w:t>
      </w:r>
      <w:r>
        <w:rPr>
          <w:rFonts w:ascii="Arial" w:cs="Arial" w:eastAsia="Arial" w:hAnsi="Arial"/>
          <w:sz w:val="21"/>
          <w:szCs w:val="21"/>
          <w:color w:val="242424"/>
          <w:vertAlign w:val="superscript"/>
        </w:rPr>
        <w:t>1</w:t>
      </w:r>
      <w:r>
        <w:rPr>
          <w:rFonts w:ascii="Arial" w:cs="Arial" w:eastAsia="Arial" w:hAnsi="Arial"/>
          <w:sz w:val="16"/>
          <w:szCs w:val="16"/>
          <w:color w:val="000000"/>
        </w:rPr>
        <w:t xml:space="preserve"> amid the continued challenges of COVID-19</w:t>
      </w:r>
      <w:r>
        <w:rPr>
          <w:rFonts w:ascii="Arial" w:cs="Arial" w:eastAsia="Arial" w:hAnsi="Arial"/>
          <w:sz w:val="16"/>
          <w:szCs w:val="16"/>
          <w:color w:val="242424"/>
        </w:rPr>
        <w:t>, while driving higher customer satisfaction scores and greater market share across our</w:t>
      </w:r>
      <w:r>
        <w:rPr>
          <w:rFonts w:ascii="Arial" w:cs="Arial" w:eastAsia="Arial" w:hAnsi="Arial"/>
          <w:sz w:val="16"/>
          <w:szCs w:val="16"/>
          <w:color w:val="000000"/>
        </w:rPr>
        <w:t xml:space="preserve"> </w:t>
      </w:r>
      <w:r>
        <w:rPr>
          <w:rFonts w:ascii="Arial" w:cs="Arial" w:eastAsia="Arial" w:hAnsi="Arial"/>
          <w:sz w:val="16"/>
          <w:szCs w:val="16"/>
          <w:color w:val="242424"/>
        </w:rPr>
        <w:t>businesses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074A75"/>
        </w:rPr>
        <w:t>2021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1055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164"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95" w:right="160" w:hanging="195"/>
        <w:spacing w:after="0" w:line="207" w:lineRule="auto"/>
        <w:tabs>
          <w:tab w:leader="none" w:pos="192" w:val="left"/>
        </w:tabs>
        <w:numPr>
          <w:ilvl w:val="0"/>
          <w:numId w:val="185"/>
        </w:numPr>
        <w:rPr>
          <w:rFonts w:ascii="Arial" w:cs="Arial" w:eastAsia="Arial" w:hAnsi="Arial"/>
          <w:sz w:val="16"/>
          <w:szCs w:val="16"/>
          <w:color w:val="074A75"/>
        </w:rPr>
      </w:pPr>
      <w:r>
        <w:rPr>
          <w:rFonts w:ascii="Arial" w:cs="Arial" w:eastAsia="Arial" w:hAnsi="Arial"/>
          <w:sz w:val="16"/>
          <w:szCs w:val="16"/>
          <w:color w:val="auto"/>
        </w:rPr>
        <w:t>Net income of $48.3B on record revenue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$125.3B, EPS of $15.36, and ROTCE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23% on average tangible common equity of $203B</w:t>
      </w:r>
    </w:p>
    <w:p>
      <w:pPr>
        <w:ind w:left="195" w:hanging="195"/>
        <w:spacing w:after="0" w:line="183" w:lineRule="auto"/>
        <w:tabs>
          <w:tab w:leader="none" w:pos="195" w:val="left"/>
        </w:tabs>
        <w:numPr>
          <w:ilvl w:val="0"/>
          <w:numId w:val="185"/>
        </w:numPr>
        <w:rPr>
          <w:rFonts w:ascii="Arial" w:cs="Arial" w:eastAsia="Arial" w:hAnsi="Arial"/>
          <w:sz w:val="15"/>
          <w:szCs w:val="15"/>
          <w:color w:val="074A75"/>
        </w:rPr>
      </w:pPr>
      <w:r>
        <w:rPr>
          <w:rFonts w:ascii="Arial" w:cs="Arial" w:eastAsia="Arial" w:hAnsi="Arial"/>
          <w:sz w:val="15"/>
          <w:szCs w:val="15"/>
          <w:color w:val="auto"/>
        </w:rPr>
        <w:t>Returned $28.5B of capital</w:t>
      </w:r>
      <w:r>
        <w:rPr>
          <w:rFonts w:ascii="Arial" w:cs="Arial" w:eastAsia="Arial" w:hAnsi="Arial"/>
          <w:sz w:val="20"/>
          <w:szCs w:val="20"/>
          <w:color w:val="auto"/>
          <w:vertAlign w:val="superscript"/>
        </w:rPr>
        <w:t>3</w:t>
      </w:r>
      <w:r>
        <w:rPr>
          <w:rFonts w:ascii="Arial" w:cs="Arial" w:eastAsia="Arial" w:hAnsi="Arial"/>
          <w:sz w:val="15"/>
          <w:szCs w:val="15"/>
          <w:color w:val="auto"/>
        </w:rPr>
        <w:t xml:space="preserve"> to shareholders</w:t>
      </w:r>
    </w:p>
    <w:p>
      <w:pPr>
        <w:ind w:left="195" w:right="520" w:hanging="195"/>
        <w:spacing w:after="0" w:line="228" w:lineRule="auto"/>
        <w:tabs>
          <w:tab w:leader="none" w:pos="192" w:val="left"/>
        </w:tabs>
        <w:numPr>
          <w:ilvl w:val="0"/>
          <w:numId w:val="185"/>
        </w:numPr>
        <w:rPr>
          <w:rFonts w:ascii="Arial" w:cs="Arial" w:eastAsia="Arial" w:hAnsi="Arial"/>
          <w:sz w:val="16"/>
          <w:szCs w:val="16"/>
          <w:color w:val="074A75"/>
        </w:rPr>
      </w:pPr>
      <w:r>
        <w:rPr>
          <w:rFonts w:ascii="Arial" w:cs="Arial" w:eastAsia="Arial" w:hAnsi="Arial"/>
          <w:sz w:val="16"/>
          <w:szCs w:val="16"/>
          <w:color w:val="auto"/>
        </w:rPr>
        <w:t>Increased quarterly dividend of $0.90 per share to $1.00 per share while continuing to retain capital and reinforce our fortress balance sheet</w:t>
      </w:r>
    </w:p>
    <w:p>
      <w:pPr>
        <w:spacing w:after="0" w:line="1" w:lineRule="exact"/>
        <w:rPr>
          <w:rFonts w:ascii="Arial" w:cs="Arial" w:eastAsia="Arial" w:hAnsi="Arial"/>
          <w:sz w:val="16"/>
          <w:szCs w:val="16"/>
          <w:color w:val="074A75"/>
        </w:rPr>
      </w:pPr>
    </w:p>
    <w:p>
      <w:pPr>
        <w:ind w:left="195" w:right="280" w:hanging="195"/>
        <w:spacing w:after="0" w:line="228" w:lineRule="auto"/>
        <w:tabs>
          <w:tab w:leader="none" w:pos="192" w:val="left"/>
        </w:tabs>
        <w:numPr>
          <w:ilvl w:val="0"/>
          <w:numId w:val="185"/>
        </w:numPr>
        <w:rPr>
          <w:rFonts w:ascii="Arial" w:cs="Arial" w:eastAsia="Arial" w:hAnsi="Arial"/>
          <w:sz w:val="16"/>
          <w:szCs w:val="16"/>
          <w:color w:val="074A75"/>
        </w:rPr>
      </w:pPr>
      <w:r>
        <w:rPr>
          <w:rFonts w:ascii="Arial" w:cs="Arial" w:eastAsia="Arial" w:hAnsi="Arial"/>
          <w:sz w:val="16"/>
          <w:szCs w:val="16"/>
          <w:color w:val="auto"/>
        </w:rPr>
        <w:t>Demonstrated strong expense discipline while continuing to make strategic acquisitions and investments in technology, including artificial intelligence, cloud, digital and payments, as well as other investments in innovation, talent, environmental, social and governance matters, security and risk controls</w:t>
      </w:r>
    </w:p>
    <w:p>
      <w:pPr>
        <w:spacing w:after="0" w:line="2" w:lineRule="exact"/>
        <w:rPr>
          <w:rFonts w:ascii="Arial" w:cs="Arial" w:eastAsia="Arial" w:hAnsi="Arial"/>
          <w:sz w:val="16"/>
          <w:szCs w:val="16"/>
          <w:color w:val="074A75"/>
        </w:rPr>
      </w:pPr>
    </w:p>
    <w:p>
      <w:pPr>
        <w:ind w:left="195" w:hanging="195"/>
        <w:spacing w:after="0"/>
        <w:tabs>
          <w:tab w:leader="none" w:pos="195" w:val="left"/>
        </w:tabs>
        <w:numPr>
          <w:ilvl w:val="0"/>
          <w:numId w:val="185"/>
        </w:numPr>
        <w:rPr>
          <w:rFonts w:ascii="Arial" w:cs="Arial" w:eastAsia="Arial" w:hAnsi="Arial"/>
          <w:sz w:val="16"/>
          <w:szCs w:val="16"/>
          <w:color w:val="074A75"/>
        </w:rPr>
      </w:pPr>
      <w:r>
        <w:rPr>
          <w:rFonts w:ascii="Arial" w:cs="Arial" w:eastAsia="Arial" w:hAnsi="Arial"/>
          <w:sz w:val="16"/>
          <w:szCs w:val="16"/>
          <w:color w:val="auto"/>
        </w:rPr>
        <w:t>Continued to gain market share and achieve higher customer satisfaction scores across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53340</wp:posOffset>
            </wp:positionV>
            <wp:extent cx="713232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1380" w:space="225"/>
            <w:col w:w="9655"/>
          </w:cols>
          <w:pgMar w:left="320" w:top="157" w:right="319" w:bottom="1440" w:gutter="0" w:footer="0" w:header="0"/>
          <w:type w:val="continuous"/>
        </w:sectPr>
      </w:pPr>
    </w:p>
    <w:tbl>
      <w:tblPr>
        <w:tblLayout w:type="fixed"/>
        <w:tblInd w:w="0" w:type="dxa"/>
        <w:tblCellMar>
          <w:top w:w="0" w:type="dxa"/>
          <w:left w:w="0" w:type="dxa"/>
          <w:bottom w:w="0" w:type="dxa"/>
          <w:right w:w="0" w:type="dxa"/>
        </w:tblCellMar>
      </w:tblPr>
      <w:tr>
        <w:trPr>
          <w:trHeight w:val="278"/>
        </w:trPr>
        <w:tc>
          <w:tcPr>
            <w:tcW w:w="1500" w:type="dxa"/>
            <w:vAlign w:val="bottom"/>
            <w:shd w:val="clear" w:color="auto" w:fill="6484A5"/>
          </w:tcPr>
          <w:p>
            <w:pPr>
              <w:jc w:val="right"/>
              <w:ind w:right="30"/>
              <w:spacing w:after="0"/>
              <w:rPr>
                <w:sz w:val="20"/>
                <w:szCs w:val="20"/>
                <w:color w:val="auto"/>
              </w:rPr>
            </w:pPr>
            <w:r>
              <w:rPr>
                <w:rFonts w:ascii="Arial" w:cs="Arial" w:eastAsia="Arial" w:hAnsi="Arial"/>
                <w:sz w:val="18"/>
                <w:szCs w:val="18"/>
                <w:b w:val="1"/>
                <w:bCs w:val="1"/>
                <w:color w:val="FFFFFF"/>
              </w:rPr>
              <w:t>Risk,</w:t>
            </w:r>
          </w:p>
        </w:tc>
        <w:tc>
          <w:tcPr>
            <w:tcW w:w="220" w:type="dxa"/>
            <w:vAlign w:val="bottom"/>
            <w:vMerge w:val="restart"/>
          </w:tcPr>
          <w:p>
            <w:pPr>
              <w:ind w:left="100"/>
              <w:spacing w:after="0"/>
              <w:rPr>
                <w:sz w:val="20"/>
                <w:szCs w:val="20"/>
                <w:color w:val="auto"/>
              </w:rPr>
            </w:pPr>
            <w:r>
              <w:rPr>
                <w:rFonts w:ascii="Arial" w:cs="Arial" w:eastAsia="Arial" w:hAnsi="Arial"/>
                <w:sz w:val="15"/>
                <w:szCs w:val="15"/>
                <w:color w:val="074A75"/>
              </w:rPr>
              <w:t>•</w:t>
            </w:r>
          </w:p>
        </w:tc>
        <w:tc>
          <w:tcPr>
            <w:tcW w:w="9520" w:type="dxa"/>
            <w:vAlign w:val="bottom"/>
            <w:vMerge w:val="restart"/>
          </w:tcPr>
          <w:p>
            <w:pPr>
              <w:ind w:left="80"/>
              <w:spacing w:after="0"/>
              <w:rPr>
                <w:sz w:val="20"/>
                <w:szCs w:val="20"/>
                <w:color w:val="auto"/>
              </w:rPr>
            </w:pPr>
            <w:r>
              <w:rPr>
                <w:rFonts w:ascii="Arial" w:cs="Arial" w:eastAsia="Arial" w:hAnsi="Arial"/>
                <w:sz w:val="16"/>
                <w:szCs w:val="16"/>
                <w:color w:val="auto"/>
              </w:rPr>
              <w:t>Continued to invest in our future, strengthen our risk and control environment by continuing to make significant enhancements to</w:t>
            </w:r>
          </w:p>
        </w:tc>
        <w:tc>
          <w:tcPr>
            <w:tcW w:w="0" w:type="dxa"/>
            <w:vAlign w:val="bottom"/>
          </w:tcPr>
          <w:p>
            <w:pPr>
              <w:spacing w:after="0"/>
              <w:rPr>
                <w:sz w:val="1"/>
                <w:szCs w:val="1"/>
                <w:color w:val="auto"/>
              </w:rPr>
            </w:pPr>
          </w:p>
        </w:tc>
      </w:tr>
      <w:tr>
        <w:trPr>
          <w:trHeight w:val="86"/>
        </w:trPr>
        <w:tc>
          <w:tcPr>
            <w:tcW w:w="1500" w:type="dxa"/>
            <w:vAlign w:val="bottom"/>
            <w:vMerge w:val="restart"/>
            <w:shd w:val="clear" w:color="auto" w:fill="6484A5"/>
          </w:tcPr>
          <w:p>
            <w:pPr>
              <w:jc w:val="right"/>
              <w:ind w:right="30"/>
              <w:spacing w:after="0"/>
              <w:rPr>
                <w:sz w:val="20"/>
                <w:szCs w:val="20"/>
                <w:color w:val="auto"/>
              </w:rPr>
            </w:pPr>
            <w:r>
              <w:rPr>
                <w:rFonts w:ascii="Arial" w:cs="Arial" w:eastAsia="Arial" w:hAnsi="Arial"/>
                <w:sz w:val="18"/>
                <w:szCs w:val="18"/>
                <w:b w:val="1"/>
                <w:bCs w:val="1"/>
                <w:color w:val="FFFFFF"/>
              </w:rPr>
              <w:t>Controls &amp;</w:t>
            </w:r>
          </w:p>
        </w:tc>
        <w:tc>
          <w:tcPr>
            <w:tcW w:w="22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500" w:type="dxa"/>
            <w:vAlign w:val="bottom"/>
            <w:vMerge w:val="continue"/>
            <w:shd w:val="clear" w:color="auto" w:fill="6484A5"/>
          </w:tcPr>
          <w:p>
            <w:pPr>
              <w:spacing w:after="0"/>
              <w:rPr>
                <w:sz w:val="14"/>
                <w:szCs w:val="14"/>
                <w:color w:val="auto"/>
              </w:rPr>
            </w:pPr>
          </w:p>
        </w:tc>
        <w:tc>
          <w:tcPr>
            <w:tcW w:w="220" w:type="dxa"/>
            <w:vAlign w:val="bottom"/>
          </w:tcPr>
          <w:p>
            <w:pPr>
              <w:spacing w:after="0"/>
              <w:rPr>
                <w:sz w:val="14"/>
                <w:szCs w:val="14"/>
                <w:color w:val="auto"/>
              </w:rPr>
            </w:pPr>
          </w:p>
        </w:tc>
        <w:tc>
          <w:tcPr>
            <w:tcW w:w="9520" w:type="dxa"/>
            <w:vAlign w:val="bottom"/>
          </w:tcPr>
          <w:p>
            <w:pPr>
              <w:ind w:left="80"/>
              <w:spacing w:after="0" w:line="163" w:lineRule="exact"/>
              <w:rPr>
                <w:sz w:val="20"/>
                <w:szCs w:val="20"/>
                <w:color w:val="auto"/>
              </w:rPr>
            </w:pPr>
            <w:r>
              <w:rPr>
                <w:rFonts w:ascii="Arial" w:cs="Arial" w:eastAsia="Arial" w:hAnsi="Arial"/>
                <w:sz w:val="16"/>
                <w:szCs w:val="16"/>
                <w:color w:val="auto"/>
              </w:rPr>
              <w:t>our cyber defense capabilities, reinforce the importance of our culture and values, deliver on our long-standing commitment to</w:t>
            </w:r>
          </w:p>
        </w:tc>
        <w:tc>
          <w:tcPr>
            <w:tcW w:w="0" w:type="dxa"/>
            <w:vAlign w:val="bottom"/>
          </w:tcPr>
          <w:p>
            <w:pPr>
              <w:spacing w:after="0"/>
              <w:rPr>
                <w:sz w:val="1"/>
                <w:szCs w:val="1"/>
                <w:color w:val="auto"/>
              </w:rPr>
            </w:pPr>
          </w:p>
        </w:tc>
      </w:tr>
      <w:tr>
        <w:trPr>
          <w:trHeight w:val="247"/>
        </w:trPr>
        <w:tc>
          <w:tcPr>
            <w:tcW w:w="1500" w:type="dxa"/>
            <w:vAlign w:val="bottom"/>
            <w:shd w:val="clear" w:color="auto" w:fill="6484A5"/>
          </w:tcPr>
          <w:p>
            <w:pPr>
              <w:jc w:val="right"/>
              <w:ind w:right="30"/>
              <w:spacing w:after="0"/>
              <w:rPr>
                <w:sz w:val="20"/>
                <w:szCs w:val="20"/>
                <w:color w:val="auto"/>
              </w:rPr>
            </w:pPr>
            <w:r>
              <w:rPr>
                <w:rFonts w:ascii="Arial" w:cs="Arial" w:eastAsia="Arial" w:hAnsi="Arial"/>
                <w:sz w:val="18"/>
                <w:szCs w:val="18"/>
                <w:b w:val="1"/>
                <w:bCs w:val="1"/>
                <w:color w:val="FFFFFF"/>
              </w:rPr>
              <w:t>Conduct</w:t>
            </w:r>
          </w:p>
        </w:tc>
        <w:tc>
          <w:tcPr>
            <w:tcW w:w="220" w:type="dxa"/>
            <w:vAlign w:val="bottom"/>
          </w:tcPr>
          <w:p>
            <w:pPr>
              <w:spacing w:after="0"/>
              <w:rPr>
                <w:sz w:val="21"/>
                <w:szCs w:val="21"/>
                <w:color w:val="auto"/>
              </w:rPr>
            </w:pPr>
          </w:p>
        </w:tc>
        <w:tc>
          <w:tcPr>
            <w:tcW w:w="9520" w:type="dxa"/>
            <w:vAlign w:val="bottom"/>
          </w:tcPr>
          <w:p>
            <w:pPr>
              <w:ind w:left="80"/>
              <w:spacing w:after="0"/>
              <w:rPr>
                <w:sz w:val="20"/>
                <w:szCs w:val="20"/>
                <w:color w:val="auto"/>
              </w:rPr>
            </w:pPr>
            <w:r>
              <w:rPr>
                <w:rFonts w:ascii="Arial" w:cs="Arial" w:eastAsia="Arial" w:hAnsi="Arial"/>
                <w:sz w:val="16"/>
                <w:szCs w:val="16"/>
                <w:color w:val="auto"/>
              </w:rPr>
              <w:t>serve our communities and conduct business in a responsible way to drive inclusive growth</w:t>
            </w:r>
          </w:p>
        </w:tc>
        <w:tc>
          <w:tcPr>
            <w:tcW w:w="0" w:type="dxa"/>
            <w:vAlign w:val="bottom"/>
          </w:tcPr>
          <w:p>
            <w:pPr>
              <w:spacing w:after="0"/>
              <w:rPr>
                <w:sz w:val="1"/>
                <w:szCs w:val="1"/>
                <w:color w:val="auto"/>
              </w:rPr>
            </w:pPr>
          </w:p>
        </w:tc>
      </w:tr>
      <w:tr>
        <w:trPr>
          <w:trHeight w:val="118"/>
        </w:trPr>
        <w:tc>
          <w:tcPr>
            <w:tcW w:w="1500" w:type="dxa"/>
            <w:vAlign w:val="bottom"/>
            <w:shd w:val="clear" w:color="auto" w:fill="6484A5"/>
          </w:tcPr>
          <w:p>
            <w:pPr>
              <w:spacing w:after="0"/>
              <w:rPr>
                <w:sz w:val="10"/>
                <w:szCs w:val="10"/>
                <w:color w:val="auto"/>
              </w:rPr>
            </w:pPr>
          </w:p>
        </w:tc>
        <w:tc>
          <w:tcPr>
            <w:tcW w:w="220" w:type="dxa"/>
            <w:vAlign w:val="bottom"/>
          </w:tcPr>
          <w:p>
            <w:pPr>
              <w:spacing w:after="0"/>
              <w:rPr>
                <w:sz w:val="10"/>
                <w:szCs w:val="10"/>
                <w:color w:val="auto"/>
              </w:rPr>
            </w:pPr>
          </w:p>
        </w:tc>
        <w:tc>
          <w:tcPr>
            <w:tcW w:w="9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500" w:type="dxa"/>
            <w:vAlign w:val="bottom"/>
            <w:tcBorders>
              <w:bottom w:val="single" w:sz="8" w:color="494949"/>
            </w:tcBorders>
          </w:tcPr>
          <w:p>
            <w:pPr>
              <w:spacing w:after="0"/>
              <w:rPr>
                <w:sz w:val="4"/>
                <w:szCs w:val="4"/>
                <w:color w:val="auto"/>
              </w:rPr>
            </w:pPr>
          </w:p>
        </w:tc>
        <w:tc>
          <w:tcPr>
            <w:tcW w:w="220" w:type="dxa"/>
            <w:vAlign w:val="bottom"/>
            <w:tcBorders>
              <w:bottom w:val="single" w:sz="8" w:color="494949"/>
            </w:tcBorders>
          </w:tcPr>
          <w:p>
            <w:pPr>
              <w:spacing w:after="0"/>
              <w:rPr>
                <w:sz w:val="4"/>
                <w:szCs w:val="4"/>
                <w:color w:val="auto"/>
              </w:rPr>
            </w:pPr>
          </w:p>
        </w:tc>
        <w:tc>
          <w:tcPr>
            <w:tcW w:w="952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951230" cy="19627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951230" cy="196278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p>
      <w:pPr>
        <w:spacing w:after="0" w:line="103" w:lineRule="exact"/>
        <w:rPr>
          <w:sz w:val="20"/>
          <w:szCs w:val="20"/>
          <w:color w:val="auto"/>
        </w:rPr>
      </w:pPr>
    </w:p>
    <w:p>
      <w:pPr>
        <w:jc w:val="right"/>
        <w:ind w:left="360"/>
        <w:spacing w:after="0" w:line="296"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1532890</wp:posOffset>
            </wp:positionV>
            <wp:extent cx="951230" cy="129476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951230" cy="1294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95" w:right="240" w:hanging="195"/>
        <w:spacing w:after="0" w:line="239" w:lineRule="auto"/>
        <w:tabs>
          <w:tab w:leader="none" w:pos="192" w:val="left"/>
        </w:tabs>
        <w:numPr>
          <w:ilvl w:val="0"/>
          <w:numId w:val="186"/>
        </w:numPr>
        <w:rPr>
          <w:rFonts w:ascii="Arial" w:cs="Arial" w:eastAsia="Arial" w:hAnsi="Arial"/>
          <w:sz w:val="16"/>
          <w:szCs w:val="16"/>
          <w:color w:val="074A75"/>
        </w:rPr>
      </w:pPr>
      <w:r>
        <w:rPr>
          <w:rFonts w:ascii="Arial" w:cs="Arial" w:eastAsia="Arial" w:hAnsi="Arial"/>
          <w:sz w:val="16"/>
          <w:szCs w:val="16"/>
          <w:color w:val="auto"/>
        </w:rPr>
        <w:t>Guided the Firm’s focus on accelerating investments to help our clients, customers, employees and communities during a time of unprecedented business demands</w:t>
      </w:r>
    </w:p>
    <w:p>
      <w:pPr>
        <w:ind w:left="195" w:right="260" w:hanging="195"/>
        <w:spacing w:after="0" w:line="228" w:lineRule="auto"/>
        <w:tabs>
          <w:tab w:leader="none" w:pos="192" w:val="left"/>
        </w:tabs>
        <w:numPr>
          <w:ilvl w:val="0"/>
          <w:numId w:val="186"/>
        </w:numPr>
        <w:rPr>
          <w:rFonts w:ascii="Arial" w:cs="Arial" w:eastAsia="Arial" w:hAnsi="Arial"/>
          <w:sz w:val="16"/>
          <w:szCs w:val="16"/>
          <w:color w:val="074A75"/>
        </w:rPr>
      </w:pPr>
      <w:r>
        <w:rPr>
          <w:rFonts w:ascii="Arial" w:cs="Arial" w:eastAsia="Arial" w:hAnsi="Arial"/>
          <w:sz w:val="16"/>
          <w:szCs w:val="16"/>
          <w:color w:val="auto"/>
        </w:rPr>
        <w:t>Continued to provide uninterrupted service to our clients and customers, while supporting and providing a safe work environment for our employees and helping those communities impacted by the COVID-19 pandemic</w:t>
      </w:r>
    </w:p>
    <w:p>
      <w:pPr>
        <w:spacing w:after="0" w:line="1" w:lineRule="exact"/>
        <w:rPr>
          <w:rFonts w:ascii="Arial" w:cs="Arial" w:eastAsia="Arial" w:hAnsi="Arial"/>
          <w:sz w:val="16"/>
          <w:szCs w:val="16"/>
          <w:color w:val="074A75"/>
        </w:rPr>
      </w:pPr>
    </w:p>
    <w:p>
      <w:pPr>
        <w:ind w:left="195" w:right="360" w:hanging="195"/>
        <w:spacing w:after="0" w:line="228" w:lineRule="auto"/>
        <w:tabs>
          <w:tab w:leader="none" w:pos="192" w:val="left"/>
        </w:tabs>
        <w:numPr>
          <w:ilvl w:val="0"/>
          <w:numId w:val="186"/>
        </w:numPr>
        <w:rPr>
          <w:rFonts w:ascii="Arial" w:cs="Arial" w:eastAsia="Arial" w:hAnsi="Arial"/>
          <w:sz w:val="16"/>
          <w:szCs w:val="16"/>
          <w:color w:val="074A75"/>
        </w:rPr>
      </w:pPr>
      <w:r>
        <w:rPr>
          <w:rFonts w:ascii="Arial" w:cs="Arial" w:eastAsia="Arial" w:hAnsi="Arial"/>
          <w:sz w:val="16"/>
          <w:szCs w:val="16"/>
          <w:color w:val="auto"/>
        </w:rPr>
        <w:t>Announced a target to finance and facilitate $2.5 trillion by the end of 2030 to advance development finance, climate action and community development</w:t>
      </w:r>
    </w:p>
    <w:p>
      <w:pPr>
        <w:spacing w:after="0" w:line="1" w:lineRule="exact"/>
        <w:rPr>
          <w:rFonts w:ascii="Arial" w:cs="Arial" w:eastAsia="Arial" w:hAnsi="Arial"/>
          <w:sz w:val="16"/>
          <w:szCs w:val="16"/>
          <w:color w:val="074A75"/>
        </w:rPr>
      </w:pPr>
    </w:p>
    <w:p>
      <w:pPr>
        <w:ind w:left="195" w:right="120" w:hanging="195"/>
        <w:spacing w:after="0" w:line="228" w:lineRule="auto"/>
        <w:tabs>
          <w:tab w:leader="none" w:pos="192" w:val="left"/>
        </w:tabs>
        <w:numPr>
          <w:ilvl w:val="0"/>
          <w:numId w:val="186"/>
        </w:numPr>
        <w:rPr>
          <w:rFonts w:ascii="Arial" w:cs="Arial" w:eastAsia="Arial" w:hAnsi="Arial"/>
          <w:sz w:val="16"/>
          <w:szCs w:val="16"/>
          <w:color w:val="074A75"/>
        </w:rPr>
      </w:pPr>
      <w:r>
        <w:rPr>
          <w:rFonts w:ascii="Arial" w:cs="Arial" w:eastAsia="Arial" w:hAnsi="Arial"/>
          <w:sz w:val="16"/>
          <w:szCs w:val="16"/>
          <w:color w:val="auto"/>
        </w:rPr>
        <w:t>Through the Center for Carbon Transition (CCT), engaged clients in CIB and CB on their long-term business strategies and related carbon disclosures, and provide centralized access to sustainability-focused financing, research and advisory solutions</w:t>
      </w:r>
    </w:p>
    <w:p>
      <w:pPr>
        <w:spacing w:after="0" w:line="1" w:lineRule="exact"/>
        <w:rPr>
          <w:rFonts w:ascii="Arial" w:cs="Arial" w:eastAsia="Arial" w:hAnsi="Arial"/>
          <w:sz w:val="16"/>
          <w:szCs w:val="16"/>
          <w:color w:val="074A75"/>
        </w:rPr>
      </w:pPr>
    </w:p>
    <w:p>
      <w:pPr>
        <w:ind w:left="195" w:right="660" w:hanging="195"/>
        <w:spacing w:after="0" w:line="228" w:lineRule="auto"/>
        <w:tabs>
          <w:tab w:leader="none" w:pos="192" w:val="left"/>
        </w:tabs>
        <w:numPr>
          <w:ilvl w:val="0"/>
          <w:numId w:val="186"/>
        </w:numPr>
        <w:rPr>
          <w:rFonts w:ascii="Arial" w:cs="Arial" w:eastAsia="Arial" w:hAnsi="Arial"/>
          <w:sz w:val="16"/>
          <w:szCs w:val="16"/>
          <w:color w:val="064A75"/>
        </w:rPr>
      </w:pPr>
      <w:r>
        <w:rPr>
          <w:rFonts w:ascii="Arial" w:cs="Arial" w:eastAsia="Arial" w:hAnsi="Arial"/>
          <w:sz w:val="16"/>
          <w:szCs w:val="16"/>
          <w:color w:val="auto"/>
        </w:rPr>
        <w:t>Became one of the first U.S. banks to set 2030 carbon intensity targets in three key sectors of our financing portfolio – Auto Manufacturing, Electric Power, and Oil &amp; Gas.</w:t>
      </w:r>
    </w:p>
    <w:p>
      <w:pPr>
        <w:spacing w:after="0" w:line="1" w:lineRule="exact"/>
        <w:rPr>
          <w:rFonts w:ascii="Arial" w:cs="Arial" w:eastAsia="Arial" w:hAnsi="Arial"/>
          <w:sz w:val="16"/>
          <w:szCs w:val="16"/>
          <w:color w:val="064A75"/>
        </w:rPr>
      </w:pPr>
    </w:p>
    <w:p>
      <w:pPr>
        <w:ind w:left="195" w:right="560" w:hanging="195"/>
        <w:spacing w:after="0" w:line="228" w:lineRule="auto"/>
        <w:tabs>
          <w:tab w:leader="none" w:pos="192" w:val="left"/>
        </w:tabs>
        <w:numPr>
          <w:ilvl w:val="0"/>
          <w:numId w:val="186"/>
        </w:numPr>
        <w:rPr>
          <w:rFonts w:ascii="Arial" w:cs="Arial" w:eastAsia="Arial" w:hAnsi="Arial"/>
          <w:sz w:val="16"/>
          <w:szCs w:val="16"/>
          <w:color w:val="074A75"/>
        </w:rPr>
      </w:pPr>
      <w:r>
        <w:rPr>
          <w:rFonts w:ascii="Arial" w:cs="Arial" w:eastAsia="Arial" w:hAnsi="Arial"/>
          <w:sz w:val="16"/>
          <w:szCs w:val="16"/>
          <w:color w:val="auto"/>
        </w:rPr>
        <w:t>As part of the Firm's Racial Equity Commitment, the Firm deployed or committed over $18B toward our $30B goal, achieving progress in the areas of affordable rental housing preservation and homeownership refinancing</w:t>
      </w:r>
    </w:p>
    <w:p>
      <w:pPr>
        <w:spacing w:after="0" w:line="1" w:lineRule="exact"/>
        <w:rPr>
          <w:rFonts w:ascii="Arial" w:cs="Arial" w:eastAsia="Arial" w:hAnsi="Arial"/>
          <w:sz w:val="16"/>
          <w:szCs w:val="16"/>
          <w:color w:val="074A75"/>
        </w:rPr>
      </w:pPr>
    </w:p>
    <w:p>
      <w:pPr>
        <w:ind w:left="195" w:right="260" w:hanging="195"/>
        <w:spacing w:after="0" w:line="228" w:lineRule="auto"/>
        <w:tabs>
          <w:tab w:leader="none" w:pos="192" w:val="left"/>
        </w:tabs>
        <w:numPr>
          <w:ilvl w:val="0"/>
          <w:numId w:val="186"/>
        </w:numPr>
        <w:rPr>
          <w:rFonts w:ascii="Arial" w:cs="Arial" w:eastAsia="Arial" w:hAnsi="Arial"/>
          <w:sz w:val="16"/>
          <w:szCs w:val="16"/>
          <w:color w:val="074A75"/>
        </w:rPr>
      </w:pPr>
      <w:r>
        <w:rPr>
          <w:rFonts w:ascii="Arial" w:cs="Arial" w:eastAsia="Arial" w:hAnsi="Arial"/>
          <w:sz w:val="16"/>
          <w:szCs w:val="16"/>
          <w:color w:val="auto"/>
        </w:rPr>
        <w:t>Committed $454 million in philanthropic capital globally, of which $347 million was in grant capital and $107 million in loan capital and equity</w:t>
      </w:r>
    </w:p>
    <w:p>
      <w:pPr>
        <w:spacing w:after="0" w:line="1" w:lineRule="exact"/>
        <w:rPr>
          <w:rFonts w:ascii="Arial" w:cs="Arial" w:eastAsia="Arial" w:hAnsi="Arial"/>
          <w:sz w:val="16"/>
          <w:szCs w:val="16"/>
          <w:color w:val="074A75"/>
        </w:rPr>
      </w:pPr>
    </w:p>
    <w:p>
      <w:pPr>
        <w:ind w:left="195" w:right="220" w:hanging="195"/>
        <w:spacing w:after="0" w:line="238" w:lineRule="auto"/>
        <w:tabs>
          <w:tab w:leader="none" w:pos="192" w:val="left"/>
        </w:tabs>
        <w:numPr>
          <w:ilvl w:val="0"/>
          <w:numId w:val="186"/>
        </w:numPr>
        <w:rPr>
          <w:rFonts w:ascii="Arial" w:cs="Arial" w:eastAsia="Arial" w:hAnsi="Arial"/>
          <w:sz w:val="16"/>
          <w:szCs w:val="16"/>
          <w:color w:val="074A75"/>
        </w:rPr>
      </w:pPr>
      <w:r>
        <w:rPr>
          <w:rFonts w:ascii="Arial" w:cs="Arial" w:eastAsia="Arial" w:hAnsi="Arial"/>
          <w:sz w:val="16"/>
          <w:szCs w:val="16"/>
          <w:color w:val="auto"/>
        </w:rPr>
        <w:t>Continued to improve our digital capabilities and make acquisitions that will enhance our product offerings and deepen our engagement with clients and customers, opened branches in new markets and became the first retail bank with branches open in all of the lower 48 U.S.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45720</wp:posOffset>
            </wp:positionV>
            <wp:extent cx="713232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1380" w:space="225"/>
            <w:col w:w="9655"/>
          </w:cols>
          <w:pgMar w:left="320" w:top="157" w:right="319" w:bottom="1440" w:gutter="0" w:footer="0" w:header="0"/>
          <w:type w:val="continuous"/>
        </w:sectPr>
      </w:pPr>
    </w:p>
    <w:p>
      <w:pPr>
        <w:spacing w:after="0" w:line="9" w:lineRule="exact"/>
        <w:rPr>
          <w:sz w:val="20"/>
          <w:szCs w:val="20"/>
          <w:color w:val="auto"/>
        </w:r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ind w:left="195" w:right="160" w:hanging="195"/>
        <w:spacing w:after="0" w:line="239" w:lineRule="auto"/>
        <w:tabs>
          <w:tab w:leader="none" w:pos="192" w:val="left"/>
        </w:tabs>
        <w:numPr>
          <w:ilvl w:val="0"/>
          <w:numId w:val="187"/>
        </w:numPr>
        <w:rPr>
          <w:rFonts w:ascii="Arial" w:cs="Arial" w:eastAsia="Arial" w:hAnsi="Arial"/>
          <w:sz w:val="16"/>
          <w:szCs w:val="16"/>
          <w:color w:val="074A75"/>
        </w:rPr>
      </w:pPr>
      <w:r>
        <w:rPr>
          <w:rFonts w:ascii="Arial" w:cs="Arial" w:eastAsia="Arial" w:hAnsi="Arial"/>
          <w:sz w:val="16"/>
          <w:szCs w:val="16"/>
          <w:color w:val="auto"/>
        </w:rPr>
        <w:t>Updated and enhanced the Firm's safety protocols, emergency plans and support based on evolving best practices and employee needs for all 6,200 locations globally to address the COVID-19 environment</w:t>
      </w:r>
    </w:p>
    <w:p>
      <w:pPr>
        <w:ind w:left="195" w:right="340" w:hanging="195"/>
        <w:spacing w:after="0" w:line="228" w:lineRule="auto"/>
        <w:tabs>
          <w:tab w:leader="none" w:pos="192" w:val="left"/>
        </w:tabs>
        <w:numPr>
          <w:ilvl w:val="0"/>
          <w:numId w:val="187"/>
        </w:numPr>
        <w:rPr>
          <w:rFonts w:ascii="Arial" w:cs="Arial" w:eastAsia="Arial" w:hAnsi="Arial"/>
          <w:sz w:val="16"/>
          <w:szCs w:val="16"/>
          <w:color w:val="074A75"/>
        </w:rPr>
      </w:pPr>
      <w:r>
        <w:rPr>
          <w:rFonts w:ascii="Arial" w:cs="Arial" w:eastAsia="Arial" w:hAnsi="Arial"/>
          <w:sz w:val="16"/>
          <w:szCs w:val="16"/>
          <w:color w:val="auto"/>
        </w:rPr>
        <w:t>Continued to strengthen a highly effective succession and management development program, with a robust pipeline of leaders across the organization and a diversity, equity and inclusion strategy that attracts, motivates and retains top talent</w:t>
      </w:r>
    </w:p>
    <w:p>
      <w:pPr>
        <w:spacing w:after="0" w:line="1" w:lineRule="exact"/>
        <w:rPr>
          <w:rFonts w:ascii="Arial" w:cs="Arial" w:eastAsia="Arial" w:hAnsi="Arial"/>
          <w:sz w:val="16"/>
          <w:szCs w:val="16"/>
          <w:color w:val="074A75"/>
        </w:rPr>
      </w:pPr>
    </w:p>
    <w:p>
      <w:pPr>
        <w:jc w:val="both"/>
        <w:ind w:left="195" w:right="60" w:hanging="195"/>
        <w:spacing w:after="0" w:line="228" w:lineRule="auto"/>
        <w:tabs>
          <w:tab w:leader="none" w:pos="192" w:val="left"/>
        </w:tabs>
        <w:numPr>
          <w:ilvl w:val="0"/>
          <w:numId w:val="187"/>
        </w:numPr>
        <w:rPr>
          <w:rFonts w:ascii="Arial" w:cs="Arial" w:eastAsia="Arial" w:hAnsi="Arial"/>
          <w:sz w:val="16"/>
          <w:szCs w:val="16"/>
          <w:color w:val="074A75"/>
        </w:rPr>
      </w:pPr>
      <w:r>
        <w:rPr>
          <w:rFonts w:ascii="Arial" w:cs="Arial" w:eastAsia="Arial" w:hAnsi="Arial"/>
          <w:sz w:val="16"/>
          <w:szCs w:val="16"/>
          <w:color w:val="auto"/>
        </w:rPr>
        <w:t>As of December 31, 2021, women represented 37% of our Operating Committee, which also includes representation of LGBT+ and ethnic minorities. Women executives manage many of the Firm’s core businesses and functions; for example, two of our four LOBs are led by women CEOs. In 2021, the Firm had the largest number of women promoted to Managing Director in the last five years, and a record number of women promoted to Executive Director</w:t>
      </w:r>
    </w:p>
    <w:p>
      <w:pPr>
        <w:spacing w:after="0" w:line="2" w:lineRule="exact"/>
        <w:rPr>
          <w:rFonts w:ascii="Arial" w:cs="Arial" w:eastAsia="Arial" w:hAnsi="Arial"/>
          <w:sz w:val="16"/>
          <w:szCs w:val="16"/>
          <w:color w:val="074A75"/>
        </w:rPr>
      </w:pPr>
    </w:p>
    <w:p>
      <w:pPr>
        <w:ind w:left="195" w:right="640" w:hanging="195"/>
        <w:spacing w:after="0" w:line="238" w:lineRule="auto"/>
        <w:tabs>
          <w:tab w:leader="none" w:pos="192" w:val="left"/>
        </w:tabs>
        <w:numPr>
          <w:ilvl w:val="0"/>
          <w:numId w:val="187"/>
        </w:numPr>
        <w:rPr>
          <w:rFonts w:ascii="Arial" w:cs="Arial" w:eastAsia="Arial" w:hAnsi="Arial"/>
          <w:sz w:val="16"/>
          <w:szCs w:val="16"/>
          <w:color w:val="074A75"/>
        </w:rPr>
      </w:pPr>
      <w:r>
        <w:rPr>
          <w:rFonts w:ascii="Arial" w:cs="Arial" w:eastAsia="Arial" w:hAnsi="Arial"/>
          <w:sz w:val="16"/>
          <w:szCs w:val="16"/>
          <w:color w:val="auto"/>
        </w:rPr>
        <w:t>Enhanced and scaled the Firm's Accountability Framework, which is used to evaluate senior leaders, including Operating Committee members, on behaviors, practices and progress toward goals related to the Firm's diversity, equity and inclusion priorities, and to incorporate that into year-end performance and compensation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45720</wp:posOffset>
            </wp:positionV>
            <wp:extent cx="713232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5"/>
            <w:col w:w="9655"/>
          </w:cols>
          <w:pgMar w:left="320" w:top="157" w:right="319" w:bottom="1440" w:gutter="0" w:footer="0" w:header="0"/>
          <w:type w:val="continuous"/>
        </w:sectPr>
      </w:pPr>
    </w:p>
    <w:p>
      <w:pPr>
        <w:spacing w:after="0" w:line="292" w:lineRule="exact"/>
        <w:rPr>
          <w:sz w:val="20"/>
          <w:szCs w:val="20"/>
          <w:color w:val="auto"/>
        </w:rPr>
      </w:pPr>
    </w:p>
    <w:p>
      <w:pPr>
        <w:ind w:left="80" w:hanging="72"/>
        <w:spacing w:after="0"/>
        <w:tabs>
          <w:tab w:leader="none" w:pos="80" w:val="left"/>
        </w:tabs>
        <w:numPr>
          <w:ilvl w:val="0"/>
          <w:numId w:val="188"/>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111 for a definition of managed basis.</w:t>
      </w:r>
    </w:p>
    <w:p>
      <w:pPr>
        <w:ind w:left="80" w:hanging="72"/>
        <w:spacing w:after="0" w:line="192" w:lineRule="auto"/>
        <w:tabs>
          <w:tab w:leader="none" w:pos="80" w:val="left"/>
        </w:tabs>
        <w:numPr>
          <w:ilvl w:val="0"/>
          <w:numId w:val="189"/>
        </w:numPr>
        <w:rPr>
          <w:rFonts w:ascii="Arial" w:cs="Arial" w:eastAsia="Arial" w:hAnsi="Arial"/>
          <w:sz w:val="15"/>
          <w:szCs w:val="15"/>
          <w:color w:val="auto"/>
          <w:vertAlign w:val="superscript"/>
        </w:rPr>
      </w:pPr>
      <w:r>
        <w:rPr>
          <w:rFonts w:ascii="Arial" w:cs="Arial" w:eastAsia="Arial" w:hAnsi="Arial"/>
          <w:sz w:val="12"/>
          <w:szCs w:val="12"/>
          <w:color w:val="auto"/>
        </w:rPr>
        <w:t>ROTCE is a non-GAAP financial measure. On a comparable U.S. GAAP basis, 2021 ROE was 19%. Refer to Note 1 on page 110 for a further discussion on this measure.</w:t>
      </w:r>
    </w:p>
    <w:p>
      <w:pPr>
        <w:spacing w:after="0"/>
        <w:rPr>
          <w:rFonts w:ascii="Arial" w:cs="Arial" w:eastAsia="Arial" w:hAnsi="Arial"/>
          <w:sz w:val="15"/>
          <w:szCs w:val="15"/>
          <w:color w:val="auto"/>
          <w:vertAlign w:val="superscript"/>
        </w:rPr>
      </w:pPr>
      <w:r>
        <w:rPr>
          <w:rFonts w:ascii="Arial" w:cs="Arial" w:eastAsia="Arial" w:hAnsi="Arial"/>
          <w:sz w:val="15"/>
          <w:szCs w:val="15"/>
          <w:color w:val="auto"/>
          <w:vertAlign w:val="superscript"/>
        </w:rPr>
        <w:t>3</w:t>
      </w:r>
      <w:r>
        <w:rPr>
          <w:rFonts w:ascii="Arial" w:cs="Arial" w:eastAsia="Arial" w:hAnsi="Arial"/>
          <w:sz w:val="12"/>
          <w:szCs w:val="12"/>
          <w:color w:val="auto"/>
        </w:rPr>
        <w:t xml:space="preserve"> Refer to Note 2 on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180340</wp:posOffset>
            </wp:positionV>
            <wp:extent cx="27432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67  </w:t>
      </w:r>
      <w:r>
        <w:rPr>
          <w:sz w:val="1"/>
          <w:szCs w:val="1"/>
          <w:color w:val="auto"/>
        </w:rPr>
        <w:drawing>
          <wp:inline distT="0" distB="0" distL="0" distR="0">
            <wp:extent cx="2203450" cy="154305"/>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217805</wp:posOffset>
            </wp:positionV>
            <wp:extent cx="77470" cy="1460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217805</wp:posOffset>
            </wp:positionV>
            <wp:extent cx="77470" cy="1460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29"/>
          <w:szCs w:val="29"/>
          <w:color w:val="074A75"/>
        </w:rPr>
        <w:t>2021 NEO pay-for-performance summaries</w:t>
      </w:r>
    </w:p>
    <w:p>
      <w:pPr>
        <w:spacing w:after="0" w:line="1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Below are summaries of our NEOs’ achievements against the Firm’s four broad performance dimensions, including: Business Results; Risk, Controls &amp; Conduct; Client/Customer/Stakeholder; and Teamwork &amp;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0883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9"/>
          <w:szCs w:val="29"/>
          <w:color w:val="074A75"/>
        </w:rPr>
        <w:t>Daniel Pinto</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CO-PRESIDENT &amp; CO-COO; CEO: CORPORATE &amp; INVESTMENT BANK</w:t>
      </w:r>
    </w:p>
    <w:p>
      <w:pPr>
        <w:spacing w:after="0" w:line="104" w:lineRule="exact"/>
        <w:rPr>
          <w:sz w:val="20"/>
          <w:szCs w:val="20"/>
          <w:color w:val="auto"/>
        </w:rPr>
      </w:pPr>
    </w:p>
    <w:p>
      <w:pPr>
        <w:ind w:left="160" w:right="4040"/>
        <w:spacing w:after="0" w:line="259" w:lineRule="auto"/>
        <w:rPr>
          <w:sz w:val="20"/>
          <w:szCs w:val="20"/>
          <w:color w:val="auto"/>
        </w:rPr>
      </w:pPr>
      <w:r>
        <w:rPr>
          <w:rFonts w:ascii="Arial" w:cs="Arial" w:eastAsia="Arial" w:hAnsi="Arial"/>
          <w:sz w:val="16"/>
          <w:szCs w:val="16"/>
          <w:color w:val="242424"/>
        </w:rPr>
        <w:t>Mr. Pinto was appointed Co-President and Co-Chief Operating Officer of the Firm in January 2018, in addition to serving as CEO of the CIB since March 2014. In 2017, Mr. Pinto and Mr. Smith assumed responsibility for Global Technology. Mr. Pinto previously served as Co-CEO of the CIB since 2012.</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074A75"/>
        </w:rPr>
        <w:t>2021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41478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72"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951230" cy="65976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951230" cy="65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195" w:hanging="195"/>
        <w:spacing w:after="0"/>
        <w:tabs>
          <w:tab w:leader="none" w:pos="195" w:val="left"/>
        </w:tabs>
        <w:numPr>
          <w:ilvl w:val="0"/>
          <w:numId w:val="190"/>
        </w:numPr>
        <w:rPr>
          <w:rFonts w:ascii="Arial" w:cs="Arial" w:eastAsia="Arial" w:hAnsi="Arial"/>
          <w:sz w:val="18"/>
          <w:szCs w:val="18"/>
          <w:color w:val="074A75"/>
        </w:rPr>
      </w:pPr>
      <w:r>
        <w:rPr>
          <w:rFonts w:ascii="Arial" w:cs="Arial" w:eastAsia="Arial" w:hAnsi="Arial"/>
          <w:sz w:val="18"/>
          <w:szCs w:val="18"/>
          <w:color w:val="auto"/>
        </w:rPr>
        <w:t>CIB achieved record net income of $21.1B on record revenue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$51.7B, with an ROE of 25%</w:t>
      </w:r>
    </w:p>
    <w:p>
      <w:pPr>
        <w:ind w:left="195" w:right="520" w:hanging="195"/>
        <w:spacing w:after="0" w:line="253" w:lineRule="auto"/>
        <w:tabs>
          <w:tab w:leader="none" w:pos="198" w:val="left"/>
        </w:tabs>
        <w:numPr>
          <w:ilvl w:val="0"/>
          <w:numId w:val="190"/>
        </w:numPr>
        <w:rPr>
          <w:rFonts w:ascii="Arial" w:cs="Arial" w:eastAsia="Arial" w:hAnsi="Arial"/>
          <w:sz w:val="18"/>
          <w:szCs w:val="18"/>
          <w:color w:val="074A75"/>
        </w:rPr>
      </w:pPr>
      <w:r>
        <w:rPr>
          <w:rFonts w:ascii="Arial" w:cs="Arial" w:eastAsia="Arial" w:hAnsi="Arial"/>
          <w:sz w:val="18"/>
          <w:szCs w:val="18"/>
          <w:color w:val="auto"/>
        </w:rPr>
        <w:t>Record IB fees of $13.4B, up 41%; record revenues in Advisory of $4.4B, Equity Underwriting of $4.0B and Debt Underwriting of $5.0B, up 85%, 43% and 15% respectively</w:t>
      </w:r>
    </w:p>
    <w:p>
      <w:pPr>
        <w:ind w:left="195" w:hanging="195"/>
        <w:spacing w:after="0" w:line="228" w:lineRule="auto"/>
        <w:tabs>
          <w:tab w:leader="none" w:pos="195" w:val="left"/>
        </w:tabs>
        <w:numPr>
          <w:ilvl w:val="0"/>
          <w:numId w:val="190"/>
        </w:numPr>
        <w:rPr>
          <w:rFonts w:ascii="Arial" w:cs="Arial" w:eastAsia="Arial" w:hAnsi="Arial"/>
          <w:sz w:val="18"/>
          <w:szCs w:val="18"/>
          <w:color w:val="074A75"/>
        </w:rPr>
      </w:pPr>
      <w:r>
        <w:rPr>
          <w:rFonts w:ascii="Arial" w:cs="Arial" w:eastAsia="Arial" w:hAnsi="Arial"/>
          <w:sz w:val="18"/>
          <w:szCs w:val="18"/>
          <w:color w:val="auto"/>
        </w:rPr>
        <w:t>Ranked #1 in global IB fees for the 13</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with wallet share of 9.5%</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(up from 9.2% in 2020)</w:t>
      </w:r>
    </w:p>
    <w:p>
      <w:pPr>
        <w:ind w:left="195" w:hanging="195"/>
        <w:spacing w:after="0" w:line="208" w:lineRule="auto"/>
        <w:tabs>
          <w:tab w:leader="none" w:pos="195" w:val="left"/>
        </w:tabs>
        <w:numPr>
          <w:ilvl w:val="0"/>
          <w:numId w:val="190"/>
        </w:numPr>
        <w:rPr>
          <w:rFonts w:ascii="Arial" w:cs="Arial" w:eastAsia="Arial" w:hAnsi="Arial"/>
          <w:sz w:val="18"/>
          <w:szCs w:val="18"/>
          <w:color w:val="074A75"/>
        </w:rPr>
      </w:pPr>
      <w:r>
        <w:rPr>
          <w:rFonts w:ascii="Arial" w:cs="Arial" w:eastAsia="Arial" w:hAnsi="Arial"/>
          <w:sz w:val="18"/>
          <w:szCs w:val="18"/>
          <w:color w:val="auto"/>
        </w:rPr>
        <w:t>Ranked #1 in Total Markets with 12.2%</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wallet share (#1 in Fixed Income; Co-#1 in Equities)</w:t>
      </w:r>
    </w:p>
    <w:p>
      <w:pPr>
        <w:ind w:left="195" w:hanging="195"/>
        <w:spacing w:after="0"/>
        <w:tabs>
          <w:tab w:leader="none" w:pos="195" w:val="left"/>
        </w:tabs>
        <w:numPr>
          <w:ilvl w:val="0"/>
          <w:numId w:val="190"/>
        </w:numPr>
        <w:rPr>
          <w:rFonts w:ascii="Arial" w:cs="Arial" w:eastAsia="Arial" w:hAnsi="Arial"/>
          <w:sz w:val="18"/>
          <w:szCs w:val="18"/>
          <w:color w:val="074A75"/>
        </w:rPr>
      </w:pPr>
      <w:r>
        <w:rPr>
          <w:rFonts w:ascii="Arial" w:cs="Arial" w:eastAsia="Arial" w:hAnsi="Arial"/>
          <w:sz w:val="18"/>
          <w:szCs w:val="18"/>
          <w:color w:val="auto"/>
        </w:rPr>
        <w:t>Participated in 9 of the top 10 fee paying deals</w:t>
      </w:r>
    </w:p>
    <w:p>
      <w:pPr>
        <w:spacing w:after="0" w:line="13" w:lineRule="exact"/>
        <w:rPr>
          <w:rFonts w:ascii="Arial" w:cs="Arial" w:eastAsia="Arial" w:hAnsi="Arial"/>
          <w:sz w:val="18"/>
          <w:szCs w:val="18"/>
          <w:color w:val="074A75"/>
        </w:rPr>
      </w:pPr>
    </w:p>
    <w:p>
      <w:pPr>
        <w:ind w:left="195" w:right="300" w:hanging="195"/>
        <w:spacing w:after="0" w:line="263" w:lineRule="auto"/>
        <w:tabs>
          <w:tab w:leader="none" w:pos="198" w:val="left"/>
        </w:tabs>
        <w:numPr>
          <w:ilvl w:val="0"/>
          <w:numId w:val="190"/>
        </w:numPr>
        <w:rPr>
          <w:rFonts w:ascii="Arial" w:cs="Arial" w:eastAsia="Arial" w:hAnsi="Arial"/>
          <w:sz w:val="18"/>
          <w:szCs w:val="18"/>
          <w:color w:val="074A75"/>
        </w:rPr>
      </w:pPr>
      <w:r>
        <w:rPr>
          <w:rFonts w:ascii="Arial" w:cs="Arial" w:eastAsia="Arial" w:hAnsi="Arial"/>
          <w:sz w:val="18"/>
          <w:szCs w:val="18"/>
          <w:color w:val="auto"/>
        </w:rPr>
        <w:t>As Co-President &amp; Co-COO, continued to jointly lead the oversight of Firmwide support functions to drive execution and delivery of functional transformations, work with business leaders across the Firm on execution of strategic priorities, and provide oversight of critical Firmwide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45720</wp:posOffset>
            </wp:positionV>
            <wp:extent cx="713232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1380" w:space="225"/>
            <w:col w:w="9655"/>
          </w:cols>
          <w:pgMar w:left="320" w:top="157" w:right="319" w:bottom="1440" w:gutter="0" w:footer="0" w:header="0"/>
          <w:type w:val="continuous"/>
        </w:sect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951230" cy="109728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95123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95" w:hanging="195"/>
        <w:spacing w:after="0"/>
        <w:tabs>
          <w:tab w:leader="none" w:pos="195" w:val="left"/>
        </w:tabs>
        <w:numPr>
          <w:ilvl w:val="0"/>
          <w:numId w:val="191"/>
        </w:numPr>
        <w:rPr>
          <w:rFonts w:ascii="Arial" w:cs="Arial" w:eastAsia="Arial" w:hAnsi="Arial"/>
          <w:sz w:val="18"/>
          <w:szCs w:val="18"/>
          <w:color w:val="074A75"/>
        </w:rPr>
      </w:pPr>
      <w:r>
        <w:rPr>
          <w:rFonts w:ascii="Arial" w:cs="Arial" w:eastAsia="Arial" w:hAnsi="Arial"/>
          <w:sz w:val="18"/>
          <w:szCs w:val="18"/>
          <w:color w:val="auto"/>
        </w:rPr>
        <w:t>Oversaw the Brexit strategy, which continued to be executed post the U.K. departure from the European Union</w:t>
      </w:r>
    </w:p>
    <w:p>
      <w:pPr>
        <w:spacing w:after="0" w:line="31" w:lineRule="exact"/>
        <w:rPr>
          <w:rFonts w:ascii="Arial" w:cs="Arial" w:eastAsia="Arial" w:hAnsi="Arial"/>
          <w:sz w:val="18"/>
          <w:szCs w:val="18"/>
          <w:color w:val="074A75"/>
        </w:rPr>
      </w:pPr>
    </w:p>
    <w:p>
      <w:pPr>
        <w:ind w:left="195" w:right="640" w:hanging="195"/>
        <w:spacing w:after="0" w:line="258" w:lineRule="auto"/>
        <w:tabs>
          <w:tab w:leader="none" w:pos="198" w:val="left"/>
        </w:tabs>
        <w:numPr>
          <w:ilvl w:val="0"/>
          <w:numId w:val="191"/>
        </w:numPr>
        <w:rPr>
          <w:rFonts w:ascii="Arial" w:cs="Arial" w:eastAsia="Arial" w:hAnsi="Arial"/>
          <w:sz w:val="18"/>
          <w:szCs w:val="18"/>
          <w:color w:val="074A75"/>
        </w:rPr>
      </w:pPr>
      <w:r>
        <w:rPr>
          <w:rFonts w:ascii="Arial" w:cs="Arial" w:eastAsia="Arial" w:hAnsi="Arial"/>
          <w:sz w:val="18"/>
          <w:szCs w:val="18"/>
          <w:color w:val="auto"/>
        </w:rPr>
        <w:t>Continued to maintain strong risk discipline across all business activities with a focus on addressing issues and enhancing controls in key areas</w:t>
      </w:r>
    </w:p>
    <w:p>
      <w:pPr>
        <w:ind w:left="195" w:hanging="195"/>
        <w:spacing w:after="0"/>
        <w:tabs>
          <w:tab w:leader="none" w:pos="195" w:val="left"/>
        </w:tabs>
        <w:numPr>
          <w:ilvl w:val="0"/>
          <w:numId w:val="191"/>
        </w:numPr>
        <w:rPr>
          <w:rFonts w:ascii="Arial" w:cs="Arial" w:eastAsia="Arial" w:hAnsi="Arial"/>
          <w:sz w:val="17"/>
          <w:szCs w:val="17"/>
          <w:color w:val="074A75"/>
        </w:rPr>
      </w:pPr>
      <w:r>
        <w:rPr>
          <w:rFonts w:ascii="Arial" w:cs="Arial" w:eastAsia="Arial" w:hAnsi="Arial"/>
          <w:sz w:val="17"/>
          <w:szCs w:val="17"/>
          <w:color w:val="auto"/>
        </w:rPr>
        <w:t>Continued to make significant progress in addressing regulatory and enforcement matters affecting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79375</wp:posOffset>
            </wp:positionV>
            <wp:extent cx="713232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5"/>
            <w:col w:w="9655"/>
          </w:cols>
          <w:pgMar w:left="320" w:top="157" w:right="319" w:bottom="1440" w:gutter="0" w:footer="0" w:header="0"/>
          <w:type w:val="continuous"/>
        </w:sectPr>
      </w:pPr>
    </w:p>
    <w:p>
      <w:pPr>
        <w:spacing w:after="0" w:line="41" w:lineRule="exact"/>
        <w:rPr>
          <w:sz w:val="20"/>
          <w:szCs w:val="20"/>
          <w:color w:val="auto"/>
        </w:rPr>
      </w:pPr>
    </w:p>
    <w:p>
      <w:pPr>
        <w:jc w:val="right"/>
        <w:ind w:left="360"/>
        <w:spacing w:after="0" w:line="296"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667385</wp:posOffset>
            </wp:positionV>
            <wp:extent cx="951230" cy="81407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951230" cy="814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195" w:right="280" w:hanging="195"/>
        <w:spacing w:after="0" w:line="263" w:lineRule="auto"/>
        <w:tabs>
          <w:tab w:leader="none" w:pos="198" w:val="left"/>
        </w:tabs>
        <w:numPr>
          <w:ilvl w:val="0"/>
          <w:numId w:val="192"/>
        </w:numPr>
        <w:rPr>
          <w:rFonts w:ascii="Arial" w:cs="Arial" w:eastAsia="Arial" w:hAnsi="Arial"/>
          <w:sz w:val="18"/>
          <w:szCs w:val="18"/>
          <w:color w:val="074A75"/>
        </w:rPr>
      </w:pPr>
      <w:r>
        <w:rPr>
          <w:rFonts w:ascii="Arial" w:cs="Arial" w:eastAsia="Arial" w:hAnsi="Arial"/>
          <w:sz w:val="18"/>
          <w:szCs w:val="18"/>
          <w:color w:val="auto"/>
        </w:rPr>
        <w:t>Continued executing on a multi-year technology transformation program supporting improved business delivery and internal efficiencies</w:t>
      </w:r>
    </w:p>
    <w:p>
      <w:pPr>
        <w:spacing w:after="0" w:line="1" w:lineRule="exact"/>
        <w:rPr>
          <w:rFonts w:ascii="Arial" w:cs="Arial" w:eastAsia="Arial" w:hAnsi="Arial"/>
          <w:sz w:val="18"/>
          <w:szCs w:val="18"/>
          <w:color w:val="074A75"/>
        </w:rPr>
      </w:pPr>
    </w:p>
    <w:p>
      <w:pPr>
        <w:ind w:left="195" w:hanging="195"/>
        <w:spacing w:after="0"/>
        <w:tabs>
          <w:tab w:leader="none" w:pos="195" w:val="left"/>
        </w:tabs>
        <w:numPr>
          <w:ilvl w:val="0"/>
          <w:numId w:val="192"/>
        </w:numPr>
        <w:rPr>
          <w:rFonts w:ascii="Arial" w:cs="Arial" w:eastAsia="Arial" w:hAnsi="Arial"/>
          <w:sz w:val="18"/>
          <w:szCs w:val="18"/>
          <w:color w:val="074A75"/>
        </w:rPr>
      </w:pPr>
      <w:r>
        <w:rPr>
          <w:rFonts w:ascii="Arial" w:cs="Arial" w:eastAsia="Arial" w:hAnsi="Arial"/>
          <w:sz w:val="18"/>
          <w:szCs w:val="18"/>
          <w:color w:val="auto"/>
        </w:rPr>
        <w:t>Continued to build out advanced payment products, including by advancing investments and acquisitions</w:t>
      </w:r>
    </w:p>
    <w:p>
      <w:pPr>
        <w:spacing w:after="0" w:line="22" w:lineRule="exact"/>
        <w:rPr>
          <w:rFonts w:ascii="Arial" w:cs="Arial" w:eastAsia="Arial" w:hAnsi="Arial"/>
          <w:sz w:val="18"/>
          <w:szCs w:val="18"/>
          <w:color w:val="074A75"/>
        </w:rPr>
      </w:pPr>
    </w:p>
    <w:p>
      <w:pPr>
        <w:ind w:left="195" w:hanging="195"/>
        <w:spacing w:after="0"/>
        <w:tabs>
          <w:tab w:leader="none" w:pos="195" w:val="left"/>
        </w:tabs>
        <w:numPr>
          <w:ilvl w:val="0"/>
          <w:numId w:val="192"/>
        </w:numPr>
        <w:rPr>
          <w:rFonts w:ascii="Arial" w:cs="Arial" w:eastAsia="Arial" w:hAnsi="Arial"/>
          <w:sz w:val="18"/>
          <w:szCs w:val="18"/>
          <w:color w:val="074A75"/>
        </w:rPr>
      </w:pPr>
      <w:r>
        <w:rPr>
          <w:rFonts w:ascii="Arial" w:cs="Arial" w:eastAsia="Arial" w:hAnsi="Arial"/>
          <w:sz w:val="18"/>
          <w:szCs w:val="18"/>
          <w:color w:val="auto"/>
        </w:rPr>
        <w:t>Advanced ESG progress, working cross-functionally with internal teams to deliver service to clients</w:t>
      </w:r>
    </w:p>
    <w:p>
      <w:pPr>
        <w:spacing w:after="0" w:line="26" w:lineRule="exact"/>
        <w:rPr>
          <w:rFonts w:ascii="Arial" w:cs="Arial" w:eastAsia="Arial" w:hAnsi="Arial"/>
          <w:sz w:val="18"/>
          <w:szCs w:val="18"/>
          <w:color w:val="074A75"/>
        </w:rPr>
      </w:pPr>
    </w:p>
    <w:p>
      <w:pPr>
        <w:ind w:left="195" w:right="880" w:hanging="195"/>
        <w:spacing w:after="0" w:line="263" w:lineRule="auto"/>
        <w:tabs>
          <w:tab w:leader="none" w:pos="198" w:val="left"/>
        </w:tabs>
        <w:numPr>
          <w:ilvl w:val="0"/>
          <w:numId w:val="192"/>
        </w:numPr>
        <w:rPr>
          <w:rFonts w:ascii="Arial" w:cs="Arial" w:eastAsia="Arial" w:hAnsi="Arial"/>
          <w:sz w:val="18"/>
          <w:szCs w:val="18"/>
          <w:color w:val="074A75"/>
        </w:rPr>
      </w:pPr>
      <w:r>
        <w:rPr>
          <w:rFonts w:ascii="Arial" w:cs="Arial" w:eastAsia="Arial" w:hAnsi="Arial"/>
          <w:sz w:val="18"/>
          <w:szCs w:val="18"/>
          <w:color w:val="auto"/>
        </w:rPr>
        <w:t>Continued to progress business in China Securities, including research, underwriting, trading and brokerage businesses</w:t>
      </w:r>
    </w:p>
    <w:p>
      <w:pPr>
        <w:spacing w:after="0" w:line="1" w:lineRule="exact"/>
        <w:rPr>
          <w:rFonts w:ascii="Arial" w:cs="Arial" w:eastAsia="Arial" w:hAnsi="Arial"/>
          <w:sz w:val="18"/>
          <w:szCs w:val="18"/>
          <w:color w:val="074A75"/>
        </w:rPr>
      </w:pPr>
    </w:p>
    <w:p>
      <w:pPr>
        <w:ind w:left="195" w:hanging="195"/>
        <w:spacing w:after="0"/>
        <w:tabs>
          <w:tab w:leader="none" w:pos="195" w:val="left"/>
        </w:tabs>
        <w:numPr>
          <w:ilvl w:val="0"/>
          <w:numId w:val="192"/>
        </w:numPr>
        <w:rPr>
          <w:rFonts w:ascii="Arial" w:cs="Arial" w:eastAsia="Arial" w:hAnsi="Arial"/>
          <w:sz w:val="18"/>
          <w:szCs w:val="18"/>
          <w:color w:val="074A75"/>
        </w:rPr>
      </w:pPr>
      <w:r>
        <w:rPr>
          <w:rFonts w:ascii="Arial" w:cs="Arial" w:eastAsia="Arial" w:hAnsi="Arial"/>
          <w:sz w:val="18"/>
          <w:szCs w:val="18"/>
          <w:color w:val="auto"/>
        </w:rPr>
        <w:t>Supported clients' continued high trading, payment and deposits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71755</wp:posOffset>
            </wp:positionV>
            <wp:extent cx="713232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5"/>
            <w:col w:w="9655"/>
          </w:cols>
          <w:pgMar w:left="320" w:top="157" w:right="319" w:bottom="1440" w:gutter="0" w:footer="0" w:header="0"/>
          <w:type w:val="continuous"/>
        </w:sectPr>
      </w:pPr>
    </w:p>
    <w:p>
      <w:pPr>
        <w:spacing w:after="0" w:line="29" w:lineRule="exact"/>
        <w:rPr>
          <w:sz w:val="20"/>
          <w:szCs w:val="20"/>
          <w:color w:val="auto"/>
        </w:r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95" w:hanging="195"/>
        <w:spacing w:after="0"/>
        <w:tabs>
          <w:tab w:leader="none" w:pos="195" w:val="left"/>
        </w:tabs>
        <w:numPr>
          <w:ilvl w:val="0"/>
          <w:numId w:val="193"/>
        </w:numPr>
        <w:rPr>
          <w:rFonts w:ascii="Arial" w:cs="Arial" w:eastAsia="Arial" w:hAnsi="Arial"/>
          <w:sz w:val="18"/>
          <w:szCs w:val="18"/>
          <w:color w:val="074A75"/>
        </w:rPr>
      </w:pPr>
      <w:r>
        <w:rPr>
          <w:rFonts w:ascii="Arial" w:cs="Arial" w:eastAsia="Arial" w:hAnsi="Arial"/>
          <w:sz w:val="18"/>
          <w:szCs w:val="18"/>
          <w:color w:val="auto"/>
        </w:rPr>
        <w:t>Continued engagement with and focus on diverse talent and development</w:t>
      </w:r>
    </w:p>
    <w:p>
      <w:pPr>
        <w:spacing w:after="0" w:line="31" w:lineRule="exact"/>
        <w:rPr>
          <w:rFonts w:ascii="Arial" w:cs="Arial" w:eastAsia="Arial" w:hAnsi="Arial"/>
          <w:sz w:val="18"/>
          <w:szCs w:val="18"/>
          <w:color w:val="074A75"/>
        </w:rPr>
      </w:pPr>
    </w:p>
    <w:p>
      <w:pPr>
        <w:ind w:left="195" w:right="160" w:hanging="195"/>
        <w:spacing w:after="0" w:line="258" w:lineRule="auto"/>
        <w:tabs>
          <w:tab w:leader="none" w:pos="198" w:val="left"/>
        </w:tabs>
        <w:numPr>
          <w:ilvl w:val="0"/>
          <w:numId w:val="193"/>
        </w:numPr>
        <w:rPr>
          <w:rFonts w:ascii="Arial" w:cs="Arial" w:eastAsia="Arial" w:hAnsi="Arial"/>
          <w:sz w:val="18"/>
          <w:szCs w:val="18"/>
          <w:color w:val="074A75"/>
        </w:rPr>
      </w:pPr>
      <w:r>
        <w:rPr>
          <w:rFonts w:ascii="Arial" w:cs="Arial" w:eastAsia="Arial" w:hAnsi="Arial"/>
          <w:sz w:val="18"/>
          <w:szCs w:val="18"/>
          <w:color w:val="auto"/>
        </w:rPr>
        <w:t>Continued as the OC sponsor of the Adelante BRG and was a speaker at their summer and Hispanic Heritage month virtual events</w:t>
      </w:r>
    </w:p>
    <w:p>
      <w:pPr>
        <w:ind w:left="195" w:hanging="195"/>
        <w:spacing w:after="0"/>
        <w:tabs>
          <w:tab w:leader="none" w:pos="195" w:val="left"/>
        </w:tabs>
        <w:numPr>
          <w:ilvl w:val="0"/>
          <w:numId w:val="193"/>
        </w:numPr>
        <w:rPr>
          <w:rFonts w:ascii="Arial" w:cs="Arial" w:eastAsia="Arial" w:hAnsi="Arial"/>
          <w:sz w:val="18"/>
          <w:szCs w:val="18"/>
          <w:color w:val="00497F"/>
        </w:rPr>
      </w:pPr>
      <w:r>
        <w:rPr>
          <w:rFonts w:ascii="Arial" w:cs="Arial" w:eastAsia="Arial" w:hAnsi="Arial"/>
          <w:sz w:val="18"/>
          <w:szCs w:val="18"/>
          <w:color w:val="auto"/>
        </w:rPr>
        <w:t>Continued focus on development of top talent, training and hiring</w:t>
      </w:r>
    </w:p>
    <w:p>
      <w:pPr>
        <w:spacing w:after="0" w:line="26" w:lineRule="exact"/>
        <w:rPr>
          <w:rFonts w:ascii="Arial" w:cs="Arial" w:eastAsia="Arial" w:hAnsi="Arial"/>
          <w:sz w:val="18"/>
          <w:szCs w:val="18"/>
          <w:color w:val="00497F"/>
        </w:rPr>
      </w:pPr>
    </w:p>
    <w:p>
      <w:pPr>
        <w:ind w:left="195" w:hanging="195"/>
        <w:spacing w:after="0"/>
        <w:tabs>
          <w:tab w:leader="none" w:pos="195" w:val="left"/>
        </w:tabs>
        <w:numPr>
          <w:ilvl w:val="0"/>
          <w:numId w:val="193"/>
        </w:numPr>
        <w:rPr>
          <w:rFonts w:ascii="Arial" w:cs="Arial" w:eastAsia="Arial" w:hAnsi="Arial"/>
          <w:sz w:val="18"/>
          <w:szCs w:val="18"/>
          <w:color w:val="074A75"/>
        </w:rPr>
      </w:pPr>
      <w:r>
        <w:rPr>
          <w:rFonts w:ascii="Arial" w:cs="Arial" w:eastAsia="Arial" w:hAnsi="Arial"/>
          <w:sz w:val="18"/>
          <w:szCs w:val="18"/>
          <w:color w:val="auto"/>
        </w:rPr>
        <w:t>Continued to chair the Business Head Forums which includes leaders across the Firm's major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77470</wp:posOffset>
            </wp:positionV>
            <wp:extent cx="71323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5"/>
            <w:col w:w="9655"/>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hanging="192"/>
        <w:spacing w:after="0"/>
        <w:tabs>
          <w:tab w:leader="none" w:pos="200" w:val="left"/>
        </w:tabs>
        <w:numPr>
          <w:ilvl w:val="0"/>
          <w:numId w:val="194"/>
        </w:numPr>
        <w:rPr>
          <w:rFonts w:ascii="Arial" w:cs="Arial" w:eastAsia="Arial" w:hAnsi="Arial"/>
          <w:sz w:val="15"/>
          <w:szCs w:val="15"/>
          <w:color w:val="auto"/>
          <w:vertAlign w:val="superscript"/>
        </w:rPr>
      </w:pPr>
      <w:r>
        <w:rPr>
          <w:rFonts w:ascii="Arial" w:cs="Arial" w:eastAsia="Arial" w:hAnsi="Arial"/>
          <w:sz w:val="12"/>
          <w:szCs w:val="12"/>
          <w:color w:val="auto"/>
        </w:rPr>
        <w:t>Refer to Note 2 on page 65.</w:t>
      </w:r>
    </w:p>
    <w:p>
      <w:pPr>
        <w:ind w:left="200" w:hanging="192"/>
        <w:spacing w:after="0" w:line="187" w:lineRule="auto"/>
        <w:tabs>
          <w:tab w:leader="none" w:pos="200" w:val="left"/>
        </w:tabs>
        <w:numPr>
          <w:ilvl w:val="0"/>
          <w:numId w:val="195"/>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111 for a definition of managed basis.</w:t>
      </w:r>
    </w:p>
    <w:p>
      <w:pPr>
        <w:ind w:left="200" w:hanging="192"/>
        <w:spacing w:after="0" w:line="188" w:lineRule="auto"/>
        <w:tabs>
          <w:tab w:leader="none" w:pos="200" w:val="left"/>
        </w:tabs>
        <w:numPr>
          <w:ilvl w:val="0"/>
          <w:numId w:val="196"/>
        </w:numPr>
        <w:rPr>
          <w:rFonts w:ascii="Arial" w:cs="Arial" w:eastAsia="Arial" w:hAnsi="Arial"/>
          <w:sz w:val="15"/>
          <w:szCs w:val="15"/>
          <w:color w:val="auto"/>
          <w:vertAlign w:val="superscript"/>
        </w:rPr>
      </w:pPr>
      <w:r>
        <w:rPr>
          <w:rFonts w:ascii="Arial" w:cs="Arial" w:eastAsia="Arial" w:hAnsi="Arial"/>
          <w:sz w:val="12"/>
          <w:szCs w:val="12"/>
          <w:color w:val="auto"/>
        </w:rPr>
        <w:t>Dealogic as of January 3, 2022.</w:t>
      </w:r>
    </w:p>
    <w:p>
      <w:pPr>
        <w:ind w:left="200" w:hanging="192"/>
        <w:spacing w:after="0" w:line="202" w:lineRule="auto"/>
        <w:tabs>
          <w:tab w:leader="none" w:pos="200" w:val="left"/>
        </w:tabs>
        <w:numPr>
          <w:ilvl w:val="0"/>
          <w:numId w:val="197"/>
        </w:numPr>
        <w:rPr>
          <w:rFonts w:ascii="Arial" w:cs="Arial" w:eastAsia="Arial" w:hAnsi="Arial"/>
          <w:sz w:val="15"/>
          <w:szCs w:val="15"/>
          <w:color w:val="auto"/>
          <w:vertAlign w:val="superscript"/>
        </w:rPr>
      </w:pPr>
      <w:r>
        <w:rPr>
          <w:rFonts w:ascii="Arial" w:cs="Arial" w:eastAsia="Arial" w:hAnsi="Arial"/>
          <w:sz w:val="12"/>
          <w:szCs w:val="12"/>
          <w:color w:val="auto"/>
        </w:rPr>
        <w:t>Coalition Greenwich Competitor Analytics. Share is based on JPMorgan Chase’s internal business structure and revenues, and rank is based on Coalition Index Banks. Excludes the impact of Archegos.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2021</w:t>
            </w: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-213360</wp:posOffset>
            </wp:positionV>
            <wp:extent cx="77470" cy="1454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-213360</wp:posOffset>
            </wp:positionV>
            <wp:extent cx="77470" cy="1454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09728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9"/>
          <w:szCs w:val="29"/>
          <w:color w:val="074A75"/>
        </w:rPr>
        <w:t>Gordon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-207645</wp:posOffset>
            </wp:positionV>
            <wp:extent cx="2451735" cy="10629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451735" cy="10629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-207645</wp:posOffset>
            </wp:positionV>
            <wp:extent cx="2451735" cy="10629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451735" cy="106299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CO-PRESIDENT &amp; CO-COO; CEO: CONSUMER &amp; COMMUNITY BANKING</w:t>
      </w:r>
    </w:p>
    <w:p>
      <w:pPr>
        <w:spacing w:after="0" w:line="104" w:lineRule="exact"/>
        <w:rPr>
          <w:sz w:val="20"/>
          <w:szCs w:val="20"/>
          <w:color w:val="auto"/>
        </w:rPr>
      </w:pPr>
    </w:p>
    <w:p>
      <w:pPr>
        <w:jc w:val="both"/>
        <w:ind w:left="160" w:right="4300"/>
        <w:spacing w:after="0" w:line="259" w:lineRule="auto"/>
        <w:rPr>
          <w:sz w:val="20"/>
          <w:szCs w:val="20"/>
          <w:color w:val="auto"/>
        </w:rPr>
      </w:pPr>
      <w:r>
        <w:rPr>
          <w:rFonts w:ascii="Arial" w:cs="Arial" w:eastAsia="Arial" w:hAnsi="Arial"/>
          <w:sz w:val="16"/>
          <w:szCs w:val="16"/>
          <w:color w:val="auto"/>
        </w:rPr>
        <w:t>Mr. Smith was appointed Co-President and Co-Chief Operating Officer of the Firm in January 2018, in addition to serving as CEO of CCB since December 2012. In 2017, Mr. Smith and Mr. Pinto assumed responsibility for Global Technology. Mr. Smith previously served as CEO of the Card, Merchant Services and Auto Finance businesses.</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074A75"/>
        </w:rPr>
        <w:t>2021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33731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32320" cy="133731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72"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993140</wp:posOffset>
            </wp:positionV>
            <wp:extent cx="951230" cy="9855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951230" cy="985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98" w:hanging="198"/>
        <w:spacing w:after="0"/>
        <w:tabs>
          <w:tab w:leader="none" w:pos="198" w:val="left"/>
        </w:tabs>
        <w:numPr>
          <w:ilvl w:val="0"/>
          <w:numId w:val="198"/>
        </w:numPr>
        <w:rPr>
          <w:rFonts w:ascii="Arial" w:cs="Arial" w:eastAsia="Arial" w:hAnsi="Arial"/>
          <w:sz w:val="18"/>
          <w:szCs w:val="18"/>
          <w:color w:val="074A75"/>
        </w:rPr>
      </w:pPr>
      <w:r>
        <w:rPr>
          <w:rFonts w:ascii="Arial" w:cs="Arial" w:eastAsia="Arial" w:hAnsi="Arial"/>
          <w:sz w:val="18"/>
          <w:szCs w:val="18"/>
          <w:color w:val="auto"/>
        </w:rPr>
        <w:t>CCB achieved net income of $20.9B on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$50.1B, with ROE of 41%</w:t>
      </w:r>
    </w:p>
    <w:p>
      <w:pPr>
        <w:spacing w:after="0" w:line="12" w:lineRule="exact"/>
        <w:rPr>
          <w:rFonts w:ascii="Arial" w:cs="Arial" w:eastAsia="Arial" w:hAnsi="Arial"/>
          <w:sz w:val="18"/>
          <w:szCs w:val="18"/>
          <w:color w:val="074A75"/>
        </w:rPr>
      </w:pPr>
    </w:p>
    <w:p>
      <w:pPr>
        <w:ind w:left="198" w:hanging="198"/>
        <w:spacing w:after="0"/>
        <w:tabs>
          <w:tab w:leader="none" w:pos="198" w:val="left"/>
        </w:tabs>
        <w:numPr>
          <w:ilvl w:val="0"/>
          <w:numId w:val="198"/>
        </w:numPr>
        <w:rPr>
          <w:rFonts w:ascii="Arial" w:cs="Arial" w:eastAsia="Arial" w:hAnsi="Arial"/>
          <w:sz w:val="18"/>
          <w:szCs w:val="18"/>
          <w:color w:val="074A75"/>
        </w:rPr>
      </w:pPr>
      <w:r>
        <w:rPr>
          <w:rFonts w:ascii="Arial" w:cs="Arial" w:eastAsia="Arial" w:hAnsi="Arial"/>
          <w:sz w:val="18"/>
          <w:szCs w:val="18"/>
          <w:color w:val="auto"/>
        </w:rPr>
        <w:t>Average deposits of $1.1T (up 24%); average loans of $434.0B (down 3%)</w:t>
      </w:r>
    </w:p>
    <w:p>
      <w:pPr>
        <w:spacing w:after="0" w:line="18" w:lineRule="exact"/>
        <w:rPr>
          <w:rFonts w:ascii="Arial" w:cs="Arial" w:eastAsia="Arial" w:hAnsi="Arial"/>
          <w:sz w:val="18"/>
          <w:szCs w:val="18"/>
          <w:color w:val="074A75"/>
        </w:rPr>
      </w:pPr>
    </w:p>
    <w:p>
      <w:pPr>
        <w:ind w:left="198" w:right="260" w:hanging="198"/>
        <w:spacing w:after="0" w:line="231" w:lineRule="auto"/>
        <w:tabs>
          <w:tab w:leader="none" w:pos="201" w:val="left"/>
        </w:tabs>
        <w:numPr>
          <w:ilvl w:val="0"/>
          <w:numId w:val="198"/>
        </w:numPr>
        <w:rPr>
          <w:rFonts w:ascii="Arial" w:cs="Arial" w:eastAsia="Arial" w:hAnsi="Arial"/>
          <w:sz w:val="18"/>
          <w:szCs w:val="18"/>
          <w:color w:val="074A75"/>
        </w:rPr>
      </w:pPr>
      <w:r>
        <w:rPr>
          <w:rFonts w:ascii="Arial" w:cs="Arial" w:eastAsia="Arial" w:hAnsi="Arial"/>
          <w:sz w:val="18"/>
          <w:szCs w:val="18"/>
          <w:color w:val="auto"/>
        </w:rPr>
        <w:t>Largest active digital and mobile customer base among U.S. banks</w:t>
      </w:r>
      <w:r>
        <w:rPr>
          <w:rFonts w:ascii="Arial" w:cs="Arial" w:eastAsia="Arial" w:hAnsi="Arial"/>
          <w:sz w:val="23"/>
          <w:szCs w:val="23"/>
          <w:color w:val="auto"/>
          <w:vertAlign w:val="superscript"/>
        </w:rPr>
        <w:t>2</w:t>
      </w:r>
      <w:r>
        <w:rPr>
          <w:rFonts w:ascii="Arial" w:cs="Arial" w:eastAsia="Arial" w:hAnsi="Arial"/>
          <w:sz w:val="18"/>
          <w:szCs w:val="18"/>
          <w:color w:val="auto"/>
        </w:rPr>
        <w:t>; active digital and mobile customers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increased by 6% and 11% from 2020, respectively</w:t>
      </w:r>
    </w:p>
    <w:p>
      <w:pPr>
        <w:spacing w:after="0" w:line="16" w:lineRule="exact"/>
        <w:rPr>
          <w:rFonts w:ascii="Arial" w:cs="Arial" w:eastAsia="Arial" w:hAnsi="Arial"/>
          <w:sz w:val="18"/>
          <w:szCs w:val="18"/>
          <w:color w:val="074A75"/>
        </w:rPr>
      </w:pPr>
    </w:p>
    <w:p>
      <w:pPr>
        <w:ind w:left="198" w:hanging="198"/>
        <w:spacing w:after="0"/>
        <w:tabs>
          <w:tab w:leader="none" w:pos="198" w:val="left"/>
        </w:tabs>
        <w:numPr>
          <w:ilvl w:val="0"/>
          <w:numId w:val="198"/>
        </w:numPr>
        <w:rPr>
          <w:rFonts w:ascii="Arial" w:cs="Arial" w:eastAsia="Arial" w:hAnsi="Arial"/>
          <w:sz w:val="18"/>
          <w:szCs w:val="18"/>
          <w:color w:val="074A75"/>
        </w:rPr>
      </w:pPr>
      <w:r>
        <w:rPr>
          <w:rFonts w:ascii="Arial" w:cs="Arial" w:eastAsia="Arial" w:hAnsi="Arial"/>
          <w:sz w:val="18"/>
          <w:szCs w:val="18"/>
          <w:color w:val="auto"/>
        </w:rPr>
        <w:t>#1 in national retail deposit market share at 10.3%</w:t>
      </w:r>
      <w:r>
        <w:rPr>
          <w:rFonts w:ascii="Arial" w:cs="Arial" w:eastAsia="Arial" w:hAnsi="Arial"/>
          <w:sz w:val="23"/>
          <w:szCs w:val="23"/>
          <w:color w:val="auto"/>
          <w:vertAlign w:val="superscript"/>
        </w:rPr>
        <w:t>4</w:t>
      </w:r>
    </w:p>
    <w:p>
      <w:pPr>
        <w:spacing w:after="0" w:line="12" w:lineRule="exact"/>
        <w:rPr>
          <w:rFonts w:ascii="Arial" w:cs="Arial" w:eastAsia="Arial" w:hAnsi="Arial"/>
          <w:sz w:val="18"/>
          <w:szCs w:val="18"/>
          <w:color w:val="074A75"/>
        </w:rPr>
      </w:pPr>
    </w:p>
    <w:p>
      <w:pPr>
        <w:ind w:left="198" w:right="300" w:hanging="198"/>
        <w:spacing w:after="0" w:line="258" w:lineRule="auto"/>
        <w:tabs>
          <w:tab w:leader="none" w:pos="201" w:val="left"/>
        </w:tabs>
        <w:numPr>
          <w:ilvl w:val="0"/>
          <w:numId w:val="198"/>
        </w:numPr>
        <w:rPr>
          <w:rFonts w:ascii="Arial" w:cs="Arial" w:eastAsia="Arial" w:hAnsi="Arial"/>
          <w:sz w:val="18"/>
          <w:szCs w:val="18"/>
          <w:color w:val="074A75"/>
        </w:rPr>
      </w:pPr>
      <w:r>
        <w:rPr>
          <w:rFonts w:ascii="Arial" w:cs="Arial" w:eastAsia="Arial" w:hAnsi="Arial"/>
          <w:sz w:val="18"/>
          <w:szCs w:val="18"/>
          <w:color w:val="auto"/>
        </w:rPr>
        <w:t>As Co-President &amp; Co-COO, continued to jointly lead the oversight of Firmwide support functions to drive execution and delivery of functional transformation, work with business leaders across the Firm on execution of strategic priorities, and provide oversight of critical Firmwide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56515</wp:posOffset>
            </wp:positionV>
            <wp:extent cx="713232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951230" cy="155130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951230" cy="1551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98" w:right="580" w:hanging="198"/>
        <w:spacing w:after="0" w:line="273" w:lineRule="auto"/>
        <w:tabs>
          <w:tab w:leader="none" w:pos="201" w:val="left"/>
        </w:tabs>
        <w:numPr>
          <w:ilvl w:val="0"/>
          <w:numId w:val="199"/>
        </w:numPr>
        <w:rPr>
          <w:rFonts w:ascii="Arial" w:cs="Arial" w:eastAsia="Arial" w:hAnsi="Arial"/>
          <w:sz w:val="18"/>
          <w:szCs w:val="18"/>
          <w:color w:val="074A75"/>
        </w:rPr>
      </w:pPr>
      <w:r>
        <w:rPr>
          <w:rFonts w:ascii="Arial" w:cs="Arial" w:eastAsia="Arial" w:hAnsi="Arial"/>
          <w:sz w:val="18"/>
          <w:szCs w:val="18"/>
          <w:color w:val="auto"/>
        </w:rPr>
        <w:t>Continued proactive cybersecurity and controls monitoring through business innovation, new technologies (e.g., machine learning), and addressing elevated and emerging risks</w:t>
      </w:r>
    </w:p>
    <w:p>
      <w:pPr>
        <w:spacing w:after="0" w:line="1" w:lineRule="exact"/>
        <w:rPr>
          <w:rFonts w:ascii="Arial" w:cs="Arial" w:eastAsia="Arial" w:hAnsi="Arial"/>
          <w:sz w:val="18"/>
          <w:szCs w:val="18"/>
          <w:color w:val="074A75"/>
        </w:rPr>
      </w:pPr>
    </w:p>
    <w:p>
      <w:pPr>
        <w:ind w:left="198" w:right="120" w:hanging="198"/>
        <w:spacing w:after="0" w:line="266" w:lineRule="auto"/>
        <w:tabs>
          <w:tab w:leader="none" w:pos="201" w:val="left"/>
        </w:tabs>
        <w:numPr>
          <w:ilvl w:val="0"/>
          <w:numId w:val="199"/>
        </w:numPr>
        <w:rPr>
          <w:rFonts w:ascii="Arial" w:cs="Arial" w:eastAsia="Arial" w:hAnsi="Arial"/>
          <w:sz w:val="18"/>
          <w:szCs w:val="18"/>
          <w:color w:val="074A75"/>
        </w:rPr>
      </w:pPr>
      <w:r>
        <w:rPr>
          <w:rFonts w:ascii="Arial" w:cs="Arial" w:eastAsia="Arial" w:hAnsi="Arial"/>
          <w:sz w:val="18"/>
          <w:szCs w:val="18"/>
          <w:color w:val="auto"/>
        </w:rPr>
        <w:t>Continued to make significant progress in addressing regulatory matters affecting the business, as well as addressing issues and enhancing controls</w:t>
      </w:r>
    </w:p>
    <w:p>
      <w:pPr>
        <w:ind w:left="198" w:right="480" w:hanging="198"/>
        <w:spacing w:after="0" w:line="287" w:lineRule="auto"/>
        <w:tabs>
          <w:tab w:leader="none" w:pos="201" w:val="left"/>
        </w:tabs>
        <w:numPr>
          <w:ilvl w:val="0"/>
          <w:numId w:val="199"/>
        </w:numPr>
        <w:rPr>
          <w:rFonts w:ascii="Arial" w:cs="Arial" w:eastAsia="Arial" w:hAnsi="Arial"/>
          <w:sz w:val="18"/>
          <w:szCs w:val="18"/>
          <w:color w:val="074A75"/>
        </w:rPr>
      </w:pPr>
      <w:r>
        <w:rPr>
          <w:rFonts w:ascii="Arial" w:cs="Arial" w:eastAsia="Arial" w:hAnsi="Arial"/>
          <w:sz w:val="18"/>
          <w:szCs w:val="18"/>
          <w:color w:val="auto"/>
        </w:rPr>
        <w:t>Continued to develop automated solutions to enhance efficiency and effectiveness to identify issues, and support enhanced operational risk and control review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48895</wp:posOffset>
            </wp:positionV>
            <wp:extent cx="713232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jc w:val="right"/>
        <w:ind w:left="360"/>
        <w:spacing w:after="0" w:line="296"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1121410</wp:posOffset>
            </wp:positionV>
            <wp:extent cx="951230" cy="116586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951230"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198" w:right="120" w:hanging="198"/>
        <w:spacing w:after="0" w:line="266" w:lineRule="auto"/>
        <w:tabs>
          <w:tab w:leader="none" w:pos="201" w:val="left"/>
        </w:tabs>
        <w:numPr>
          <w:ilvl w:val="0"/>
          <w:numId w:val="200"/>
        </w:numPr>
        <w:rPr>
          <w:rFonts w:ascii="Arial" w:cs="Arial" w:eastAsia="Arial" w:hAnsi="Arial"/>
          <w:sz w:val="18"/>
          <w:szCs w:val="18"/>
          <w:color w:val="074A75"/>
        </w:rPr>
      </w:pPr>
      <w:r>
        <w:rPr>
          <w:rFonts w:ascii="Arial" w:cs="Arial" w:eastAsia="Arial" w:hAnsi="Arial"/>
          <w:sz w:val="18"/>
          <w:szCs w:val="18"/>
          <w:color w:val="auto"/>
        </w:rPr>
        <w:t>Opened 177 branches in 2021, including 23 branches in states the Firm had not previously operated in, becoming the first retail bank with branches open in the lower 48 states for a total of 271 branches opened in new markets since expansion began</w:t>
      </w:r>
    </w:p>
    <w:p>
      <w:pPr>
        <w:jc w:val="both"/>
        <w:ind w:left="198" w:right="280" w:hanging="198"/>
        <w:spacing w:after="0" w:line="281" w:lineRule="auto"/>
        <w:tabs>
          <w:tab w:leader="none" w:pos="201" w:val="left"/>
        </w:tabs>
        <w:numPr>
          <w:ilvl w:val="0"/>
          <w:numId w:val="200"/>
        </w:numPr>
        <w:rPr>
          <w:rFonts w:ascii="Arial" w:cs="Arial" w:eastAsia="Arial" w:hAnsi="Arial"/>
          <w:sz w:val="17"/>
          <w:szCs w:val="17"/>
          <w:color w:val="074A75"/>
        </w:rPr>
      </w:pPr>
      <w:r>
        <w:rPr>
          <w:rFonts w:ascii="Arial" w:cs="Arial" w:eastAsia="Arial" w:hAnsi="Arial"/>
          <w:sz w:val="17"/>
          <w:szCs w:val="17"/>
          <w:color w:val="auto"/>
        </w:rPr>
        <w:t>Supported the Firm's $30B Racial Equity Commitment, including through homeownership refinancing, and assisting over 200K additional Black, Hispanic and Latino customers open low-cost checking accounts with no overdraft fees</w:t>
      </w:r>
    </w:p>
    <w:p>
      <w:pPr>
        <w:spacing w:after="0" w:line="1" w:lineRule="exact"/>
        <w:rPr>
          <w:rFonts w:ascii="Arial" w:cs="Arial" w:eastAsia="Arial" w:hAnsi="Arial"/>
          <w:sz w:val="17"/>
          <w:szCs w:val="17"/>
          <w:color w:val="074A75"/>
        </w:rPr>
      </w:pPr>
    </w:p>
    <w:p>
      <w:pPr>
        <w:ind w:left="198" w:right="140" w:hanging="198"/>
        <w:spacing w:after="0" w:line="266" w:lineRule="auto"/>
        <w:tabs>
          <w:tab w:leader="none" w:pos="201" w:val="left"/>
        </w:tabs>
        <w:numPr>
          <w:ilvl w:val="0"/>
          <w:numId w:val="200"/>
        </w:numPr>
        <w:rPr>
          <w:rFonts w:ascii="Arial" w:cs="Arial" w:eastAsia="Arial" w:hAnsi="Arial"/>
          <w:sz w:val="18"/>
          <w:szCs w:val="18"/>
          <w:color w:val="074A75"/>
        </w:rPr>
      </w:pPr>
      <w:r>
        <w:rPr>
          <w:rFonts w:ascii="Arial" w:cs="Arial" w:eastAsia="Arial" w:hAnsi="Arial"/>
          <w:sz w:val="18"/>
          <w:szCs w:val="18"/>
          <w:color w:val="auto"/>
        </w:rPr>
        <w:t>Collaborated and executed on acquisitions demonstrating a commitment to deliver exceptional benefits to customers, including the acquisition of Frank, a college financial planning platform, to help millions of students and families to navigate their financial journey while furthering education, and of The Infatuation</w:t>
      </w:r>
    </w:p>
    <w:p>
      <w:pPr>
        <w:ind w:left="198" w:right="320" w:hanging="198"/>
        <w:spacing w:after="0" w:line="287" w:lineRule="auto"/>
        <w:tabs>
          <w:tab w:leader="none" w:pos="201" w:val="left"/>
        </w:tabs>
        <w:numPr>
          <w:ilvl w:val="0"/>
          <w:numId w:val="200"/>
        </w:numPr>
        <w:rPr>
          <w:rFonts w:ascii="Arial" w:cs="Arial" w:eastAsia="Arial" w:hAnsi="Arial"/>
          <w:sz w:val="18"/>
          <w:szCs w:val="18"/>
          <w:color w:val="074A75"/>
        </w:rPr>
      </w:pPr>
      <w:r>
        <w:rPr>
          <w:rFonts w:ascii="Arial" w:cs="Arial" w:eastAsia="Arial" w:hAnsi="Arial"/>
          <w:sz w:val="18"/>
          <w:szCs w:val="18"/>
          <w:color w:val="auto"/>
        </w:rPr>
        <w:t>Continued to lead the industry in helping small businesses secure funding through the SBA's PPP, and wrapped up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40640</wp:posOffset>
            </wp:positionV>
            <wp:extent cx="713232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98" w:right="440" w:hanging="198"/>
        <w:spacing w:after="0" w:line="273" w:lineRule="auto"/>
        <w:tabs>
          <w:tab w:leader="none" w:pos="201"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Continued to make progress against CCB’s diversity and inclusion strategy to improve diverse representation and drive an inclusive culture and experience</w:t>
      </w:r>
    </w:p>
    <w:p>
      <w:pPr>
        <w:spacing w:after="0" w:line="1" w:lineRule="exact"/>
        <w:rPr>
          <w:rFonts w:ascii="Arial" w:cs="Arial" w:eastAsia="Arial" w:hAnsi="Arial"/>
          <w:sz w:val="18"/>
          <w:szCs w:val="18"/>
          <w:color w:val="074A75"/>
        </w:rPr>
      </w:pPr>
    </w:p>
    <w:p>
      <w:pPr>
        <w:ind w:left="198" w:hanging="198"/>
        <w:spacing w:after="0"/>
        <w:tabs>
          <w:tab w:leader="none" w:pos="198"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Supported additional BRG-sponsored events throughout the year</w:t>
      </w:r>
    </w:p>
    <w:p>
      <w:pPr>
        <w:spacing w:after="0" w:line="36" w:lineRule="exact"/>
        <w:rPr>
          <w:rFonts w:ascii="Arial" w:cs="Arial" w:eastAsia="Arial" w:hAnsi="Arial"/>
          <w:sz w:val="18"/>
          <w:szCs w:val="18"/>
          <w:color w:val="074A75"/>
        </w:rPr>
      </w:pPr>
    </w:p>
    <w:p>
      <w:pPr>
        <w:ind w:left="198" w:right="80" w:hanging="198"/>
        <w:spacing w:after="0" w:line="273" w:lineRule="auto"/>
        <w:tabs>
          <w:tab w:leader="none" w:pos="201"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Continued focus on development of key talent, succession planning and training opportunities, including the execution of long-term succession planning and transition of role as CEO of CCB</w:t>
      </w:r>
    </w:p>
    <w:p>
      <w:pPr>
        <w:spacing w:after="0" w:line="1" w:lineRule="exact"/>
        <w:rPr>
          <w:rFonts w:ascii="Arial" w:cs="Arial" w:eastAsia="Arial" w:hAnsi="Arial"/>
          <w:sz w:val="18"/>
          <w:szCs w:val="18"/>
          <w:color w:val="074A75"/>
        </w:rPr>
      </w:pPr>
    </w:p>
    <w:p>
      <w:pPr>
        <w:ind w:left="198" w:hanging="198"/>
        <w:spacing w:after="0"/>
        <w:tabs>
          <w:tab w:leader="none" w:pos="198"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Delivered strong results on key training and engagement initiatives encompassing leadership and technology skills</w:t>
      </w:r>
    </w:p>
    <w:p>
      <w:pPr>
        <w:spacing w:after="0" w:line="49" w:lineRule="exact"/>
        <w:rPr>
          <w:rFonts w:ascii="Arial" w:cs="Arial" w:eastAsia="Arial" w:hAnsi="Arial"/>
          <w:sz w:val="18"/>
          <w:szCs w:val="18"/>
          <w:color w:val="074A75"/>
        </w:rPr>
      </w:pPr>
    </w:p>
    <w:p>
      <w:pPr>
        <w:ind w:left="198" w:hanging="198"/>
        <w:spacing w:after="0"/>
        <w:tabs>
          <w:tab w:leader="none" w:pos="198" w:val="left"/>
        </w:tabs>
        <w:numPr>
          <w:ilvl w:val="0"/>
          <w:numId w:val="201"/>
        </w:numPr>
        <w:rPr>
          <w:rFonts w:ascii="Arial" w:cs="Arial" w:eastAsia="Arial" w:hAnsi="Arial"/>
          <w:sz w:val="18"/>
          <w:szCs w:val="18"/>
          <w:color w:val="074A75"/>
        </w:rPr>
      </w:pPr>
      <w:r>
        <w:rPr>
          <w:rFonts w:ascii="Arial" w:cs="Arial" w:eastAsia="Arial" w:hAnsi="Arial"/>
          <w:sz w:val="18"/>
          <w:szCs w:val="18"/>
          <w:color w:val="auto"/>
        </w:rPr>
        <w:t>Continued to chair the Business Head Forums which includes leaders across the Firm's major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86360</wp:posOffset>
            </wp:positionV>
            <wp:extent cx="713232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hanging="192"/>
        <w:spacing w:after="0"/>
        <w:tabs>
          <w:tab w:leader="none" w:pos="200" w:val="left"/>
        </w:tabs>
        <w:numPr>
          <w:ilvl w:val="0"/>
          <w:numId w:val="202"/>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111 for a definition of managed basis.</w:t>
      </w:r>
    </w:p>
    <w:p>
      <w:pPr>
        <w:ind w:left="200" w:hanging="192"/>
        <w:spacing w:after="0" w:line="187" w:lineRule="auto"/>
        <w:tabs>
          <w:tab w:leader="none" w:pos="200" w:val="left"/>
        </w:tabs>
        <w:numPr>
          <w:ilvl w:val="0"/>
          <w:numId w:val="203"/>
        </w:numPr>
        <w:rPr>
          <w:rFonts w:ascii="Arial" w:cs="Arial" w:eastAsia="Arial" w:hAnsi="Arial"/>
          <w:sz w:val="15"/>
          <w:szCs w:val="15"/>
          <w:color w:val="auto"/>
          <w:vertAlign w:val="superscript"/>
        </w:rPr>
      </w:pPr>
      <w:r>
        <w:rPr>
          <w:rFonts w:ascii="Arial" w:cs="Arial" w:eastAsia="Arial" w:hAnsi="Arial"/>
          <w:sz w:val="12"/>
          <w:szCs w:val="12"/>
          <w:color w:val="auto"/>
        </w:rPr>
        <w:t>Based on 4Q21 peer disclosure for JPM’s CCB, Bank of America’s Consumer Banking, Wells Fargo’s Consumer Banking and Lending, and Citi’s North America GCB segments.</w:t>
      </w:r>
    </w:p>
    <w:p>
      <w:pPr>
        <w:ind w:left="200" w:hanging="192"/>
        <w:spacing w:after="0" w:line="202" w:lineRule="auto"/>
        <w:tabs>
          <w:tab w:leader="none" w:pos="200" w:val="left"/>
        </w:tabs>
        <w:numPr>
          <w:ilvl w:val="0"/>
          <w:numId w:val="204"/>
        </w:numPr>
        <w:rPr>
          <w:rFonts w:ascii="Arial" w:cs="Arial" w:eastAsia="Arial" w:hAnsi="Arial"/>
          <w:sz w:val="14"/>
          <w:szCs w:val="14"/>
          <w:color w:val="auto"/>
          <w:vertAlign w:val="superscript"/>
        </w:rPr>
      </w:pPr>
      <w:r>
        <w:rPr>
          <w:rFonts w:ascii="Arial" w:cs="Arial" w:eastAsia="Arial" w:hAnsi="Arial"/>
          <w:sz w:val="11"/>
          <w:szCs w:val="11"/>
          <w:color w:val="auto"/>
        </w:rPr>
        <w:t>Active digital customers are users of web and/or mobile platforms who have logged in within the past 90 days; active mobile customers are users of all mobile platforms who have logged in within the past 90 days.</w:t>
      </w:r>
    </w:p>
    <w:p>
      <w:pPr>
        <w:ind w:left="200" w:hanging="192"/>
        <w:spacing w:after="0" w:line="216" w:lineRule="auto"/>
        <w:tabs>
          <w:tab w:leader="none" w:pos="200" w:val="left"/>
        </w:tabs>
        <w:numPr>
          <w:ilvl w:val="0"/>
          <w:numId w:val="205"/>
        </w:numPr>
        <w:rPr>
          <w:rFonts w:ascii="Arial" w:cs="Arial" w:eastAsia="Arial" w:hAnsi="Arial"/>
          <w:sz w:val="14"/>
          <w:szCs w:val="14"/>
          <w:color w:val="auto"/>
          <w:vertAlign w:val="superscript"/>
        </w:rPr>
      </w:pPr>
      <w:r>
        <w:rPr>
          <w:rFonts w:ascii="Arial" w:cs="Arial" w:eastAsia="Arial" w:hAnsi="Arial"/>
          <w:sz w:val="11"/>
          <w:szCs w:val="11"/>
          <w:color w:val="auto"/>
        </w:rPr>
        <w:t>FDIC 2021 Summary of Deposits survey per S&amp;P Global Market Intelligence. Limits all branches to $1B deposits. Includes all commercial banks, savings banks, and savings institutions as defined by the FDIC.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200025</wp:posOffset>
            </wp:positionV>
            <wp:extent cx="27432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69  </w:t>
      </w:r>
      <w:r>
        <w:rPr>
          <w:sz w:val="1"/>
          <w:szCs w:val="1"/>
          <w:color w:val="auto"/>
        </w:rPr>
        <w:drawing>
          <wp:inline distT="0" distB="0" distL="0" distR="0">
            <wp:extent cx="2203450" cy="154305"/>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6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2021</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6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15"/>
        </w:trPr>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4"/>
        </w:trPr>
        <w:tc>
          <w:tcPr>
            <w:tcW w:w="3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shd w:val="clear" w:color="auto" w:fill="EEEFEF"/>
          </w:tcPr>
          <w:p>
            <w:pPr>
              <w:spacing w:after="0"/>
              <w:rPr>
                <w:sz w:val="8"/>
                <w:szCs w:val="8"/>
                <w:color w:val="auto"/>
              </w:rPr>
            </w:pPr>
          </w:p>
        </w:tc>
        <w:tc>
          <w:tcPr>
            <w:tcW w:w="3460" w:type="dxa"/>
            <w:vAlign w:val="bottom"/>
            <w:shd w:val="clear" w:color="auto" w:fill="EEEFEF"/>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-350520</wp:posOffset>
            </wp:positionV>
            <wp:extent cx="77470" cy="1454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-350520</wp:posOffset>
            </wp:positionV>
            <wp:extent cx="77470" cy="1454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1487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32320" cy="1148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29"/>
          <w:szCs w:val="29"/>
          <w:color w:val="074A75"/>
          <w:shd w:val="clear" w:color="auto" w:fill="EEEFEF"/>
        </w:rPr>
        <w:t>Mary Callahan Erdoes</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074A75"/>
          <w:shd w:val="clear" w:color="auto" w:fill="EEEFEF"/>
        </w:rPr>
        <w:t>CEO: ASSET &amp; WEALTH MANAGEMENT</w:t>
      </w:r>
    </w:p>
    <w:p>
      <w:pPr>
        <w:spacing w:after="0" w:line="104" w:lineRule="exact"/>
        <w:rPr>
          <w:sz w:val="20"/>
          <w:szCs w:val="20"/>
          <w:color w:val="auto"/>
        </w:rPr>
      </w:pPr>
    </w:p>
    <w:p>
      <w:pPr>
        <w:ind w:left="160" w:right="4180"/>
        <w:spacing w:after="0" w:line="286" w:lineRule="auto"/>
        <w:rPr>
          <w:sz w:val="20"/>
          <w:szCs w:val="20"/>
          <w:color w:val="auto"/>
        </w:rPr>
      </w:pPr>
      <w:r>
        <w:rPr>
          <w:rFonts w:ascii="Arial" w:cs="Arial" w:eastAsia="Arial" w:hAnsi="Arial"/>
          <w:sz w:val="16"/>
          <w:szCs w:val="16"/>
          <w:color w:val="auto"/>
          <w:shd w:val="clear" w:color="auto" w:fill="EEEFEF"/>
        </w:rPr>
        <w:t>Ms. Erdoes was appointed Chief Executive Officer of Asset &amp; Wealth Management in September 2009. She previously served as CEO of Wealth Management from 2005 to 2009.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074A75"/>
        </w:rPr>
        <w:t>2021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3798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72"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1035685</wp:posOffset>
            </wp:positionV>
            <wp:extent cx="951230" cy="90043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951230" cy="900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98" w:hanging="198"/>
        <w:spacing w:after="0"/>
        <w:tabs>
          <w:tab w:leader="none" w:pos="198" w:val="left"/>
        </w:tabs>
        <w:numPr>
          <w:ilvl w:val="0"/>
          <w:numId w:val="206"/>
        </w:numPr>
        <w:rPr>
          <w:rFonts w:ascii="Arial" w:cs="Arial" w:eastAsia="Arial" w:hAnsi="Arial"/>
          <w:sz w:val="18"/>
          <w:szCs w:val="18"/>
          <w:color w:val="074A75"/>
        </w:rPr>
      </w:pPr>
      <w:r>
        <w:rPr>
          <w:rFonts w:ascii="Arial" w:cs="Arial" w:eastAsia="Arial" w:hAnsi="Arial"/>
          <w:sz w:val="18"/>
          <w:szCs w:val="18"/>
          <w:color w:val="auto"/>
        </w:rPr>
        <w:t>AWM achieved record net income of $4.7B on record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$17.0B; ROE of 33%; and pre-tax margin of 37%</w:t>
      </w:r>
    </w:p>
    <w:p>
      <w:pPr>
        <w:spacing w:after="0" w:line="25" w:lineRule="exact"/>
        <w:rPr>
          <w:rFonts w:ascii="Arial" w:cs="Arial" w:eastAsia="Arial" w:hAnsi="Arial"/>
          <w:sz w:val="18"/>
          <w:szCs w:val="18"/>
          <w:color w:val="074A75"/>
        </w:rPr>
      </w:pPr>
    </w:p>
    <w:p>
      <w:pPr>
        <w:ind w:left="198" w:hanging="198"/>
        <w:spacing w:after="0"/>
        <w:tabs>
          <w:tab w:leader="none" w:pos="198" w:val="left"/>
        </w:tabs>
        <w:numPr>
          <w:ilvl w:val="0"/>
          <w:numId w:val="206"/>
        </w:numPr>
        <w:rPr>
          <w:rFonts w:ascii="Arial" w:cs="Arial" w:eastAsia="Arial" w:hAnsi="Arial"/>
          <w:sz w:val="18"/>
          <w:szCs w:val="18"/>
          <w:color w:val="074A75"/>
        </w:rPr>
      </w:pPr>
      <w:r>
        <w:rPr>
          <w:rFonts w:ascii="Arial" w:cs="Arial" w:eastAsia="Arial" w:hAnsi="Arial"/>
          <w:sz w:val="18"/>
          <w:szCs w:val="18"/>
          <w:color w:val="auto"/>
        </w:rPr>
        <w:t>AUM of $3.1T and client assets of $4.3T, up 15% and 18% respectively</w:t>
      </w:r>
    </w:p>
    <w:p>
      <w:pPr>
        <w:spacing w:after="0" w:line="45" w:lineRule="exact"/>
        <w:rPr>
          <w:rFonts w:ascii="Arial" w:cs="Arial" w:eastAsia="Arial" w:hAnsi="Arial"/>
          <w:sz w:val="18"/>
          <w:szCs w:val="18"/>
          <w:color w:val="074A75"/>
        </w:rPr>
      </w:pPr>
    </w:p>
    <w:p>
      <w:pPr>
        <w:ind w:left="198" w:right="320" w:hanging="198"/>
        <w:spacing w:after="0" w:line="281" w:lineRule="auto"/>
        <w:tabs>
          <w:tab w:leader="none" w:pos="201" w:val="left"/>
        </w:tabs>
        <w:numPr>
          <w:ilvl w:val="0"/>
          <w:numId w:val="206"/>
        </w:numPr>
        <w:rPr>
          <w:rFonts w:ascii="Arial" w:cs="Arial" w:eastAsia="Arial" w:hAnsi="Arial"/>
          <w:sz w:val="18"/>
          <w:szCs w:val="18"/>
          <w:color w:val="074A75"/>
        </w:rPr>
      </w:pPr>
      <w:r>
        <w:rPr>
          <w:rFonts w:ascii="Arial" w:cs="Arial" w:eastAsia="Arial" w:hAnsi="Arial"/>
          <w:sz w:val="18"/>
          <w:szCs w:val="18"/>
          <w:color w:val="auto"/>
        </w:rPr>
        <w:t>Positive long-term AUM flows across all asset classes, channels and regions; AUM flows of $232B and client asset flows of $389B</w:t>
      </w:r>
    </w:p>
    <w:p>
      <w:pPr>
        <w:spacing w:after="0" w:line="1" w:lineRule="exact"/>
        <w:rPr>
          <w:rFonts w:ascii="Arial" w:cs="Arial" w:eastAsia="Arial" w:hAnsi="Arial"/>
          <w:sz w:val="18"/>
          <w:szCs w:val="18"/>
          <w:color w:val="074A75"/>
        </w:rPr>
      </w:pPr>
    </w:p>
    <w:p>
      <w:pPr>
        <w:ind w:left="198" w:hanging="198"/>
        <w:spacing w:after="0"/>
        <w:tabs>
          <w:tab w:leader="none" w:pos="198" w:val="left"/>
        </w:tabs>
        <w:numPr>
          <w:ilvl w:val="0"/>
          <w:numId w:val="206"/>
        </w:numPr>
        <w:rPr>
          <w:rFonts w:ascii="Arial" w:cs="Arial" w:eastAsia="Arial" w:hAnsi="Arial"/>
          <w:sz w:val="18"/>
          <w:szCs w:val="18"/>
          <w:color w:val="074A75"/>
        </w:rPr>
      </w:pPr>
      <w:r>
        <w:rPr>
          <w:rFonts w:ascii="Arial" w:cs="Arial" w:eastAsia="Arial" w:hAnsi="Arial"/>
          <w:sz w:val="18"/>
          <w:szCs w:val="18"/>
          <w:color w:val="auto"/>
        </w:rPr>
        <w:t>Record average deposits of $230.3B (up 42%); record average loans of $198.5B (up 19%)</w:t>
      </w:r>
    </w:p>
    <w:p>
      <w:pPr>
        <w:spacing w:after="0" w:line="63" w:lineRule="exact"/>
        <w:rPr>
          <w:rFonts w:ascii="Arial" w:cs="Arial" w:eastAsia="Arial" w:hAnsi="Arial"/>
          <w:sz w:val="18"/>
          <w:szCs w:val="18"/>
          <w:color w:val="074A75"/>
        </w:rPr>
      </w:pPr>
    </w:p>
    <w:p>
      <w:pPr>
        <w:ind w:left="198" w:right="120" w:hanging="198"/>
        <w:spacing w:after="0" w:line="291" w:lineRule="auto"/>
        <w:tabs>
          <w:tab w:leader="none" w:pos="201" w:val="left"/>
        </w:tabs>
        <w:numPr>
          <w:ilvl w:val="0"/>
          <w:numId w:val="206"/>
        </w:numPr>
        <w:rPr>
          <w:rFonts w:ascii="Arial" w:cs="Arial" w:eastAsia="Arial" w:hAnsi="Arial"/>
          <w:sz w:val="17"/>
          <w:szCs w:val="17"/>
          <w:color w:val="074A75"/>
        </w:rPr>
      </w:pPr>
      <w:r>
        <w:rPr>
          <w:rFonts w:ascii="Arial" w:cs="Arial" w:eastAsia="Arial" w:hAnsi="Arial"/>
          <w:sz w:val="17"/>
          <w:szCs w:val="17"/>
          <w:color w:val="auto"/>
        </w:rPr>
        <w:t>Best Private Bank in the World (Global Finance); Fund Manager of the Year (Morningstar); Best Private Bank for Ultra High Net Worth Individuals, Wealthy Women, and DE&amp;I (FT/PWM); Best Capital Markets, Advisory &amp; Investment Management Globally (Euromoney); Asset Manager of the Year for Empowering Change Program (Barron's)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48895</wp:posOffset>
            </wp:positionV>
            <wp:extent cx="713232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951230" cy="10369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951230" cy="1036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98" w:right="80" w:hanging="198"/>
        <w:spacing w:after="0" w:line="281" w:lineRule="auto"/>
        <w:tabs>
          <w:tab w:leader="none" w:pos="201" w:val="left"/>
        </w:tabs>
        <w:numPr>
          <w:ilvl w:val="0"/>
          <w:numId w:val="207"/>
        </w:numPr>
        <w:rPr>
          <w:rFonts w:ascii="Arial" w:cs="Arial" w:eastAsia="Arial" w:hAnsi="Arial"/>
          <w:sz w:val="18"/>
          <w:szCs w:val="18"/>
          <w:color w:val="074A75"/>
        </w:rPr>
      </w:pPr>
      <w:r>
        <w:rPr>
          <w:rFonts w:ascii="Arial" w:cs="Arial" w:eastAsia="Arial" w:hAnsi="Arial"/>
          <w:sz w:val="18"/>
          <w:szCs w:val="18"/>
          <w:color w:val="auto"/>
        </w:rPr>
        <w:t>Continued accountability for deepening the Firm’s fiduciary culture, including leading efforts to strengthen governance, oversight, and training with consistent expectations</w:t>
      </w:r>
    </w:p>
    <w:p>
      <w:pPr>
        <w:spacing w:after="0" w:line="1" w:lineRule="exact"/>
        <w:rPr>
          <w:rFonts w:ascii="Arial" w:cs="Arial" w:eastAsia="Arial" w:hAnsi="Arial"/>
          <w:sz w:val="18"/>
          <w:szCs w:val="18"/>
          <w:color w:val="074A75"/>
        </w:rPr>
      </w:pPr>
    </w:p>
    <w:p>
      <w:pPr>
        <w:ind w:left="198" w:hanging="198"/>
        <w:spacing w:after="0"/>
        <w:tabs>
          <w:tab w:leader="none" w:pos="198" w:val="left"/>
        </w:tabs>
        <w:numPr>
          <w:ilvl w:val="0"/>
          <w:numId w:val="207"/>
        </w:numPr>
        <w:rPr>
          <w:rFonts w:ascii="Arial" w:cs="Arial" w:eastAsia="Arial" w:hAnsi="Arial"/>
          <w:sz w:val="18"/>
          <w:szCs w:val="18"/>
          <w:color w:val="074A75"/>
        </w:rPr>
      </w:pPr>
      <w:r>
        <w:rPr>
          <w:rFonts w:ascii="Arial" w:cs="Arial" w:eastAsia="Arial" w:hAnsi="Arial"/>
          <w:sz w:val="18"/>
          <w:szCs w:val="18"/>
          <w:color w:val="auto"/>
        </w:rPr>
        <w:t>Advanced modeling for qualitative investment risk framework</w:t>
      </w:r>
    </w:p>
    <w:p>
      <w:pPr>
        <w:spacing w:after="0" w:line="63" w:lineRule="exact"/>
        <w:rPr>
          <w:rFonts w:ascii="Arial" w:cs="Arial" w:eastAsia="Arial" w:hAnsi="Arial"/>
          <w:sz w:val="18"/>
          <w:szCs w:val="18"/>
          <w:color w:val="074A75"/>
        </w:rPr>
      </w:pPr>
    </w:p>
    <w:p>
      <w:pPr>
        <w:ind w:left="198" w:hanging="198"/>
        <w:spacing w:after="0"/>
        <w:tabs>
          <w:tab w:leader="none" w:pos="198" w:val="left"/>
        </w:tabs>
        <w:numPr>
          <w:ilvl w:val="0"/>
          <w:numId w:val="207"/>
        </w:numPr>
        <w:rPr>
          <w:rFonts w:ascii="Arial" w:cs="Arial" w:eastAsia="Arial" w:hAnsi="Arial"/>
          <w:sz w:val="18"/>
          <w:szCs w:val="18"/>
          <w:color w:val="074A75"/>
        </w:rPr>
      </w:pPr>
      <w:r>
        <w:rPr>
          <w:rFonts w:ascii="Arial" w:cs="Arial" w:eastAsia="Arial" w:hAnsi="Arial"/>
          <w:sz w:val="18"/>
          <w:szCs w:val="18"/>
          <w:color w:val="auto"/>
        </w:rPr>
        <w:t>Continued regular and constructive engagement with regulators</w:t>
      </w:r>
    </w:p>
    <w:p>
      <w:pPr>
        <w:spacing w:after="0" w:line="63" w:lineRule="exact"/>
        <w:rPr>
          <w:rFonts w:ascii="Arial" w:cs="Arial" w:eastAsia="Arial" w:hAnsi="Arial"/>
          <w:sz w:val="18"/>
          <w:szCs w:val="18"/>
          <w:color w:val="074A75"/>
        </w:rPr>
      </w:pPr>
    </w:p>
    <w:p>
      <w:pPr>
        <w:ind w:left="198" w:hanging="198"/>
        <w:spacing w:after="0"/>
        <w:tabs>
          <w:tab w:leader="none" w:pos="198" w:val="left"/>
        </w:tabs>
        <w:numPr>
          <w:ilvl w:val="0"/>
          <w:numId w:val="207"/>
        </w:numPr>
        <w:rPr>
          <w:rFonts w:ascii="Arial" w:cs="Arial" w:eastAsia="Arial" w:hAnsi="Arial"/>
          <w:sz w:val="18"/>
          <w:szCs w:val="18"/>
          <w:color w:val="064A75"/>
        </w:rPr>
      </w:pPr>
      <w:r>
        <w:rPr>
          <w:rFonts w:ascii="Arial" w:cs="Arial" w:eastAsia="Arial" w:hAnsi="Arial"/>
          <w:sz w:val="18"/>
          <w:szCs w:val="18"/>
          <w:color w:val="242424"/>
        </w:rPr>
        <w:t>Accountable for internal, SEC and CFTC investigations into AWM's record preservation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94615</wp:posOffset>
            </wp:positionV>
            <wp:extent cx="713232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spacing w:after="0" w:line="66" w:lineRule="exact"/>
        <w:rPr>
          <w:sz w:val="20"/>
          <w:szCs w:val="20"/>
          <w:color w:val="auto"/>
        </w:rPr>
      </w:pPr>
    </w:p>
    <w:p>
      <w:pPr>
        <w:jc w:val="right"/>
        <w:ind w:left="360"/>
        <w:spacing w:after="0" w:line="296"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951230" cy="90043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951230" cy="900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98" w:hanging="198"/>
        <w:spacing w:after="0"/>
        <w:tabs>
          <w:tab w:leader="none" w:pos="198" w:val="left"/>
        </w:tabs>
        <w:numPr>
          <w:ilvl w:val="0"/>
          <w:numId w:val="208"/>
        </w:numPr>
        <w:rPr>
          <w:rFonts w:ascii="Arial" w:cs="Arial" w:eastAsia="Arial" w:hAnsi="Arial"/>
          <w:sz w:val="18"/>
          <w:szCs w:val="18"/>
          <w:color w:val="074A75"/>
        </w:rPr>
      </w:pPr>
      <w:r>
        <w:rPr>
          <w:rFonts w:ascii="Arial" w:cs="Arial" w:eastAsia="Arial" w:hAnsi="Arial"/>
          <w:sz w:val="18"/>
          <w:szCs w:val="18"/>
          <w:color w:val="auto"/>
        </w:rPr>
        <w:t>86% of 10-year long-term mutual fund AUM performing in top two quartiles</w:t>
      </w:r>
    </w:p>
    <w:p>
      <w:pPr>
        <w:spacing w:after="0" w:line="63" w:lineRule="exact"/>
        <w:rPr>
          <w:rFonts w:ascii="Arial" w:cs="Arial" w:eastAsia="Arial" w:hAnsi="Arial"/>
          <w:sz w:val="18"/>
          <w:szCs w:val="18"/>
          <w:color w:val="074A75"/>
        </w:rPr>
      </w:pPr>
    </w:p>
    <w:p>
      <w:pPr>
        <w:ind w:left="198" w:hanging="198"/>
        <w:spacing w:after="0"/>
        <w:tabs>
          <w:tab w:leader="none" w:pos="198" w:val="left"/>
        </w:tabs>
        <w:numPr>
          <w:ilvl w:val="0"/>
          <w:numId w:val="208"/>
        </w:numPr>
        <w:rPr>
          <w:rFonts w:ascii="Arial" w:cs="Arial" w:eastAsia="Arial" w:hAnsi="Arial"/>
          <w:sz w:val="17"/>
          <w:szCs w:val="17"/>
          <w:color w:val="074A75"/>
        </w:rPr>
      </w:pPr>
      <w:r>
        <w:rPr>
          <w:rFonts w:ascii="Arial" w:cs="Arial" w:eastAsia="Arial" w:hAnsi="Arial"/>
          <w:sz w:val="17"/>
          <w:szCs w:val="17"/>
          <w:color w:val="auto"/>
        </w:rPr>
        <w:t>Continued innovative solutions and investments to increase efficiency, enhancing the overall client experience</w:t>
      </w:r>
    </w:p>
    <w:p>
      <w:pPr>
        <w:spacing w:after="0" w:line="74" w:lineRule="exact"/>
        <w:rPr>
          <w:rFonts w:ascii="Arial" w:cs="Arial" w:eastAsia="Arial" w:hAnsi="Arial"/>
          <w:sz w:val="17"/>
          <w:szCs w:val="17"/>
          <w:color w:val="074A75"/>
        </w:rPr>
      </w:pPr>
    </w:p>
    <w:p>
      <w:pPr>
        <w:ind w:left="198" w:right="900" w:hanging="198"/>
        <w:spacing w:after="0" w:line="281" w:lineRule="auto"/>
        <w:tabs>
          <w:tab w:leader="none" w:pos="201" w:val="left"/>
        </w:tabs>
        <w:numPr>
          <w:ilvl w:val="0"/>
          <w:numId w:val="208"/>
        </w:numPr>
        <w:rPr>
          <w:rFonts w:ascii="Arial" w:cs="Arial" w:eastAsia="Arial" w:hAnsi="Arial"/>
          <w:sz w:val="18"/>
          <w:szCs w:val="18"/>
          <w:color w:val="074A75"/>
        </w:rPr>
      </w:pPr>
      <w:r>
        <w:rPr>
          <w:rFonts w:ascii="Arial" w:cs="Arial" w:eastAsia="Arial" w:hAnsi="Arial"/>
          <w:sz w:val="18"/>
          <w:szCs w:val="18"/>
          <w:color w:val="auto"/>
        </w:rPr>
        <w:t>Expanded ESG capabilities through the introduction of new products and acquisitions to help clients align to personalized values</w:t>
      </w:r>
    </w:p>
    <w:p>
      <w:pPr>
        <w:spacing w:after="0" w:line="1" w:lineRule="exact"/>
        <w:rPr>
          <w:rFonts w:ascii="Arial" w:cs="Arial" w:eastAsia="Arial" w:hAnsi="Arial"/>
          <w:sz w:val="18"/>
          <w:szCs w:val="18"/>
          <w:color w:val="074A75"/>
        </w:rPr>
      </w:pPr>
    </w:p>
    <w:p>
      <w:pPr>
        <w:ind w:left="198" w:right="980" w:hanging="198"/>
        <w:spacing w:after="0" w:line="287" w:lineRule="auto"/>
        <w:tabs>
          <w:tab w:leader="none" w:pos="201" w:val="left"/>
        </w:tabs>
        <w:numPr>
          <w:ilvl w:val="0"/>
          <w:numId w:val="208"/>
        </w:numPr>
        <w:rPr>
          <w:rFonts w:ascii="Arial" w:cs="Arial" w:eastAsia="Arial" w:hAnsi="Arial"/>
          <w:sz w:val="18"/>
          <w:szCs w:val="18"/>
          <w:color w:val="074A75"/>
        </w:rPr>
      </w:pPr>
      <w:r>
        <w:rPr>
          <w:rFonts w:ascii="Arial" w:cs="Arial" w:eastAsia="Arial" w:hAnsi="Arial"/>
          <w:sz w:val="18"/>
          <w:szCs w:val="18"/>
          <w:color w:val="auto"/>
        </w:rPr>
        <w:t>Advanced DEI strategies through investments, collaborations, product offerings, and cross-functional client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48895</wp:posOffset>
            </wp:positionV>
            <wp:extent cx="713232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98" w:hanging="198"/>
        <w:spacing w:after="0"/>
        <w:tabs>
          <w:tab w:leader="none" w:pos="198" w:val="left"/>
        </w:tabs>
        <w:numPr>
          <w:ilvl w:val="0"/>
          <w:numId w:val="209"/>
        </w:numPr>
        <w:rPr>
          <w:rFonts w:ascii="Arial" w:cs="Arial" w:eastAsia="Arial" w:hAnsi="Arial"/>
          <w:sz w:val="18"/>
          <w:szCs w:val="18"/>
          <w:color w:val="074A75"/>
        </w:rPr>
      </w:pPr>
      <w:r>
        <w:rPr>
          <w:rFonts w:ascii="Arial" w:cs="Arial" w:eastAsia="Arial" w:hAnsi="Arial"/>
          <w:sz w:val="18"/>
          <w:szCs w:val="18"/>
          <w:color w:val="auto"/>
        </w:rPr>
        <w:t>Retained 95% of top talent; continued focus on development of high-performing and diverse talent</w:t>
      </w:r>
    </w:p>
    <w:p>
      <w:pPr>
        <w:spacing w:after="0" w:line="63" w:lineRule="exact"/>
        <w:rPr>
          <w:rFonts w:ascii="Arial" w:cs="Arial" w:eastAsia="Arial" w:hAnsi="Arial"/>
          <w:sz w:val="18"/>
          <w:szCs w:val="18"/>
          <w:color w:val="074A75"/>
        </w:rPr>
      </w:pPr>
    </w:p>
    <w:p>
      <w:pPr>
        <w:ind w:left="198" w:hanging="198"/>
        <w:spacing w:after="0"/>
        <w:tabs>
          <w:tab w:leader="none" w:pos="198" w:val="left"/>
        </w:tabs>
        <w:numPr>
          <w:ilvl w:val="0"/>
          <w:numId w:val="209"/>
        </w:numPr>
        <w:rPr>
          <w:rFonts w:ascii="Arial" w:cs="Arial" w:eastAsia="Arial" w:hAnsi="Arial"/>
          <w:sz w:val="18"/>
          <w:szCs w:val="18"/>
          <w:color w:val="074A75"/>
        </w:rPr>
      </w:pPr>
      <w:r>
        <w:rPr>
          <w:rFonts w:ascii="Arial" w:cs="Arial" w:eastAsia="Arial" w:hAnsi="Arial"/>
          <w:sz w:val="18"/>
          <w:szCs w:val="18"/>
          <w:color w:val="auto"/>
        </w:rPr>
        <w:t>Continued to drive programs like ReEntry and the Firmwide diversity agenda; executive sponsor of the NextGen BRG</w:t>
      </w:r>
    </w:p>
    <w:p>
      <w:pPr>
        <w:spacing w:after="0" w:line="63" w:lineRule="exact"/>
        <w:rPr>
          <w:rFonts w:ascii="Arial" w:cs="Arial" w:eastAsia="Arial" w:hAnsi="Arial"/>
          <w:sz w:val="18"/>
          <w:szCs w:val="18"/>
          <w:color w:val="074A75"/>
        </w:rPr>
      </w:pPr>
    </w:p>
    <w:p>
      <w:pPr>
        <w:ind w:left="198" w:hanging="198"/>
        <w:spacing w:after="0"/>
        <w:tabs>
          <w:tab w:leader="none" w:pos="198" w:val="left"/>
        </w:tabs>
        <w:numPr>
          <w:ilvl w:val="0"/>
          <w:numId w:val="209"/>
        </w:numPr>
        <w:rPr>
          <w:rFonts w:ascii="Arial" w:cs="Arial" w:eastAsia="Arial" w:hAnsi="Arial"/>
          <w:sz w:val="18"/>
          <w:szCs w:val="18"/>
          <w:color w:val="074A75"/>
        </w:rPr>
      </w:pPr>
      <w:r>
        <w:rPr>
          <w:rFonts w:ascii="Arial" w:cs="Arial" w:eastAsia="Arial" w:hAnsi="Arial"/>
          <w:sz w:val="18"/>
          <w:szCs w:val="18"/>
          <w:color w:val="auto"/>
        </w:rPr>
        <w:t>39% of Asset Management AUM managed by female portfolio managers, above the industry</w:t>
      </w:r>
    </w:p>
    <w:p>
      <w:pPr>
        <w:spacing w:after="0" w:line="63" w:lineRule="exact"/>
        <w:rPr>
          <w:rFonts w:ascii="Arial" w:cs="Arial" w:eastAsia="Arial" w:hAnsi="Arial"/>
          <w:sz w:val="18"/>
          <w:szCs w:val="18"/>
          <w:color w:val="074A75"/>
        </w:rPr>
      </w:pPr>
    </w:p>
    <w:p>
      <w:pPr>
        <w:ind w:left="198" w:right="580" w:hanging="198"/>
        <w:spacing w:after="0" w:line="287" w:lineRule="auto"/>
        <w:tabs>
          <w:tab w:leader="none" w:pos="201" w:val="left"/>
        </w:tabs>
        <w:numPr>
          <w:ilvl w:val="0"/>
          <w:numId w:val="209"/>
        </w:numPr>
        <w:rPr>
          <w:rFonts w:ascii="Arial" w:cs="Arial" w:eastAsia="Arial" w:hAnsi="Arial"/>
          <w:sz w:val="18"/>
          <w:szCs w:val="18"/>
          <w:color w:val="074A75"/>
        </w:rPr>
      </w:pPr>
      <w:r>
        <w:rPr>
          <w:rFonts w:ascii="Arial" w:cs="Arial" w:eastAsia="Arial" w:hAnsi="Arial"/>
          <w:sz w:val="18"/>
          <w:szCs w:val="18"/>
          <w:color w:val="auto"/>
        </w:rPr>
        <w:t>Continued driving the training agenda forward to help upskill the workforce, including providing hands-on coding training for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48895</wp:posOffset>
            </wp:positionV>
            <wp:extent cx="713232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hanging="192"/>
        <w:spacing w:after="0"/>
        <w:tabs>
          <w:tab w:leader="none" w:pos="200" w:val="left"/>
        </w:tabs>
        <w:numPr>
          <w:ilvl w:val="0"/>
          <w:numId w:val="210"/>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111 for a definition of managed basis.</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6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2021</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6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15"/>
        </w:trPr>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4"/>
        </w:trPr>
        <w:tc>
          <w:tcPr>
            <w:tcW w:w="3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shd w:val="clear" w:color="auto" w:fill="EEEFEF"/>
          </w:tcPr>
          <w:p>
            <w:pPr>
              <w:spacing w:after="0"/>
              <w:rPr>
                <w:sz w:val="8"/>
                <w:szCs w:val="8"/>
                <w:color w:val="auto"/>
              </w:rPr>
            </w:pPr>
          </w:p>
        </w:tc>
        <w:tc>
          <w:tcPr>
            <w:tcW w:w="3460" w:type="dxa"/>
            <w:vAlign w:val="bottom"/>
            <w:shd w:val="clear" w:color="auto" w:fill="EEEFEF"/>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2598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32320" cy="1259840"/>
                    </a:xfrm>
                    <a:prstGeom prst="rect">
                      <a:avLst/>
                    </a:prstGeom>
                    <a:noFill/>
                  </pic:spPr>
                </pic:pic>
              </a:graphicData>
            </a:graphic>
          </wp:anchor>
        </w:drawing>
      </w:r>
    </w:p>
    <w:p>
      <w:pPr>
        <w:ind w:left="160"/>
        <w:spacing w:after="0"/>
        <w:rPr>
          <w:sz w:val="20"/>
          <w:szCs w:val="20"/>
          <w:color w:val="auto"/>
        </w:rPr>
      </w:pPr>
      <w:r>
        <w:rPr>
          <w:rFonts w:ascii="Arial" w:cs="Arial" w:eastAsia="Arial" w:hAnsi="Arial"/>
          <w:sz w:val="29"/>
          <w:szCs w:val="29"/>
          <w:color w:val="074A75"/>
        </w:rPr>
        <w:t>Jennifer Piepszak</w:t>
      </w:r>
    </w:p>
    <w:p>
      <w:pPr>
        <w:spacing w:after="0" w:line="30" w:lineRule="exact"/>
        <w:rPr>
          <w:sz w:val="20"/>
          <w:szCs w:val="20"/>
          <w:color w:val="auto"/>
        </w:rPr>
      </w:pPr>
    </w:p>
    <w:p>
      <w:pPr>
        <w:ind w:left="160" w:right="7040"/>
        <w:spacing w:after="0" w:line="296" w:lineRule="auto"/>
        <w:rPr>
          <w:sz w:val="20"/>
          <w:szCs w:val="20"/>
          <w:color w:val="auto"/>
        </w:rPr>
      </w:pPr>
      <w:r>
        <w:rPr>
          <w:rFonts w:ascii="Arial" w:cs="Arial" w:eastAsia="Arial" w:hAnsi="Arial"/>
          <w:sz w:val="17"/>
          <w:szCs w:val="17"/>
          <w:color w:val="074A75"/>
        </w:rPr>
        <w:t>CO-CEO: CONSUMER &amp; COMMUNITY BANKING FORMER CHIEF FINANCIAL OFFICER</w:t>
      </w:r>
    </w:p>
    <w:p>
      <w:pPr>
        <w:spacing w:after="0" w:line="45" w:lineRule="exact"/>
        <w:rPr>
          <w:sz w:val="20"/>
          <w:szCs w:val="20"/>
          <w:color w:val="auto"/>
        </w:rPr>
      </w:pPr>
    </w:p>
    <w:p>
      <w:pPr>
        <w:ind w:left="160" w:right="4440"/>
        <w:spacing w:after="0" w:line="259" w:lineRule="auto"/>
        <w:rPr>
          <w:sz w:val="20"/>
          <w:szCs w:val="20"/>
          <w:color w:val="auto"/>
        </w:rPr>
      </w:pPr>
      <w:r>
        <w:rPr>
          <w:rFonts w:ascii="Arial" w:cs="Arial" w:eastAsia="Arial" w:hAnsi="Arial"/>
          <w:sz w:val="16"/>
          <w:szCs w:val="16"/>
          <w:color w:val="auto"/>
        </w:rPr>
        <w:t>Ms. Piepszak was appointed Co-CEO of CCB in May 2021, previously Chief Financial Officer since May 2019. She previously served as the CEO for Card Services from 2017 to April 2019. Prior to that, Ms. Piepszak served as CEO of Business Banking and CFO for Mortgage Banking.</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074A75"/>
        </w:rPr>
        <w:t>2021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27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32320" cy="127762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272"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wp:posOffset>
            </wp:positionV>
            <wp:extent cx="951230" cy="9340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951230" cy="934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98" w:right="660" w:hanging="198"/>
        <w:spacing w:after="0" w:line="263" w:lineRule="auto"/>
        <w:tabs>
          <w:tab w:leader="none" w:pos="201" w:val="left"/>
        </w:tabs>
        <w:numPr>
          <w:ilvl w:val="0"/>
          <w:numId w:val="211"/>
        </w:numPr>
        <w:rPr>
          <w:rFonts w:ascii="Arial" w:cs="Arial" w:eastAsia="Arial" w:hAnsi="Arial"/>
          <w:sz w:val="18"/>
          <w:szCs w:val="18"/>
          <w:color w:val="074A75"/>
        </w:rPr>
      </w:pPr>
      <w:r>
        <w:rPr>
          <w:rFonts w:ascii="Arial" w:cs="Arial" w:eastAsia="Arial" w:hAnsi="Arial"/>
          <w:sz w:val="18"/>
          <w:szCs w:val="18"/>
          <w:color w:val="auto"/>
        </w:rPr>
        <w:t>As CFO, continued management of capital positions through evolving environment and drove supplier diversity agenda forward</w:t>
      </w:r>
    </w:p>
    <w:p>
      <w:pPr>
        <w:spacing w:after="0" w:line="1" w:lineRule="exact"/>
        <w:rPr>
          <w:rFonts w:ascii="Arial" w:cs="Arial" w:eastAsia="Arial" w:hAnsi="Arial"/>
          <w:sz w:val="18"/>
          <w:szCs w:val="18"/>
          <w:color w:val="074A75"/>
        </w:rPr>
      </w:pPr>
    </w:p>
    <w:p>
      <w:pPr>
        <w:ind w:left="198" w:hanging="198"/>
        <w:spacing w:after="0"/>
        <w:tabs>
          <w:tab w:leader="none" w:pos="198" w:val="left"/>
        </w:tabs>
        <w:numPr>
          <w:ilvl w:val="0"/>
          <w:numId w:val="211"/>
        </w:numPr>
        <w:rPr>
          <w:rFonts w:ascii="Arial" w:cs="Arial" w:eastAsia="Arial" w:hAnsi="Arial"/>
          <w:sz w:val="18"/>
          <w:szCs w:val="18"/>
          <w:color w:val="074A75"/>
        </w:rPr>
      </w:pPr>
      <w:r>
        <w:rPr>
          <w:rFonts w:ascii="Arial" w:cs="Arial" w:eastAsia="Arial" w:hAnsi="Arial"/>
          <w:sz w:val="18"/>
          <w:szCs w:val="18"/>
          <w:color w:val="auto"/>
        </w:rPr>
        <w:t>Transitioned from CFO to co-CEO of CCB, partnering with senior leaders to evolve and set future strategic priorities</w:t>
      </w:r>
    </w:p>
    <w:p>
      <w:pPr>
        <w:spacing w:after="0" w:line="22" w:lineRule="exact"/>
        <w:rPr>
          <w:rFonts w:ascii="Arial" w:cs="Arial" w:eastAsia="Arial" w:hAnsi="Arial"/>
          <w:sz w:val="18"/>
          <w:szCs w:val="18"/>
          <w:color w:val="074A75"/>
        </w:rPr>
      </w:pPr>
    </w:p>
    <w:p>
      <w:pPr>
        <w:ind w:left="198" w:hanging="198"/>
        <w:spacing w:after="0" w:line="228" w:lineRule="auto"/>
        <w:tabs>
          <w:tab w:leader="none" w:pos="198" w:val="left"/>
        </w:tabs>
        <w:numPr>
          <w:ilvl w:val="0"/>
          <w:numId w:val="211"/>
        </w:numPr>
        <w:rPr>
          <w:rFonts w:ascii="Arial" w:cs="Arial" w:eastAsia="Arial" w:hAnsi="Arial"/>
          <w:sz w:val="18"/>
          <w:szCs w:val="18"/>
          <w:color w:val="074A75"/>
        </w:rPr>
      </w:pPr>
      <w:r>
        <w:rPr>
          <w:rFonts w:ascii="Arial" w:cs="Arial" w:eastAsia="Arial" w:hAnsi="Arial"/>
          <w:sz w:val="18"/>
          <w:szCs w:val="18"/>
          <w:color w:val="auto"/>
        </w:rPr>
        <w:t>CCB achieved net income of $20.9B on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$50.1B, with ROE of 41%</w:t>
      </w:r>
    </w:p>
    <w:p>
      <w:pPr>
        <w:ind w:left="198" w:hanging="198"/>
        <w:spacing w:after="0"/>
        <w:tabs>
          <w:tab w:leader="none" w:pos="198" w:val="left"/>
        </w:tabs>
        <w:numPr>
          <w:ilvl w:val="0"/>
          <w:numId w:val="211"/>
        </w:numPr>
        <w:rPr>
          <w:rFonts w:ascii="Arial" w:cs="Arial" w:eastAsia="Arial" w:hAnsi="Arial"/>
          <w:sz w:val="18"/>
          <w:szCs w:val="18"/>
          <w:color w:val="074A75"/>
        </w:rPr>
      </w:pPr>
      <w:r>
        <w:rPr>
          <w:rFonts w:ascii="Arial" w:cs="Arial" w:eastAsia="Arial" w:hAnsi="Arial"/>
          <w:sz w:val="18"/>
          <w:szCs w:val="18"/>
          <w:color w:val="auto"/>
        </w:rPr>
        <w:t>Average deposits of $1.1T (up 24%); average loans of $434.0B (down 3%)</w:t>
      </w:r>
    </w:p>
    <w:p>
      <w:pPr>
        <w:spacing w:after="0" w:line="13" w:lineRule="exact"/>
        <w:rPr>
          <w:rFonts w:ascii="Arial" w:cs="Arial" w:eastAsia="Arial" w:hAnsi="Arial"/>
          <w:sz w:val="18"/>
          <w:szCs w:val="18"/>
          <w:color w:val="074A75"/>
        </w:rPr>
      </w:pPr>
    </w:p>
    <w:p>
      <w:pPr>
        <w:ind w:left="198" w:right="260" w:hanging="198"/>
        <w:spacing w:after="0" w:line="226" w:lineRule="auto"/>
        <w:tabs>
          <w:tab w:leader="none" w:pos="201" w:val="left"/>
        </w:tabs>
        <w:numPr>
          <w:ilvl w:val="0"/>
          <w:numId w:val="211"/>
        </w:numPr>
        <w:rPr>
          <w:rFonts w:ascii="Arial" w:cs="Arial" w:eastAsia="Arial" w:hAnsi="Arial"/>
          <w:sz w:val="18"/>
          <w:szCs w:val="18"/>
          <w:color w:val="074A75"/>
        </w:rPr>
      </w:pPr>
      <w:r>
        <w:rPr>
          <w:rFonts w:ascii="Arial" w:cs="Arial" w:eastAsia="Arial" w:hAnsi="Arial"/>
          <w:sz w:val="18"/>
          <w:szCs w:val="18"/>
          <w:color w:val="auto"/>
        </w:rPr>
        <w:t>Largest active digital and mobile customer base among U.S. banks</w:t>
      </w:r>
      <w:r>
        <w:rPr>
          <w:rFonts w:ascii="Arial" w:cs="Arial" w:eastAsia="Arial" w:hAnsi="Arial"/>
          <w:sz w:val="23"/>
          <w:szCs w:val="23"/>
          <w:color w:val="auto"/>
          <w:vertAlign w:val="superscript"/>
        </w:rPr>
        <w:t>2</w:t>
      </w:r>
      <w:r>
        <w:rPr>
          <w:rFonts w:ascii="Arial" w:cs="Arial" w:eastAsia="Arial" w:hAnsi="Arial"/>
          <w:sz w:val="18"/>
          <w:szCs w:val="18"/>
          <w:color w:val="auto"/>
        </w:rPr>
        <w:t>; active digital and mobile customers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increased by 6% and 11% from 2020, respectively</w:t>
      </w:r>
    </w:p>
    <w:p>
      <w:pPr>
        <w:spacing w:after="0" w:line="1" w:lineRule="exact"/>
        <w:rPr>
          <w:rFonts w:ascii="Arial" w:cs="Arial" w:eastAsia="Arial" w:hAnsi="Arial"/>
          <w:sz w:val="18"/>
          <w:szCs w:val="18"/>
          <w:color w:val="074A75"/>
        </w:rPr>
      </w:pPr>
    </w:p>
    <w:p>
      <w:pPr>
        <w:ind w:left="198" w:hanging="198"/>
        <w:spacing w:after="0"/>
        <w:tabs>
          <w:tab w:leader="none" w:pos="198" w:val="left"/>
        </w:tabs>
        <w:numPr>
          <w:ilvl w:val="0"/>
          <w:numId w:val="211"/>
        </w:numPr>
        <w:rPr>
          <w:rFonts w:ascii="Arial" w:cs="Arial" w:eastAsia="Arial" w:hAnsi="Arial"/>
          <w:sz w:val="18"/>
          <w:szCs w:val="18"/>
          <w:color w:val="074A75"/>
        </w:rPr>
      </w:pPr>
      <w:r>
        <w:rPr>
          <w:rFonts w:ascii="Arial" w:cs="Arial" w:eastAsia="Arial" w:hAnsi="Arial"/>
          <w:sz w:val="18"/>
          <w:szCs w:val="18"/>
          <w:color w:val="auto"/>
        </w:rPr>
        <w:t>#1 in national retail deposit market share at 10.3%</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35560</wp:posOffset>
            </wp:positionV>
            <wp:extent cx="713232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951230" cy="136271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951230" cy="1362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98" w:right="320" w:hanging="198"/>
        <w:spacing w:after="0" w:line="263" w:lineRule="auto"/>
        <w:tabs>
          <w:tab w:leader="none" w:pos="201" w:val="left"/>
        </w:tabs>
        <w:numPr>
          <w:ilvl w:val="0"/>
          <w:numId w:val="212"/>
        </w:numPr>
        <w:rPr>
          <w:rFonts w:ascii="Arial" w:cs="Arial" w:eastAsia="Arial" w:hAnsi="Arial"/>
          <w:sz w:val="18"/>
          <w:szCs w:val="18"/>
          <w:color w:val="074A75"/>
        </w:rPr>
      </w:pPr>
      <w:r>
        <w:rPr>
          <w:rFonts w:ascii="Arial" w:cs="Arial" w:eastAsia="Arial" w:hAnsi="Arial"/>
          <w:sz w:val="18"/>
          <w:szCs w:val="18"/>
          <w:color w:val="auto"/>
        </w:rPr>
        <w:t>Continued proactive cybersecurity and controls monitoring through innovation, technology and addressing elevated and emerging risks</w:t>
      </w:r>
    </w:p>
    <w:p>
      <w:pPr>
        <w:spacing w:after="0" w:line="1" w:lineRule="exact"/>
        <w:rPr>
          <w:rFonts w:ascii="Arial" w:cs="Arial" w:eastAsia="Arial" w:hAnsi="Arial"/>
          <w:sz w:val="18"/>
          <w:szCs w:val="18"/>
          <w:color w:val="074A75"/>
        </w:rPr>
      </w:pPr>
    </w:p>
    <w:p>
      <w:pPr>
        <w:ind w:left="198" w:right="40" w:hanging="198"/>
        <w:spacing w:after="0" w:line="258" w:lineRule="auto"/>
        <w:tabs>
          <w:tab w:leader="none" w:pos="201" w:val="left"/>
        </w:tabs>
        <w:numPr>
          <w:ilvl w:val="0"/>
          <w:numId w:val="212"/>
        </w:numPr>
        <w:rPr>
          <w:rFonts w:ascii="Arial" w:cs="Arial" w:eastAsia="Arial" w:hAnsi="Arial"/>
          <w:sz w:val="18"/>
          <w:szCs w:val="18"/>
          <w:color w:val="074A75"/>
        </w:rPr>
      </w:pPr>
      <w:r>
        <w:rPr>
          <w:rFonts w:ascii="Arial" w:cs="Arial" w:eastAsia="Arial" w:hAnsi="Arial"/>
          <w:sz w:val="18"/>
          <w:szCs w:val="18"/>
          <w:color w:val="auto"/>
        </w:rPr>
        <w:t>Continued to maintain strong risk discipline across both the finance and CCB organizations with a focus on addressing issues, enhancing controls and reinforcing culture and conduct principles</w:t>
      </w:r>
    </w:p>
    <w:p>
      <w:pPr>
        <w:ind w:left="198" w:right="320" w:hanging="198"/>
        <w:spacing w:after="0" w:line="276" w:lineRule="auto"/>
        <w:tabs>
          <w:tab w:leader="none" w:pos="201" w:val="left"/>
        </w:tabs>
        <w:numPr>
          <w:ilvl w:val="0"/>
          <w:numId w:val="212"/>
        </w:numPr>
        <w:rPr>
          <w:rFonts w:ascii="Arial" w:cs="Arial" w:eastAsia="Arial" w:hAnsi="Arial"/>
          <w:sz w:val="18"/>
          <w:szCs w:val="18"/>
          <w:color w:val="074A75"/>
        </w:rPr>
      </w:pPr>
      <w:r>
        <w:rPr>
          <w:rFonts w:ascii="Arial" w:cs="Arial" w:eastAsia="Arial" w:hAnsi="Arial"/>
          <w:sz w:val="18"/>
          <w:szCs w:val="18"/>
          <w:color w:val="auto"/>
        </w:rPr>
        <w:t>Consistently executed robust controls during heightened M&amp;A activities by strengthening coverage and practices in managing the associated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38100</wp:posOffset>
            </wp:positionV>
            <wp:extent cx="713232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ind w:left="780"/>
        <w:spacing w:after="0"/>
        <w:rPr>
          <w:sz w:val="20"/>
          <w:szCs w:val="20"/>
          <w:color w:val="auto"/>
        </w:rPr>
      </w:pPr>
      <w:r>
        <w:rPr>
          <w:rFonts w:ascii="Arial" w:cs="Arial" w:eastAsia="Arial" w:hAnsi="Arial"/>
          <w:sz w:val="18"/>
          <w:szCs w:val="18"/>
          <w:b w:val="1"/>
          <w:bCs w:val="1"/>
          <w:color w:val="FFFFFF"/>
        </w:rPr>
        <w:t>Client /</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FFFFFF"/>
        </w:rPr>
        <w:t>Customer /</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FFFF"/>
        </w:rPr>
        <w:t>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982345</wp:posOffset>
            </wp:positionV>
            <wp:extent cx="951230" cy="95123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98" w:right="360" w:hanging="198"/>
        <w:spacing w:after="0" w:line="263" w:lineRule="auto"/>
        <w:tabs>
          <w:tab w:leader="none" w:pos="201" w:val="left"/>
        </w:tabs>
        <w:numPr>
          <w:ilvl w:val="0"/>
          <w:numId w:val="213"/>
        </w:numPr>
        <w:rPr>
          <w:rFonts w:ascii="Arial" w:cs="Arial" w:eastAsia="Arial" w:hAnsi="Arial"/>
          <w:sz w:val="18"/>
          <w:szCs w:val="18"/>
          <w:color w:val="074A75"/>
        </w:rPr>
      </w:pPr>
      <w:r>
        <w:rPr>
          <w:rFonts w:ascii="Arial" w:cs="Arial" w:eastAsia="Arial" w:hAnsi="Arial"/>
          <w:sz w:val="18"/>
          <w:szCs w:val="18"/>
          <w:color w:val="auto"/>
        </w:rPr>
        <w:t>As CFO, participated in events globally, continuing strong engagement internally within the Firm and its Board, and externally with investors, regulators and clients</w:t>
      </w:r>
    </w:p>
    <w:p>
      <w:pPr>
        <w:spacing w:after="0" w:line="1" w:lineRule="exact"/>
        <w:rPr>
          <w:rFonts w:ascii="Arial" w:cs="Arial" w:eastAsia="Arial" w:hAnsi="Arial"/>
          <w:sz w:val="18"/>
          <w:szCs w:val="18"/>
          <w:color w:val="074A75"/>
        </w:rPr>
      </w:pPr>
    </w:p>
    <w:p>
      <w:pPr>
        <w:ind w:left="198" w:right="80" w:hanging="198"/>
        <w:spacing w:after="0" w:line="255" w:lineRule="auto"/>
        <w:tabs>
          <w:tab w:leader="none" w:pos="201" w:val="left"/>
        </w:tabs>
        <w:numPr>
          <w:ilvl w:val="0"/>
          <w:numId w:val="213"/>
        </w:numPr>
        <w:rPr>
          <w:rFonts w:ascii="Arial" w:cs="Arial" w:eastAsia="Arial" w:hAnsi="Arial"/>
          <w:sz w:val="18"/>
          <w:szCs w:val="18"/>
          <w:color w:val="074A75"/>
        </w:rPr>
      </w:pPr>
      <w:r>
        <w:rPr>
          <w:rFonts w:ascii="Arial" w:cs="Arial" w:eastAsia="Arial" w:hAnsi="Arial"/>
          <w:sz w:val="18"/>
          <w:szCs w:val="18"/>
          <w:color w:val="auto"/>
        </w:rPr>
        <w:t>As co-CEO of CCB, continued progress in new markets as CCB opened 177 branches in 2021, including 23 branches in states the Firm had not previously operated in, becoming the first retail bank with branches in the lower 48 states, for a total of 271 branches opened in new markets since expansion began</w:t>
      </w:r>
    </w:p>
    <w:p>
      <w:pPr>
        <w:spacing w:after="0" w:line="1" w:lineRule="exact"/>
        <w:rPr>
          <w:rFonts w:ascii="Arial" w:cs="Arial" w:eastAsia="Arial" w:hAnsi="Arial"/>
          <w:sz w:val="18"/>
          <w:szCs w:val="18"/>
          <w:color w:val="074A75"/>
        </w:rPr>
      </w:pPr>
    </w:p>
    <w:p>
      <w:pPr>
        <w:jc w:val="both"/>
        <w:ind w:left="198" w:right="280" w:hanging="198"/>
        <w:spacing w:after="0" w:line="276" w:lineRule="auto"/>
        <w:tabs>
          <w:tab w:leader="none" w:pos="201" w:val="left"/>
        </w:tabs>
        <w:numPr>
          <w:ilvl w:val="0"/>
          <w:numId w:val="213"/>
        </w:numPr>
        <w:rPr>
          <w:rFonts w:ascii="Arial" w:cs="Arial" w:eastAsia="Arial" w:hAnsi="Arial"/>
          <w:sz w:val="17"/>
          <w:szCs w:val="17"/>
          <w:color w:val="074A75"/>
        </w:rPr>
      </w:pPr>
      <w:r>
        <w:rPr>
          <w:rFonts w:ascii="Arial" w:cs="Arial" w:eastAsia="Arial" w:hAnsi="Arial"/>
          <w:sz w:val="17"/>
          <w:szCs w:val="17"/>
          <w:color w:val="auto"/>
        </w:rPr>
        <w:t>Supported the Firm's $30B Racial Equity Commitment, including through homeownership refinancing, and assisting over 200K additional Black, Hispanic and Latino customers open low-cost checking accounts with no overdraft fees</w:t>
      </w:r>
    </w:p>
    <w:p>
      <w:pPr>
        <w:ind w:left="198" w:right="40" w:hanging="198"/>
        <w:spacing w:after="0" w:line="287" w:lineRule="auto"/>
        <w:tabs>
          <w:tab w:leader="none" w:pos="201" w:val="left"/>
        </w:tabs>
        <w:numPr>
          <w:ilvl w:val="0"/>
          <w:numId w:val="213"/>
        </w:numPr>
        <w:rPr>
          <w:rFonts w:ascii="Arial" w:cs="Arial" w:eastAsia="Arial" w:hAnsi="Arial"/>
          <w:sz w:val="18"/>
          <w:szCs w:val="18"/>
          <w:color w:val="074A75"/>
        </w:rPr>
      </w:pPr>
      <w:r>
        <w:rPr>
          <w:rFonts w:ascii="Arial" w:cs="Arial" w:eastAsia="Arial" w:hAnsi="Arial"/>
          <w:sz w:val="18"/>
          <w:szCs w:val="18"/>
          <w:color w:val="auto"/>
        </w:rPr>
        <w:t>Continued on progress to drive a transformation agenda to modernize technology and streamline customer experience through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31750</wp:posOffset>
            </wp:positionV>
            <wp:extent cx="713232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1480" w:space="122"/>
            <w:col w:w="9658"/>
          </w:cols>
          <w:pgMar w:left="320" w:top="157" w:right="319" w:bottom="1440" w:gutter="0" w:footer="0" w:header="0"/>
          <w:type w:val="continuous"/>
        </w:sect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98" w:right="920" w:hanging="198"/>
        <w:spacing w:after="0" w:line="263" w:lineRule="auto"/>
        <w:tabs>
          <w:tab w:leader="none" w:pos="201" w:val="left"/>
        </w:tabs>
        <w:numPr>
          <w:ilvl w:val="0"/>
          <w:numId w:val="214"/>
        </w:numPr>
        <w:rPr>
          <w:rFonts w:ascii="Arial" w:cs="Arial" w:eastAsia="Arial" w:hAnsi="Arial"/>
          <w:sz w:val="18"/>
          <w:szCs w:val="18"/>
          <w:color w:val="074A75"/>
        </w:rPr>
      </w:pPr>
      <w:r>
        <w:rPr>
          <w:rFonts w:ascii="Arial" w:cs="Arial" w:eastAsia="Arial" w:hAnsi="Arial"/>
          <w:sz w:val="18"/>
          <w:szCs w:val="18"/>
          <w:color w:val="auto"/>
        </w:rPr>
        <w:t>Focused on continuing to improve diverse representation, succession planning and cultivating development opportunities for key senior leaders</w:t>
      </w:r>
    </w:p>
    <w:p>
      <w:pPr>
        <w:spacing w:after="0" w:line="1" w:lineRule="exact"/>
        <w:rPr>
          <w:rFonts w:ascii="Arial" w:cs="Arial" w:eastAsia="Arial" w:hAnsi="Arial"/>
          <w:sz w:val="18"/>
          <w:szCs w:val="18"/>
          <w:color w:val="074A75"/>
        </w:rPr>
      </w:pPr>
    </w:p>
    <w:p>
      <w:pPr>
        <w:ind w:left="198" w:hanging="198"/>
        <w:spacing w:after="0"/>
        <w:tabs>
          <w:tab w:leader="none" w:pos="198" w:val="left"/>
        </w:tabs>
        <w:numPr>
          <w:ilvl w:val="0"/>
          <w:numId w:val="214"/>
        </w:numPr>
        <w:rPr>
          <w:rFonts w:ascii="Arial" w:cs="Arial" w:eastAsia="Arial" w:hAnsi="Arial"/>
          <w:sz w:val="18"/>
          <w:szCs w:val="18"/>
          <w:color w:val="074A75"/>
        </w:rPr>
      </w:pPr>
      <w:r>
        <w:rPr>
          <w:rFonts w:ascii="Arial" w:cs="Arial" w:eastAsia="Arial" w:hAnsi="Arial"/>
          <w:sz w:val="18"/>
          <w:szCs w:val="18"/>
          <w:color w:val="auto"/>
        </w:rPr>
        <w:t>Delivered strong results on key training and engagement initiatives encompassing leadership and technology skills</w:t>
      </w:r>
    </w:p>
    <w:p>
      <w:pPr>
        <w:spacing w:after="0" w:line="22" w:lineRule="exact"/>
        <w:rPr>
          <w:rFonts w:ascii="Arial" w:cs="Arial" w:eastAsia="Arial" w:hAnsi="Arial"/>
          <w:sz w:val="18"/>
          <w:szCs w:val="18"/>
          <w:color w:val="074A75"/>
        </w:rPr>
      </w:pPr>
    </w:p>
    <w:p>
      <w:pPr>
        <w:ind w:left="198" w:right="300" w:hanging="198"/>
        <w:spacing w:after="0" w:line="260" w:lineRule="auto"/>
        <w:tabs>
          <w:tab w:leader="none" w:pos="201" w:val="left"/>
        </w:tabs>
        <w:numPr>
          <w:ilvl w:val="0"/>
          <w:numId w:val="214"/>
        </w:numPr>
        <w:rPr>
          <w:rFonts w:ascii="Arial" w:cs="Arial" w:eastAsia="Arial" w:hAnsi="Arial"/>
          <w:sz w:val="18"/>
          <w:szCs w:val="18"/>
          <w:color w:val="074A75"/>
        </w:rPr>
      </w:pPr>
      <w:r>
        <w:rPr>
          <w:rFonts w:ascii="Arial" w:cs="Arial" w:eastAsia="Arial" w:hAnsi="Arial"/>
          <w:sz w:val="18"/>
          <w:szCs w:val="18"/>
          <w:color w:val="auto"/>
        </w:rPr>
        <w:t>Hosted employee focused events across the organization and continued focus on culture, diversity &amp; inclusion, and well-being</w:t>
      </w:r>
    </w:p>
    <w:p>
      <w:pPr>
        <w:spacing w:after="0" w:line="1" w:lineRule="exact"/>
        <w:rPr>
          <w:rFonts w:ascii="Arial" w:cs="Arial" w:eastAsia="Arial" w:hAnsi="Arial"/>
          <w:sz w:val="18"/>
          <w:szCs w:val="18"/>
          <w:color w:val="074A75"/>
        </w:rPr>
      </w:pPr>
    </w:p>
    <w:p>
      <w:pPr>
        <w:ind w:left="198" w:hanging="198"/>
        <w:spacing w:after="0"/>
        <w:tabs>
          <w:tab w:leader="none" w:pos="198" w:val="left"/>
        </w:tabs>
        <w:numPr>
          <w:ilvl w:val="0"/>
          <w:numId w:val="214"/>
        </w:numPr>
        <w:rPr>
          <w:rFonts w:ascii="Arial" w:cs="Arial" w:eastAsia="Arial" w:hAnsi="Arial"/>
          <w:sz w:val="18"/>
          <w:szCs w:val="18"/>
          <w:color w:val="074A75"/>
        </w:rPr>
      </w:pPr>
      <w:r>
        <w:rPr>
          <w:rFonts w:ascii="Arial" w:cs="Arial" w:eastAsia="Arial" w:hAnsi="Arial"/>
          <w:sz w:val="18"/>
          <w:szCs w:val="18"/>
          <w:color w:val="auto"/>
        </w:rPr>
        <w:t>Champion of Firmwide diversity initiatives; an active member of the Women on the Move steering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77470</wp:posOffset>
            </wp:positionV>
            <wp:extent cx="713232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hanging="192"/>
        <w:spacing w:after="0"/>
        <w:tabs>
          <w:tab w:leader="none" w:pos="200" w:val="left"/>
        </w:tabs>
        <w:numPr>
          <w:ilvl w:val="0"/>
          <w:numId w:val="215"/>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111 for a definition of managed basis.</w:t>
      </w:r>
    </w:p>
    <w:p>
      <w:pPr>
        <w:ind w:left="200" w:hanging="192"/>
        <w:spacing w:after="0" w:line="187" w:lineRule="auto"/>
        <w:tabs>
          <w:tab w:leader="none" w:pos="200" w:val="left"/>
        </w:tabs>
        <w:numPr>
          <w:ilvl w:val="0"/>
          <w:numId w:val="216"/>
        </w:numPr>
        <w:rPr>
          <w:rFonts w:ascii="Arial" w:cs="Arial" w:eastAsia="Arial" w:hAnsi="Arial"/>
          <w:sz w:val="15"/>
          <w:szCs w:val="15"/>
          <w:color w:val="auto"/>
          <w:vertAlign w:val="superscript"/>
        </w:rPr>
      </w:pPr>
      <w:r>
        <w:rPr>
          <w:rFonts w:ascii="Arial" w:cs="Arial" w:eastAsia="Arial" w:hAnsi="Arial"/>
          <w:sz w:val="12"/>
          <w:szCs w:val="12"/>
          <w:color w:val="auto"/>
        </w:rPr>
        <w:t>Based on 4Q21 peer disclosure for JPM’s CCB, Bank of America’s Consumer Banking, Wells Fargo’s Consumer Banking and Lending, and Citi’s North America GCB segments.</w:t>
      </w:r>
    </w:p>
    <w:p>
      <w:pPr>
        <w:ind w:left="200" w:hanging="192"/>
        <w:spacing w:after="0" w:line="202" w:lineRule="auto"/>
        <w:tabs>
          <w:tab w:leader="none" w:pos="200" w:val="left"/>
        </w:tabs>
        <w:numPr>
          <w:ilvl w:val="0"/>
          <w:numId w:val="217"/>
        </w:numPr>
        <w:rPr>
          <w:rFonts w:ascii="Arial" w:cs="Arial" w:eastAsia="Arial" w:hAnsi="Arial"/>
          <w:sz w:val="14"/>
          <w:szCs w:val="14"/>
          <w:color w:val="auto"/>
          <w:vertAlign w:val="superscript"/>
        </w:rPr>
      </w:pPr>
      <w:r>
        <w:rPr>
          <w:rFonts w:ascii="Arial" w:cs="Arial" w:eastAsia="Arial" w:hAnsi="Arial"/>
          <w:sz w:val="11"/>
          <w:szCs w:val="11"/>
          <w:color w:val="auto"/>
        </w:rPr>
        <w:t>Active digital customers are users of web and/or mobile platforms who have logged in within the past 90 days; active mobile customers are users of all mobile platforms who have logged in within the past 90 days.</w:t>
      </w:r>
    </w:p>
    <w:p>
      <w:pPr>
        <w:ind w:left="200" w:hanging="192"/>
        <w:spacing w:after="0" w:line="216" w:lineRule="auto"/>
        <w:tabs>
          <w:tab w:leader="none" w:pos="200" w:val="left"/>
        </w:tabs>
        <w:numPr>
          <w:ilvl w:val="0"/>
          <w:numId w:val="218"/>
        </w:numPr>
        <w:rPr>
          <w:rFonts w:ascii="Arial" w:cs="Arial" w:eastAsia="Arial" w:hAnsi="Arial"/>
          <w:sz w:val="14"/>
          <w:szCs w:val="14"/>
          <w:color w:val="auto"/>
          <w:vertAlign w:val="superscript"/>
        </w:rPr>
      </w:pPr>
      <w:r>
        <w:rPr>
          <w:rFonts w:ascii="Arial" w:cs="Arial" w:eastAsia="Arial" w:hAnsi="Arial"/>
          <w:sz w:val="11"/>
          <w:szCs w:val="11"/>
          <w:color w:val="auto"/>
        </w:rPr>
        <w:t>FDIC 2021 Summary of Deposits survey per S&amp;P Global Market Intelligence. Limits all branches to $1B deposits. Includes all commercial banks, savings banks, and savings institutions as defined by the FDIC.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200025</wp:posOffset>
            </wp:positionV>
            <wp:extent cx="27432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71  </w:t>
      </w:r>
      <w:r>
        <w:rPr>
          <w:sz w:val="1"/>
          <w:szCs w:val="1"/>
          <w:color w:val="auto"/>
        </w:rPr>
        <w:drawing>
          <wp:inline distT="0" distB="0" distL="0" distR="0">
            <wp:extent cx="2203450" cy="154305"/>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149225</wp:posOffset>
            </wp:positionV>
            <wp:extent cx="77470" cy="1454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149225</wp:posOffset>
            </wp:positionV>
            <wp:extent cx="77470" cy="14541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6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2021</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60" w:type="dxa"/>
            <w:vAlign w:val="bottom"/>
            <w:tcBorders>
              <w:bottom w:val="single" w:sz="8" w:color="E7E7E8"/>
            </w:tcBorders>
            <w:shd w:val="clear" w:color="auto" w:fill="E7E7E8"/>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115"/>
        </w:trPr>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5"/>
        </w:trPr>
        <w:tc>
          <w:tcPr>
            <w:tcW w:w="3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shd w:val="clear" w:color="auto" w:fill="EEEFEF"/>
          </w:tcPr>
          <w:p>
            <w:pPr>
              <w:spacing w:after="0"/>
              <w:rPr>
                <w:sz w:val="8"/>
                <w:szCs w:val="8"/>
                <w:color w:val="auto"/>
              </w:rPr>
            </w:pPr>
          </w:p>
        </w:tc>
        <w:tc>
          <w:tcPr>
            <w:tcW w:w="3460" w:type="dxa"/>
            <w:vAlign w:val="bottom"/>
            <w:shd w:val="clear" w:color="auto" w:fill="EEEFEF"/>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14871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32320" cy="1148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29"/>
          <w:szCs w:val="29"/>
          <w:color w:val="074A75"/>
        </w:rPr>
        <w:t>Jeremy Barnum</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CHIEF FINANCIAL OFFICER</w:t>
      </w:r>
    </w:p>
    <w:p>
      <w:pPr>
        <w:spacing w:after="0" w:line="239" w:lineRule="exact"/>
        <w:rPr>
          <w:sz w:val="20"/>
          <w:szCs w:val="20"/>
          <w:color w:val="auto"/>
        </w:rPr>
      </w:pPr>
    </w:p>
    <w:p>
      <w:pPr>
        <w:jc w:val="both"/>
        <w:ind w:left="160" w:right="4160"/>
        <w:spacing w:after="0" w:line="266" w:lineRule="auto"/>
        <w:rPr>
          <w:sz w:val="20"/>
          <w:szCs w:val="20"/>
          <w:color w:val="auto"/>
        </w:rPr>
      </w:pPr>
      <w:r>
        <w:rPr>
          <w:rFonts w:ascii="Arial" w:cs="Arial" w:eastAsia="Arial" w:hAnsi="Arial"/>
          <w:sz w:val="16"/>
          <w:szCs w:val="16"/>
          <w:color w:val="auto"/>
        </w:rPr>
        <w:t>Mr. Barnum was appointed as the Chief Financial Officer of the Firm in May 2021. Previously, Mr. Barnum served as head of Global Research for CIB, and prior to that, was Chief Financial Officer and Chief of Staff for CIB from 2013 through the beginning of 2021.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74A75"/>
        </w:rPr>
        <w:t>2021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5513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32320" cy="1551305"/>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p>
      <w:pPr>
        <w:spacing w:after="0" w:line="380" w:lineRule="exact"/>
        <w:rPr>
          <w:sz w:val="20"/>
          <w:szCs w:val="20"/>
          <w:color w:val="auto"/>
        </w:rPr>
      </w:pPr>
    </w:p>
    <w:p>
      <w:pPr>
        <w:jc w:val="right"/>
        <w:ind w:left="580"/>
        <w:spacing w:after="0" w:line="32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1207135</wp:posOffset>
            </wp:positionV>
            <wp:extent cx="951230" cy="5143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95123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98" w:right="940" w:hanging="198"/>
        <w:spacing w:after="0" w:line="263" w:lineRule="auto"/>
        <w:tabs>
          <w:tab w:leader="none" w:pos="201" w:val="left"/>
        </w:tabs>
        <w:numPr>
          <w:ilvl w:val="0"/>
          <w:numId w:val="219"/>
        </w:numPr>
        <w:rPr>
          <w:rFonts w:ascii="Arial" w:cs="Arial" w:eastAsia="Arial" w:hAnsi="Arial"/>
          <w:sz w:val="18"/>
          <w:szCs w:val="18"/>
          <w:color w:val="074A75"/>
        </w:rPr>
      </w:pPr>
      <w:r>
        <w:rPr>
          <w:rFonts w:ascii="Arial" w:cs="Arial" w:eastAsia="Arial" w:hAnsi="Arial"/>
          <w:sz w:val="18"/>
          <w:szCs w:val="18"/>
          <w:color w:val="242424"/>
        </w:rPr>
        <w:t>As newly appointed CFO, took on responsibility for a number of areas including Global Finance &amp; Business Management, Treasury &amp; Chief Investment Office, Chief Administrative Office, and Control Management</w:t>
      </w:r>
    </w:p>
    <w:p>
      <w:pPr>
        <w:spacing w:after="0" w:line="1" w:lineRule="exact"/>
        <w:rPr>
          <w:rFonts w:ascii="Arial" w:cs="Arial" w:eastAsia="Arial" w:hAnsi="Arial"/>
          <w:sz w:val="18"/>
          <w:szCs w:val="18"/>
          <w:color w:val="074A75"/>
        </w:rPr>
      </w:pPr>
    </w:p>
    <w:p>
      <w:pPr>
        <w:ind w:left="198" w:right="660" w:hanging="198"/>
        <w:spacing w:after="0" w:line="258" w:lineRule="auto"/>
        <w:tabs>
          <w:tab w:leader="none" w:pos="201" w:val="left"/>
        </w:tabs>
        <w:numPr>
          <w:ilvl w:val="0"/>
          <w:numId w:val="219"/>
        </w:numPr>
        <w:rPr>
          <w:rFonts w:ascii="Arial" w:cs="Arial" w:eastAsia="Arial" w:hAnsi="Arial"/>
          <w:sz w:val="18"/>
          <w:szCs w:val="18"/>
          <w:color w:val="064A75"/>
        </w:rPr>
      </w:pPr>
      <w:r>
        <w:rPr>
          <w:rFonts w:ascii="Arial" w:cs="Arial" w:eastAsia="Arial" w:hAnsi="Arial"/>
          <w:sz w:val="18"/>
          <w:szCs w:val="18"/>
          <w:color w:val="242424"/>
        </w:rPr>
        <w:t>Effectively delivered the Firm's second quarter earnings, establishing credibility across the analyst and investor community</w:t>
      </w:r>
    </w:p>
    <w:p>
      <w:pPr>
        <w:ind w:left="198" w:hanging="198"/>
        <w:spacing w:after="0"/>
        <w:tabs>
          <w:tab w:leader="none" w:pos="198" w:val="left"/>
        </w:tabs>
        <w:numPr>
          <w:ilvl w:val="0"/>
          <w:numId w:val="219"/>
        </w:numPr>
        <w:rPr>
          <w:rFonts w:ascii="Arial" w:cs="Arial" w:eastAsia="Arial" w:hAnsi="Arial"/>
          <w:sz w:val="18"/>
          <w:szCs w:val="18"/>
          <w:color w:val="064A75"/>
        </w:rPr>
      </w:pPr>
      <w:r>
        <w:rPr>
          <w:rFonts w:ascii="Arial" w:cs="Arial" w:eastAsia="Arial" w:hAnsi="Arial"/>
          <w:sz w:val="18"/>
          <w:szCs w:val="18"/>
          <w:color w:val="242424"/>
        </w:rPr>
        <w:t>Managed the Firm's balance sheet, capital and liquidity position during the year</w:t>
      </w:r>
    </w:p>
    <w:p>
      <w:pPr>
        <w:spacing w:after="0" w:line="26" w:lineRule="exact"/>
        <w:rPr>
          <w:rFonts w:ascii="Arial" w:cs="Arial" w:eastAsia="Arial" w:hAnsi="Arial"/>
          <w:sz w:val="18"/>
          <w:szCs w:val="18"/>
          <w:color w:val="064A75"/>
        </w:rPr>
      </w:pPr>
    </w:p>
    <w:p>
      <w:pPr>
        <w:ind w:left="198" w:right="660" w:hanging="198"/>
        <w:spacing w:after="0" w:line="263" w:lineRule="auto"/>
        <w:tabs>
          <w:tab w:leader="none" w:pos="201" w:val="left"/>
        </w:tabs>
        <w:numPr>
          <w:ilvl w:val="0"/>
          <w:numId w:val="219"/>
        </w:numPr>
        <w:rPr>
          <w:rFonts w:ascii="Arial" w:cs="Arial" w:eastAsia="Arial" w:hAnsi="Arial"/>
          <w:sz w:val="18"/>
          <w:szCs w:val="18"/>
          <w:color w:val="064A75"/>
        </w:rPr>
      </w:pPr>
      <w:r>
        <w:rPr>
          <w:rFonts w:ascii="Arial" w:cs="Arial" w:eastAsia="Arial" w:hAnsi="Arial"/>
          <w:sz w:val="18"/>
          <w:szCs w:val="18"/>
          <w:color w:val="242424"/>
        </w:rPr>
        <w:t>Co-led the Firm's return to the office planning efforts and strategy, and drove decision making through a rapidly evolving environment</w:t>
      </w:r>
    </w:p>
    <w:p>
      <w:pPr>
        <w:spacing w:after="0" w:line="1" w:lineRule="exact"/>
        <w:rPr>
          <w:rFonts w:ascii="Arial" w:cs="Arial" w:eastAsia="Arial" w:hAnsi="Arial"/>
          <w:sz w:val="18"/>
          <w:szCs w:val="18"/>
          <w:color w:val="064A75"/>
        </w:rPr>
      </w:pPr>
    </w:p>
    <w:p>
      <w:pPr>
        <w:ind w:left="198" w:hanging="198"/>
        <w:spacing w:after="0"/>
        <w:tabs>
          <w:tab w:leader="none" w:pos="198" w:val="left"/>
        </w:tabs>
        <w:numPr>
          <w:ilvl w:val="0"/>
          <w:numId w:val="219"/>
        </w:numPr>
        <w:rPr>
          <w:rFonts w:ascii="Arial" w:cs="Arial" w:eastAsia="Arial" w:hAnsi="Arial"/>
          <w:sz w:val="18"/>
          <w:szCs w:val="18"/>
          <w:color w:val="074A75"/>
        </w:rPr>
      </w:pPr>
      <w:r>
        <w:rPr>
          <w:rFonts w:ascii="Arial" w:cs="Arial" w:eastAsia="Arial" w:hAnsi="Arial"/>
          <w:sz w:val="18"/>
          <w:szCs w:val="18"/>
          <w:color w:val="242424"/>
        </w:rPr>
        <w:t>Provided centralized support for the increase in the Firm's acquisition activity</w:t>
      </w:r>
    </w:p>
    <w:p>
      <w:pPr>
        <w:spacing w:after="0" w:line="22" w:lineRule="exact"/>
        <w:rPr>
          <w:rFonts w:ascii="Arial" w:cs="Arial" w:eastAsia="Arial" w:hAnsi="Arial"/>
          <w:sz w:val="18"/>
          <w:szCs w:val="18"/>
          <w:color w:val="074A75"/>
        </w:rPr>
      </w:pPr>
    </w:p>
    <w:p>
      <w:pPr>
        <w:ind w:left="198" w:right="320" w:hanging="198"/>
        <w:spacing w:after="0" w:line="306" w:lineRule="auto"/>
        <w:tabs>
          <w:tab w:leader="none" w:pos="201" w:val="left"/>
        </w:tabs>
        <w:numPr>
          <w:ilvl w:val="0"/>
          <w:numId w:val="219"/>
        </w:numPr>
        <w:rPr>
          <w:rFonts w:ascii="Arial" w:cs="Arial" w:eastAsia="Arial" w:hAnsi="Arial"/>
          <w:sz w:val="17"/>
          <w:szCs w:val="17"/>
          <w:color w:val="074A75"/>
        </w:rPr>
      </w:pPr>
      <w:r>
        <w:rPr>
          <w:rFonts w:ascii="Arial" w:cs="Arial" w:eastAsia="Arial" w:hAnsi="Arial"/>
          <w:sz w:val="17"/>
          <w:szCs w:val="17"/>
          <w:color w:val="242424"/>
        </w:rPr>
        <w:t>Continued to advance supplier diversity commitments and execute the real estate strategy, including the renewable energy and sustainability agenda, and the development of the Firm's New York headquarters project 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24130</wp:posOffset>
            </wp:positionV>
            <wp:extent cx="713232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51230" cy="79692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951230" cy="796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98" w:hanging="198"/>
        <w:spacing w:after="0"/>
        <w:tabs>
          <w:tab w:leader="none" w:pos="198" w:val="left"/>
        </w:tabs>
        <w:numPr>
          <w:ilvl w:val="0"/>
          <w:numId w:val="220"/>
        </w:numPr>
        <w:rPr>
          <w:rFonts w:ascii="Arial" w:cs="Arial" w:eastAsia="Arial" w:hAnsi="Arial"/>
          <w:sz w:val="18"/>
          <w:szCs w:val="18"/>
          <w:color w:val="074A75"/>
        </w:rPr>
      </w:pPr>
      <w:r>
        <w:rPr>
          <w:rFonts w:ascii="Arial" w:cs="Arial" w:eastAsia="Arial" w:hAnsi="Arial"/>
          <w:sz w:val="18"/>
          <w:szCs w:val="18"/>
          <w:color w:val="242424"/>
        </w:rPr>
        <w:t>Continued to maintain strong risk discipline across the organization and drive timely remediation of issues</w:t>
      </w:r>
    </w:p>
    <w:p>
      <w:pPr>
        <w:spacing w:after="0" w:line="31" w:lineRule="exact"/>
        <w:rPr>
          <w:rFonts w:ascii="Arial" w:cs="Arial" w:eastAsia="Arial" w:hAnsi="Arial"/>
          <w:sz w:val="18"/>
          <w:szCs w:val="18"/>
          <w:color w:val="074A75"/>
        </w:rPr>
      </w:pPr>
    </w:p>
    <w:p>
      <w:pPr>
        <w:ind w:left="198" w:right="120" w:hanging="198"/>
        <w:spacing w:after="0" w:line="276" w:lineRule="auto"/>
        <w:tabs>
          <w:tab w:leader="none" w:pos="201" w:val="left"/>
        </w:tabs>
        <w:numPr>
          <w:ilvl w:val="0"/>
          <w:numId w:val="220"/>
        </w:numPr>
        <w:rPr>
          <w:rFonts w:ascii="Arial" w:cs="Arial" w:eastAsia="Arial" w:hAnsi="Arial"/>
          <w:sz w:val="18"/>
          <w:szCs w:val="18"/>
          <w:color w:val="064A75"/>
        </w:rPr>
      </w:pPr>
      <w:r>
        <w:rPr>
          <w:rFonts w:ascii="Arial" w:cs="Arial" w:eastAsia="Arial" w:hAnsi="Arial"/>
          <w:sz w:val="18"/>
          <w:szCs w:val="18"/>
          <w:color w:val="242424"/>
        </w:rPr>
        <w:t>Provided oversight over the firmwide business resiliency program, focused on uplifting the Firm's planning and testing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38100</wp:posOffset>
            </wp:positionV>
            <wp:extent cx="713232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ind w:left="780"/>
        <w:spacing w:after="0"/>
        <w:rPr>
          <w:sz w:val="20"/>
          <w:szCs w:val="20"/>
          <w:color w:val="auto"/>
        </w:rPr>
      </w:pPr>
      <w:r>
        <w:rPr>
          <w:rFonts w:ascii="Arial" w:cs="Arial" w:eastAsia="Arial" w:hAnsi="Arial"/>
          <w:sz w:val="18"/>
          <w:szCs w:val="18"/>
          <w:b w:val="1"/>
          <w:bCs w:val="1"/>
          <w:color w:val="FFFFFF"/>
        </w:rPr>
        <w:t>Client /</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FFFFFF"/>
        </w:rPr>
        <w:t>Customer /</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FFFF"/>
        </w:rPr>
        <w:t>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951230" cy="65151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951230"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98" w:right="60" w:hanging="198"/>
        <w:spacing w:after="0" w:line="263" w:lineRule="auto"/>
        <w:tabs>
          <w:tab w:leader="none" w:pos="201" w:val="left"/>
        </w:tabs>
        <w:numPr>
          <w:ilvl w:val="0"/>
          <w:numId w:val="221"/>
        </w:numPr>
        <w:rPr>
          <w:rFonts w:ascii="Arial" w:cs="Arial" w:eastAsia="Arial" w:hAnsi="Arial"/>
          <w:sz w:val="18"/>
          <w:szCs w:val="18"/>
          <w:color w:val="074A75"/>
        </w:rPr>
      </w:pPr>
      <w:r>
        <w:rPr>
          <w:rFonts w:ascii="Arial" w:cs="Arial" w:eastAsia="Arial" w:hAnsi="Arial"/>
          <w:sz w:val="18"/>
          <w:szCs w:val="18"/>
          <w:color w:val="242424"/>
        </w:rPr>
        <w:t>Participated in over 70 engagements globally, internally and externally, establishing relationships with a broad range of investors, analysts, regulators and clients</w:t>
      </w:r>
    </w:p>
    <w:p>
      <w:pPr>
        <w:spacing w:after="0" w:line="1" w:lineRule="exact"/>
        <w:rPr>
          <w:rFonts w:ascii="Arial" w:cs="Arial" w:eastAsia="Arial" w:hAnsi="Arial"/>
          <w:sz w:val="18"/>
          <w:szCs w:val="18"/>
          <w:color w:val="074A75"/>
        </w:rPr>
      </w:pPr>
    </w:p>
    <w:p>
      <w:pPr>
        <w:ind w:left="198" w:right="560" w:hanging="198"/>
        <w:spacing w:after="0" w:line="258" w:lineRule="auto"/>
        <w:tabs>
          <w:tab w:leader="none" w:pos="201" w:val="left"/>
        </w:tabs>
        <w:numPr>
          <w:ilvl w:val="0"/>
          <w:numId w:val="221"/>
        </w:numPr>
        <w:rPr>
          <w:rFonts w:ascii="Arial" w:cs="Arial" w:eastAsia="Arial" w:hAnsi="Arial"/>
          <w:sz w:val="18"/>
          <w:szCs w:val="18"/>
          <w:color w:val="074A75"/>
        </w:rPr>
      </w:pPr>
      <w:r>
        <w:rPr>
          <w:rFonts w:ascii="Arial" w:cs="Arial" w:eastAsia="Arial" w:hAnsi="Arial"/>
          <w:sz w:val="18"/>
          <w:szCs w:val="18"/>
          <w:color w:val="242424"/>
        </w:rPr>
        <w:t>Participated in constructive engagement and advocacy with key regulators, focused on capital and leverage rule coherence</w:t>
      </w:r>
    </w:p>
    <w:p>
      <w:pPr>
        <w:ind w:left="198" w:hanging="198"/>
        <w:spacing w:after="0"/>
        <w:tabs>
          <w:tab w:leader="none" w:pos="198" w:val="left"/>
        </w:tabs>
        <w:numPr>
          <w:ilvl w:val="0"/>
          <w:numId w:val="221"/>
        </w:numPr>
        <w:rPr>
          <w:rFonts w:ascii="Arial" w:cs="Arial" w:eastAsia="Arial" w:hAnsi="Arial"/>
          <w:sz w:val="18"/>
          <w:szCs w:val="18"/>
          <w:color w:val="074A75"/>
        </w:rPr>
      </w:pPr>
      <w:r>
        <w:rPr>
          <w:rFonts w:ascii="Arial" w:cs="Arial" w:eastAsia="Arial" w:hAnsi="Arial"/>
          <w:sz w:val="18"/>
          <w:szCs w:val="18"/>
          <w:color w:val="242424"/>
        </w:rPr>
        <w:t>Provided oversight over a strong Investor Relations function, widely seen as best-in-class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71755</wp:posOffset>
            </wp:positionV>
            <wp:extent cx="713232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122"/>
            <w:col w:w="9658"/>
          </w:cols>
          <w:pgMar w:left="320" w:top="157" w:right="319" w:bottom="1440" w:gutter="0" w:footer="0" w:header="0"/>
          <w:type w:val="continuous"/>
        </w:sectPr>
      </w:pPr>
    </w:p>
    <w:p>
      <w:pPr>
        <w:spacing w:after="0" w:line="29" w:lineRule="exact"/>
        <w:rPr>
          <w:sz w:val="20"/>
          <w:szCs w:val="20"/>
          <w:color w:val="auto"/>
        </w:rPr>
      </w:pPr>
    </w:p>
    <w:p>
      <w:pPr>
        <w:jc w:val="right"/>
        <w:ind w:left="320"/>
        <w:spacing w:after="0" w:line="32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98" w:right="560" w:hanging="198"/>
        <w:spacing w:after="0" w:line="263" w:lineRule="auto"/>
        <w:tabs>
          <w:tab w:leader="none" w:pos="201" w:val="left"/>
        </w:tabs>
        <w:numPr>
          <w:ilvl w:val="0"/>
          <w:numId w:val="222"/>
        </w:numPr>
        <w:rPr>
          <w:rFonts w:ascii="Arial" w:cs="Arial" w:eastAsia="Arial" w:hAnsi="Arial"/>
          <w:sz w:val="18"/>
          <w:szCs w:val="18"/>
          <w:color w:val="074A75"/>
        </w:rPr>
      </w:pPr>
      <w:r>
        <w:rPr>
          <w:rFonts w:ascii="Arial" w:cs="Arial" w:eastAsia="Arial" w:hAnsi="Arial"/>
          <w:sz w:val="18"/>
          <w:szCs w:val="18"/>
          <w:color w:val="242424"/>
        </w:rPr>
        <w:t>Focused on continued improvement of diverse representation, succession planning and cultivating development opportunities for key senior leaders</w:t>
      </w:r>
    </w:p>
    <w:p>
      <w:pPr>
        <w:spacing w:after="0" w:line="1" w:lineRule="exact"/>
        <w:rPr>
          <w:rFonts w:ascii="Arial" w:cs="Arial" w:eastAsia="Arial" w:hAnsi="Arial"/>
          <w:sz w:val="18"/>
          <w:szCs w:val="18"/>
          <w:color w:val="074A75"/>
        </w:rPr>
      </w:pPr>
    </w:p>
    <w:p>
      <w:pPr>
        <w:ind w:left="198" w:right="120" w:hanging="198"/>
        <w:spacing w:after="0" w:line="276" w:lineRule="auto"/>
        <w:tabs>
          <w:tab w:leader="none" w:pos="201" w:val="left"/>
        </w:tabs>
        <w:numPr>
          <w:ilvl w:val="0"/>
          <w:numId w:val="222"/>
        </w:numPr>
        <w:rPr>
          <w:rFonts w:ascii="Arial" w:cs="Arial" w:eastAsia="Arial" w:hAnsi="Arial"/>
          <w:sz w:val="18"/>
          <w:szCs w:val="18"/>
          <w:color w:val="064A75"/>
        </w:rPr>
      </w:pPr>
      <w:r>
        <w:rPr>
          <w:rFonts w:ascii="Arial" w:cs="Arial" w:eastAsia="Arial" w:hAnsi="Arial"/>
          <w:sz w:val="18"/>
          <w:szCs w:val="18"/>
          <w:color w:val="242424"/>
        </w:rPr>
        <w:t>Continued to drive a culture of diversity, equity and inclusion across the finance organization, with a focus on effective feedback and promotion transparency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38100</wp:posOffset>
            </wp:positionV>
            <wp:extent cx="713232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57" w:right="319" w:bottom="1440" w:gutter="0" w:footer="0" w:header="0"/>
          <w:type w:val="continuous"/>
        </w:sect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57" w:right="31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Compensation &amp; Management</w:t>
      </w:r>
    </w:p>
    <w:p>
      <w:pPr>
        <w:spacing w:after="0" w:line="32" w:lineRule="exact"/>
        <w:rPr>
          <w:sz w:val="20"/>
          <w:szCs w:val="20"/>
          <w:color w:val="auto"/>
        </w:rPr>
      </w:pPr>
    </w:p>
    <w:p>
      <w:pPr>
        <w:spacing w:after="0"/>
        <w:rPr>
          <w:sz w:val="20"/>
          <w:szCs w:val="20"/>
          <w:color w:val="auto"/>
        </w:rPr>
      </w:pPr>
      <w:r>
        <w:rPr>
          <w:rFonts w:ascii="Arial" w:cs="Arial" w:eastAsia="Arial" w:hAnsi="Arial"/>
          <w:sz w:val="29"/>
          <w:szCs w:val="29"/>
          <w:color w:val="074A75"/>
        </w:rPr>
        <w:t>Development Committee report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&amp; Management Development Committee has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reviewed the Compensation Discussion and Analysis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discussed that analysis with management.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Based on such review and discussion with management,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Compensation &amp; Management Development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recommended to the Board of Directors that the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Discussion and Analysis be included in this proxy statement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10-K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This report is provided as of March 15, 2022, by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who comprise the Compensation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Development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Stephen B. Burke (Chair)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Linda B. Bammann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Todd A. Combs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Virginia M. Rometty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3282950" cy="13970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28295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Compensation Discussion and Analysis is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intended to describe our 2021 performance, the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decisions for our Named Executive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Officers and the Firm’s philosophy and approach to</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The following tables on pages 74-81</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present additional information required in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accordance with SEC rules, including the Summary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374650</wp:posOffset>
            </wp:positionV>
            <wp:extent cx="27432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73  </w:t>
      </w:r>
      <w:r>
        <w:rPr>
          <w:sz w:val="1"/>
          <w:szCs w:val="1"/>
          <w:color w:val="auto"/>
        </w:rPr>
        <w:drawing>
          <wp:inline distT="0" distB="0" distL="0" distR="0">
            <wp:extent cx="2203450" cy="15430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color w:val="074A75"/>
        </w:rPr>
        <w:t>Executive compensation tables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074A75"/>
        </w:rPr>
        <w:t>I. SUMMARY COMPENSATION TABLE (SCT)</w:t>
      </w:r>
    </w:p>
    <w:p>
      <w:pPr>
        <w:spacing w:after="0" w:line="8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following table and related narratives present the compensation for our Named Executive Officers in the format specified by the SEC. The table below reflects equity awards made in 2021 for 2020 performance. The “NEO Compensation” table on page 65 shows how the CMDC viewed compensation actions for 2021 performance.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226"/>
              <w:spacing w:after="0"/>
              <w:rPr>
                <w:sz w:val="20"/>
                <w:szCs w:val="20"/>
                <w:color w:val="auto"/>
              </w:rPr>
            </w:pPr>
            <w:r>
              <w:rPr>
                <w:rFonts w:ascii="Arial" w:cs="Arial" w:eastAsia="Arial" w:hAnsi="Arial"/>
                <w:sz w:val="16"/>
                <w:szCs w:val="16"/>
                <w:color w:val="074A75"/>
              </w:rPr>
              <w:t>Change in</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246"/>
              <w:spacing w:after="0"/>
              <w:rPr>
                <w:sz w:val="20"/>
                <w:szCs w:val="20"/>
                <w:color w:val="auto"/>
              </w:rPr>
            </w:pPr>
            <w:r>
              <w:rPr>
                <w:rFonts w:ascii="Arial" w:cs="Arial" w:eastAsia="Arial" w:hAnsi="Arial"/>
                <w:sz w:val="16"/>
                <w:szCs w:val="16"/>
                <w:color w:val="074A75"/>
                <w:w w:val="99"/>
              </w:rPr>
              <w:t>pension</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color w:val="074A75"/>
              </w:rPr>
              <w:t>value and non-</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246"/>
              <w:spacing w:after="0"/>
              <w:rPr>
                <w:sz w:val="20"/>
                <w:szCs w:val="20"/>
                <w:color w:val="auto"/>
              </w:rPr>
            </w:pPr>
            <w:r>
              <w:rPr>
                <w:rFonts w:ascii="Arial" w:cs="Arial" w:eastAsia="Arial" w:hAnsi="Arial"/>
                <w:sz w:val="16"/>
                <w:szCs w:val="16"/>
                <w:color w:val="074A75"/>
              </w:rPr>
              <w:t>qualified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246"/>
              <w:spacing w:after="0"/>
              <w:rPr>
                <w:sz w:val="20"/>
                <w:szCs w:val="20"/>
                <w:color w:val="auto"/>
              </w:rPr>
            </w:pPr>
            <w:r>
              <w:rPr>
                <w:rFonts w:ascii="Arial" w:cs="Arial" w:eastAsia="Arial" w:hAnsi="Arial"/>
                <w:sz w:val="16"/>
                <w:szCs w:val="16"/>
                <w:color w:val="074A75"/>
              </w:rPr>
              <w:t>deferred</w:t>
            </w:r>
          </w:p>
        </w:tc>
        <w:tc>
          <w:tcPr>
            <w:tcW w:w="300" w:type="dxa"/>
            <w:vAlign w:val="bottom"/>
          </w:tcPr>
          <w:p>
            <w:pPr>
              <w:spacing w:after="0"/>
              <w:rPr>
                <w:sz w:val="16"/>
                <w:szCs w:val="16"/>
                <w:color w:val="auto"/>
              </w:rPr>
            </w:pPr>
          </w:p>
        </w:tc>
        <w:tc>
          <w:tcPr>
            <w:tcW w:w="1000" w:type="dxa"/>
            <w:vAlign w:val="bottom"/>
          </w:tcPr>
          <w:p>
            <w:pPr>
              <w:jc w:val="center"/>
              <w:ind w:right="207"/>
              <w:spacing w:after="0"/>
              <w:rPr>
                <w:sz w:val="20"/>
                <w:szCs w:val="20"/>
                <w:color w:val="auto"/>
              </w:rPr>
            </w:pPr>
            <w:r>
              <w:rPr>
                <w:rFonts w:ascii="Arial" w:cs="Arial" w:eastAsia="Arial" w:hAnsi="Arial"/>
                <w:sz w:val="16"/>
                <w:szCs w:val="16"/>
                <w:color w:val="074A75"/>
              </w:rPr>
              <w:t>All other</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rPr>
                <w:sz w:val="20"/>
                <w:szCs w:val="20"/>
                <w:color w:val="auto"/>
              </w:rPr>
            </w:pPr>
            <w:r>
              <w:rPr>
                <w:rFonts w:ascii="Arial" w:cs="Arial" w:eastAsia="Arial" w:hAnsi="Arial"/>
                <w:sz w:val="16"/>
                <w:szCs w:val="16"/>
                <w:color w:val="074A75"/>
              </w:rPr>
              <w:t>Name and</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jc w:val="right"/>
              <w:ind w:right="268"/>
              <w:spacing w:after="0"/>
              <w:rPr>
                <w:sz w:val="20"/>
                <w:szCs w:val="20"/>
                <w:color w:val="auto"/>
              </w:rPr>
            </w:pPr>
            <w:r>
              <w:rPr>
                <w:rFonts w:ascii="Arial" w:cs="Arial" w:eastAsia="Arial" w:hAnsi="Arial"/>
                <w:sz w:val="16"/>
                <w:szCs w:val="16"/>
                <w:color w:val="074A75"/>
              </w:rPr>
              <w:t>Bonus</w:t>
            </w:r>
          </w:p>
        </w:tc>
        <w:tc>
          <w:tcPr>
            <w:tcW w:w="1240" w:type="dxa"/>
            <w:vAlign w:val="bottom"/>
          </w:tcPr>
          <w:p>
            <w:pPr>
              <w:jc w:val="right"/>
              <w:ind w:right="387"/>
              <w:spacing w:after="0"/>
              <w:rPr>
                <w:sz w:val="20"/>
                <w:szCs w:val="20"/>
                <w:color w:val="auto"/>
              </w:rPr>
            </w:pPr>
            <w:r>
              <w:rPr>
                <w:rFonts w:ascii="Arial" w:cs="Arial" w:eastAsia="Arial" w:hAnsi="Arial"/>
                <w:sz w:val="16"/>
                <w:szCs w:val="16"/>
                <w:color w:val="074A75"/>
              </w:rPr>
              <w:t>Stock</w:t>
            </w:r>
          </w:p>
        </w:tc>
        <w:tc>
          <w:tcPr>
            <w:tcW w:w="1300" w:type="dxa"/>
            <w:vAlign w:val="bottom"/>
          </w:tcPr>
          <w:p>
            <w:pPr>
              <w:jc w:val="right"/>
              <w:ind w:right="347"/>
              <w:spacing w:after="0"/>
              <w:rPr>
                <w:sz w:val="20"/>
                <w:szCs w:val="20"/>
                <w:color w:val="auto"/>
              </w:rPr>
            </w:pPr>
            <w:r>
              <w:rPr>
                <w:rFonts w:ascii="Arial" w:cs="Arial" w:eastAsia="Arial" w:hAnsi="Arial"/>
                <w:sz w:val="16"/>
                <w:szCs w:val="16"/>
                <w:color w:val="074A75"/>
              </w:rPr>
              <w:t>Option</w:t>
            </w:r>
          </w:p>
        </w:tc>
        <w:tc>
          <w:tcPr>
            <w:tcW w:w="1380" w:type="dxa"/>
            <w:vAlign w:val="bottom"/>
            <w:gridSpan w:val="2"/>
          </w:tcPr>
          <w:p>
            <w:pPr>
              <w:jc w:val="center"/>
              <w:spacing w:after="0"/>
              <w:rPr>
                <w:sz w:val="20"/>
                <w:szCs w:val="20"/>
                <w:color w:val="auto"/>
              </w:rPr>
            </w:pPr>
            <w:r>
              <w:rPr>
                <w:rFonts w:ascii="Arial" w:cs="Arial" w:eastAsia="Arial" w:hAnsi="Arial"/>
                <w:sz w:val="16"/>
                <w:szCs w:val="16"/>
                <w:color w:val="074A75"/>
              </w:rPr>
              <w:t>compensation</w:t>
            </w:r>
          </w:p>
        </w:tc>
        <w:tc>
          <w:tcPr>
            <w:tcW w:w="1300" w:type="dxa"/>
            <w:vAlign w:val="bottom"/>
            <w:gridSpan w:val="2"/>
          </w:tcPr>
          <w:p>
            <w:pPr>
              <w:jc w:val="center"/>
              <w:spacing w:after="0"/>
              <w:rPr>
                <w:sz w:val="20"/>
                <w:szCs w:val="20"/>
                <w:color w:val="auto"/>
              </w:rPr>
            </w:pPr>
            <w:r>
              <w:rPr>
                <w:rFonts w:ascii="Arial" w:cs="Arial" w:eastAsia="Arial" w:hAnsi="Arial"/>
                <w:sz w:val="16"/>
                <w:szCs w:val="16"/>
                <w:color w:val="074A75"/>
              </w:rPr>
              <w:t>compensation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principal position</w:t>
            </w:r>
          </w:p>
        </w:tc>
        <w:tc>
          <w:tcPr>
            <w:tcW w:w="560" w:type="dxa"/>
            <w:vAlign w:val="bottom"/>
            <w:tcBorders>
              <w:bottom w:val="single" w:sz="8" w:color="454545"/>
            </w:tcBorders>
          </w:tcPr>
          <w:p>
            <w:pPr>
              <w:jc w:val="right"/>
              <w:ind w:right="88"/>
              <w:spacing w:after="0"/>
              <w:rPr>
                <w:sz w:val="20"/>
                <w:szCs w:val="20"/>
                <w:color w:val="auto"/>
              </w:rPr>
            </w:pPr>
            <w:r>
              <w:rPr>
                <w:rFonts w:ascii="Arial" w:cs="Arial" w:eastAsia="Arial" w:hAnsi="Arial"/>
                <w:sz w:val="16"/>
                <w:szCs w:val="16"/>
                <w:color w:val="074A75"/>
              </w:rPr>
              <w:t>Year</w:t>
            </w:r>
          </w:p>
        </w:tc>
        <w:tc>
          <w:tcPr>
            <w:tcW w:w="1060" w:type="dxa"/>
            <w:vAlign w:val="bottom"/>
            <w:tcBorders>
              <w:bottom w:val="single" w:sz="8" w:color="454545"/>
            </w:tcBorders>
          </w:tcPr>
          <w:p>
            <w:pPr>
              <w:jc w:val="right"/>
              <w:ind w:right="68"/>
              <w:spacing w:after="0" w:line="230" w:lineRule="exact"/>
              <w:rPr>
                <w:sz w:val="20"/>
                <w:szCs w:val="20"/>
                <w:color w:val="auto"/>
              </w:rPr>
            </w:pPr>
            <w:r>
              <w:rPr>
                <w:rFonts w:ascii="Arial" w:cs="Arial" w:eastAsia="Arial" w:hAnsi="Arial"/>
                <w:sz w:val="16"/>
                <w:szCs w:val="16"/>
                <w:color w:val="074A75"/>
              </w:rPr>
              <w:t>Salary ($)</w:t>
            </w:r>
            <w:r>
              <w:rPr>
                <w:rFonts w:ascii="Arial" w:cs="Arial" w:eastAsia="Arial" w:hAnsi="Arial"/>
                <w:sz w:val="21"/>
                <w:szCs w:val="21"/>
                <w:color w:val="074A75"/>
                <w:vertAlign w:val="superscript"/>
              </w:rPr>
              <w:t>1</w:t>
            </w:r>
          </w:p>
        </w:tc>
        <w:tc>
          <w:tcPr>
            <w:tcW w:w="1220" w:type="dxa"/>
            <w:vAlign w:val="bottom"/>
            <w:tcBorders>
              <w:bottom w:val="single" w:sz="8" w:color="454545"/>
            </w:tcBorders>
          </w:tcPr>
          <w:p>
            <w:pPr>
              <w:jc w:val="right"/>
              <w:ind w:right="368"/>
              <w:spacing w:after="0" w:line="230" w:lineRule="exact"/>
              <w:rPr>
                <w:sz w:val="20"/>
                <w:szCs w:val="20"/>
                <w:color w:val="auto"/>
              </w:rPr>
            </w:pPr>
            <w:r>
              <w:rPr>
                <w:rFonts w:ascii="Arial" w:cs="Arial" w:eastAsia="Arial" w:hAnsi="Arial"/>
                <w:sz w:val="16"/>
                <w:szCs w:val="16"/>
                <w:color w:val="074A75"/>
              </w:rPr>
              <w:t>($)</w:t>
            </w:r>
            <w:r>
              <w:rPr>
                <w:rFonts w:ascii="Arial" w:cs="Arial" w:eastAsia="Arial" w:hAnsi="Arial"/>
                <w:sz w:val="21"/>
                <w:szCs w:val="21"/>
                <w:color w:val="074A75"/>
                <w:vertAlign w:val="superscript"/>
              </w:rPr>
              <w:t>2</w:t>
            </w:r>
          </w:p>
        </w:tc>
        <w:tc>
          <w:tcPr>
            <w:tcW w:w="1240" w:type="dxa"/>
            <w:vAlign w:val="bottom"/>
            <w:tcBorders>
              <w:bottom w:val="single" w:sz="8" w:color="454545"/>
            </w:tcBorders>
          </w:tcPr>
          <w:p>
            <w:pPr>
              <w:jc w:val="right"/>
              <w:ind w:right="167"/>
              <w:spacing w:after="0" w:line="230" w:lineRule="exact"/>
              <w:rPr>
                <w:sz w:val="20"/>
                <w:szCs w:val="20"/>
                <w:color w:val="auto"/>
              </w:rPr>
            </w:pPr>
            <w:r>
              <w:rPr>
                <w:rFonts w:ascii="Arial" w:cs="Arial" w:eastAsia="Arial" w:hAnsi="Arial"/>
                <w:sz w:val="16"/>
                <w:szCs w:val="16"/>
                <w:color w:val="074A75"/>
              </w:rPr>
              <w:t>awards ($)</w:t>
            </w:r>
            <w:r>
              <w:rPr>
                <w:rFonts w:ascii="Arial" w:cs="Arial" w:eastAsia="Arial" w:hAnsi="Arial"/>
                <w:sz w:val="21"/>
                <w:szCs w:val="21"/>
                <w:color w:val="074A75"/>
                <w:vertAlign w:val="superscript"/>
              </w:rPr>
              <w:t>3</w:t>
            </w:r>
          </w:p>
        </w:tc>
        <w:tc>
          <w:tcPr>
            <w:tcW w:w="1300" w:type="dxa"/>
            <w:vAlign w:val="bottom"/>
            <w:tcBorders>
              <w:bottom w:val="single" w:sz="8" w:color="454545"/>
            </w:tcBorders>
          </w:tcPr>
          <w:p>
            <w:pPr>
              <w:jc w:val="right"/>
              <w:ind w:right="167"/>
              <w:spacing w:after="0" w:line="230" w:lineRule="exact"/>
              <w:rPr>
                <w:sz w:val="20"/>
                <w:szCs w:val="20"/>
                <w:color w:val="auto"/>
              </w:rPr>
            </w:pPr>
            <w:r>
              <w:rPr>
                <w:rFonts w:ascii="Arial" w:cs="Arial" w:eastAsia="Arial" w:hAnsi="Arial"/>
                <w:sz w:val="16"/>
                <w:szCs w:val="16"/>
                <w:color w:val="074A75"/>
              </w:rPr>
              <w:t>awards ($)</w:t>
            </w:r>
            <w:r>
              <w:rPr>
                <w:rFonts w:ascii="Arial" w:cs="Arial" w:eastAsia="Arial" w:hAnsi="Arial"/>
                <w:sz w:val="21"/>
                <w:szCs w:val="21"/>
                <w:color w:val="074A75"/>
                <w:vertAlign w:val="superscript"/>
              </w:rPr>
              <w:t>4</w:t>
            </w:r>
          </w:p>
        </w:tc>
        <w:tc>
          <w:tcPr>
            <w:tcW w:w="1380" w:type="dxa"/>
            <w:vAlign w:val="bottom"/>
            <w:tcBorders>
              <w:bottom w:val="single" w:sz="8" w:color="454545"/>
            </w:tcBorders>
            <w:gridSpan w:val="2"/>
          </w:tcPr>
          <w:p>
            <w:pPr>
              <w:jc w:val="center"/>
              <w:spacing w:after="0" w:line="230" w:lineRule="exact"/>
              <w:rPr>
                <w:sz w:val="20"/>
                <w:szCs w:val="20"/>
                <w:color w:val="auto"/>
              </w:rPr>
            </w:pPr>
            <w:r>
              <w:rPr>
                <w:rFonts w:ascii="Arial" w:cs="Arial" w:eastAsia="Arial" w:hAnsi="Arial"/>
                <w:sz w:val="16"/>
                <w:szCs w:val="16"/>
                <w:color w:val="074A75"/>
                <w:w w:val="98"/>
              </w:rPr>
              <w:t>earnings ($)</w:t>
            </w:r>
            <w:r>
              <w:rPr>
                <w:rFonts w:ascii="Arial" w:cs="Arial" w:eastAsia="Arial" w:hAnsi="Arial"/>
                <w:sz w:val="21"/>
                <w:szCs w:val="21"/>
                <w:color w:val="074A75"/>
                <w:w w:val="98"/>
                <w:vertAlign w:val="superscript"/>
              </w:rPr>
              <w:t>5</w:t>
            </w:r>
          </w:p>
        </w:tc>
        <w:tc>
          <w:tcPr>
            <w:tcW w:w="300" w:type="dxa"/>
            <w:vAlign w:val="bottom"/>
            <w:tcBorders>
              <w:bottom w:val="single" w:sz="8" w:color="454545"/>
            </w:tcBorders>
          </w:tcPr>
          <w:p>
            <w:pPr>
              <w:spacing w:after="0"/>
              <w:rPr>
                <w:sz w:val="20"/>
                <w:szCs w:val="20"/>
                <w:color w:val="auto"/>
              </w:rPr>
            </w:pPr>
          </w:p>
        </w:tc>
        <w:tc>
          <w:tcPr>
            <w:tcW w:w="1000" w:type="dxa"/>
            <w:vAlign w:val="bottom"/>
            <w:tcBorders>
              <w:bottom w:val="single" w:sz="8" w:color="454545"/>
            </w:tcBorders>
          </w:tcPr>
          <w:p>
            <w:pPr>
              <w:jc w:val="center"/>
              <w:ind w:right="187"/>
              <w:spacing w:after="0" w:line="230" w:lineRule="exact"/>
              <w:rPr>
                <w:sz w:val="20"/>
                <w:szCs w:val="20"/>
                <w:color w:val="auto"/>
              </w:rPr>
            </w:pPr>
            <w:r>
              <w:rPr>
                <w:rFonts w:ascii="Arial" w:cs="Arial" w:eastAsia="Arial" w:hAnsi="Arial"/>
                <w:sz w:val="16"/>
                <w:szCs w:val="16"/>
                <w:color w:val="074A75"/>
                <w:w w:val="94"/>
              </w:rPr>
              <w:t>($)</w:t>
            </w:r>
            <w:r>
              <w:rPr>
                <w:rFonts w:ascii="Arial" w:cs="Arial" w:eastAsia="Arial" w:hAnsi="Arial"/>
                <w:sz w:val="21"/>
                <w:szCs w:val="21"/>
                <w:color w:val="074A75"/>
                <w:w w:val="94"/>
                <w:vertAlign w:val="superscript"/>
              </w:rPr>
              <w:t>6</w:t>
            </w:r>
          </w:p>
        </w:tc>
        <w:tc>
          <w:tcPr>
            <w:tcW w:w="280" w:type="dxa"/>
            <w:vAlign w:val="bottom"/>
            <w:tcBorders>
              <w:bottom w:val="single" w:sz="8" w:color="454545"/>
            </w:tcBorders>
          </w:tcPr>
          <w:p>
            <w:pPr>
              <w:spacing w:after="0"/>
              <w:rPr>
                <w:sz w:val="20"/>
                <w:szCs w:val="20"/>
                <w:color w:val="auto"/>
              </w:rPr>
            </w:pPr>
          </w:p>
        </w:tc>
        <w:tc>
          <w:tcPr>
            <w:tcW w:w="1220" w:type="dxa"/>
            <w:vAlign w:val="bottom"/>
            <w:tcBorders>
              <w:bottom w:val="single" w:sz="8" w:color="454545"/>
            </w:tcBorders>
          </w:tcPr>
          <w:p>
            <w:pPr>
              <w:jc w:val="right"/>
              <w:ind w:right="208"/>
              <w:spacing w:after="0"/>
              <w:rPr>
                <w:sz w:val="20"/>
                <w:szCs w:val="20"/>
                <w:color w:val="auto"/>
              </w:rPr>
            </w:pPr>
            <w:r>
              <w:rPr>
                <w:rFonts w:ascii="Arial" w:cs="Arial" w:eastAsia="Arial" w:hAnsi="Arial"/>
                <w:sz w:val="16"/>
                <w:szCs w:val="16"/>
                <w:color w:val="074A75"/>
              </w:rPr>
              <w:t>Total ($)</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James Dimon</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spacing w:after="0"/>
              <w:rPr>
                <w:sz w:val="20"/>
                <w:szCs w:val="20"/>
                <w:color w:val="auto"/>
              </w:rPr>
            </w:pPr>
            <w:r>
              <w:rPr>
                <w:rFonts w:ascii="Arial" w:cs="Arial" w:eastAsia="Arial" w:hAnsi="Arial"/>
                <w:sz w:val="14"/>
                <w:szCs w:val="14"/>
                <w:color w:val="auto"/>
              </w:rPr>
              <w:t>$   1,500,000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   5,000,000</w:t>
            </w:r>
          </w:p>
        </w:tc>
        <w:tc>
          <w:tcPr>
            <w:tcW w:w="1240" w:type="dxa"/>
            <w:vAlign w:val="bottom"/>
          </w:tcPr>
          <w:p>
            <w:pPr>
              <w:jc w:val="right"/>
              <w:ind w:right="27"/>
              <w:spacing w:after="0"/>
              <w:rPr>
                <w:sz w:val="20"/>
                <w:szCs w:val="20"/>
                <w:color w:val="auto"/>
              </w:rPr>
            </w:pPr>
            <w:r>
              <w:rPr>
                <w:rFonts w:ascii="Arial" w:cs="Arial" w:eastAsia="Arial" w:hAnsi="Arial"/>
                <w:sz w:val="14"/>
                <w:szCs w:val="14"/>
                <w:color w:val="auto"/>
              </w:rPr>
              <w:t>$   25,000,000</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    52,620,000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25,486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282,659</w:t>
            </w:r>
          </w:p>
        </w:tc>
        <w:tc>
          <w:tcPr>
            <w:tcW w:w="280" w:type="dxa"/>
            <w:vAlign w:val="bottom"/>
          </w:tcPr>
          <w:p>
            <w:pPr>
              <w:ind w:left="40"/>
              <w:spacing w:after="0"/>
              <w:rPr>
                <w:sz w:val="20"/>
                <w:szCs w:val="20"/>
                <w:color w:val="auto"/>
              </w:rPr>
            </w:pPr>
            <w:r>
              <w:rPr>
                <w:rFonts w:ascii="Arial" w:cs="Arial" w:eastAsia="Arial" w:hAnsi="Arial"/>
                <w:sz w:val="9"/>
                <w:szCs w:val="9"/>
                <w:color w:val="auto"/>
              </w:rPr>
              <w:t>7</w:t>
            </w:r>
          </w:p>
        </w:tc>
        <w:tc>
          <w:tcPr>
            <w:tcW w:w="1220" w:type="dxa"/>
            <w:vAlign w:val="bottom"/>
          </w:tcPr>
          <w:p>
            <w:pPr>
              <w:jc w:val="right"/>
              <w:spacing w:after="0"/>
              <w:rPr>
                <w:sz w:val="20"/>
                <w:szCs w:val="20"/>
                <w:color w:val="auto"/>
              </w:rPr>
            </w:pPr>
            <w:r>
              <w:rPr>
                <w:rFonts w:ascii="Arial" w:cs="Arial" w:eastAsia="Arial" w:hAnsi="Arial"/>
                <w:sz w:val="14"/>
                <w:szCs w:val="14"/>
                <w:color w:val="auto"/>
              </w:rPr>
              <w:t>$   84,428,145</w:t>
            </w:r>
          </w:p>
        </w:tc>
        <w:tc>
          <w:tcPr>
            <w:tcW w:w="0" w:type="dxa"/>
            <w:vAlign w:val="bottom"/>
          </w:tcPr>
          <w:p>
            <w:pPr>
              <w:spacing w:after="0"/>
              <w:rPr>
                <w:sz w:val="1"/>
                <w:szCs w:val="1"/>
                <w:color w:val="auto"/>
              </w:rPr>
            </w:pPr>
          </w:p>
        </w:tc>
      </w:tr>
      <w:tr>
        <w:trPr>
          <w:trHeight w:val="190"/>
        </w:trPr>
        <w:tc>
          <w:tcPr>
            <w:tcW w:w="1680" w:type="dxa"/>
            <w:vAlign w:val="bottom"/>
          </w:tcPr>
          <w:p>
            <w:pPr>
              <w:ind w:left="20"/>
              <w:spacing w:after="0"/>
              <w:rPr>
                <w:sz w:val="20"/>
                <w:szCs w:val="20"/>
                <w:color w:val="auto"/>
              </w:rPr>
            </w:pPr>
            <w:r>
              <w:rPr>
                <w:rFonts w:ascii="Arial" w:cs="Arial" w:eastAsia="Arial" w:hAnsi="Arial"/>
                <w:sz w:val="14"/>
                <w:szCs w:val="14"/>
                <w:color w:val="auto"/>
              </w:rPr>
              <w:t>Chairman and CEO</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2020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1,500,000</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5,000,000</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auto"/>
              </w:rPr>
              <w:t>25,000,000</w:t>
            </w:r>
          </w:p>
        </w:tc>
        <w:tc>
          <w:tcPr>
            <w:tcW w:w="130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20" w:type="dxa"/>
            <w:vAlign w:val="bottom"/>
            <w:vMerge w:val="restart"/>
          </w:tcPr>
          <w:p>
            <w:pPr>
              <w:jc w:val="right"/>
              <w:ind w:right="66"/>
              <w:spacing w:after="0"/>
              <w:rPr>
                <w:sz w:val="20"/>
                <w:szCs w:val="20"/>
                <w:color w:val="auto"/>
              </w:rPr>
            </w:pPr>
            <w:r>
              <w:rPr>
                <w:rFonts w:ascii="Arial" w:cs="Arial" w:eastAsia="Arial" w:hAnsi="Arial"/>
                <w:sz w:val="14"/>
                <w:szCs w:val="14"/>
                <w:color w:val="auto"/>
              </w:rPr>
              <w:t>21,845</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142,709</w:t>
            </w: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31,664,554</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680" w:type="dxa"/>
            <w:vAlign w:val="bottom"/>
            <w:tcBorders>
              <w:bottom w:val="single" w:sz="8" w:color="454545"/>
            </w:tcBorders>
          </w:tcPr>
          <w:p>
            <w:pPr>
              <w:spacing w:after="0"/>
              <w:rPr>
                <w:sz w:val="19"/>
                <w:szCs w:val="19"/>
                <w:color w:val="auto"/>
              </w:rPr>
            </w:pPr>
          </w:p>
        </w:tc>
        <w:tc>
          <w:tcPr>
            <w:tcW w:w="56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1,500,000</w:t>
            </w:r>
          </w:p>
        </w:tc>
        <w:tc>
          <w:tcPr>
            <w:tcW w:w="1220" w:type="dxa"/>
            <w:vAlign w:val="bottom"/>
            <w:tcBorders>
              <w:bottom w:val="single" w:sz="8" w:color="454545"/>
            </w:tcBorders>
          </w:tcPr>
          <w:p>
            <w:pPr>
              <w:jc w:val="right"/>
              <w:ind w:right="28"/>
              <w:spacing w:after="0"/>
              <w:rPr>
                <w:sz w:val="20"/>
                <w:szCs w:val="20"/>
                <w:color w:val="auto"/>
              </w:rPr>
            </w:pPr>
            <w:r>
              <w:rPr>
                <w:rFonts w:ascii="Arial" w:cs="Arial" w:eastAsia="Arial" w:hAnsi="Arial"/>
                <w:sz w:val="14"/>
                <w:szCs w:val="14"/>
                <w:color w:val="auto"/>
              </w:rPr>
              <w:t>5,000,000</w:t>
            </w:r>
          </w:p>
        </w:tc>
        <w:tc>
          <w:tcPr>
            <w:tcW w:w="1240" w:type="dxa"/>
            <w:vAlign w:val="bottom"/>
            <w:tcBorders>
              <w:bottom w:val="single" w:sz="8" w:color="454545"/>
            </w:tcBorders>
          </w:tcPr>
          <w:p>
            <w:pPr>
              <w:jc w:val="right"/>
              <w:ind w:right="27"/>
              <w:spacing w:after="0"/>
              <w:rPr>
                <w:sz w:val="20"/>
                <w:szCs w:val="20"/>
                <w:color w:val="auto"/>
              </w:rPr>
            </w:pPr>
            <w:r>
              <w:rPr>
                <w:rFonts w:ascii="Arial" w:cs="Arial" w:eastAsia="Arial" w:hAnsi="Arial"/>
                <w:sz w:val="14"/>
                <w:szCs w:val="14"/>
                <w:color w:val="auto"/>
              </w:rPr>
              <w:t>24,500,000</w:t>
            </w:r>
          </w:p>
        </w:tc>
        <w:tc>
          <w:tcPr>
            <w:tcW w:w="1300" w:type="dxa"/>
            <w:vAlign w:val="bottom"/>
            <w:tcBorders>
              <w:bottom w:val="single" w:sz="8" w:color="454545"/>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54545"/>
            </w:tcBorders>
          </w:tcPr>
          <w:p>
            <w:pPr>
              <w:spacing w:after="0"/>
              <w:rPr>
                <w:sz w:val="19"/>
                <w:szCs w:val="19"/>
                <w:color w:val="auto"/>
              </w:rPr>
            </w:pPr>
          </w:p>
        </w:tc>
        <w:tc>
          <w:tcPr>
            <w:tcW w:w="1120" w:type="dxa"/>
            <w:vAlign w:val="bottom"/>
            <w:tcBorders>
              <w:bottom w:val="single" w:sz="8" w:color="454545"/>
            </w:tcBorders>
          </w:tcPr>
          <w:p>
            <w:pPr>
              <w:jc w:val="right"/>
              <w:ind w:right="66"/>
              <w:spacing w:after="0"/>
              <w:rPr>
                <w:sz w:val="20"/>
                <w:szCs w:val="20"/>
                <w:color w:val="auto"/>
              </w:rPr>
            </w:pPr>
            <w:r>
              <w:rPr>
                <w:rFonts w:ascii="Arial" w:cs="Arial" w:eastAsia="Arial" w:hAnsi="Arial"/>
                <w:sz w:val="14"/>
                <w:szCs w:val="14"/>
                <w:color w:val="auto"/>
              </w:rPr>
              <w:t>34,370</w:t>
            </w:r>
          </w:p>
        </w:tc>
        <w:tc>
          <w:tcPr>
            <w:tcW w:w="300" w:type="dxa"/>
            <w:vAlign w:val="bottom"/>
            <w:tcBorders>
              <w:bottom w:val="single" w:sz="8" w:color="454545"/>
            </w:tcBorders>
          </w:tcPr>
          <w:p>
            <w:pPr>
              <w:spacing w:after="0"/>
              <w:rPr>
                <w:sz w:val="19"/>
                <w:szCs w:val="19"/>
                <w:color w:val="auto"/>
              </w:rPr>
            </w:pPr>
          </w:p>
        </w:tc>
        <w:tc>
          <w:tcPr>
            <w:tcW w:w="10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578,246</w:t>
            </w:r>
          </w:p>
        </w:tc>
        <w:tc>
          <w:tcPr>
            <w:tcW w:w="280" w:type="dxa"/>
            <w:vAlign w:val="bottom"/>
            <w:tcBorders>
              <w:bottom w:val="single" w:sz="8" w:color="454545"/>
            </w:tcBorders>
          </w:tcPr>
          <w:p>
            <w:pPr>
              <w:spacing w:after="0"/>
              <w:rPr>
                <w:sz w:val="19"/>
                <w:szCs w:val="19"/>
                <w:color w:val="auto"/>
              </w:rPr>
            </w:pPr>
          </w:p>
        </w:tc>
        <w:tc>
          <w:tcPr>
            <w:tcW w:w="122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31,612,616</w:t>
            </w:r>
          </w:p>
        </w:tc>
        <w:tc>
          <w:tcPr>
            <w:tcW w:w="0" w:type="dxa"/>
            <w:vAlign w:val="bottom"/>
          </w:tcPr>
          <w:p>
            <w:pPr>
              <w:spacing w:after="0"/>
              <w:rPr>
                <w:sz w:val="1"/>
                <w:szCs w:val="1"/>
                <w:color w:val="auto"/>
              </w:rPr>
            </w:pPr>
          </w:p>
        </w:tc>
      </w:tr>
      <w:tr>
        <w:trPr>
          <w:trHeight w:val="120"/>
        </w:trPr>
        <w:tc>
          <w:tcPr>
            <w:tcW w:w="1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Daniel Pinto</w:t>
            </w:r>
            <w:r>
              <w:rPr>
                <w:rFonts w:ascii="Arial" w:cs="Arial" w:eastAsia="Arial" w:hAnsi="Arial"/>
                <w:sz w:val="9"/>
                <w:szCs w:val="9"/>
                <w:b w:val="1"/>
                <w:bCs w:val="1"/>
                <w:color w:val="auto"/>
              </w:rPr>
              <w:t>8</w:t>
            </w:r>
          </w:p>
        </w:tc>
        <w:tc>
          <w:tcPr>
            <w:tcW w:w="5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20" w:type="dxa"/>
            <w:vAlign w:val="bottom"/>
          </w:tcPr>
          <w:p>
            <w:pPr>
              <w:jc w:val="right"/>
              <w:ind w:right="1048"/>
              <w:spacing w:after="0"/>
              <w:rPr>
                <w:sz w:val="20"/>
                <w:szCs w:val="20"/>
                <w:color w:val="auto"/>
              </w:rPr>
            </w:pPr>
            <w:r>
              <w:rPr>
                <w:rFonts w:ascii="Arial" w:cs="Arial" w:eastAsia="Arial" w:hAnsi="Arial"/>
                <w:sz w:val="9"/>
                <w:szCs w:val="9"/>
                <w:color w:val="auto"/>
              </w:rPr>
              <w:t>8</w:t>
            </w:r>
          </w:p>
        </w:tc>
        <w:tc>
          <w:tcPr>
            <w:tcW w:w="1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vMerge w:val="restart"/>
          </w:tcPr>
          <w:p>
            <w:pPr>
              <w:ind w:left="40"/>
              <w:spacing w:after="0"/>
              <w:rPr>
                <w:sz w:val="20"/>
                <w:szCs w:val="20"/>
                <w:color w:val="auto"/>
              </w:rPr>
            </w:pPr>
            <w:r>
              <w:rPr>
                <w:rFonts w:ascii="Arial" w:cs="Arial" w:eastAsia="Arial" w:hAnsi="Arial"/>
                <w:sz w:val="9"/>
                <w:szCs w:val="9"/>
                <w:color w:val="auto"/>
              </w:rPr>
              <w:t>9</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680" w:type="dxa"/>
            <w:vAlign w:val="bottom"/>
            <w:vMerge w:val="continue"/>
          </w:tcPr>
          <w:p>
            <w:pPr>
              <w:spacing w:after="0"/>
              <w:rPr>
                <w:sz w:val="4"/>
                <w:szCs w:val="4"/>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2021</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9,055,948</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auto"/>
              </w:rPr>
              <w:t>16,259,710</w:t>
            </w:r>
          </w:p>
        </w:tc>
        <w:tc>
          <w:tcPr>
            <w:tcW w:w="1300" w:type="dxa"/>
            <w:vAlign w:val="bottom"/>
            <w:vMerge w:val="restart"/>
          </w:tcPr>
          <w:p>
            <w:pPr>
              <w:jc w:val="right"/>
              <w:ind w:right="67"/>
              <w:spacing w:after="0"/>
              <w:rPr>
                <w:sz w:val="20"/>
                <w:szCs w:val="20"/>
                <w:color w:val="auto"/>
              </w:rPr>
            </w:pPr>
            <w:r>
              <w:rPr>
                <w:rFonts w:ascii="Arial" w:cs="Arial" w:eastAsia="Arial" w:hAnsi="Arial"/>
                <w:sz w:val="14"/>
                <w:szCs w:val="14"/>
                <w:color w:val="auto"/>
              </w:rPr>
              <w:t>27,862,500</w:t>
            </w:r>
          </w:p>
        </w:tc>
        <w:tc>
          <w:tcPr>
            <w:tcW w:w="260" w:type="dxa"/>
            <w:vAlign w:val="bottom"/>
          </w:tcPr>
          <w:p>
            <w:pPr>
              <w:spacing w:after="0"/>
              <w:rPr>
                <w:sz w:val="4"/>
                <w:szCs w:val="4"/>
                <w:color w:val="auto"/>
              </w:rPr>
            </w:pPr>
          </w:p>
        </w:tc>
        <w:tc>
          <w:tcPr>
            <w:tcW w:w="1120" w:type="dxa"/>
            <w:vAlign w:val="bottom"/>
            <w:vMerge w:val="restart"/>
          </w:tcPr>
          <w:p>
            <w:pPr>
              <w:jc w:val="right"/>
              <w:ind w:right="6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151,089</w:t>
            </w:r>
          </w:p>
        </w:tc>
        <w:tc>
          <w:tcPr>
            <w:tcW w:w="280" w:type="dxa"/>
            <w:vAlign w:val="bottom"/>
            <w:vMerge w:val="continue"/>
          </w:tcPr>
          <w:p>
            <w:pPr>
              <w:spacing w:after="0"/>
              <w:rPr>
                <w:sz w:val="4"/>
                <w:szCs w:val="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53,329,247</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rPr>
                <w:sz w:val="20"/>
                <w:szCs w:val="20"/>
                <w:color w:val="auto"/>
              </w:rPr>
            </w:pPr>
            <w:r>
              <w:rPr>
                <w:rFonts w:ascii="Arial" w:cs="Arial" w:eastAsia="Arial" w:hAnsi="Arial"/>
                <w:sz w:val="14"/>
                <w:szCs w:val="14"/>
                <w:color w:val="auto"/>
              </w:rPr>
              <w:t>Co-President and Co-</w:t>
            </w:r>
          </w:p>
        </w:tc>
        <w:tc>
          <w:tcPr>
            <w:tcW w:w="5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80" w:type="dxa"/>
            <w:vAlign w:val="bottom"/>
          </w:tcPr>
          <w:p>
            <w:pPr>
              <w:ind w:left="20"/>
              <w:spacing w:after="0"/>
              <w:rPr>
                <w:sz w:val="20"/>
                <w:szCs w:val="20"/>
                <w:color w:val="auto"/>
              </w:rPr>
            </w:pPr>
            <w:r>
              <w:rPr>
                <w:rFonts w:ascii="Arial" w:cs="Arial" w:eastAsia="Arial" w:hAnsi="Arial"/>
                <w:sz w:val="14"/>
                <w:szCs w:val="14"/>
                <w:color w:val="auto"/>
              </w:rPr>
              <w:t>COO; CEO CIB</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2020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8,240,290</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auto"/>
              </w:rPr>
              <w:t>14,260,778</w:t>
            </w:r>
          </w:p>
        </w:tc>
        <w:tc>
          <w:tcPr>
            <w:tcW w:w="130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20" w:type="dxa"/>
            <w:vAlign w:val="bottom"/>
            <w:vMerge w:val="restart"/>
          </w:tcPr>
          <w:p>
            <w:pPr>
              <w:jc w:val="right"/>
              <w:ind w:right="6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46,118</w:t>
            </w: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22,547,186</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680" w:type="dxa"/>
            <w:vAlign w:val="bottom"/>
            <w:tcBorders>
              <w:bottom w:val="single" w:sz="8" w:color="454545"/>
            </w:tcBorders>
          </w:tcPr>
          <w:p>
            <w:pPr>
              <w:spacing w:after="0"/>
              <w:rPr>
                <w:sz w:val="19"/>
                <w:szCs w:val="19"/>
                <w:color w:val="auto"/>
              </w:rPr>
            </w:pPr>
          </w:p>
        </w:tc>
        <w:tc>
          <w:tcPr>
            <w:tcW w:w="56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8,239,222</w:t>
            </w:r>
          </w:p>
        </w:tc>
        <w:tc>
          <w:tcPr>
            <w:tcW w:w="1220" w:type="dxa"/>
            <w:vAlign w:val="bottom"/>
            <w:tcBorders>
              <w:bottom w:val="single" w:sz="8" w:color="454545"/>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454545"/>
            </w:tcBorders>
          </w:tcPr>
          <w:p>
            <w:pPr>
              <w:jc w:val="right"/>
              <w:ind w:right="27"/>
              <w:spacing w:after="0"/>
              <w:rPr>
                <w:sz w:val="20"/>
                <w:szCs w:val="20"/>
                <w:color w:val="auto"/>
              </w:rPr>
            </w:pPr>
            <w:r>
              <w:rPr>
                <w:rFonts w:ascii="Arial" w:cs="Arial" w:eastAsia="Arial" w:hAnsi="Arial"/>
                <w:sz w:val="14"/>
                <w:szCs w:val="14"/>
                <w:color w:val="auto"/>
              </w:rPr>
              <w:t>13,723,974</w:t>
            </w:r>
          </w:p>
        </w:tc>
        <w:tc>
          <w:tcPr>
            <w:tcW w:w="1300" w:type="dxa"/>
            <w:vAlign w:val="bottom"/>
            <w:tcBorders>
              <w:bottom w:val="single" w:sz="8" w:color="454545"/>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54545"/>
            </w:tcBorders>
          </w:tcPr>
          <w:p>
            <w:pPr>
              <w:spacing w:after="0"/>
              <w:rPr>
                <w:sz w:val="19"/>
                <w:szCs w:val="19"/>
                <w:color w:val="auto"/>
              </w:rPr>
            </w:pPr>
          </w:p>
        </w:tc>
        <w:tc>
          <w:tcPr>
            <w:tcW w:w="1120" w:type="dxa"/>
            <w:vAlign w:val="bottom"/>
            <w:tcBorders>
              <w:bottom w:val="single" w:sz="8" w:color="454545"/>
            </w:tcBorders>
          </w:tcPr>
          <w:p>
            <w:pPr>
              <w:jc w:val="right"/>
              <w:ind w:right="6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54545"/>
            </w:tcBorders>
          </w:tcPr>
          <w:p>
            <w:pPr>
              <w:spacing w:after="0"/>
              <w:rPr>
                <w:sz w:val="19"/>
                <w:szCs w:val="19"/>
                <w:color w:val="auto"/>
              </w:rPr>
            </w:pPr>
          </w:p>
        </w:tc>
        <w:tc>
          <w:tcPr>
            <w:tcW w:w="10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72,246</w:t>
            </w:r>
          </w:p>
        </w:tc>
        <w:tc>
          <w:tcPr>
            <w:tcW w:w="280" w:type="dxa"/>
            <w:vAlign w:val="bottom"/>
            <w:tcBorders>
              <w:bottom w:val="single" w:sz="8" w:color="454545"/>
            </w:tcBorders>
          </w:tcPr>
          <w:p>
            <w:pPr>
              <w:spacing w:after="0"/>
              <w:rPr>
                <w:sz w:val="19"/>
                <w:szCs w:val="19"/>
                <w:color w:val="auto"/>
              </w:rPr>
            </w:pPr>
          </w:p>
        </w:tc>
        <w:tc>
          <w:tcPr>
            <w:tcW w:w="122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22,035,442</w:t>
            </w:r>
          </w:p>
        </w:tc>
        <w:tc>
          <w:tcPr>
            <w:tcW w:w="0" w:type="dxa"/>
            <w:vAlign w:val="bottom"/>
          </w:tcPr>
          <w:p>
            <w:pPr>
              <w:spacing w:after="0"/>
              <w:rPr>
                <w:sz w:val="1"/>
                <w:szCs w:val="1"/>
                <w:color w:val="auto"/>
              </w:rPr>
            </w:pPr>
          </w:p>
        </w:tc>
      </w:tr>
      <w:tr>
        <w:trPr>
          <w:trHeight w:val="177"/>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Gordon Smith</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spacing w:after="0"/>
              <w:rPr>
                <w:sz w:val="20"/>
                <w:szCs w:val="20"/>
                <w:color w:val="auto"/>
              </w:rPr>
            </w:pPr>
            <w:r>
              <w:rPr>
                <w:rFonts w:ascii="Arial" w:cs="Arial" w:eastAsia="Arial" w:hAnsi="Arial"/>
                <w:sz w:val="14"/>
                <w:szCs w:val="14"/>
                <w:color w:val="auto"/>
              </w:rPr>
              <w:t>750,000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8,700,000</w:t>
            </w:r>
          </w:p>
        </w:tc>
        <w:tc>
          <w:tcPr>
            <w:tcW w:w="1240" w:type="dxa"/>
            <w:vAlign w:val="bottom"/>
          </w:tcPr>
          <w:p>
            <w:pPr>
              <w:jc w:val="right"/>
              <w:ind w:right="27"/>
              <w:spacing w:after="0"/>
              <w:rPr>
                <w:sz w:val="20"/>
                <w:szCs w:val="20"/>
                <w:color w:val="auto"/>
              </w:rPr>
            </w:pPr>
            <w:r>
              <w:rPr>
                <w:rFonts w:ascii="Arial" w:cs="Arial" w:eastAsia="Arial" w:hAnsi="Arial"/>
                <w:sz w:val="14"/>
                <w:szCs w:val="14"/>
                <w:color w:val="auto"/>
              </w:rPr>
              <w:t>13,050,000</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1,031</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49,475</w:t>
            </w:r>
          </w:p>
        </w:tc>
        <w:tc>
          <w:tcPr>
            <w:tcW w:w="280" w:type="dxa"/>
            <w:vAlign w:val="bottom"/>
          </w:tcPr>
          <w:p>
            <w:pPr>
              <w:ind w:left="40"/>
              <w:spacing w:after="0"/>
              <w:rPr>
                <w:sz w:val="20"/>
                <w:szCs w:val="20"/>
                <w:color w:val="auto"/>
              </w:rPr>
            </w:pPr>
            <w:r>
              <w:rPr>
                <w:rFonts w:ascii="Arial" w:cs="Arial" w:eastAsia="Arial" w:hAnsi="Arial"/>
                <w:sz w:val="9"/>
                <w:szCs w:val="9"/>
                <w:color w:val="auto"/>
              </w:rPr>
              <w:t>10</w:t>
            </w:r>
          </w:p>
        </w:tc>
        <w:tc>
          <w:tcPr>
            <w:tcW w:w="1220" w:type="dxa"/>
            <w:vAlign w:val="bottom"/>
          </w:tcPr>
          <w:p>
            <w:pPr>
              <w:jc w:val="right"/>
              <w:spacing w:after="0"/>
              <w:rPr>
                <w:sz w:val="20"/>
                <w:szCs w:val="20"/>
                <w:color w:val="auto"/>
              </w:rPr>
            </w:pPr>
            <w:r>
              <w:rPr>
                <w:rFonts w:ascii="Arial" w:cs="Arial" w:eastAsia="Arial" w:hAnsi="Arial"/>
                <w:sz w:val="14"/>
                <w:szCs w:val="14"/>
                <w:color w:val="auto"/>
              </w:rPr>
              <w:t>22,550,506</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rPr>
                <w:sz w:val="20"/>
                <w:szCs w:val="20"/>
                <w:color w:val="auto"/>
              </w:rPr>
            </w:pPr>
            <w:r>
              <w:rPr>
                <w:rFonts w:ascii="Arial" w:cs="Arial" w:eastAsia="Arial" w:hAnsi="Arial"/>
                <w:sz w:val="14"/>
                <w:szCs w:val="14"/>
                <w:color w:val="auto"/>
              </w:rPr>
              <w:t>Co-President and Co-</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2020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8,700,000</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auto"/>
              </w:rPr>
              <w:t>13,050,000</w:t>
            </w:r>
          </w:p>
        </w:tc>
        <w:tc>
          <w:tcPr>
            <w:tcW w:w="130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20" w:type="dxa"/>
            <w:vAlign w:val="bottom"/>
            <w:vMerge w:val="restart"/>
          </w:tcPr>
          <w:p>
            <w:pPr>
              <w:jc w:val="right"/>
              <w:ind w:right="66"/>
              <w:spacing w:after="0"/>
              <w:rPr>
                <w:sz w:val="20"/>
                <w:szCs w:val="20"/>
                <w:color w:val="auto"/>
              </w:rPr>
            </w:pPr>
            <w:r>
              <w:rPr>
                <w:rFonts w:ascii="Arial" w:cs="Arial" w:eastAsia="Arial" w:hAnsi="Arial"/>
                <w:sz w:val="14"/>
                <w:szCs w:val="14"/>
                <w:color w:val="auto"/>
              </w:rPr>
              <w:t>4,135</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4,000</w:t>
            </w:r>
          </w:p>
        </w:tc>
        <w:tc>
          <w:tcPr>
            <w:tcW w:w="2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22,508,135</w:t>
            </w:r>
          </w:p>
        </w:tc>
        <w:tc>
          <w:tcPr>
            <w:tcW w:w="0" w:type="dxa"/>
            <w:vAlign w:val="bottom"/>
          </w:tcPr>
          <w:p>
            <w:pPr>
              <w:spacing w:after="0"/>
              <w:rPr>
                <w:sz w:val="1"/>
                <w:szCs w:val="1"/>
                <w:color w:val="auto"/>
              </w:rPr>
            </w:pPr>
          </w:p>
        </w:tc>
      </w:tr>
      <w:tr>
        <w:trPr>
          <w:trHeight w:val="82"/>
        </w:trPr>
        <w:tc>
          <w:tcPr>
            <w:tcW w:w="1680" w:type="dxa"/>
            <w:vAlign w:val="bottom"/>
            <w:vMerge w:val="restart"/>
          </w:tcPr>
          <w:p>
            <w:pPr>
              <w:ind w:left="20"/>
              <w:spacing w:after="0"/>
              <w:rPr>
                <w:sz w:val="20"/>
                <w:szCs w:val="20"/>
                <w:color w:val="auto"/>
              </w:rPr>
            </w:pPr>
            <w:r>
              <w:rPr>
                <w:rFonts w:ascii="Arial" w:cs="Arial" w:eastAsia="Arial" w:hAnsi="Arial"/>
                <w:sz w:val="14"/>
                <w:szCs w:val="14"/>
                <w:color w:val="auto"/>
              </w:rPr>
              <w:t>COO; CEO CCB</w:t>
            </w:r>
          </w:p>
        </w:tc>
        <w:tc>
          <w:tcPr>
            <w:tcW w:w="5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2019</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8,700,000</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auto"/>
              </w:rPr>
              <w:t>12,750,000</w:t>
            </w:r>
          </w:p>
        </w:tc>
        <w:tc>
          <w:tcPr>
            <w:tcW w:w="130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9"/>
                <w:szCs w:val="9"/>
                <w:color w:val="auto"/>
              </w:rPr>
            </w:pPr>
          </w:p>
        </w:tc>
        <w:tc>
          <w:tcPr>
            <w:tcW w:w="1120" w:type="dxa"/>
            <w:vAlign w:val="bottom"/>
            <w:vMerge w:val="restart"/>
          </w:tcPr>
          <w:p>
            <w:pPr>
              <w:jc w:val="right"/>
              <w:ind w:right="66"/>
              <w:spacing w:after="0"/>
              <w:rPr>
                <w:sz w:val="20"/>
                <w:szCs w:val="20"/>
                <w:color w:val="auto"/>
              </w:rPr>
            </w:pPr>
            <w:r>
              <w:rPr>
                <w:rFonts w:ascii="Arial" w:cs="Arial" w:eastAsia="Arial" w:hAnsi="Arial"/>
                <w:sz w:val="14"/>
                <w:szCs w:val="14"/>
                <w:color w:val="auto"/>
              </w:rPr>
              <w:t>9,071</w:t>
            </w: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22,209,071</w:t>
            </w:r>
          </w:p>
        </w:tc>
        <w:tc>
          <w:tcPr>
            <w:tcW w:w="0" w:type="dxa"/>
            <w:vAlign w:val="bottom"/>
          </w:tcPr>
          <w:p>
            <w:pPr>
              <w:spacing w:after="0"/>
              <w:rPr>
                <w:sz w:val="1"/>
                <w:szCs w:val="1"/>
                <w:color w:val="auto"/>
              </w:rPr>
            </w:pPr>
          </w:p>
        </w:tc>
      </w:tr>
      <w:tr>
        <w:trPr>
          <w:trHeight w:val="112"/>
        </w:trPr>
        <w:tc>
          <w:tcPr>
            <w:tcW w:w="1680" w:type="dxa"/>
            <w:vAlign w:val="bottom"/>
            <w:tcBorders>
              <w:bottom w:val="single" w:sz="8" w:color="454545"/>
            </w:tcBorders>
          </w:tcPr>
          <w:p>
            <w:pPr>
              <w:spacing w:after="0"/>
              <w:rPr>
                <w:sz w:val="9"/>
                <w:szCs w:val="9"/>
                <w:color w:val="auto"/>
              </w:rPr>
            </w:pPr>
          </w:p>
        </w:tc>
        <w:tc>
          <w:tcPr>
            <w:tcW w:w="560" w:type="dxa"/>
            <w:vAlign w:val="bottom"/>
            <w:tcBorders>
              <w:bottom w:val="single" w:sz="8" w:color="454545"/>
            </w:tcBorders>
            <w:vMerge w:val="continue"/>
          </w:tcPr>
          <w:p>
            <w:pPr>
              <w:spacing w:after="0"/>
              <w:rPr>
                <w:sz w:val="9"/>
                <w:szCs w:val="9"/>
                <w:color w:val="auto"/>
              </w:rPr>
            </w:pPr>
          </w:p>
        </w:tc>
        <w:tc>
          <w:tcPr>
            <w:tcW w:w="1060" w:type="dxa"/>
            <w:vAlign w:val="bottom"/>
            <w:tcBorders>
              <w:bottom w:val="single" w:sz="8" w:color="454545"/>
            </w:tcBorders>
            <w:vMerge w:val="continue"/>
          </w:tcPr>
          <w:p>
            <w:pPr>
              <w:spacing w:after="0"/>
              <w:rPr>
                <w:sz w:val="9"/>
                <w:szCs w:val="9"/>
                <w:color w:val="auto"/>
              </w:rPr>
            </w:pPr>
          </w:p>
        </w:tc>
        <w:tc>
          <w:tcPr>
            <w:tcW w:w="1220" w:type="dxa"/>
            <w:vAlign w:val="bottom"/>
            <w:tcBorders>
              <w:bottom w:val="single" w:sz="8" w:color="454545"/>
            </w:tcBorders>
            <w:vMerge w:val="continue"/>
          </w:tcPr>
          <w:p>
            <w:pPr>
              <w:spacing w:after="0"/>
              <w:rPr>
                <w:sz w:val="9"/>
                <w:szCs w:val="9"/>
                <w:color w:val="auto"/>
              </w:rPr>
            </w:pPr>
          </w:p>
        </w:tc>
        <w:tc>
          <w:tcPr>
            <w:tcW w:w="1240" w:type="dxa"/>
            <w:vAlign w:val="bottom"/>
            <w:tcBorders>
              <w:bottom w:val="single" w:sz="8" w:color="454545"/>
            </w:tcBorders>
            <w:vMerge w:val="continue"/>
          </w:tcPr>
          <w:p>
            <w:pPr>
              <w:spacing w:after="0"/>
              <w:rPr>
                <w:sz w:val="9"/>
                <w:szCs w:val="9"/>
                <w:color w:val="auto"/>
              </w:rPr>
            </w:pPr>
          </w:p>
        </w:tc>
        <w:tc>
          <w:tcPr>
            <w:tcW w:w="1300" w:type="dxa"/>
            <w:vAlign w:val="bottom"/>
            <w:tcBorders>
              <w:bottom w:val="single" w:sz="8" w:color="454545"/>
            </w:tcBorders>
            <w:vMerge w:val="continue"/>
          </w:tcPr>
          <w:p>
            <w:pPr>
              <w:spacing w:after="0"/>
              <w:rPr>
                <w:sz w:val="9"/>
                <w:szCs w:val="9"/>
                <w:color w:val="auto"/>
              </w:rPr>
            </w:pPr>
          </w:p>
        </w:tc>
        <w:tc>
          <w:tcPr>
            <w:tcW w:w="260" w:type="dxa"/>
            <w:vAlign w:val="bottom"/>
            <w:tcBorders>
              <w:bottom w:val="single" w:sz="8" w:color="454545"/>
            </w:tcBorders>
          </w:tcPr>
          <w:p>
            <w:pPr>
              <w:spacing w:after="0"/>
              <w:rPr>
                <w:sz w:val="9"/>
                <w:szCs w:val="9"/>
                <w:color w:val="auto"/>
              </w:rPr>
            </w:pPr>
          </w:p>
        </w:tc>
        <w:tc>
          <w:tcPr>
            <w:tcW w:w="1120" w:type="dxa"/>
            <w:vAlign w:val="bottom"/>
            <w:tcBorders>
              <w:bottom w:val="single" w:sz="8" w:color="454545"/>
            </w:tcBorders>
            <w:vMerge w:val="continue"/>
          </w:tcPr>
          <w:p>
            <w:pPr>
              <w:spacing w:after="0"/>
              <w:rPr>
                <w:sz w:val="9"/>
                <w:szCs w:val="9"/>
                <w:color w:val="auto"/>
              </w:rPr>
            </w:pPr>
          </w:p>
        </w:tc>
        <w:tc>
          <w:tcPr>
            <w:tcW w:w="300" w:type="dxa"/>
            <w:vAlign w:val="bottom"/>
            <w:tcBorders>
              <w:bottom w:val="single" w:sz="8" w:color="454545"/>
            </w:tcBorders>
          </w:tcPr>
          <w:p>
            <w:pPr>
              <w:spacing w:after="0"/>
              <w:rPr>
                <w:sz w:val="9"/>
                <w:szCs w:val="9"/>
                <w:color w:val="auto"/>
              </w:rPr>
            </w:pPr>
          </w:p>
        </w:tc>
        <w:tc>
          <w:tcPr>
            <w:tcW w:w="1000" w:type="dxa"/>
            <w:vAlign w:val="bottom"/>
            <w:tcBorders>
              <w:bottom w:val="single" w:sz="8" w:color="454545"/>
            </w:tcBorders>
            <w:vMerge w:val="continue"/>
          </w:tcPr>
          <w:p>
            <w:pPr>
              <w:spacing w:after="0"/>
              <w:rPr>
                <w:sz w:val="9"/>
                <w:szCs w:val="9"/>
                <w:color w:val="auto"/>
              </w:rPr>
            </w:pPr>
          </w:p>
        </w:tc>
        <w:tc>
          <w:tcPr>
            <w:tcW w:w="280" w:type="dxa"/>
            <w:vAlign w:val="bottom"/>
            <w:tcBorders>
              <w:bottom w:val="single" w:sz="8" w:color="454545"/>
            </w:tcBorders>
          </w:tcPr>
          <w:p>
            <w:pPr>
              <w:spacing w:after="0"/>
              <w:rPr>
                <w:sz w:val="9"/>
                <w:szCs w:val="9"/>
                <w:color w:val="auto"/>
              </w:rPr>
            </w:pPr>
          </w:p>
        </w:tc>
        <w:tc>
          <w:tcPr>
            <w:tcW w:w="1220" w:type="dxa"/>
            <w:vAlign w:val="bottom"/>
            <w:tcBorders>
              <w:bottom w:val="single" w:sz="8" w:color="45454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Mary Callahan Erdoes</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spacing w:after="0"/>
              <w:rPr>
                <w:sz w:val="20"/>
                <w:szCs w:val="20"/>
                <w:color w:val="auto"/>
              </w:rPr>
            </w:pPr>
            <w:r>
              <w:rPr>
                <w:rFonts w:ascii="Arial" w:cs="Arial" w:eastAsia="Arial" w:hAnsi="Arial"/>
                <w:sz w:val="14"/>
                <w:szCs w:val="14"/>
                <w:color w:val="auto"/>
              </w:rPr>
              <w:t>750,000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7,900,000</w:t>
            </w:r>
          </w:p>
        </w:tc>
        <w:tc>
          <w:tcPr>
            <w:tcW w:w="1240" w:type="dxa"/>
            <w:vAlign w:val="bottom"/>
          </w:tcPr>
          <w:p>
            <w:pPr>
              <w:jc w:val="right"/>
              <w:ind w:right="27"/>
              <w:spacing w:after="0"/>
              <w:rPr>
                <w:sz w:val="20"/>
                <w:szCs w:val="20"/>
                <w:color w:val="auto"/>
              </w:rPr>
            </w:pPr>
            <w:r>
              <w:rPr>
                <w:rFonts w:ascii="Arial" w:cs="Arial" w:eastAsia="Arial" w:hAnsi="Arial"/>
                <w:sz w:val="14"/>
                <w:szCs w:val="14"/>
                <w:color w:val="auto"/>
              </w:rPr>
              <w:t>12,150,000</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ind w:left="40"/>
              <w:spacing w:after="0"/>
              <w:rPr>
                <w:sz w:val="20"/>
                <w:szCs w:val="20"/>
                <w:color w:val="auto"/>
              </w:rPr>
            </w:pPr>
            <w:r>
              <w:rPr>
                <w:rFonts w:ascii="Arial" w:cs="Arial" w:eastAsia="Arial" w:hAnsi="Arial"/>
                <w:sz w:val="9"/>
                <w:szCs w:val="9"/>
                <w:color w:val="auto"/>
              </w:rPr>
              <w:t>11</w:t>
            </w:r>
          </w:p>
        </w:tc>
        <w:tc>
          <w:tcPr>
            <w:tcW w:w="1220" w:type="dxa"/>
            <w:vAlign w:val="bottom"/>
          </w:tcPr>
          <w:p>
            <w:pPr>
              <w:jc w:val="right"/>
              <w:spacing w:after="0"/>
              <w:rPr>
                <w:sz w:val="20"/>
                <w:szCs w:val="20"/>
                <w:color w:val="auto"/>
              </w:rPr>
            </w:pPr>
            <w:r>
              <w:rPr>
                <w:rFonts w:ascii="Arial" w:cs="Arial" w:eastAsia="Arial" w:hAnsi="Arial"/>
                <w:sz w:val="14"/>
                <w:szCs w:val="14"/>
                <w:color w:val="auto"/>
              </w:rPr>
              <w:t>20,805,000</w:t>
            </w:r>
          </w:p>
        </w:tc>
        <w:tc>
          <w:tcPr>
            <w:tcW w:w="0" w:type="dxa"/>
            <w:vAlign w:val="bottom"/>
          </w:tcPr>
          <w:p>
            <w:pPr>
              <w:spacing w:after="0"/>
              <w:rPr>
                <w:sz w:val="1"/>
                <w:szCs w:val="1"/>
                <w:color w:val="auto"/>
              </w:rPr>
            </w:pPr>
          </w:p>
        </w:tc>
      </w:tr>
      <w:tr>
        <w:trPr>
          <w:trHeight w:val="190"/>
        </w:trPr>
        <w:tc>
          <w:tcPr>
            <w:tcW w:w="1680" w:type="dxa"/>
            <w:vAlign w:val="bottom"/>
          </w:tcPr>
          <w:p>
            <w:pPr>
              <w:ind w:left="20"/>
              <w:spacing w:after="0"/>
              <w:rPr>
                <w:sz w:val="20"/>
                <w:szCs w:val="20"/>
                <w:color w:val="auto"/>
              </w:rPr>
            </w:pPr>
            <w:r>
              <w:rPr>
                <w:rFonts w:ascii="Arial" w:cs="Arial" w:eastAsia="Arial" w:hAnsi="Arial"/>
                <w:sz w:val="14"/>
                <w:szCs w:val="14"/>
                <w:color w:val="auto"/>
              </w:rPr>
              <w:t>CEO AWM</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2020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8,100,000</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auto"/>
              </w:rPr>
              <w:t>12,150,000</w:t>
            </w:r>
          </w:p>
        </w:tc>
        <w:tc>
          <w:tcPr>
            <w:tcW w:w="130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20" w:type="dxa"/>
            <w:vAlign w:val="bottom"/>
            <w:vMerge w:val="restart"/>
          </w:tcPr>
          <w:p>
            <w:pPr>
              <w:jc w:val="right"/>
              <w:ind w:right="66"/>
              <w:spacing w:after="0"/>
              <w:rPr>
                <w:sz w:val="20"/>
                <w:szCs w:val="20"/>
                <w:color w:val="auto"/>
              </w:rPr>
            </w:pPr>
            <w:r>
              <w:rPr>
                <w:rFonts w:ascii="Arial" w:cs="Arial" w:eastAsia="Arial" w:hAnsi="Arial"/>
                <w:sz w:val="14"/>
                <w:szCs w:val="14"/>
                <w:color w:val="auto"/>
              </w:rPr>
              <w:t>52,633</w:t>
            </w:r>
          </w:p>
        </w:tc>
        <w:tc>
          <w:tcPr>
            <w:tcW w:w="3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21,057,633</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680" w:type="dxa"/>
            <w:vAlign w:val="bottom"/>
            <w:tcBorders>
              <w:bottom w:val="single" w:sz="8" w:color="454545"/>
            </w:tcBorders>
          </w:tcPr>
          <w:p>
            <w:pPr>
              <w:spacing w:after="0"/>
              <w:rPr>
                <w:sz w:val="19"/>
                <w:szCs w:val="19"/>
                <w:color w:val="auto"/>
              </w:rPr>
            </w:pPr>
          </w:p>
        </w:tc>
        <w:tc>
          <w:tcPr>
            <w:tcW w:w="56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750,000</w:t>
            </w:r>
          </w:p>
        </w:tc>
        <w:tc>
          <w:tcPr>
            <w:tcW w:w="1220" w:type="dxa"/>
            <w:vAlign w:val="bottom"/>
            <w:tcBorders>
              <w:bottom w:val="single" w:sz="8" w:color="454545"/>
            </w:tcBorders>
          </w:tcPr>
          <w:p>
            <w:pPr>
              <w:jc w:val="right"/>
              <w:ind w:right="28"/>
              <w:spacing w:after="0"/>
              <w:rPr>
                <w:sz w:val="20"/>
                <w:szCs w:val="20"/>
                <w:color w:val="auto"/>
              </w:rPr>
            </w:pPr>
            <w:r>
              <w:rPr>
                <w:rFonts w:ascii="Arial" w:cs="Arial" w:eastAsia="Arial" w:hAnsi="Arial"/>
                <w:sz w:val="14"/>
                <w:szCs w:val="14"/>
                <w:color w:val="auto"/>
              </w:rPr>
              <w:t>8,100,000</w:t>
            </w:r>
          </w:p>
        </w:tc>
        <w:tc>
          <w:tcPr>
            <w:tcW w:w="1240" w:type="dxa"/>
            <w:vAlign w:val="bottom"/>
            <w:tcBorders>
              <w:bottom w:val="single" w:sz="8" w:color="454545"/>
            </w:tcBorders>
          </w:tcPr>
          <w:p>
            <w:pPr>
              <w:jc w:val="right"/>
              <w:ind w:right="27"/>
              <w:spacing w:after="0"/>
              <w:rPr>
                <w:sz w:val="20"/>
                <w:szCs w:val="20"/>
                <w:color w:val="auto"/>
              </w:rPr>
            </w:pPr>
            <w:r>
              <w:rPr>
                <w:rFonts w:ascii="Arial" w:cs="Arial" w:eastAsia="Arial" w:hAnsi="Arial"/>
                <w:sz w:val="14"/>
                <w:szCs w:val="14"/>
                <w:color w:val="auto"/>
              </w:rPr>
              <w:t>11,850,000</w:t>
            </w:r>
          </w:p>
        </w:tc>
        <w:tc>
          <w:tcPr>
            <w:tcW w:w="1300" w:type="dxa"/>
            <w:vAlign w:val="bottom"/>
            <w:tcBorders>
              <w:bottom w:val="single" w:sz="8" w:color="454545"/>
            </w:tcBorders>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54545"/>
            </w:tcBorders>
          </w:tcPr>
          <w:p>
            <w:pPr>
              <w:spacing w:after="0"/>
              <w:rPr>
                <w:sz w:val="19"/>
                <w:szCs w:val="19"/>
                <w:color w:val="auto"/>
              </w:rPr>
            </w:pPr>
          </w:p>
        </w:tc>
        <w:tc>
          <w:tcPr>
            <w:tcW w:w="1120" w:type="dxa"/>
            <w:vAlign w:val="bottom"/>
            <w:tcBorders>
              <w:bottom w:val="single" w:sz="8" w:color="454545"/>
            </w:tcBorders>
          </w:tcPr>
          <w:p>
            <w:pPr>
              <w:jc w:val="right"/>
              <w:ind w:right="66"/>
              <w:spacing w:after="0"/>
              <w:rPr>
                <w:sz w:val="20"/>
                <w:szCs w:val="20"/>
                <w:color w:val="auto"/>
              </w:rPr>
            </w:pPr>
            <w:r>
              <w:rPr>
                <w:rFonts w:ascii="Arial" w:cs="Arial" w:eastAsia="Arial" w:hAnsi="Arial"/>
                <w:sz w:val="14"/>
                <w:szCs w:val="14"/>
                <w:color w:val="auto"/>
              </w:rPr>
              <w:t>54,269</w:t>
            </w:r>
          </w:p>
        </w:tc>
        <w:tc>
          <w:tcPr>
            <w:tcW w:w="300" w:type="dxa"/>
            <w:vAlign w:val="bottom"/>
            <w:tcBorders>
              <w:bottom w:val="single" w:sz="8" w:color="454545"/>
            </w:tcBorders>
          </w:tcPr>
          <w:p>
            <w:pPr>
              <w:spacing w:after="0"/>
              <w:rPr>
                <w:sz w:val="19"/>
                <w:szCs w:val="19"/>
                <w:color w:val="auto"/>
              </w:rPr>
            </w:pPr>
          </w:p>
        </w:tc>
        <w:tc>
          <w:tcPr>
            <w:tcW w:w="10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454545"/>
            </w:tcBorders>
          </w:tcPr>
          <w:p>
            <w:pPr>
              <w:spacing w:after="0"/>
              <w:rPr>
                <w:sz w:val="19"/>
                <w:szCs w:val="19"/>
                <w:color w:val="auto"/>
              </w:rPr>
            </w:pPr>
          </w:p>
        </w:tc>
        <w:tc>
          <w:tcPr>
            <w:tcW w:w="122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20,754,269</w:t>
            </w:r>
          </w:p>
        </w:tc>
        <w:tc>
          <w:tcPr>
            <w:tcW w:w="0" w:type="dxa"/>
            <w:vAlign w:val="bottom"/>
          </w:tcPr>
          <w:p>
            <w:pPr>
              <w:spacing w:after="0"/>
              <w:rPr>
                <w:sz w:val="1"/>
                <w:szCs w:val="1"/>
                <w:color w:val="auto"/>
              </w:rPr>
            </w:pPr>
          </w:p>
        </w:tc>
      </w:tr>
      <w:tr>
        <w:trPr>
          <w:trHeight w:val="177"/>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spacing w:after="0"/>
              <w:rPr>
                <w:sz w:val="20"/>
                <w:szCs w:val="20"/>
                <w:color w:val="auto"/>
              </w:rPr>
            </w:pPr>
            <w:r>
              <w:rPr>
                <w:rFonts w:ascii="Arial" w:cs="Arial" w:eastAsia="Arial" w:hAnsi="Arial"/>
                <w:sz w:val="14"/>
                <w:szCs w:val="14"/>
                <w:color w:val="auto"/>
              </w:rPr>
              <w:t>750,000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6,300,000</w:t>
            </w:r>
          </w:p>
        </w:tc>
        <w:tc>
          <w:tcPr>
            <w:tcW w:w="1240" w:type="dxa"/>
            <w:vAlign w:val="bottom"/>
          </w:tcPr>
          <w:p>
            <w:pPr>
              <w:jc w:val="right"/>
              <w:ind w:right="27"/>
              <w:spacing w:after="0"/>
              <w:rPr>
                <w:sz w:val="20"/>
                <w:szCs w:val="20"/>
                <w:color w:val="auto"/>
              </w:rPr>
            </w:pPr>
            <w:r>
              <w:rPr>
                <w:rFonts w:ascii="Arial" w:cs="Arial" w:eastAsia="Arial" w:hAnsi="Arial"/>
                <w:sz w:val="14"/>
                <w:szCs w:val="14"/>
                <w:color w:val="auto"/>
              </w:rPr>
              <w:t>6,750,000</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ind w:left="40"/>
              <w:spacing w:after="0"/>
              <w:rPr>
                <w:sz w:val="20"/>
                <w:szCs w:val="20"/>
                <w:color w:val="auto"/>
              </w:rPr>
            </w:pPr>
            <w:r>
              <w:rPr>
                <w:rFonts w:ascii="Arial" w:cs="Arial" w:eastAsia="Arial" w:hAnsi="Arial"/>
                <w:sz w:val="9"/>
                <w:szCs w:val="9"/>
                <w:color w:val="auto"/>
              </w:rPr>
              <w:t>12</w:t>
            </w:r>
          </w:p>
        </w:tc>
        <w:tc>
          <w:tcPr>
            <w:tcW w:w="1220" w:type="dxa"/>
            <w:vAlign w:val="bottom"/>
          </w:tcPr>
          <w:p>
            <w:pPr>
              <w:jc w:val="right"/>
              <w:spacing w:after="0"/>
              <w:rPr>
                <w:sz w:val="20"/>
                <w:szCs w:val="20"/>
                <w:color w:val="auto"/>
              </w:rPr>
            </w:pPr>
            <w:r>
              <w:rPr>
                <w:rFonts w:ascii="Arial" w:cs="Arial" w:eastAsia="Arial" w:hAnsi="Arial"/>
                <w:sz w:val="14"/>
                <w:szCs w:val="14"/>
                <w:color w:val="auto"/>
              </w:rPr>
              <w:t>13,805,000</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rPr>
                <w:sz w:val="20"/>
                <w:szCs w:val="20"/>
                <w:color w:val="auto"/>
              </w:rPr>
            </w:pPr>
            <w:r>
              <w:rPr>
                <w:rFonts w:ascii="Arial" w:cs="Arial" w:eastAsia="Arial" w:hAnsi="Arial"/>
                <w:sz w:val="14"/>
                <w:szCs w:val="14"/>
                <w:color w:val="auto"/>
              </w:rPr>
              <w:t>Co-CEO, CCB &amp; Former</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2020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4,500,000</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auto"/>
              </w:rPr>
              <w:t>5,600,000</w:t>
            </w:r>
          </w:p>
        </w:tc>
        <w:tc>
          <w:tcPr>
            <w:tcW w:w="130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20" w:type="dxa"/>
            <w:vAlign w:val="bottom"/>
            <w:vMerge w:val="restart"/>
          </w:tcPr>
          <w:p>
            <w:pPr>
              <w:jc w:val="right"/>
              <w:ind w:right="66"/>
              <w:spacing w:after="0"/>
              <w:rPr>
                <w:sz w:val="20"/>
                <w:szCs w:val="20"/>
                <w:color w:val="auto"/>
              </w:rPr>
            </w:pPr>
            <w:r>
              <w:rPr>
                <w:rFonts w:ascii="Arial" w:cs="Arial" w:eastAsia="Arial" w:hAnsi="Arial"/>
                <w:sz w:val="14"/>
                <w:szCs w:val="14"/>
                <w:color w:val="auto"/>
              </w:rPr>
              <w:t>45,851</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10,900,851</w:t>
            </w:r>
          </w:p>
        </w:tc>
        <w:tc>
          <w:tcPr>
            <w:tcW w:w="0" w:type="dxa"/>
            <w:vAlign w:val="bottom"/>
          </w:tcPr>
          <w:p>
            <w:pPr>
              <w:spacing w:after="0"/>
              <w:rPr>
                <w:sz w:val="1"/>
                <w:szCs w:val="1"/>
                <w:color w:val="auto"/>
              </w:rPr>
            </w:pPr>
          </w:p>
        </w:tc>
      </w:tr>
      <w:tr>
        <w:trPr>
          <w:trHeight w:val="82"/>
        </w:trPr>
        <w:tc>
          <w:tcPr>
            <w:tcW w:w="1680" w:type="dxa"/>
            <w:vAlign w:val="bottom"/>
            <w:vMerge w:val="restart"/>
          </w:tcPr>
          <w:p>
            <w:pPr>
              <w:ind w:left="20"/>
              <w:spacing w:after="0"/>
              <w:rPr>
                <w:sz w:val="20"/>
                <w:szCs w:val="20"/>
                <w:color w:val="auto"/>
              </w:rPr>
            </w:pPr>
            <w:r>
              <w:rPr>
                <w:rFonts w:ascii="Arial" w:cs="Arial" w:eastAsia="Arial" w:hAnsi="Arial"/>
                <w:sz w:val="14"/>
                <w:szCs w:val="14"/>
                <w:color w:val="auto"/>
              </w:rPr>
              <w:t>Chief Financial Officer</w:t>
            </w:r>
          </w:p>
        </w:tc>
        <w:tc>
          <w:tcPr>
            <w:tcW w:w="5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2019</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666,667</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3,733,333</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auto"/>
              </w:rPr>
              <w:t>3,300,000</w:t>
            </w:r>
          </w:p>
        </w:tc>
        <w:tc>
          <w:tcPr>
            <w:tcW w:w="1300" w:type="dxa"/>
            <w:vAlign w:val="bottom"/>
            <w:vMerge w:val="restart"/>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9"/>
                <w:szCs w:val="9"/>
                <w:color w:val="auto"/>
              </w:rPr>
            </w:pPr>
          </w:p>
        </w:tc>
        <w:tc>
          <w:tcPr>
            <w:tcW w:w="1120" w:type="dxa"/>
            <w:vAlign w:val="bottom"/>
            <w:vMerge w:val="restart"/>
          </w:tcPr>
          <w:p>
            <w:pPr>
              <w:jc w:val="right"/>
              <w:ind w:right="66"/>
              <w:spacing w:after="0"/>
              <w:rPr>
                <w:sz w:val="20"/>
                <w:szCs w:val="20"/>
                <w:color w:val="auto"/>
              </w:rPr>
            </w:pPr>
            <w:r>
              <w:rPr>
                <w:rFonts w:ascii="Arial" w:cs="Arial" w:eastAsia="Arial" w:hAnsi="Arial"/>
                <w:sz w:val="14"/>
                <w:szCs w:val="14"/>
                <w:color w:val="auto"/>
              </w:rPr>
              <w:t>46,527</w:t>
            </w: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7,746,527</w:t>
            </w:r>
          </w:p>
        </w:tc>
        <w:tc>
          <w:tcPr>
            <w:tcW w:w="0" w:type="dxa"/>
            <w:vAlign w:val="bottom"/>
          </w:tcPr>
          <w:p>
            <w:pPr>
              <w:spacing w:after="0"/>
              <w:rPr>
                <w:sz w:val="1"/>
                <w:szCs w:val="1"/>
                <w:color w:val="auto"/>
              </w:rPr>
            </w:pPr>
          </w:p>
        </w:tc>
      </w:tr>
      <w:tr>
        <w:trPr>
          <w:trHeight w:val="112"/>
        </w:trPr>
        <w:tc>
          <w:tcPr>
            <w:tcW w:w="1680" w:type="dxa"/>
            <w:vAlign w:val="bottom"/>
            <w:tcBorders>
              <w:bottom w:val="single" w:sz="8" w:color="454545"/>
            </w:tcBorders>
          </w:tcPr>
          <w:p>
            <w:pPr>
              <w:spacing w:after="0"/>
              <w:rPr>
                <w:sz w:val="9"/>
                <w:szCs w:val="9"/>
                <w:color w:val="auto"/>
              </w:rPr>
            </w:pPr>
          </w:p>
        </w:tc>
        <w:tc>
          <w:tcPr>
            <w:tcW w:w="560" w:type="dxa"/>
            <w:vAlign w:val="bottom"/>
            <w:tcBorders>
              <w:bottom w:val="single" w:sz="8" w:color="454545"/>
            </w:tcBorders>
            <w:vMerge w:val="continue"/>
          </w:tcPr>
          <w:p>
            <w:pPr>
              <w:spacing w:after="0"/>
              <w:rPr>
                <w:sz w:val="9"/>
                <w:szCs w:val="9"/>
                <w:color w:val="auto"/>
              </w:rPr>
            </w:pPr>
          </w:p>
        </w:tc>
        <w:tc>
          <w:tcPr>
            <w:tcW w:w="1060" w:type="dxa"/>
            <w:vAlign w:val="bottom"/>
            <w:tcBorders>
              <w:bottom w:val="single" w:sz="8" w:color="454545"/>
            </w:tcBorders>
            <w:vMerge w:val="continue"/>
          </w:tcPr>
          <w:p>
            <w:pPr>
              <w:spacing w:after="0"/>
              <w:rPr>
                <w:sz w:val="9"/>
                <w:szCs w:val="9"/>
                <w:color w:val="auto"/>
              </w:rPr>
            </w:pPr>
          </w:p>
        </w:tc>
        <w:tc>
          <w:tcPr>
            <w:tcW w:w="1220" w:type="dxa"/>
            <w:vAlign w:val="bottom"/>
            <w:tcBorders>
              <w:bottom w:val="single" w:sz="8" w:color="454545"/>
            </w:tcBorders>
            <w:vMerge w:val="continue"/>
          </w:tcPr>
          <w:p>
            <w:pPr>
              <w:spacing w:after="0"/>
              <w:rPr>
                <w:sz w:val="9"/>
                <w:szCs w:val="9"/>
                <w:color w:val="auto"/>
              </w:rPr>
            </w:pPr>
          </w:p>
        </w:tc>
        <w:tc>
          <w:tcPr>
            <w:tcW w:w="1240" w:type="dxa"/>
            <w:vAlign w:val="bottom"/>
            <w:tcBorders>
              <w:bottom w:val="single" w:sz="8" w:color="454545"/>
            </w:tcBorders>
            <w:vMerge w:val="continue"/>
          </w:tcPr>
          <w:p>
            <w:pPr>
              <w:spacing w:after="0"/>
              <w:rPr>
                <w:sz w:val="9"/>
                <w:szCs w:val="9"/>
                <w:color w:val="auto"/>
              </w:rPr>
            </w:pPr>
          </w:p>
        </w:tc>
        <w:tc>
          <w:tcPr>
            <w:tcW w:w="1300" w:type="dxa"/>
            <w:vAlign w:val="bottom"/>
            <w:tcBorders>
              <w:bottom w:val="single" w:sz="8" w:color="454545"/>
            </w:tcBorders>
            <w:vMerge w:val="continue"/>
          </w:tcPr>
          <w:p>
            <w:pPr>
              <w:spacing w:after="0"/>
              <w:rPr>
                <w:sz w:val="9"/>
                <w:szCs w:val="9"/>
                <w:color w:val="auto"/>
              </w:rPr>
            </w:pPr>
          </w:p>
        </w:tc>
        <w:tc>
          <w:tcPr>
            <w:tcW w:w="260" w:type="dxa"/>
            <w:vAlign w:val="bottom"/>
            <w:tcBorders>
              <w:bottom w:val="single" w:sz="8" w:color="454545"/>
            </w:tcBorders>
          </w:tcPr>
          <w:p>
            <w:pPr>
              <w:spacing w:after="0"/>
              <w:rPr>
                <w:sz w:val="9"/>
                <w:szCs w:val="9"/>
                <w:color w:val="auto"/>
              </w:rPr>
            </w:pPr>
          </w:p>
        </w:tc>
        <w:tc>
          <w:tcPr>
            <w:tcW w:w="1120" w:type="dxa"/>
            <w:vAlign w:val="bottom"/>
            <w:tcBorders>
              <w:bottom w:val="single" w:sz="8" w:color="454545"/>
            </w:tcBorders>
            <w:vMerge w:val="continue"/>
          </w:tcPr>
          <w:p>
            <w:pPr>
              <w:spacing w:after="0"/>
              <w:rPr>
                <w:sz w:val="9"/>
                <w:szCs w:val="9"/>
                <w:color w:val="auto"/>
              </w:rPr>
            </w:pPr>
          </w:p>
        </w:tc>
        <w:tc>
          <w:tcPr>
            <w:tcW w:w="300" w:type="dxa"/>
            <w:vAlign w:val="bottom"/>
            <w:tcBorders>
              <w:bottom w:val="single" w:sz="8" w:color="454545"/>
            </w:tcBorders>
          </w:tcPr>
          <w:p>
            <w:pPr>
              <w:spacing w:after="0"/>
              <w:rPr>
                <w:sz w:val="9"/>
                <w:szCs w:val="9"/>
                <w:color w:val="auto"/>
              </w:rPr>
            </w:pPr>
          </w:p>
        </w:tc>
        <w:tc>
          <w:tcPr>
            <w:tcW w:w="1000" w:type="dxa"/>
            <w:vAlign w:val="bottom"/>
            <w:tcBorders>
              <w:bottom w:val="single" w:sz="8" w:color="454545"/>
            </w:tcBorders>
            <w:vMerge w:val="continue"/>
          </w:tcPr>
          <w:p>
            <w:pPr>
              <w:spacing w:after="0"/>
              <w:rPr>
                <w:sz w:val="9"/>
                <w:szCs w:val="9"/>
                <w:color w:val="auto"/>
              </w:rPr>
            </w:pPr>
          </w:p>
        </w:tc>
        <w:tc>
          <w:tcPr>
            <w:tcW w:w="280" w:type="dxa"/>
            <w:vAlign w:val="bottom"/>
            <w:tcBorders>
              <w:bottom w:val="single" w:sz="8" w:color="454545"/>
            </w:tcBorders>
          </w:tcPr>
          <w:p>
            <w:pPr>
              <w:spacing w:after="0"/>
              <w:rPr>
                <w:sz w:val="9"/>
                <w:szCs w:val="9"/>
                <w:color w:val="auto"/>
              </w:rPr>
            </w:pPr>
          </w:p>
        </w:tc>
        <w:tc>
          <w:tcPr>
            <w:tcW w:w="1220" w:type="dxa"/>
            <w:vAlign w:val="bottom"/>
            <w:tcBorders>
              <w:bottom w:val="single" w:sz="8" w:color="45454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Jeremy Barnum</w:t>
            </w:r>
            <w:r>
              <w:rPr>
                <w:rFonts w:ascii="Arial" w:cs="Arial" w:eastAsia="Arial" w:hAnsi="Arial"/>
                <w:sz w:val="9"/>
                <w:szCs w:val="9"/>
                <w:b w:val="1"/>
                <w:bCs w:val="1"/>
                <w:color w:val="auto"/>
              </w:rPr>
              <w:t>13</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spacing w:after="0"/>
              <w:rPr>
                <w:sz w:val="20"/>
                <w:szCs w:val="20"/>
                <w:color w:val="auto"/>
              </w:rPr>
            </w:pPr>
            <w:r>
              <w:rPr>
                <w:rFonts w:ascii="Arial" w:cs="Arial" w:eastAsia="Arial" w:hAnsi="Arial"/>
                <w:sz w:val="14"/>
                <w:szCs w:val="14"/>
                <w:color w:val="auto"/>
              </w:rPr>
              <w:t>693,750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3,722,500</w:t>
            </w:r>
          </w:p>
        </w:tc>
        <w:tc>
          <w:tcPr>
            <w:tcW w:w="1240" w:type="dxa"/>
            <w:vAlign w:val="bottom"/>
          </w:tcPr>
          <w:p>
            <w:pPr>
              <w:jc w:val="right"/>
              <w:ind w:right="27"/>
              <w:spacing w:after="0"/>
              <w:rPr>
                <w:sz w:val="20"/>
                <w:szCs w:val="20"/>
                <w:color w:val="auto"/>
              </w:rPr>
            </w:pPr>
            <w:r>
              <w:rPr>
                <w:rFonts w:ascii="Arial" w:cs="Arial" w:eastAsia="Arial" w:hAnsi="Arial"/>
                <w:sz w:val="14"/>
                <w:szCs w:val="14"/>
                <w:color w:val="auto"/>
              </w:rPr>
              <w:t>2,450,000</w:t>
            </w:r>
          </w:p>
        </w:tc>
        <w:tc>
          <w:tcPr>
            <w:tcW w:w="1300" w:type="dxa"/>
            <w:vAlign w:val="bottom"/>
          </w:tcPr>
          <w:p>
            <w:pPr>
              <w:jc w:val="right"/>
              <w:ind w:right="6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ind w:left="40"/>
              <w:spacing w:after="0"/>
              <w:rPr>
                <w:sz w:val="20"/>
                <w:szCs w:val="20"/>
                <w:color w:val="auto"/>
              </w:rPr>
            </w:pPr>
            <w:r>
              <w:rPr>
                <w:rFonts w:ascii="Arial" w:cs="Arial" w:eastAsia="Arial" w:hAnsi="Arial"/>
                <w:sz w:val="9"/>
                <w:szCs w:val="9"/>
                <w:color w:val="auto"/>
              </w:rPr>
              <w:t>14</w:t>
            </w:r>
          </w:p>
        </w:tc>
        <w:tc>
          <w:tcPr>
            <w:tcW w:w="1220" w:type="dxa"/>
            <w:vAlign w:val="bottom"/>
          </w:tcPr>
          <w:p>
            <w:pPr>
              <w:jc w:val="right"/>
              <w:spacing w:after="0"/>
              <w:rPr>
                <w:sz w:val="20"/>
                <w:szCs w:val="20"/>
                <w:color w:val="auto"/>
              </w:rPr>
            </w:pPr>
            <w:r>
              <w:rPr>
                <w:rFonts w:ascii="Arial" w:cs="Arial" w:eastAsia="Arial" w:hAnsi="Arial"/>
                <w:sz w:val="14"/>
                <w:szCs w:val="14"/>
                <w:color w:val="auto"/>
              </w:rPr>
              <w:t>6,871,250</w:t>
            </w:r>
          </w:p>
        </w:tc>
        <w:tc>
          <w:tcPr>
            <w:tcW w:w="0" w:type="dxa"/>
            <w:vAlign w:val="bottom"/>
          </w:tcPr>
          <w:p>
            <w:pPr>
              <w:spacing w:after="0"/>
              <w:rPr>
                <w:sz w:val="1"/>
                <w:szCs w:val="1"/>
                <w:color w:val="auto"/>
              </w:rPr>
            </w:pPr>
          </w:p>
        </w:tc>
      </w:tr>
      <w:tr>
        <w:trPr>
          <w:trHeight w:val="194"/>
        </w:trPr>
        <w:tc>
          <w:tcPr>
            <w:tcW w:w="1680" w:type="dxa"/>
            <w:vAlign w:val="bottom"/>
            <w:tcBorders>
              <w:bottom w:val="single" w:sz="8" w:color="454545"/>
            </w:tcBorders>
          </w:tcPr>
          <w:p>
            <w:pPr>
              <w:ind w:left="20"/>
              <w:spacing w:after="0"/>
              <w:rPr>
                <w:sz w:val="20"/>
                <w:szCs w:val="20"/>
                <w:color w:val="auto"/>
              </w:rPr>
            </w:pPr>
            <w:r>
              <w:rPr>
                <w:rFonts w:ascii="Arial" w:cs="Arial" w:eastAsia="Arial" w:hAnsi="Arial"/>
                <w:sz w:val="14"/>
                <w:szCs w:val="14"/>
                <w:color w:val="auto"/>
              </w:rPr>
              <w:t>Chief Financial Officer</w:t>
            </w:r>
          </w:p>
        </w:tc>
        <w:tc>
          <w:tcPr>
            <w:tcW w:w="560" w:type="dxa"/>
            <w:vAlign w:val="bottom"/>
            <w:tcBorders>
              <w:bottom w:val="single" w:sz="8" w:color="454545"/>
            </w:tcBorders>
          </w:tcPr>
          <w:p>
            <w:pPr>
              <w:spacing w:after="0"/>
              <w:rPr>
                <w:sz w:val="16"/>
                <w:szCs w:val="16"/>
                <w:color w:val="auto"/>
              </w:rPr>
            </w:pPr>
          </w:p>
        </w:tc>
        <w:tc>
          <w:tcPr>
            <w:tcW w:w="1060" w:type="dxa"/>
            <w:vAlign w:val="bottom"/>
            <w:tcBorders>
              <w:bottom w:val="single" w:sz="8" w:color="454545"/>
            </w:tcBorders>
          </w:tcPr>
          <w:p>
            <w:pPr>
              <w:spacing w:after="0"/>
              <w:rPr>
                <w:sz w:val="16"/>
                <w:szCs w:val="16"/>
                <w:color w:val="auto"/>
              </w:rPr>
            </w:pPr>
          </w:p>
        </w:tc>
        <w:tc>
          <w:tcPr>
            <w:tcW w:w="1220" w:type="dxa"/>
            <w:vAlign w:val="bottom"/>
            <w:tcBorders>
              <w:bottom w:val="single" w:sz="8" w:color="454545"/>
            </w:tcBorders>
          </w:tcPr>
          <w:p>
            <w:pPr>
              <w:spacing w:after="0"/>
              <w:rPr>
                <w:sz w:val="16"/>
                <w:szCs w:val="16"/>
                <w:color w:val="auto"/>
              </w:rPr>
            </w:pPr>
          </w:p>
        </w:tc>
        <w:tc>
          <w:tcPr>
            <w:tcW w:w="1240" w:type="dxa"/>
            <w:vAlign w:val="bottom"/>
            <w:tcBorders>
              <w:bottom w:val="single" w:sz="8" w:color="454545"/>
            </w:tcBorders>
          </w:tcPr>
          <w:p>
            <w:pPr>
              <w:spacing w:after="0"/>
              <w:rPr>
                <w:sz w:val="16"/>
                <w:szCs w:val="16"/>
                <w:color w:val="auto"/>
              </w:rPr>
            </w:pPr>
          </w:p>
        </w:tc>
        <w:tc>
          <w:tcPr>
            <w:tcW w:w="1300" w:type="dxa"/>
            <w:vAlign w:val="bottom"/>
            <w:tcBorders>
              <w:bottom w:val="single" w:sz="8" w:color="454545"/>
            </w:tcBorders>
          </w:tcPr>
          <w:p>
            <w:pPr>
              <w:spacing w:after="0"/>
              <w:rPr>
                <w:sz w:val="16"/>
                <w:szCs w:val="16"/>
                <w:color w:val="auto"/>
              </w:rPr>
            </w:pPr>
          </w:p>
        </w:tc>
        <w:tc>
          <w:tcPr>
            <w:tcW w:w="260" w:type="dxa"/>
            <w:vAlign w:val="bottom"/>
            <w:tcBorders>
              <w:bottom w:val="single" w:sz="8" w:color="454545"/>
            </w:tcBorders>
          </w:tcPr>
          <w:p>
            <w:pPr>
              <w:spacing w:after="0"/>
              <w:rPr>
                <w:sz w:val="16"/>
                <w:szCs w:val="16"/>
                <w:color w:val="auto"/>
              </w:rPr>
            </w:pPr>
          </w:p>
        </w:tc>
        <w:tc>
          <w:tcPr>
            <w:tcW w:w="1120" w:type="dxa"/>
            <w:vAlign w:val="bottom"/>
            <w:tcBorders>
              <w:bottom w:val="single" w:sz="8" w:color="454545"/>
            </w:tcBorders>
          </w:tcPr>
          <w:p>
            <w:pPr>
              <w:spacing w:after="0"/>
              <w:rPr>
                <w:sz w:val="16"/>
                <w:szCs w:val="16"/>
                <w:color w:val="auto"/>
              </w:rPr>
            </w:pPr>
          </w:p>
        </w:tc>
        <w:tc>
          <w:tcPr>
            <w:tcW w:w="300" w:type="dxa"/>
            <w:vAlign w:val="bottom"/>
            <w:tcBorders>
              <w:bottom w:val="single" w:sz="8" w:color="454545"/>
            </w:tcBorders>
          </w:tcPr>
          <w:p>
            <w:pPr>
              <w:spacing w:after="0"/>
              <w:rPr>
                <w:sz w:val="16"/>
                <w:szCs w:val="16"/>
                <w:color w:val="auto"/>
              </w:rPr>
            </w:pPr>
          </w:p>
        </w:tc>
        <w:tc>
          <w:tcPr>
            <w:tcW w:w="1000" w:type="dxa"/>
            <w:vAlign w:val="bottom"/>
            <w:tcBorders>
              <w:bottom w:val="single" w:sz="8" w:color="454545"/>
            </w:tcBorders>
          </w:tcPr>
          <w:p>
            <w:pPr>
              <w:spacing w:after="0"/>
              <w:rPr>
                <w:sz w:val="16"/>
                <w:szCs w:val="16"/>
                <w:color w:val="auto"/>
              </w:rPr>
            </w:pPr>
          </w:p>
        </w:tc>
        <w:tc>
          <w:tcPr>
            <w:tcW w:w="280" w:type="dxa"/>
            <w:vAlign w:val="bottom"/>
            <w:tcBorders>
              <w:bottom w:val="single" w:sz="8" w:color="454545"/>
            </w:tcBorders>
          </w:tcPr>
          <w:p>
            <w:pPr>
              <w:spacing w:after="0"/>
              <w:rPr>
                <w:sz w:val="16"/>
                <w:szCs w:val="16"/>
                <w:color w:val="auto"/>
              </w:rPr>
            </w:pPr>
          </w:p>
        </w:tc>
        <w:tc>
          <w:tcPr>
            <w:tcW w:w="1220" w:type="dxa"/>
            <w:vAlign w:val="bottom"/>
            <w:tcBorders>
              <w:bottom w:val="single" w:sz="8" w:color="454545"/>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00" w:hanging="192"/>
        <w:spacing w:after="0"/>
        <w:tabs>
          <w:tab w:leader="none" w:pos="2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Salary reflects the actual amount paid in each year.</w:t>
      </w:r>
    </w:p>
    <w:p>
      <w:pPr>
        <w:ind w:left="200" w:hanging="192"/>
        <w:spacing w:after="0" w:line="188" w:lineRule="auto"/>
        <w:tabs>
          <w:tab w:leader="none" w:pos="200" w:val="left"/>
        </w:tabs>
        <w:numPr>
          <w:ilvl w:val="0"/>
          <w:numId w:val="224"/>
        </w:numPr>
        <w:rPr>
          <w:rFonts w:ascii="Arial" w:cs="Arial" w:eastAsia="Arial" w:hAnsi="Arial"/>
          <w:sz w:val="15"/>
          <w:szCs w:val="15"/>
          <w:color w:val="auto"/>
          <w:vertAlign w:val="superscript"/>
        </w:rPr>
      </w:pPr>
      <w:r>
        <w:rPr>
          <w:rFonts w:ascii="Arial" w:cs="Arial" w:eastAsia="Arial" w:hAnsi="Arial"/>
          <w:sz w:val="12"/>
          <w:szCs w:val="12"/>
          <w:color w:val="auto"/>
        </w:rPr>
        <w:t>Includes amounts awarded, whether paid or deferred. Cash incentive compensation reflects compensation earned in connection with the performance year shown, which was awarded in January of</w:t>
      </w:r>
    </w:p>
    <w:p>
      <w:pPr>
        <w:ind w:left="200"/>
        <w:spacing w:after="0" w:line="216" w:lineRule="auto"/>
        <w:rPr>
          <w:sz w:val="20"/>
          <w:szCs w:val="20"/>
          <w:color w:val="auto"/>
        </w:rPr>
      </w:pPr>
      <w:r>
        <w:rPr>
          <w:rFonts w:ascii="Arial" w:cs="Arial" w:eastAsia="Arial" w:hAnsi="Arial"/>
          <w:sz w:val="13"/>
          <w:szCs w:val="13"/>
          <w:color w:val="auto"/>
        </w:rPr>
        <w:t>the following year.</w:t>
      </w:r>
    </w:p>
    <w:p>
      <w:pPr>
        <w:ind w:left="200" w:right="140" w:hanging="192"/>
        <w:spacing w:after="0" w:line="204" w:lineRule="auto"/>
        <w:tabs>
          <w:tab w:leader="none" w:pos="200" w:val="left"/>
        </w:tabs>
        <w:numPr>
          <w:ilvl w:val="0"/>
          <w:numId w:val="225"/>
        </w:numPr>
        <w:rPr>
          <w:rFonts w:ascii="Arial" w:cs="Arial" w:eastAsia="Arial" w:hAnsi="Arial"/>
          <w:sz w:val="16"/>
          <w:szCs w:val="16"/>
          <w:color w:val="auto"/>
          <w:vertAlign w:val="superscript"/>
        </w:rPr>
      </w:pPr>
      <w:r>
        <w:rPr>
          <w:rFonts w:ascii="Arial" w:cs="Arial" w:eastAsia="Arial" w:hAnsi="Arial"/>
          <w:sz w:val="13"/>
          <w:szCs w:val="13"/>
          <w:color w:val="auto"/>
        </w:rPr>
        <w:t>Includes amounts awarded during the year shown. Amounts are the fair value on the grant date in accordance with applicable accounting guidance (i.e., at target for PSUs awarded in 2021). At the maximum level of performance, the value of PSUs awarded in 2021 would be: $37,500,000 for Mr. Dimon; $12,194,783 for Mr. Pinto; $9,787,500 for Mr. Smith; $9,112,500 for Ms. Erdoes; and $5,062,500 for Ms. Piepszak. Mr. Barnum did not receive a PSU award in 2021. The Firm’s accounting for employee stock-based incentives is described in Note 9 to the Firm’s Consolidated Financial Statements in the 2021 Annual Report on pages 218-219, which may be accessed on our website at jpmorganchase.com, under Investor Relations.</w:t>
      </w:r>
    </w:p>
    <w:p>
      <w:pPr>
        <w:spacing w:after="0" w:line="2" w:lineRule="exact"/>
        <w:rPr>
          <w:sz w:val="20"/>
          <w:szCs w:val="20"/>
          <w:color w:val="auto"/>
        </w:rPr>
      </w:pPr>
    </w:p>
    <w:p>
      <w:pPr>
        <w:jc w:val="both"/>
        <w:ind w:left="200" w:right="20" w:hanging="192"/>
        <w:spacing w:after="0" w:line="216" w:lineRule="auto"/>
        <w:tabs>
          <w:tab w:leader="none" w:pos="200" w:val="left"/>
        </w:tabs>
        <w:numPr>
          <w:ilvl w:val="0"/>
          <w:numId w:val="226"/>
        </w:numPr>
        <w:rPr>
          <w:rFonts w:ascii="Arial" w:cs="Arial" w:eastAsia="Arial" w:hAnsi="Arial"/>
          <w:sz w:val="15"/>
          <w:szCs w:val="15"/>
          <w:color w:val="auto"/>
          <w:vertAlign w:val="superscript"/>
        </w:rPr>
      </w:pPr>
      <w:r>
        <w:rPr>
          <w:rFonts w:ascii="Arial" w:cs="Arial" w:eastAsia="Arial" w:hAnsi="Arial"/>
          <w:sz w:val="12"/>
          <w:szCs w:val="12"/>
          <w:color w:val="auto"/>
        </w:rPr>
        <w:t>In 2021, Mr. Dimon and Mr. Pinto were granted special option awards in the form of SARs that are not part of their regular annual compensation and will not be awarded on a recurring basis. Refer to page 66 for further information. The special options were awarded at the fair value on the respective grant dates of each award. The Firm’s accounting for employee stock-based incentives (including assumptions used to value employee stock options and SARs) is described in Note 9 to the Firm’s Consolidated Financial Statements in the 2021 Annual Report on pages 218-219.</w:t>
      </w:r>
    </w:p>
    <w:p>
      <w:pPr>
        <w:spacing w:after="0" w:line="1" w:lineRule="exact"/>
        <w:rPr>
          <w:sz w:val="20"/>
          <w:szCs w:val="20"/>
          <w:color w:val="auto"/>
        </w:rPr>
      </w:pPr>
    </w:p>
    <w:p>
      <w:pPr>
        <w:jc w:val="both"/>
        <w:ind w:left="200" w:right="80" w:hanging="192"/>
        <w:spacing w:after="0" w:line="204" w:lineRule="auto"/>
        <w:tabs>
          <w:tab w:leader="none" w:pos="200" w:val="left"/>
        </w:tabs>
        <w:numPr>
          <w:ilvl w:val="0"/>
          <w:numId w:val="227"/>
        </w:numPr>
        <w:rPr>
          <w:rFonts w:ascii="Arial" w:cs="Arial" w:eastAsia="Arial" w:hAnsi="Arial"/>
          <w:sz w:val="16"/>
          <w:szCs w:val="16"/>
          <w:color w:val="auto"/>
          <w:vertAlign w:val="superscript"/>
        </w:rPr>
      </w:pPr>
      <w:r>
        <w:rPr>
          <w:rFonts w:ascii="Arial" w:cs="Arial" w:eastAsia="Arial" w:hAnsi="Arial"/>
          <w:sz w:val="13"/>
          <w:szCs w:val="13"/>
          <w:color w:val="auto"/>
        </w:rPr>
        <w:t>Amounts for years 2021, 2020, and 2019 are the aggregate change in the actuarial present value of the accumulated benefits under all defined benefit pension plans (including supplemental plans). No NEOs had earnings in excess of 120% of the applicable federal rate on deferred compensation balances where the rate of return is not calculated in the same or in a similar manner as earnings on hypothetical investments under the Firm's qualified plans. The amount of earnings in excess of 120% of the applicable federal rate included in this column is $0 for each of 2021, 2020 and, 2019. The Change in Pension Value is -$8,126 for Ms. Erdoes, -$9,166 for Ms. Piepszak, and -$9,653 for Mr. Barnum.</w:t>
      </w:r>
    </w:p>
    <w:p>
      <w:pPr>
        <w:spacing w:after="0" w:line="2" w:lineRule="exact"/>
        <w:rPr>
          <w:sz w:val="20"/>
          <w:szCs w:val="20"/>
          <w:color w:val="auto"/>
        </w:rPr>
      </w:pPr>
    </w:p>
    <w:p>
      <w:pPr>
        <w:ind w:left="200" w:right="140" w:hanging="192"/>
        <w:spacing w:after="0" w:line="194" w:lineRule="auto"/>
        <w:tabs>
          <w:tab w:leader="none" w:pos="200" w:val="left"/>
        </w:tabs>
        <w:numPr>
          <w:ilvl w:val="0"/>
          <w:numId w:val="228"/>
        </w:numPr>
        <w:rPr>
          <w:rFonts w:ascii="Arial" w:cs="Arial" w:eastAsia="Arial" w:hAnsi="Arial"/>
          <w:sz w:val="16"/>
          <w:szCs w:val="16"/>
          <w:color w:val="auto"/>
          <w:vertAlign w:val="superscript"/>
        </w:rPr>
      </w:pPr>
      <w:r>
        <w:rPr>
          <w:rFonts w:ascii="Arial" w:cs="Arial" w:eastAsia="Arial" w:hAnsi="Arial"/>
          <w:sz w:val="13"/>
          <w:szCs w:val="13"/>
          <w:color w:val="auto"/>
        </w:rPr>
        <w:t>“All other compensation” includes the cost, if any, for a named executive officer’s spouse to attend business-related events where spousal attendance is expected or customary. This did not exceed the greater of $25,000 or 10% of the named executive officer’s total perquisites and personal benefits except as specifically noted in the footnotes that follow.</w:t>
      </w:r>
    </w:p>
    <w:p>
      <w:pPr>
        <w:ind w:left="200" w:right="60" w:hanging="192"/>
        <w:spacing w:after="0" w:line="205" w:lineRule="auto"/>
        <w:tabs>
          <w:tab w:leader="none" w:pos="200" w:val="left"/>
        </w:tabs>
        <w:numPr>
          <w:ilvl w:val="0"/>
          <w:numId w:val="229"/>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column for Mr. Dimon includes: $5,000 in employer non-matching contributions to the U.S. defined contribution plan, which replaces the employer benefit to the Firm's qualified noncontributory U.S. defined benefit pension plan that was frozen effective January 1, 2020; $146,847 for personal use of corporate aircraft; $30,099 for personal use of corporate cars; and $100,713 for the cost of residential, personal travel, and related security paid by the Firm, of which a portion was for periodic security equipment maintenance. Mr. Dimon’s personal use of corporate aircraft and cars, and certain related security, is required pursuant to security measures approved by the Board. Incremental costs are determined as follows:</w:t>
      </w:r>
    </w:p>
    <w:p>
      <w:pPr>
        <w:ind w:left="400" w:right="480" w:hanging="198"/>
        <w:spacing w:after="0" w:line="216" w:lineRule="auto"/>
        <w:tabs>
          <w:tab w:leader="none" w:pos="399" w:val="left"/>
        </w:tabs>
        <w:numPr>
          <w:ilvl w:val="1"/>
          <w:numId w:val="229"/>
        </w:numPr>
        <w:rPr>
          <w:rFonts w:ascii="Arial" w:cs="Arial" w:eastAsia="Arial" w:hAnsi="Arial"/>
          <w:sz w:val="13"/>
          <w:szCs w:val="13"/>
          <w:color w:val="auto"/>
        </w:rPr>
      </w:pPr>
      <w:r>
        <w:rPr>
          <w:rFonts w:ascii="Arial" w:cs="Arial" w:eastAsia="Arial" w:hAnsi="Arial"/>
          <w:sz w:val="13"/>
          <w:szCs w:val="13"/>
          <w:color w:val="auto"/>
        </w:rPr>
        <w:t>Aircraft: operating cost per flight hour for the aircraft type used, developed by an independent reference source, including fuel, fuel additives and lubricants; landing and parking fees; crew expenses; small supplies and catering; maintenance, labor and parts; engine restoration costs; and a maintenance service plan.</w:t>
      </w:r>
    </w:p>
    <w:p>
      <w:pPr>
        <w:ind w:left="400" w:right="220" w:hanging="198"/>
        <w:spacing w:after="0" w:line="216" w:lineRule="auto"/>
        <w:tabs>
          <w:tab w:leader="none" w:pos="399" w:val="left"/>
        </w:tabs>
        <w:numPr>
          <w:ilvl w:val="1"/>
          <w:numId w:val="229"/>
        </w:numPr>
        <w:rPr>
          <w:rFonts w:ascii="Arial" w:cs="Arial" w:eastAsia="Arial" w:hAnsi="Arial"/>
          <w:sz w:val="13"/>
          <w:szCs w:val="13"/>
          <w:color w:val="auto"/>
        </w:rPr>
      </w:pPr>
      <w:r>
        <w:rPr>
          <w:rFonts w:ascii="Arial" w:cs="Arial" w:eastAsia="Arial" w:hAnsi="Arial"/>
          <w:sz w:val="13"/>
          <w:szCs w:val="13"/>
          <w:color w:val="auto"/>
        </w:rPr>
        <w:t>Cars: annual lease valuation of the assigned cars; annual insurance premiums; fuel expense; estimated annual maintenance; other miscellaneous expense; and annual drivers’ compensation, including salary, overtime, benefits and bonus. The resulting total is allocated between personal and business use based on mileage.</w:t>
      </w:r>
    </w:p>
    <w:p>
      <w:pPr>
        <w:ind w:left="200" w:right="20" w:hanging="192"/>
        <w:spacing w:after="0" w:line="210" w:lineRule="auto"/>
        <w:tabs>
          <w:tab w:leader="none" w:pos="200" w:val="left"/>
        </w:tabs>
        <w:numPr>
          <w:ilvl w:val="0"/>
          <w:numId w:val="230"/>
        </w:numPr>
        <w:rPr>
          <w:rFonts w:ascii="Arial" w:cs="Arial" w:eastAsia="Arial" w:hAnsi="Arial"/>
          <w:sz w:val="16"/>
          <w:szCs w:val="16"/>
          <w:color w:val="auto"/>
          <w:vertAlign w:val="superscript"/>
        </w:rPr>
      </w:pPr>
      <w:r>
        <w:rPr>
          <w:rFonts w:ascii="Arial" w:cs="Arial" w:eastAsia="Arial" w:hAnsi="Arial"/>
          <w:sz w:val="13"/>
          <w:szCs w:val="13"/>
          <w:color w:val="auto"/>
        </w:rPr>
        <w:t>Since Mr. Pinto is located in the U.K., the terms and composition of his compensation reflect the requirements of local regulations, including changes that came into effect in 2014 and 2021 to comply with the Capital Requirements Directive IV and V respectively. These requirements include that at least 60% of his incentive compensation is deferred, and that his incentive compensation is not more than twice his fixed compensation in respect of any given performance year. Mr. Pinto’s fixed compensation is comprised of salary and an annual cash fixed allowance, which from June 2017, has been payable in equal monthly installments. Mr. Pinto’s fixed allowance, which is paid in British pound sterling, increased to $8,400,000 in 2021 from $7,635,000 in 2020 and 2019. His salary of £475,000 has remained unchanged since 2016. The CMDC elected to defer 100% of Mr. Pinto’s variable compensation into equity – 50% into RSUs and 50% into PSUs – in order to maintain a comparable deferred equity portion to similarly situated Firm employees. For the purposes of this table, a blended applicable rate of 1.38094 U.S. dollars per GBP, which was based on a 10-month average rate, has been used to convert Mr. Pinto’s salary to U.S. dollars for 2021. The blended applicable rates used to convert Mr. Pinto’s salary for 2020 and 2019 were 1.27429 and 1.27205 U.S. dollars per GBP, respectively.</w:t>
      </w:r>
    </w:p>
    <w:p>
      <w:pPr>
        <w:spacing w:after="0" w:line="3" w:lineRule="exact"/>
        <w:rPr>
          <w:sz w:val="20"/>
          <w:szCs w:val="20"/>
          <w:color w:val="auto"/>
        </w:rPr>
      </w:pPr>
    </w:p>
    <w:p>
      <w:pPr>
        <w:ind w:left="200" w:right="160" w:hanging="192"/>
        <w:spacing w:after="0" w:line="204" w:lineRule="auto"/>
        <w:tabs>
          <w:tab w:leader="none" w:pos="200" w:val="left"/>
        </w:tabs>
        <w:numPr>
          <w:ilvl w:val="0"/>
          <w:numId w:val="231"/>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column for Mr. Pinto includes $21,004 in employer contributions to a non-U.S. defined contribution plan; $23,662 in tax compliance assistance for non-U.K. business travel; $31,637 for temporary housing in advance of Mr. Pinto's move to the United States in early 2022; $46,574 for a filing fee and related accounting fees paid by the Firm on Mr. Pinto's behalf in order for Mr. Pinto to maintain his stock ownership in the Firm in compliance with the Hart-Scott-Rodino Antitrust Improvements Act of 1976 (this amount was imputed income to Mr. Pinto); and $28,212 for personal use of corporate aircraft, cars and spousal travel related to business events.</w:t>
      </w:r>
    </w:p>
    <w:p>
      <w:pPr>
        <w:spacing w:after="0" w:line="2" w:lineRule="exact"/>
        <w:rPr>
          <w:sz w:val="20"/>
          <w:szCs w:val="20"/>
          <w:color w:val="auto"/>
        </w:rPr>
      </w:pPr>
    </w:p>
    <w:p>
      <w:pPr>
        <w:ind w:left="200" w:right="180" w:hanging="192"/>
        <w:spacing w:after="0" w:line="201" w:lineRule="auto"/>
        <w:tabs>
          <w:tab w:leader="none" w:pos="191" w:val="left"/>
        </w:tabs>
        <w:numPr>
          <w:ilvl w:val="0"/>
          <w:numId w:val="232"/>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column for Mr. Smith includes $4,000 in employer non-matching contributions to the U.S. defined contribution plan; and $45,475 for a filing fee and related accounting fees paid by the Firm on Mr. Smith's behalf in order for Mr. Smith to maintain his stock ownership in the Firm in compliance with the Hart-Scott-Rodino Antitrust Improvements Act of 1976 (this amount was imputed income to Mr. Smith).</w:t>
      </w:r>
    </w:p>
    <w:p>
      <w:pPr>
        <w:spacing w:after="0" w:line="1" w:lineRule="exact"/>
        <w:rPr>
          <w:rFonts w:ascii="Arial" w:cs="Arial" w:eastAsia="Arial" w:hAnsi="Arial"/>
          <w:sz w:val="16"/>
          <w:szCs w:val="16"/>
          <w:color w:val="auto"/>
          <w:vertAlign w:val="superscript"/>
        </w:rPr>
      </w:pPr>
    </w:p>
    <w:p>
      <w:pPr>
        <w:ind w:left="180" w:hanging="172"/>
        <w:spacing w:after="0" w:line="187" w:lineRule="auto"/>
        <w:tabs>
          <w:tab w:leader="none" w:pos="180" w:val="left"/>
        </w:tabs>
        <w:numPr>
          <w:ilvl w:val="0"/>
          <w:numId w:val="232"/>
        </w:numPr>
        <w:rPr>
          <w:rFonts w:ascii="Arial" w:cs="Arial" w:eastAsia="Arial" w:hAnsi="Arial"/>
          <w:sz w:val="15"/>
          <w:szCs w:val="15"/>
          <w:color w:val="auto"/>
          <w:vertAlign w:val="superscript"/>
        </w:rPr>
      </w:pPr>
      <w:r>
        <w:rPr>
          <w:rFonts w:ascii="Arial" w:cs="Arial" w:eastAsia="Arial" w:hAnsi="Arial"/>
          <w:sz w:val="12"/>
          <w:szCs w:val="12"/>
          <w:color w:val="auto"/>
        </w:rPr>
        <w:t>The “All other compensation” column for Ms. Erdoes includes $5,000 in employer non-matching contributions to the U.S. defined contribution plan.</w:t>
      </w:r>
    </w:p>
    <w:p>
      <w:pPr>
        <w:ind w:left="200" w:hanging="192"/>
        <w:spacing w:after="0" w:line="187" w:lineRule="auto"/>
        <w:tabs>
          <w:tab w:leader="none" w:pos="200" w:val="left"/>
        </w:tabs>
        <w:numPr>
          <w:ilvl w:val="0"/>
          <w:numId w:val="232"/>
        </w:numPr>
        <w:rPr>
          <w:rFonts w:ascii="Arial" w:cs="Arial" w:eastAsia="Arial" w:hAnsi="Arial"/>
          <w:sz w:val="15"/>
          <w:szCs w:val="15"/>
          <w:color w:val="auto"/>
          <w:vertAlign w:val="superscript"/>
        </w:rPr>
      </w:pPr>
      <w:r>
        <w:rPr>
          <w:rFonts w:ascii="Arial" w:cs="Arial" w:eastAsia="Arial" w:hAnsi="Arial"/>
          <w:sz w:val="12"/>
          <w:szCs w:val="12"/>
          <w:color w:val="auto"/>
        </w:rPr>
        <w:t>The “All other compensation” column for Ms. Piepszak includes $5,000 in employer non-matching contributions to the U.S. defined contribution plan.</w:t>
      </w:r>
    </w:p>
    <w:p>
      <w:pPr>
        <w:ind w:left="200" w:hanging="192"/>
        <w:spacing w:after="0" w:line="187" w:lineRule="auto"/>
        <w:tabs>
          <w:tab w:leader="none" w:pos="200" w:val="left"/>
        </w:tabs>
        <w:numPr>
          <w:ilvl w:val="0"/>
          <w:numId w:val="232"/>
        </w:numPr>
        <w:rPr>
          <w:rFonts w:ascii="Arial" w:cs="Arial" w:eastAsia="Arial" w:hAnsi="Arial"/>
          <w:sz w:val="15"/>
          <w:szCs w:val="15"/>
          <w:color w:val="auto"/>
          <w:vertAlign w:val="superscript"/>
        </w:rPr>
      </w:pPr>
      <w:r>
        <w:rPr>
          <w:rFonts w:ascii="Arial" w:cs="Arial" w:eastAsia="Arial" w:hAnsi="Arial"/>
          <w:sz w:val="12"/>
          <w:szCs w:val="12"/>
          <w:color w:val="auto"/>
        </w:rPr>
        <w:t>Mr. Barnum was not a NEO in 2019 and 2020.</w:t>
      </w:r>
    </w:p>
    <w:p>
      <w:pPr>
        <w:ind w:left="200" w:hanging="192"/>
        <w:spacing w:after="0" w:line="200" w:lineRule="auto"/>
        <w:tabs>
          <w:tab w:leader="none" w:pos="200" w:val="left"/>
        </w:tabs>
        <w:numPr>
          <w:ilvl w:val="0"/>
          <w:numId w:val="232"/>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column for Mr. Barnum includes $5,000 in employer non-matching contributions to the U.S. defined contribution plan.</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074A75"/>
        </w:rPr>
        <w:t>II. 2021 GRANTS OF PLAN-BASED AWARDS</w:t>
      </w:r>
      <w:r>
        <w:rPr>
          <w:rFonts w:ascii="Arial" w:cs="Arial" w:eastAsia="Arial" w:hAnsi="Arial"/>
          <w:sz w:val="25"/>
          <w:szCs w:val="25"/>
          <w:color w:val="074A75"/>
          <w:vertAlign w:val="superscript"/>
        </w:rPr>
        <w:t>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grants of plan-based awards made in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20" w:type="dxa"/>
            <w:vAlign w:val="bottom"/>
            <w:gridSpan w:val="4"/>
          </w:tcPr>
          <w:p>
            <w:pPr>
              <w:jc w:val="center"/>
              <w:ind w:right="100"/>
              <w:spacing w:after="0"/>
              <w:rPr>
                <w:sz w:val="20"/>
                <w:szCs w:val="20"/>
                <w:color w:val="auto"/>
              </w:rPr>
            </w:pPr>
            <w:r>
              <w:rPr>
                <w:rFonts w:ascii="Arial" w:cs="Arial" w:eastAsia="Arial" w:hAnsi="Arial"/>
                <w:sz w:val="14"/>
                <w:szCs w:val="14"/>
                <w:color w:val="auto"/>
              </w:rPr>
              <w:t>Estimated Future Payout Under Equity</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Stock awards</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0" w:type="dxa"/>
            <w:vAlign w:val="bottom"/>
            <w:gridSpan w:val="3"/>
          </w:tcPr>
          <w:p>
            <w:pPr>
              <w:jc w:val="center"/>
              <w:ind w:right="620"/>
              <w:spacing w:after="0" w:line="201" w:lineRule="exact"/>
              <w:rPr>
                <w:sz w:val="20"/>
                <w:szCs w:val="20"/>
                <w:color w:val="auto"/>
              </w:rPr>
            </w:pPr>
            <w:r>
              <w:rPr>
                <w:rFonts w:ascii="Arial" w:cs="Arial" w:eastAsia="Arial" w:hAnsi="Arial"/>
                <w:sz w:val="14"/>
                <w:szCs w:val="14"/>
                <w:color w:val="auto"/>
              </w:rPr>
              <w:t>Incentive Plan Awards (PSUs)</w:t>
            </w:r>
            <w:r>
              <w:rPr>
                <w:rFonts w:ascii="Arial" w:cs="Arial" w:eastAsia="Arial" w:hAnsi="Arial"/>
                <w:sz w:val="18"/>
                <w:szCs w:val="18"/>
                <w:color w:val="auto"/>
                <w:vertAlign w:val="superscript"/>
              </w:rPr>
              <w:t>2</w:t>
            </w:r>
          </w:p>
        </w:tc>
        <w:tc>
          <w:tcPr>
            <w:tcW w:w="1520" w:type="dxa"/>
            <w:vAlign w:val="bottom"/>
            <w:gridSpan w:val="2"/>
          </w:tcPr>
          <w:p>
            <w:pPr>
              <w:jc w:val="center"/>
              <w:ind w:right="120"/>
              <w:spacing w:after="0" w:line="201" w:lineRule="exact"/>
              <w:rPr>
                <w:sz w:val="20"/>
                <w:szCs w:val="20"/>
                <w:color w:val="auto"/>
              </w:rPr>
            </w:pPr>
            <w:r>
              <w:rPr>
                <w:rFonts w:ascii="Arial" w:cs="Arial" w:eastAsia="Arial" w:hAnsi="Arial"/>
                <w:sz w:val="14"/>
                <w:szCs w:val="14"/>
                <w:color w:val="auto"/>
                <w:w w:val="98"/>
              </w:rPr>
              <w:t>(RSUs)</w:t>
            </w:r>
            <w:r>
              <w:rPr>
                <w:rFonts w:ascii="Arial" w:cs="Arial" w:eastAsia="Arial" w:hAnsi="Arial"/>
                <w:sz w:val="18"/>
                <w:szCs w:val="18"/>
                <w:color w:val="auto"/>
                <w:w w:val="98"/>
                <w:vertAlign w:val="superscript"/>
              </w:rPr>
              <w:t>3</w:t>
            </w:r>
          </w:p>
        </w:tc>
        <w:tc>
          <w:tcPr>
            <w:tcW w:w="2640" w:type="dxa"/>
            <w:vAlign w:val="bottom"/>
            <w:gridSpan w:val="3"/>
          </w:tcPr>
          <w:p>
            <w:pPr>
              <w:ind w:left="580"/>
              <w:spacing w:after="0" w:line="201" w:lineRule="exact"/>
              <w:rPr>
                <w:sz w:val="20"/>
                <w:szCs w:val="20"/>
                <w:color w:val="auto"/>
              </w:rPr>
            </w:pPr>
            <w:r>
              <w:rPr>
                <w:rFonts w:ascii="Arial" w:cs="Arial" w:eastAsia="Arial" w:hAnsi="Arial"/>
                <w:sz w:val="14"/>
                <w:szCs w:val="14"/>
                <w:color w:val="auto"/>
              </w:rPr>
              <w:t>Option Awards (SARs)</w:t>
            </w:r>
            <w:r>
              <w:rPr>
                <w:rFonts w:ascii="Arial" w:cs="Arial" w:eastAsia="Arial" w:hAnsi="Arial"/>
                <w:sz w:val="18"/>
                <w:szCs w:val="18"/>
                <w:color w:val="auto"/>
                <w:vertAlign w:val="superscript"/>
              </w:rPr>
              <w:t>4</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Borders>
              <w:top w:val="single" w:sz="8" w:color="454545"/>
            </w:tcBorders>
          </w:tcPr>
          <w:p>
            <w:pPr>
              <w:spacing w:after="0"/>
              <w:rPr>
                <w:sz w:val="15"/>
                <w:szCs w:val="15"/>
                <w:color w:val="auto"/>
              </w:rPr>
            </w:pPr>
          </w:p>
        </w:tc>
        <w:tc>
          <w:tcPr>
            <w:tcW w:w="1360" w:type="dxa"/>
            <w:vAlign w:val="bottom"/>
            <w:tcBorders>
              <w:top w:val="single" w:sz="8" w:color="454545"/>
            </w:tcBorders>
          </w:tcPr>
          <w:p>
            <w:pPr>
              <w:spacing w:after="0"/>
              <w:rPr>
                <w:sz w:val="15"/>
                <w:szCs w:val="15"/>
                <w:color w:val="auto"/>
              </w:rPr>
            </w:pPr>
          </w:p>
        </w:tc>
        <w:tc>
          <w:tcPr>
            <w:tcW w:w="1140" w:type="dxa"/>
            <w:vAlign w:val="bottom"/>
            <w:tcBorders>
              <w:top w:val="single" w:sz="8" w:color="454545"/>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454545"/>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454545"/>
            </w:tcBorders>
          </w:tcPr>
          <w:p>
            <w:pPr>
              <w:jc w:val="center"/>
              <w:spacing w:after="0"/>
              <w:rPr>
                <w:sz w:val="20"/>
                <w:szCs w:val="20"/>
                <w:color w:val="auto"/>
              </w:rPr>
            </w:pPr>
            <w:r>
              <w:rPr>
                <w:rFonts w:ascii="Arial" w:cs="Arial" w:eastAsia="Arial" w:hAnsi="Arial"/>
                <w:sz w:val="14"/>
                <w:szCs w:val="14"/>
                <w:color w:val="074A75"/>
              </w:rPr>
              <w:t>Number of</w:t>
            </w:r>
          </w:p>
        </w:tc>
        <w:tc>
          <w:tcPr>
            <w:tcW w:w="860" w:type="dxa"/>
            <w:vAlign w:val="bottom"/>
            <w:tcBorders>
              <w:top w:val="single" w:sz="8" w:color="454545"/>
            </w:tcBorders>
          </w:tcPr>
          <w:p>
            <w:pPr>
              <w:spacing w:after="0"/>
              <w:rPr>
                <w:sz w:val="15"/>
                <w:szCs w:val="15"/>
                <w:color w:val="auto"/>
              </w:rPr>
            </w:pPr>
          </w:p>
        </w:tc>
        <w:tc>
          <w:tcPr>
            <w:tcW w:w="840" w:type="dxa"/>
            <w:vAlign w:val="bottom"/>
            <w:tcBorders>
              <w:top w:val="single" w:sz="8" w:color="454545"/>
            </w:tcBorders>
          </w:tcPr>
          <w:p>
            <w:pPr>
              <w:jc w:val="center"/>
              <w:spacing w:after="0"/>
              <w:rPr>
                <w:sz w:val="20"/>
                <w:szCs w:val="20"/>
                <w:color w:val="auto"/>
              </w:rPr>
            </w:pPr>
            <w:r>
              <w:rPr>
                <w:rFonts w:ascii="Arial" w:cs="Arial" w:eastAsia="Arial" w:hAnsi="Arial"/>
                <w:sz w:val="14"/>
                <w:szCs w:val="14"/>
                <w:color w:val="074A75"/>
              </w:rPr>
              <w:t>Closing</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074A75"/>
              </w:rPr>
              <w:t>Number of shares of</w:t>
            </w:r>
          </w:p>
        </w:tc>
        <w:tc>
          <w:tcPr>
            <w:tcW w:w="940" w:type="dxa"/>
            <w:vAlign w:val="bottom"/>
          </w:tcPr>
          <w:p>
            <w:pPr>
              <w:jc w:val="center"/>
              <w:spacing w:after="0"/>
              <w:rPr>
                <w:sz w:val="20"/>
                <w:szCs w:val="20"/>
                <w:color w:val="auto"/>
              </w:rPr>
            </w:pPr>
            <w:r>
              <w:rPr>
                <w:rFonts w:ascii="Arial" w:cs="Arial" w:eastAsia="Arial" w:hAnsi="Arial"/>
                <w:sz w:val="14"/>
                <w:szCs w:val="14"/>
                <w:color w:val="074A75"/>
              </w:rPr>
              <w:t>securities</w:t>
            </w:r>
          </w:p>
        </w:tc>
        <w:tc>
          <w:tcPr>
            <w:tcW w:w="8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074A75"/>
              </w:rPr>
              <w:t>price on</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20" w:type="dxa"/>
            <w:vAlign w:val="bottom"/>
            <w:vMerge w:val="restart"/>
          </w:tcPr>
          <w:p>
            <w:pPr>
              <w:ind w:left="20"/>
              <w:spacing w:after="0"/>
              <w:rPr>
                <w:sz w:val="20"/>
                <w:szCs w:val="20"/>
                <w:color w:val="auto"/>
              </w:rPr>
            </w:pPr>
            <w:r>
              <w:rPr>
                <w:rFonts w:ascii="Arial" w:cs="Arial" w:eastAsia="Arial" w:hAnsi="Arial"/>
                <w:sz w:val="16"/>
                <w:szCs w:val="16"/>
                <w:color w:val="074A75"/>
              </w:rPr>
              <w:t>Name</w:t>
            </w:r>
          </w:p>
        </w:tc>
        <w:tc>
          <w:tcPr>
            <w:tcW w:w="1140" w:type="dxa"/>
            <w:vAlign w:val="bottom"/>
            <w:vMerge w:val="restart"/>
          </w:tcPr>
          <w:p>
            <w:pPr>
              <w:ind w:left="140"/>
              <w:spacing w:after="0"/>
              <w:rPr>
                <w:sz w:val="20"/>
                <w:szCs w:val="20"/>
                <w:color w:val="auto"/>
              </w:rPr>
            </w:pPr>
            <w:r>
              <w:rPr>
                <w:rFonts w:ascii="Arial" w:cs="Arial" w:eastAsia="Arial" w:hAnsi="Arial"/>
                <w:sz w:val="16"/>
                <w:szCs w:val="16"/>
                <w:color w:val="074A75"/>
              </w:rPr>
              <w:t>Grant date</w:t>
            </w:r>
          </w:p>
        </w:tc>
        <w:tc>
          <w:tcPr>
            <w:tcW w:w="1880" w:type="dxa"/>
            <w:vAlign w:val="bottom"/>
            <w:gridSpan w:val="2"/>
          </w:tcPr>
          <w:p>
            <w:pPr>
              <w:jc w:val="right"/>
              <w:ind w:right="1068"/>
              <w:spacing w:after="0" w:line="159" w:lineRule="exact"/>
              <w:rPr>
                <w:sz w:val="20"/>
                <w:szCs w:val="20"/>
                <w:color w:val="auto"/>
              </w:rPr>
            </w:pPr>
            <w:r>
              <w:rPr>
                <w:rFonts w:ascii="Arial" w:cs="Arial" w:eastAsia="Arial" w:hAnsi="Arial"/>
                <w:sz w:val="14"/>
                <w:szCs w:val="14"/>
                <w:color w:val="074A75"/>
              </w:rPr>
              <w:t>Threshold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074A75"/>
              </w:rPr>
              <w:t>restricted</w:t>
            </w:r>
          </w:p>
        </w:tc>
        <w:tc>
          <w:tcPr>
            <w:tcW w:w="940" w:type="dxa"/>
            <w:vAlign w:val="bottom"/>
          </w:tcPr>
          <w:p>
            <w:pPr>
              <w:jc w:val="center"/>
              <w:spacing w:after="0" w:line="159" w:lineRule="exact"/>
              <w:rPr>
                <w:sz w:val="20"/>
                <w:szCs w:val="20"/>
                <w:color w:val="auto"/>
              </w:rPr>
            </w:pPr>
            <w:r>
              <w:rPr>
                <w:rFonts w:ascii="Arial" w:cs="Arial" w:eastAsia="Arial" w:hAnsi="Arial"/>
                <w:sz w:val="14"/>
                <w:szCs w:val="14"/>
                <w:color w:val="074A75"/>
              </w:rPr>
              <w:t>underlying</w:t>
            </w:r>
          </w:p>
        </w:tc>
        <w:tc>
          <w:tcPr>
            <w:tcW w:w="860" w:type="dxa"/>
            <w:vAlign w:val="bottom"/>
          </w:tcPr>
          <w:p>
            <w:pPr>
              <w:jc w:val="right"/>
              <w:ind w:right="88"/>
              <w:spacing w:after="0" w:line="159" w:lineRule="exact"/>
              <w:rPr>
                <w:sz w:val="20"/>
                <w:szCs w:val="20"/>
                <w:color w:val="auto"/>
              </w:rPr>
            </w:pPr>
            <w:r>
              <w:rPr>
                <w:rFonts w:ascii="Arial" w:cs="Arial" w:eastAsia="Arial" w:hAnsi="Arial"/>
                <w:sz w:val="14"/>
                <w:szCs w:val="14"/>
                <w:color w:val="074A75"/>
              </w:rPr>
              <w:t>Exercise</w:t>
            </w:r>
          </w:p>
        </w:tc>
        <w:tc>
          <w:tcPr>
            <w:tcW w:w="840" w:type="dxa"/>
            <w:vAlign w:val="bottom"/>
          </w:tcPr>
          <w:p>
            <w:pPr>
              <w:jc w:val="center"/>
              <w:spacing w:after="0" w:line="159" w:lineRule="exact"/>
              <w:rPr>
                <w:sz w:val="20"/>
                <w:szCs w:val="20"/>
                <w:color w:val="auto"/>
              </w:rPr>
            </w:pPr>
            <w:r>
              <w:rPr>
                <w:rFonts w:ascii="Arial" w:cs="Arial" w:eastAsia="Arial" w:hAnsi="Arial"/>
                <w:sz w:val="14"/>
                <w:szCs w:val="14"/>
                <w:color w:val="074A75"/>
              </w:rPr>
              <w:t>option grant</w:t>
            </w:r>
          </w:p>
        </w:tc>
        <w:tc>
          <w:tcPr>
            <w:tcW w:w="1300" w:type="dxa"/>
            <w:vAlign w:val="bottom"/>
          </w:tcPr>
          <w:p>
            <w:pPr>
              <w:jc w:val="right"/>
              <w:ind w:right="228"/>
              <w:spacing w:after="0" w:line="159" w:lineRule="exact"/>
              <w:rPr>
                <w:sz w:val="20"/>
                <w:szCs w:val="20"/>
                <w:color w:val="auto"/>
              </w:rPr>
            </w:pPr>
            <w:r>
              <w:rPr>
                <w:rFonts w:ascii="Arial" w:cs="Arial" w:eastAsia="Arial" w:hAnsi="Arial"/>
                <w:sz w:val="14"/>
                <w:szCs w:val="14"/>
                <w:color w:val="074A75"/>
              </w:rPr>
              <w:t>Grant date</w:t>
            </w:r>
          </w:p>
        </w:tc>
        <w:tc>
          <w:tcPr>
            <w:tcW w:w="0" w:type="dxa"/>
            <w:vAlign w:val="bottom"/>
          </w:tcPr>
          <w:p>
            <w:pPr>
              <w:spacing w:after="0"/>
              <w:rPr>
                <w:sz w:val="1"/>
                <w:szCs w:val="1"/>
                <w:color w:val="auto"/>
              </w:rPr>
            </w:pPr>
          </w:p>
        </w:tc>
      </w:tr>
      <w:tr>
        <w:trPr>
          <w:trHeight w:val="201"/>
        </w:trPr>
        <w:tc>
          <w:tcPr>
            <w:tcW w:w="1520" w:type="dxa"/>
            <w:vAlign w:val="bottom"/>
            <w:tcBorders>
              <w:bottom w:val="single" w:sz="8" w:color="454545"/>
            </w:tcBorders>
            <w:vMerge w:val="continue"/>
          </w:tcPr>
          <w:p>
            <w:pPr>
              <w:spacing w:after="0"/>
              <w:rPr>
                <w:sz w:val="17"/>
                <w:szCs w:val="17"/>
                <w:color w:val="auto"/>
              </w:rPr>
            </w:pPr>
          </w:p>
        </w:tc>
        <w:tc>
          <w:tcPr>
            <w:tcW w:w="1140" w:type="dxa"/>
            <w:vAlign w:val="bottom"/>
            <w:tcBorders>
              <w:bottom w:val="single" w:sz="8" w:color="454545"/>
            </w:tcBorders>
            <w:vMerge w:val="continue"/>
          </w:tcPr>
          <w:p>
            <w:pPr>
              <w:spacing w:after="0"/>
              <w:rPr>
                <w:sz w:val="17"/>
                <w:szCs w:val="17"/>
                <w:color w:val="auto"/>
              </w:rPr>
            </w:pPr>
          </w:p>
        </w:tc>
        <w:tc>
          <w:tcPr>
            <w:tcW w:w="520" w:type="dxa"/>
            <w:vAlign w:val="bottom"/>
            <w:tcBorders>
              <w:bottom w:val="single" w:sz="8" w:color="454545"/>
            </w:tcBorders>
          </w:tcPr>
          <w:p>
            <w:pPr>
              <w:jc w:val="center"/>
              <w:ind w:left="228"/>
              <w:spacing w:after="0"/>
              <w:rPr>
                <w:sz w:val="20"/>
                <w:szCs w:val="20"/>
                <w:color w:val="auto"/>
              </w:rPr>
            </w:pPr>
            <w:r>
              <w:rPr>
                <w:rFonts w:ascii="Arial" w:cs="Arial" w:eastAsia="Arial" w:hAnsi="Arial"/>
                <w:sz w:val="14"/>
                <w:szCs w:val="14"/>
                <w:color w:val="074A75"/>
              </w:rPr>
              <w:t>(#)</w:t>
            </w:r>
          </w:p>
        </w:tc>
        <w:tc>
          <w:tcPr>
            <w:tcW w:w="1360" w:type="dxa"/>
            <w:vAlign w:val="bottom"/>
            <w:tcBorders>
              <w:bottom w:val="single" w:sz="8" w:color="454545"/>
            </w:tcBorders>
          </w:tcPr>
          <w:p>
            <w:pPr>
              <w:jc w:val="right"/>
              <w:ind w:right="128"/>
              <w:spacing w:after="0"/>
              <w:rPr>
                <w:sz w:val="20"/>
                <w:szCs w:val="20"/>
                <w:color w:val="auto"/>
              </w:rPr>
            </w:pPr>
            <w:r>
              <w:rPr>
                <w:rFonts w:ascii="Arial" w:cs="Arial" w:eastAsia="Arial" w:hAnsi="Arial"/>
                <w:sz w:val="14"/>
                <w:szCs w:val="14"/>
                <w:color w:val="074A75"/>
              </w:rPr>
              <w:t>Target (#)</w:t>
            </w:r>
          </w:p>
        </w:tc>
        <w:tc>
          <w:tcPr>
            <w:tcW w:w="1240" w:type="dxa"/>
            <w:vAlign w:val="bottom"/>
            <w:tcBorders>
              <w:bottom w:val="single" w:sz="8" w:color="454545"/>
            </w:tcBorders>
            <w:gridSpan w:val="2"/>
          </w:tcPr>
          <w:p>
            <w:pPr>
              <w:ind w:left="180"/>
              <w:spacing w:after="0"/>
              <w:rPr>
                <w:sz w:val="20"/>
                <w:szCs w:val="20"/>
                <w:color w:val="auto"/>
              </w:rPr>
            </w:pPr>
            <w:r>
              <w:rPr>
                <w:rFonts w:ascii="Arial" w:cs="Arial" w:eastAsia="Arial" w:hAnsi="Arial"/>
                <w:sz w:val="14"/>
                <w:szCs w:val="14"/>
                <w:color w:val="074A75"/>
              </w:rPr>
              <w:t>Maximum (#)</w:t>
            </w:r>
          </w:p>
        </w:tc>
        <w:tc>
          <w:tcPr>
            <w:tcW w:w="1520" w:type="dxa"/>
            <w:vAlign w:val="bottom"/>
            <w:tcBorders>
              <w:bottom w:val="single" w:sz="8" w:color="454545"/>
            </w:tcBorders>
            <w:gridSpan w:val="2"/>
          </w:tcPr>
          <w:p>
            <w:pPr>
              <w:jc w:val="center"/>
              <w:ind w:right="100"/>
              <w:spacing w:after="0"/>
              <w:rPr>
                <w:sz w:val="20"/>
                <w:szCs w:val="20"/>
                <w:color w:val="auto"/>
              </w:rPr>
            </w:pPr>
            <w:r>
              <w:rPr>
                <w:rFonts w:ascii="Arial" w:cs="Arial" w:eastAsia="Arial" w:hAnsi="Arial"/>
                <w:sz w:val="14"/>
                <w:szCs w:val="14"/>
                <w:color w:val="074A75"/>
              </w:rPr>
              <w:t>stock or units (#)</w:t>
            </w:r>
          </w:p>
        </w:tc>
        <w:tc>
          <w:tcPr>
            <w:tcW w:w="940" w:type="dxa"/>
            <w:vAlign w:val="bottom"/>
            <w:tcBorders>
              <w:bottom w:val="single" w:sz="8" w:color="454545"/>
            </w:tcBorders>
          </w:tcPr>
          <w:p>
            <w:pPr>
              <w:jc w:val="center"/>
              <w:spacing w:after="0"/>
              <w:rPr>
                <w:sz w:val="20"/>
                <w:szCs w:val="20"/>
                <w:color w:val="auto"/>
              </w:rPr>
            </w:pPr>
            <w:r>
              <w:rPr>
                <w:rFonts w:ascii="Arial" w:cs="Arial" w:eastAsia="Arial" w:hAnsi="Arial"/>
                <w:sz w:val="14"/>
                <w:szCs w:val="14"/>
                <w:color w:val="074A75"/>
              </w:rPr>
              <w:t>options (#)</w:t>
            </w:r>
          </w:p>
        </w:tc>
        <w:tc>
          <w:tcPr>
            <w:tcW w:w="86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074A75"/>
              </w:rPr>
              <w:t>Price ($/sh)</w:t>
            </w:r>
          </w:p>
        </w:tc>
        <w:tc>
          <w:tcPr>
            <w:tcW w:w="840" w:type="dxa"/>
            <w:vAlign w:val="bottom"/>
            <w:tcBorders>
              <w:bottom w:val="single" w:sz="8" w:color="454545"/>
            </w:tcBorders>
          </w:tcPr>
          <w:p>
            <w:pPr>
              <w:jc w:val="center"/>
              <w:spacing w:after="0"/>
              <w:rPr>
                <w:sz w:val="20"/>
                <w:szCs w:val="20"/>
                <w:color w:val="auto"/>
              </w:rPr>
            </w:pPr>
            <w:r>
              <w:rPr>
                <w:rFonts w:ascii="Arial" w:cs="Arial" w:eastAsia="Arial" w:hAnsi="Arial"/>
                <w:sz w:val="14"/>
                <w:szCs w:val="14"/>
                <w:color w:val="074A75"/>
              </w:rPr>
              <w:t>date ($/Sh)</w:t>
            </w:r>
          </w:p>
        </w:tc>
        <w:tc>
          <w:tcPr>
            <w:tcW w:w="1300" w:type="dxa"/>
            <w:vAlign w:val="bottom"/>
            <w:tcBorders>
              <w:bottom w:val="single" w:sz="8" w:color="454545"/>
            </w:tcBorders>
          </w:tcPr>
          <w:p>
            <w:pPr>
              <w:jc w:val="right"/>
              <w:ind w:right="148"/>
              <w:spacing w:after="0" w:line="201" w:lineRule="exact"/>
              <w:rPr>
                <w:sz w:val="20"/>
                <w:szCs w:val="20"/>
                <w:color w:val="auto"/>
              </w:rPr>
            </w:pPr>
            <w:r>
              <w:rPr>
                <w:rFonts w:ascii="Arial" w:cs="Arial" w:eastAsia="Arial" w:hAnsi="Arial"/>
                <w:sz w:val="14"/>
                <w:szCs w:val="14"/>
                <w:color w:val="074A75"/>
              </w:rPr>
              <w:t>fair value ($)</w:t>
            </w:r>
            <w:r>
              <w:rPr>
                <w:rFonts w:ascii="Arial" w:cs="Arial" w:eastAsia="Arial" w:hAnsi="Arial"/>
                <w:sz w:val="18"/>
                <w:szCs w:val="18"/>
                <w:color w:val="074A75"/>
                <w:vertAlign w:val="superscript"/>
              </w:rPr>
              <w:t>5</w:t>
            </w:r>
          </w:p>
        </w:tc>
        <w:tc>
          <w:tcPr>
            <w:tcW w:w="0" w:type="dxa"/>
            <w:vAlign w:val="bottom"/>
          </w:tcPr>
          <w:p>
            <w:pPr>
              <w:spacing w:after="0"/>
              <w:rPr>
                <w:sz w:val="1"/>
                <w:szCs w:val="1"/>
                <w:color w:val="auto"/>
              </w:rPr>
            </w:pPr>
          </w:p>
        </w:tc>
      </w:tr>
      <w:tr>
        <w:trPr>
          <w:trHeight w:val="208"/>
        </w:trPr>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James Dimon</w:t>
            </w:r>
          </w:p>
        </w:tc>
        <w:tc>
          <w:tcPr>
            <w:tcW w:w="114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tcBorders>
              <w:bottom w:val="single" w:sz="8" w:color="B6B6B6"/>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179,521</w:t>
            </w:r>
          </w:p>
        </w:tc>
        <w:tc>
          <w:tcPr>
            <w:tcW w:w="11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269,282</w:t>
            </w:r>
          </w:p>
        </w:tc>
        <w:tc>
          <w:tcPr>
            <w:tcW w:w="100" w:type="dxa"/>
            <w:vAlign w:val="bottom"/>
            <w:tcBorders>
              <w:bottom w:val="single" w:sz="8" w:color="B6B6B6"/>
            </w:tcBorders>
          </w:tcPr>
          <w:p>
            <w:pPr>
              <w:spacing w:after="0"/>
              <w:rPr>
                <w:sz w:val="18"/>
                <w:szCs w:val="18"/>
                <w:color w:val="auto"/>
              </w:rPr>
            </w:pPr>
          </w:p>
        </w:tc>
        <w:tc>
          <w:tcPr>
            <w:tcW w:w="152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6B6B6"/>
            </w:tcBorders>
          </w:tcPr>
          <w:p>
            <w:pPr>
              <w:ind w:left="6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   25,000,000</w:t>
            </w:r>
          </w:p>
        </w:tc>
        <w:tc>
          <w:tcPr>
            <w:tcW w:w="0" w:type="dxa"/>
            <w:vAlign w:val="bottom"/>
          </w:tcPr>
          <w:p>
            <w:pPr>
              <w:spacing w:after="0"/>
              <w:rPr>
                <w:sz w:val="1"/>
                <w:szCs w:val="1"/>
                <w:color w:val="auto"/>
              </w:rPr>
            </w:pPr>
          </w:p>
        </w:tc>
      </w:tr>
      <w:tr>
        <w:trPr>
          <w:trHeight w:val="207"/>
        </w:trPr>
        <w:tc>
          <w:tcPr>
            <w:tcW w:w="1520" w:type="dxa"/>
            <w:vAlign w:val="bottom"/>
            <w:tcBorders>
              <w:bottom w:val="single" w:sz="8" w:color="454545"/>
            </w:tcBorders>
          </w:tcPr>
          <w:p>
            <w:pPr>
              <w:spacing w:after="0"/>
              <w:rPr>
                <w:sz w:val="17"/>
                <w:szCs w:val="17"/>
                <w:color w:val="auto"/>
              </w:rPr>
            </w:pPr>
          </w:p>
        </w:tc>
        <w:tc>
          <w:tcPr>
            <w:tcW w:w="1140" w:type="dxa"/>
            <w:vAlign w:val="bottom"/>
            <w:tcBorders>
              <w:bottom w:val="single" w:sz="8" w:color="454545"/>
            </w:tcBorders>
          </w:tcPr>
          <w:p>
            <w:pPr>
              <w:jc w:val="center"/>
              <w:ind w:right="27"/>
              <w:spacing w:after="0"/>
              <w:rPr>
                <w:sz w:val="20"/>
                <w:szCs w:val="20"/>
                <w:color w:val="auto"/>
              </w:rPr>
            </w:pPr>
            <w:r>
              <w:rPr>
                <w:rFonts w:ascii="Arial" w:cs="Arial" w:eastAsia="Arial" w:hAnsi="Arial"/>
                <w:sz w:val="14"/>
                <w:szCs w:val="14"/>
                <w:color w:val="auto"/>
              </w:rPr>
              <w:t>7/20/2021</w:t>
            </w:r>
          </w:p>
        </w:tc>
        <w:tc>
          <w:tcPr>
            <w:tcW w:w="520" w:type="dxa"/>
            <w:vAlign w:val="bottom"/>
            <w:tcBorders>
              <w:bottom w:val="single" w:sz="8" w:color="454545"/>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454545"/>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454545"/>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45454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1,500,000</w:t>
            </w:r>
          </w:p>
        </w:tc>
        <w:tc>
          <w:tcPr>
            <w:tcW w:w="86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$148.73</w:t>
            </w:r>
          </w:p>
        </w:tc>
        <w:tc>
          <w:tcPr>
            <w:tcW w:w="840" w:type="dxa"/>
            <w:vAlign w:val="bottom"/>
            <w:tcBorders>
              <w:bottom w:val="single" w:sz="8" w:color="454545"/>
            </w:tcBorders>
          </w:tcPr>
          <w:p>
            <w:pPr>
              <w:ind w:left="300"/>
              <w:spacing w:after="0"/>
              <w:rPr>
                <w:sz w:val="20"/>
                <w:szCs w:val="20"/>
                <w:color w:val="auto"/>
              </w:rPr>
            </w:pPr>
            <w:r>
              <w:rPr>
                <w:rFonts w:ascii="Arial" w:cs="Arial" w:eastAsia="Arial" w:hAnsi="Arial"/>
                <w:sz w:val="14"/>
                <w:szCs w:val="14"/>
                <w:color w:val="auto"/>
              </w:rPr>
              <w:t>$149.71</w:t>
            </w:r>
          </w:p>
        </w:tc>
        <w:tc>
          <w:tcPr>
            <w:tcW w:w="13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52,620,000</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Daniel Pinto</w:t>
            </w:r>
          </w:p>
        </w:tc>
        <w:tc>
          <w:tcPr>
            <w:tcW w:w="114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tcBorders>
              <w:bottom w:val="single" w:sz="8" w:color="B6B6B6"/>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69,291</w:t>
            </w:r>
          </w:p>
        </w:tc>
        <w:tc>
          <w:tcPr>
            <w:tcW w:w="100" w:type="dxa"/>
            <w:vAlign w:val="bottom"/>
            <w:tcBorders>
              <w:bottom w:val="single" w:sz="8" w:color="B6B6B6"/>
            </w:tcBorders>
          </w:tcPr>
          <w:p>
            <w:pPr>
              <w:spacing w:after="0"/>
              <w:rPr>
                <w:sz w:val="18"/>
                <w:szCs w:val="18"/>
                <w:color w:val="auto"/>
              </w:rPr>
            </w:pP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6B6B6"/>
            </w:tcBorders>
          </w:tcPr>
          <w:p>
            <w:pPr>
              <w:ind w:left="6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8,129,855</w:t>
            </w:r>
          </w:p>
        </w:tc>
        <w:tc>
          <w:tcPr>
            <w:tcW w:w="0" w:type="dxa"/>
            <w:vAlign w:val="bottom"/>
          </w:tcPr>
          <w:p>
            <w:pPr>
              <w:spacing w:after="0"/>
              <w:rPr>
                <w:sz w:val="1"/>
                <w:szCs w:val="1"/>
                <w:color w:val="auto"/>
              </w:rPr>
            </w:pPr>
          </w:p>
        </w:tc>
      </w:tr>
      <w:tr>
        <w:trPr>
          <w:trHeight w:val="207"/>
        </w:trPr>
        <w:tc>
          <w:tcPr>
            <w:tcW w:w="1520" w:type="dxa"/>
            <w:vAlign w:val="bottom"/>
          </w:tcPr>
          <w:p>
            <w:pPr>
              <w:spacing w:after="0"/>
              <w:rPr>
                <w:sz w:val="17"/>
                <w:szCs w:val="17"/>
                <w:color w:val="auto"/>
              </w:rPr>
            </w:pPr>
          </w:p>
        </w:tc>
        <w:tc>
          <w:tcPr>
            <w:tcW w:w="114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tcBorders>
              <w:bottom w:val="single" w:sz="8" w:color="B6B6B6"/>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69,683</w:t>
            </w:r>
          </w:p>
        </w:tc>
        <w:tc>
          <w:tcPr>
            <w:tcW w:w="11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104,525</w:t>
            </w:r>
          </w:p>
        </w:tc>
        <w:tc>
          <w:tcPr>
            <w:tcW w:w="100" w:type="dxa"/>
            <w:vAlign w:val="bottom"/>
            <w:tcBorders>
              <w:bottom w:val="single" w:sz="8" w:color="B6B6B6"/>
            </w:tcBorders>
          </w:tcPr>
          <w:p>
            <w:pPr>
              <w:spacing w:after="0"/>
              <w:rPr>
                <w:sz w:val="17"/>
                <w:szCs w:val="17"/>
                <w:color w:val="auto"/>
              </w:rPr>
            </w:pPr>
          </w:p>
        </w:tc>
        <w:tc>
          <w:tcPr>
            <w:tcW w:w="152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6B6B6"/>
            </w:tcBorders>
          </w:tcPr>
          <w:p>
            <w:pPr>
              <w:ind w:left="6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8,129,855</w:t>
            </w:r>
          </w:p>
        </w:tc>
        <w:tc>
          <w:tcPr>
            <w:tcW w:w="0" w:type="dxa"/>
            <w:vAlign w:val="bottom"/>
          </w:tcPr>
          <w:p>
            <w:pPr>
              <w:spacing w:after="0"/>
              <w:rPr>
                <w:sz w:val="1"/>
                <w:szCs w:val="1"/>
                <w:color w:val="auto"/>
              </w:rPr>
            </w:pPr>
          </w:p>
        </w:tc>
      </w:tr>
      <w:tr>
        <w:trPr>
          <w:trHeight w:val="209"/>
        </w:trPr>
        <w:tc>
          <w:tcPr>
            <w:tcW w:w="1520" w:type="dxa"/>
            <w:vAlign w:val="bottom"/>
            <w:tcBorders>
              <w:bottom w:val="single" w:sz="8" w:color="454545"/>
            </w:tcBorders>
          </w:tcPr>
          <w:p>
            <w:pPr>
              <w:spacing w:after="0"/>
              <w:rPr>
                <w:sz w:val="18"/>
                <w:szCs w:val="18"/>
                <w:color w:val="auto"/>
              </w:rPr>
            </w:pPr>
          </w:p>
        </w:tc>
        <w:tc>
          <w:tcPr>
            <w:tcW w:w="1140" w:type="dxa"/>
            <w:vAlign w:val="bottom"/>
            <w:tcBorders>
              <w:bottom w:val="single" w:sz="8" w:color="454545"/>
            </w:tcBorders>
          </w:tcPr>
          <w:p>
            <w:pPr>
              <w:jc w:val="center"/>
              <w:ind w:right="27"/>
              <w:spacing w:after="0"/>
              <w:rPr>
                <w:sz w:val="20"/>
                <w:szCs w:val="20"/>
                <w:color w:val="auto"/>
              </w:rPr>
            </w:pPr>
            <w:r>
              <w:rPr>
                <w:rFonts w:ascii="Arial" w:cs="Arial" w:eastAsia="Arial" w:hAnsi="Arial"/>
                <w:sz w:val="14"/>
                <w:szCs w:val="14"/>
                <w:color w:val="auto"/>
              </w:rPr>
              <w:t>12/14/2021</w:t>
            </w:r>
          </w:p>
        </w:tc>
        <w:tc>
          <w:tcPr>
            <w:tcW w:w="520" w:type="dxa"/>
            <w:vAlign w:val="bottom"/>
            <w:tcBorders>
              <w:bottom w:val="single" w:sz="8" w:color="454545"/>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454545"/>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454545"/>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45454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750,000</w:t>
            </w:r>
          </w:p>
        </w:tc>
        <w:tc>
          <w:tcPr>
            <w:tcW w:w="86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$159.095</w:t>
            </w:r>
          </w:p>
        </w:tc>
        <w:tc>
          <w:tcPr>
            <w:tcW w:w="840" w:type="dxa"/>
            <w:vAlign w:val="bottom"/>
            <w:tcBorders>
              <w:bottom w:val="single" w:sz="8" w:color="454545"/>
            </w:tcBorders>
          </w:tcPr>
          <w:p>
            <w:pPr>
              <w:ind w:left="300"/>
              <w:spacing w:after="0"/>
              <w:rPr>
                <w:sz w:val="20"/>
                <w:szCs w:val="20"/>
                <w:color w:val="auto"/>
              </w:rPr>
            </w:pPr>
            <w:r>
              <w:rPr>
                <w:rFonts w:ascii="Arial" w:cs="Arial" w:eastAsia="Arial" w:hAnsi="Arial"/>
                <w:sz w:val="14"/>
                <w:szCs w:val="14"/>
                <w:color w:val="auto"/>
              </w:rPr>
              <w:t>$159.13</w:t>
            </w:r>
          </w:p>
        </w:tc>
        <w:tc>
          <w:tcPr>
            <w:tcW w:w="13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27,862,500</w:t>
            </w: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Gordon Smith</w:t>
            </w:r>
          </w:p>
        </w:tc>
        <w:tc>
          <w:tcPr>
            <w:tcW w:w="114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tcBorders>
              <w:bottom w:val="single" w:sz="8" w:color="B6B6B6"/>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46,855</w:t>
            </w:r>
          </w:p>
        </w:tc>
        <w:tc>
          <w:tcPr>
            <w:tcW w:w="100" w:type="dxa"/>
            <w:vAlign w:val="bottom"/>
            <w:tcBorders>
              <w:bottom w:val="single" w:sz="8" w:color="B6B6B6"/>
            </w:tcBorders>
          </w:tcPr>
          <w:p>
            <w:pPr>
              <w:spacing w:after="0"/>
              <w:rPr>
                <w:sz w:val="18"/>
                <w:szCs w:val="18"/>
                <w:color w:val="auto"/>
              </w:rPr>
            </w:pP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6B6B6"/>
            </w:tcBorders>
          </w:tcPr>
          <w:p>
            <w:pPr>
              <w:ind w:left="6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6,525,000</w:t>
            </w:r>
          </w:p>
        </w:tc>
        <w:tc>
          <w:tcPr>
            <w:tcW w:w="0" w:type="dxa"/>
            <w:vAlign w:val="bottom"/>
          </w:tcPr>
          <w:p>
            <w:pPr>
              <w:spacing w:after="0"/>
              <w:rPr>
                <w:sz w:val="1"/>
                <w:szCs w:val="1"/>
                <w:color w:val="auto"/>
              </w:rPr>
            </w:pPr>
          </w:p>
        </w:tc>
      </w:tr>
      <w:tr>
        <w:trPr>
          <w:trHeight w:val="207"/>
        </w:trPr>
        <w:tc>
          <w:tcPr>
            <w:tcW w:w="1520" w:type="dxa"/>
            <w:vAlign w:val="bottom"/>
            <w:tcBorders>
              <w:bottom w:val="single" w:sz="8" w:color="454545"/>
            </w:tcBorders>
          </w:tcPr>
          <w:p>
            <w:pPr>
              <w:spacing w:after="0"/>
              <w:rPr>
                <w:sz w:val="17"/>
                <w:szCs w:val="17"/>
                <w:color w:val="auto"/>
              </w:rPr>
            </w:pPr>
          </w:p>
        </w:tc>
        <w:tc>
          <w:tcPr>
            <w:tcW w:w="1140" w:type="dxa"/>
            <w:vAlign w:val="bottom"/>
            <w:tcBorders>
              <w:bottom w:val="single" w:sz="8" w:color="454545"/>
            </w:tcBorders>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tcBorders>
              <w:bottom w:val="single" w:sz="8" w:color="454545"/>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454545"/>
            </w:tcBorders>
          </w:tcPr>
          <w:p>
            <w:pPr>
              <w:jc w:val="right"/>
              <w:ind w:right="208"/>
              <w:spacing w:after="0"/>
              <w:rPr>
                <w:sz w:val="20"/>
                <w:szCs w:val="20"/>
                <w:color w:val="auto"/>
              </w:rPr>
            </w:pPr>
            <w:r>
              <w:rPr>
                <w:rFonts w:ascii="Arial" w:cs="Arial" w:eastAsia="Arial" w:hAnsi="Arial"/>
                <w:sz w:val="14"/>
                <w:szCs w:val="14"/>
                <w:color w:val="auto"/>
              </w:rPr>
              <w:t>46,855</w:t>
            </w:r>
          </w:p>
        </w:tc>
        <w:tc>
          <w:tcPr>
            <w:tcW w:w="1140" w:type="dxa"/>
            <w:vAlign w:val="bottom"/>
            <w:tcBorders>
              <w:bottom w:val="single" w:sz="8" w:color="454545"/>
            </w:tcBorders>
          </w:tcPr>
          <w:p>
            <w:pPr>
              <w:jc w:val="right"/>
              <w:ind w:right="128"/>
              <w:spacing w:after="0"/>
              <w:rPr>
                <w:sz w:val="20"/>
                <w:szCs w:val="20"/>
                <w:color w:val="auto"/>
              </w:rPr>
            </w:pPr>
            <w:r>
              <w:rPr>
                <w:rFonts w:ascii="Arial" w:cs="Arial" w:eastAsia="Arial" w:hAnsi="Arial"/>
                <w:sz w:val="14"/>
                <w:szCs w:val="14"/>
                <w:color w:val="auto"/>
              </w:rPr>
              <w:t>70,283</w:t>
            </w:r>
          </w:p>
        </w:tc>
        <w:tc>
          <w:tcPr>
            <w:tcW w:w="100" w:type="dxa"/>
            <w:vAlign w:val="bottom"/>
            <w:tcBorders>
              <w:bottom w:val="single" w:sz="8" w:color="454545"/>
            </w:tcBorders>
          </w:tcPr>
          <w:p>
            <w:pPr>
              <w:spacing w:after="0"/>
              <w:rPr>
                <w:sz w:val="17"/>
                <w:szCs w:val="17"/>
                <w:color w:val="auto"/>
              </w:rPr>
            </w:pPr>
          </w:p>
        </w:tc>
        <w:tc>
          <w:tcPr>
            <w:tcW w:w="1520" w:type="dxa"/>
            <w:vAlign w:val="bottom"/>
            <w:tcBorders>
              <w:bottom w:val="single" w:sz="8" w:color="45454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54545"/>
            </w:tcBorders>
          </w:tcPr>
          <w:p>
            <w:pPr>
              <w:ind w:left="6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6,525,000</w:t>
            </w:r>
          </w:p>
        </w:tc>
        <w:tc>
          <w:tcPr>
            <w:tcW w:w="0" w:type="dxa"/>
            <w:vAlign w:val="bottom"/>
          </w:tcPr>
          <w:p>
            <w:pPr>
              <w:spacing w:after="0"/>
              <w:rPr>
                <w:sz w:val="1"/>
                <w:szCs w:val="1"/>
                <w:color w:val="auto"/>
              </w:rPr>
            </w:pPr>
          </w:p>
        </w:tc>
      </w:tr>
      <w:tr>
        <w:trPr>
          <w:trHeight w:val="187"/>
        </w:trPr>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Mary Callahan</w:t>
            </w:r>
          </w:p>
        </w:tc>
        <w:tc>
          <w:tcPr>
            <w:tcW w:w="1140" w:type="dxa"/>
            <w:vAlign w:val="bottom"/>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43,624</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6,075,000</w:t>
            </w:r>
          </w:p>
        </w:tc>
        <w:tc>
          <w:tcPr>
            <w:tcW w:w="0" w:type="dxa"/>
            <w:vAlign w:val="bottom"/>
          </w:tcPr>
          <w:p>
            <w:pPr>
              <w:spacing w:after="0"/>
              <w:rPr>
                <w:sz w:val="1"/>
                <w:szCs w:val="1"/>
                <w:color w:val="auto"/>
              </w:rPr>
            </w:pPr>
          </w:p>
        </w:tc>
      </w:tr>
      <w:tr>
        <w:trPr>
          <w:trHeight w:val="54"/>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Erdoes</w:t>
            </w:r>
          </w:p>
        </w:tc>
        <w:tc>
          <w:tcPr>
            <w:tcW w:w="1140" w:type="dxa"/>
            <w:vAlign w:val="bottom"/>
            <w:tcBorders>
              <w:bottom w:val="single" w:sz="8" w:color="B6B6B6"/>
            </w:tcBorders>
          </w:tcPr>
          <w:p>
            <w:pPr>
              <w:spacing w:after="0"/>
              <w:rPr>
                <w:sz w:val="4"/>
                <w:szCs w:val="4"/>
                <w:color w:val="auto"/>
              </w:rPr>
            </w:pPr>
          </w:p>
        </w:tc>
        <w:tc>
          <w:tcPr>
            <w:tcW w:w="52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1140" w:type="dxa"/>
            <w:vAlign w:val="bottom"/>
            <w:tcBorders>
              <w:bottom w:val="single" w:sz="8" w:color="B6B6B6"/>
            </w:tcBorders>
          </w:tcPr>
          <w:p>
            <w:pPr>
              <w:spacing w:after="0"/>
              <w:rPr>
                <w:sz w:val="4"/>
                <w:szCs w:val="4"/>
                <w:color w:val="auto"/>
              </w:rPr>
            </w:pPr>
          </w:p>
        </w:tc>
        <w:tc>
          <w:tcPr>
            <w:tcW w:w="100" w:type="dxa"/>
            <w:vAlign w:val="bottom"/>
            <w:tcBorders>
              <w:bottom w:val="single" w:sz="8" w:color="B6B6B6"/>
            </w:tcBorders>
          </w:tcPr>
          <w:p>
            <w:pPr>
              <w:spacing w:after="0"/>
              <w:rPr>
                <w:sz w:val="4"/>
                <w:szCs w:val="4"/>
                <w:color w:val="auto"/>
              </w:rPr>
            </w:pPr>
          </w:p>
        </w:tc>
        <w:tc>
          <w:tcPr>
            <w:tcW w:w="1420" w:type="dxa"/>
            <w:vAlign w:val="bottom"/>
            <w:tcBorders>
              <w:bottom w:val="single" w:sz="8" w:color="B6B6B6"/>
            </w:tcBorders>
          </w:tcPr>
          <w:p>
            <w:pPr>
              <w:spacing w:after="0"/>
              <w:rPr>
                <w:sz w:val="4"/>
                <w:szCs w:val="4"/>
                <w:color w:val="auto"/>
              </w:rPr>
            </w:pPr>
          </w:p>
        </w:tc>
        <w:tc>
          <w:tcPr>
            <w:tcW w:w="100" w:type="dxa"/>
            <w:vAlign w:val="bottom"/>
            <w:tcBorders>
              <w:bottom w:val="single" w:sz="8" w:color="B6B6B6"/>
            </w:tcBorders>
          </w:tcPr>
          <w:p>
            <w:pPr>
              <w:spacing w:after="0"/>
              <w:rPr>
                <w:sz w:val="4"/>
                <w:szCs w:val="4"/>
                <w:color w:val="auto"/>
              </w:rPr>
            </w:pPr>
          </w:p>
        </w:tc>
        <w:tc>
          <w:tcPr>
            <w:tcW w:w="940" w:type="dxa"/>
            <w:vAlign w:val="bottom"/>
            <w:tcBorders>
              <w:bottom w:val="single" w:sz="8" w:color="B6B6B6"/>
            </w:tcBorders>
          </w:tcPr>
          <w:p>
            <w:pPr>
              <w:spacing w:after="0"/>
              <w:rPr>
                <w:sz w:val="4"/>
                <w:szCs w:val="4"/>
                <w:color w:val="auto"/>
              </w:rPr>
            </w:pPr>
          </w:p>
        </w:tc>
        <w:tc>
          <w:tcPr>
            <w:tcW w:w="86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130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140" w:type="dxa"/>
            <w:vAlign w:val="bottom"/>
            <w:vMerge w:val="restart"/>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color w:val="auto"/>
              </w:rPr>
              <w:t>43,624</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65,436</w:t>
            </w:r>
          </w:p>
        </w:tc>
        <w:tc>
          <w:tcPr>
            <w:tcW w:w="100" w:type="dxa"/>
            <w:vAlign w:val="bottom"/>
          </w:tcPr>
          <w:p>
            <w:pPr>
              <w:spacing w:after="0"/>
              <w:rPr>
                <w:sz w:val="10"/>
                <w:szCs w:val="10"/>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6,075,000</w:t>
            </w:r>
          </w:p>
        </w:tc>
        <w:tc>
          <w:tcPr>
            <w:tcW w:w="0" w:type="dxa"/>
            <w:vAlign w:val="bottom"/>
          </w:tcPr>
          <w:p>
            <w:pPr>
              <w:spacing w:after="0"/>
              <w:rPr>
                <w:sz w:val="1"/>
                <w:szCs w:val="1"/>
                <w:color w:val="auto"/>
              </w:rPr>
            </w:pPr>
          </w:p>
        </w:tc>
      </w:tr>
      <w:tr>
        <w:trPr>
          <w:trHeight w:val="110"/>
        </w:trPr>
        <w:tc>
          <w:tcPr>
            <w:tcW w:w="1520" w:type="dxa"/>
            <w:vAlign w:val="bottom"/>
            <w:tcBorders>
              <w:bottom w:val="single" w:sz="8" w:color="454545"/>
            </w:tcBorders>
          </w:tcPr>
          <w:p>
            <w:pPr>
              <w:spacing w:after="0"/>
              <w:rPr>
                <w:sz w:val="9"/>
                <w:szCs w:val="9"/>
                <w:color w:val="auto"/>
              </w:rPr>
            </w:pPr>
          </w:p>
        </w:tc>
        <w:tc>
          <w:tcPr>
            <w:tcW w:w="1140" w:type="dxa"/>
            <w:vAlign w:val="bottom"/>
            <w:tcBorders>
              <w:bottom w:val="single" w:sz="8" w:color="454545"/>
            </w:tcBorders>
            <w:vMerge w:val="continue"/>
          </w:tcPr>
          <w:p>
            <w:pPr>
              <w:spacing w:after="0"/>
              <w:rPr>
                <w:sz w:val="9"/>
                <w:szCs w:val="9"/>
                <w:color w:val="auto"/>
              </w:rPr>
            </w:pPr>
          </w:p>
        </w:tc>
        <w:tc>
          <w:tcPr>
            <w:tcW w:w="520" w:type="dxa"/>
            <w:vAlign w:val="bottom"/>
            <w:tcBorders>
              <w:bottom w:val="single" w:sz="8" w:color="454545"/>
            </w:tcBorders>
            <w:vMerge w:val="continue"/>
          </w:tcPr>
          <w:p>
            <w:pPr>
              <w:spacing w:after="0"/>
              <w:rPr>
                <w:sz w:val="9"/>
                <w:szCs w:val="9"/>
                <w:color w:val="auto"/>
              </w:rPr>
            </w:pPr>
          </w:p>
        </w:tc>
        <w:tc>
          <w:tcPr>
            <w:tcW w:w="1360" w:type="dxa"/>
            <w:vAlign w:val="bottom"/>
            <w:tcBorders>
              <w:bottom w:val="single" w:sz="8" w:color="454545"/>
            </w:tcBorders>
            <w:vMerge w:val="continue"/>
          </w:tcPr>
          <w:p>
            <w:pPr>
              <w:spacing w:after="0"/>
              <w:rPr>
                <w:sz w:val="9"/>
                <w:szCs w:val="9"/>
                <w:color w:val="auto"/>
              </w:rPr>
            </w:pPr>
          </w:p>
        </w:tc>
        <w:tc>
          <w:tcPr>
            <w:tcW w:w="1140" w:type="dxa"/>
            <w:vAlign w:val="bottom"/>
            <w:tcBorders>
              <w:bottom w:val="single" w:sz="8" w:color="454545"/>
            </w:tcBorders>
            <w:vMerge w:val="continue"/>
          </w:tcPr>
          <w:p>
            <w:pPr>
              <w:spacing w:after="0"/>
              <w:rPr>
                <w:sz w:val="9"/>
                <w:szCs w:val="9"/>
                <w:color w:val="auto"/>
              </w:rPr>
            </w:pPr>
          </w:p>
        </w:tc>
        <w:tc>
          <w:tcPr>
            <w:tcW w:w="100" w:type="dxa"/>
            <w:vAlign w:val="bottom"/>
            <w:tcBorders>
              <w:bottom w:val="single" w:sz="8" w:color="454545"/>
            </w:tcBorders>
          </w:tcPr>
          <w:p>
            <w:pPr>
              <w:spacing w:after="0"/>
              <w:rPr>
                <w:sz w:val="9"/>
                <w:szCs w:val="9"/>
                <w:color w:val="auto"/>
              </w:rPr>
            </w:pPr>
          </w:p>
        </w:tc>
        <w:tc>
          <w:tcPr>
            <w:tcW w:w="1520" w:type="dxa"/>
            <w:vAlign w:val="bottom"/>
            <w:tcBorders>
              <w:bottom w:val="single" w:sz="8" w:color="454545"/>
            </w:tcBorders>
            <w:gridSpan w:val="2"/>
            <w:vMerge w:val="continue"/>
          </w:tcPr>
          <w:p>
            <w:pPr>
              <w:spacing w:after="0"/>
              <w:rPr>
                <w:sz w:val="9"/>
                <w:szCs w:val="9"/>
                <w:color w:val="auto"/>
              </w:rPr>
            </w:pPr>
          </w:p>
        </w:tc>
        <w:tc>
          <w:tcPr>
            <w:tcW w:w="940" w:type="dxa"/>
            <w:vAlign w:val="bottom"/>
            <w:tcBorders>
              <w:bottom w:val="single" w:sz="8" w:color="454545"/>
            </w:tcBorders>
            <w:vMerge w:val="continue"/>
          </w:tcPr>
          <w:p>
            <w:pPr>
              <w:spacing w:after="0"/>
              <w:rPr>
                <w:sz w:val="9"/>
                <w:szCs w:val="9"/>
                <w:color w:val="auto"/>
              </w:rPr>
            </w:pPr>
          </w:p>
        </w:tc>
        <w:tc>
          <w:tcPr>
            <w:tcW w:w="860" w:type="dxa"/>
            <w:vAlign w:val="bottom"/>
            <w:tcBorders>
              <w:bottom w:val="single" w:sz="8" w:color="454545"/>
            </w:tcBorders>
            <w:vMerge w:val="continue"/>
          </w:tcPr>
          <w:p>
            <w:pPr>
              <w:spacing w:after="0"/>
              <w:rPr>
                <w:sz w:val="9"/>
                <w:szCs w:val="9"/>
                <w:color w:val="auto"/>
              </w:rPr>
            </w:pPr>
          </w:p>
        </w:tc>
        <w:tc>
          <w:tcPr>
            <w:tcW w:w="840" w:type="dxa"/>
            <w:vAlign w:val="bottom"/>
            <w:tcBorders>
              <w:bottom w:val="single" w:sz="8" w:color="454545"/>
            </w:tcBorders>
            <w:vMerge w:val="continue"/>
          </w:tcPr>
          <w:p>
            <w:pPr>
              <w:spacing w:after="0"/>
              <w:rPr>
                <w:sz w:val="9"/>
                <w:szCs w:val="9"/>
                <w:color w:val="auto"/>
              </w:rPr>
            </w:pPr>
          </w:p>
        </w:tc>
        <w:tc>
          <w:tcPr>
            <w:tcW w:w="1300" w:type="dxa"/>
            <w:vAlign w:val="bottom"/>
            <w:tcBorders>
              <w:bottom w:val="single" w:sz="8" w:color="45454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p>
        </w:tc>
        <w:tc>
          <w:tcPr>
            <w:tcW w:w="1140" w:type="dxa"/>
            <w:vAlign w:val="bottom"/>
            <w:tcBorders>
              <w:bottom w:val="single" w:sz="8" w:color="B6B6B6"/>
            </w:tcBorders>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tcBorders>
              <w:bottom w:val="single" w:sz="8" w:color="B6B6B6"/>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24,236</w:t>
            </w:r>
          </w:p>
        </w:tc>
        <w:tc>
          <w:tcPr>
            <w:tcW w:w="100" w:type="dxa"/>
            <w:vAlign w:val="bottom"/>
            <w:tcBorders>
              <w:bottom w:val="single" w:sz="8" w:color="B6B6B6"/>
            </w:tcBorders>
          </w:tcPr>
          <w:p>
            <w:pPr>
              <w:spacing w:after="0"/>
              <w:rPr>
                <w:sz w:val="18"/>
                <w:szCs w:val="18"/>
                <w:color w:val="auto"/>
              </w:rPr>
            </w:pP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B6B6B6"/>
            </w:tcBorders>
          </w:tcPr>
          <w:p>
            <w:pPr>
              <w:ind w:left="6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3,375,000</w:t>
            </w:r>
          </w:p>
        </w:tc>
        <w:tc>
          <w:tcPr>
            <w:tcW w:w="0" w:type="dxa"/>
            <w:vAlign w:val="bottom"/>
          </w:tcPr>
          <w:p>
            <w:pPr>
              <w:spacing w:after="0"/>
              <w:rPr>
                <w:sz w:val="1"/>
                <w:szCs w:val="1"/>
                <w:color w:val="auto"/>
              </w:rPr>
            </w:pPr>
          </w:p>
        </w:tc>
      </w:tr>
      <w:tr>
        <w:trPr>
          <w:trHeight w:val="207"/>
        </w:trPr>
        <w:tc>
          <w:tcPr>
            <w:tcW w:w="1520" w:type="dxa"/>
            <w:vAlign w:val="bottom"/>
            <w:tcBorders>
              <w:bottom w:val="single" w:sz="8" w:color="454545"/>
            </w:tcBorders>
          </w:tcPr>
          <w:p>
            <w:pPr>
              <w:spacing w:after="0"/>
              <w:rPr>
                <w:sz w:val="17"/>
                <w:szCs w:val="17"/>
                <w:color w:val="auto"/>
              </w:rPr>
            </w:pPr>
          </w:p>
        </w:tc>
        <w:tc>
          <w:tcPr>
            <w:tcW w:w="1140" w:type="dxa"/>
            <w:vAlign w:val="bottom"/>
            <w:tcBorders>
              <w:bottom w:val="single" w:sz="8" w:color="454545"/>
            </w:tcBorders>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tcBorders>
              <w:bottom w:val="single" w:sz="8" w:color="454545"/>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454545"/>
            </w:tcBorders>
          </w:tcPr>
          <w:p>
            <w:pPr>
              <w:jc w:val="right"/>
              <w:ind w:right="208"/>
              <w:spacing w:after="0"/>
              <w:rPr>
                <w:sz w:val="20"/>
                <w:szCs w:val="20"/>
                <w:color w:val="auto"/>
              </w:rPr>
            </w:pPr>
            <w:r>
              <w:rPr>
                <w:rFonts w:ascii="Arial" w:cs="Arial" w:eastAsia="Arial" w:hAnsi="Arial"/>
                <w:sz w:val="14"/>
                <w:szCs w:val="14"/>
                <w:color w:val="auto"/>
              </w:rPr>
              <w:t>24,236</w:t>
            </w:r>
          </w:p>
        </w:tc>
        <w:tc>
          <w:tcPr>
            <w:tcW w:w="1140" w:type="dxa"/>
            <w:vAlign w:val="bottom"/>
            <w:tcBorders>
              <w:bottom w:val="single" w:sz="8" w:color="454545"/>
            </w:tcBorders>
          </w:tcPr>
          <w:p>
            <w:pPr>
              <w:jc w:val="right"/>
              <w:ind w:right="128"/>
              <w:spacing w:after="0"/>
              <w:rPr>
                <w:sz w:val="20"/>
                <w:szCs w:val="20"/>
                <w:color w:val="auto"/>
              </w:rPr>
            </w:pPr>
            <w:r>
              <w:rPr>
                <w:rFonts w:ascii="Arial" w:cs="Arial" w:eastAsia="Arial" w:hAnsi="Arial"/>
                <w:sz w:val="14"/>
                <w:szCs w:val="14"/>
                <w:color w:val="auto"/>
              </w:rPr>
              <w:t>36,354</w:t>
            </w:r>
          </w:p>
        </w:tc>
        <w:tc>
          <w:tcPr>
            <w:tcW w:w="100" w:type="dxa"/>
            <w:vAlign w:val="bottom"/>
            <w:tcBorders>
              <w:bottom w:val="single" w:sz="8" w:color="454545"/>
            </w:tcBorders>
          </w:tcPr>
          <w:p>
            <w:pPr>
              <w:spacing w:after="0"/>
              <w:rPr>
                <w:sz w:val="17"/>
                <w:szCs w:val="17"/>
                <w:color w:val="auto"/>
              </w:rPr>
            </w:pPr>
          </w:p>
        </w:tc>
        <w:tc>
          <w:tcPr>
            <w:tcW w:w="1520" w:type="dxa"/>
            <w:vAlign w:val="bottom"/>
            <w:tcBorders>
              <w:bottom w:val="single" w:sz="8" w:color="45454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54545"/>
            </w:tcBorders>
          </w:tcPr>
          <w:p>
            <w:pPr>
              <w:ind w:left="6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3,375,000</w:t>
            </w:r>
          </w:p>
        </w:tc>
        <w:tc>
          <w:tcPr>
            <w:tcW w:w="0" w:type="dxa"/>
            <w:vAlign w:val="bottom"/>
          </w:tcPr>
          <w:p>
            <w:pPr>
              <w:spacing w:after="0"/>
              <w:rPr>
                <w:sz w:val="1"/>
                <w:szCs w:val="1"/>
                <w:color w:val="auto"/>
              </w:rPr>
            </w:pPr>
          </w:p>
        </w:tc>
      </w:tr>
      <w:tr>
        <w:trPr>
          <w:trHeight w:val="213"/>
        </w:trPr>
        <w:tc>
          <w:tcPr>
            <w:tcW w:w="1520" w:type="dxa"/>
            <w:vAlign w:val="bottom"/>
            <w:tcBorders>
              <w:bottom w:val="single" w:sz="8" w:color="454545"/>
            </w:tcBorders>
          </w:tcPr>
          <w:p>
            <w:pPr>
              <w:ind w:left="20"/>
              <w:spacing w:after="0"/>
              <w:rPr>
                <w:sz w:val="20"/>
                <w:szCs w:val="20"/>
                <w:color w:val="auto"/>
              </w:rPr>
            </w:pPr>
            <w:r>
              <w:rPr>
                <w:rFonts w:ascii="Arial" w:cs="Arial" w:eastAsia="Arial" w:hAnsi="Arial"/>
                <w:sz w:val="14"/>
                <w:szCs w:val="14"/>
                <w:b w:val="1"/>
                <w:bCs w:val="1"/>
                <w:color w:val="auto"/>
              </w:rPr>
              <w:t>Jeremy Barnum</w:t>
            </w:r>
          </w:p>
        </w:tc>
        <w:tc>
          <w:tcPr>
            <w:tcW w:w="1140" w:type="dxa"/>
            <w:vAlign w:val="bottom"/>
            <w:tcBorders>
              <w:bottom w:val="single" w:sz="8" w:color="454545"/>
            </w:tcBorders>
          </w:tcPr>
          <w:p>
            <w:pPr>
              <w:jc w:val="center"/>
              <w:ind w:right="27"/>
              <w:spacing w:after="0"/>
              <w:rPr>
                <w:sz w:val="20"/>
                <w:szCs w:val="20"/>
                <w:color w:val="auto"/>
              </w:rPr>
            </w:pPr>
            <w:r>
              <w:rPr>
                <w:rFonts w:ascii="Arial" w:cs="Arial" w:eastAsia="Arial" w:hAnsi="Arial"/>
                <w:sz w:val="14"/>
                <w:szCs w:val="14"/>
                <w:color w:val="auto"/>
              </w:rPr>
              <w:t>1/19/2021</w:t>
            </w:r>
          </w:p>
        </w:tc>
        <w:tc>
          <w:tcPr>
            <w:tcW w:w="520" w:type="dxa"/>
            <w:vAlign w:val="bottom"/>
            <w:tcBorders>
              <w:bottom w:val="single" w:sz="8" w:color="454545"/>
            </w:tcBorders>
          </w:tcPr>
          <w:p>
            <w:pPr>
              <w:jc w:val="center"/>
              <w:ind w:left="22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454545"/>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454545"/>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17,594</w:t>
            </w:r>
          </w:p>
        </w:tc>
        <w:tc>
          <w:tcPr>
            <w:tcW w:w="100" w:type="dxa"/>
            <w:vAlign w:val="bottom"/>
            <w:tcBorders>
              <w:bottom w:val="single" w:sz="8" w:color="454545"/>
            </w:tcBorders>
          </w:tcPr>
          <w:p>
            <w:pPr>
              <w:spacing w:after="0"/>
              <w:rPr>
                <w:sz w:val="18"/>
                <w:szCs w:val="18"/>
                <w:color w:val="auto"/>
              </w:rPr>
            </w:pPr>
          </w:p>
        </w:tc>
        <w:tc>
          <w:tcPr>
            <w:tcW w:w="94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54545"/>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454545"/>
            </w:tcBorders>
          </w:tcPr>
          <w:p>
            <w:pPr>
              <w:ind w:left="6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2,450,000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 w:right="200" w:hanging="192"/>
        <w:spacing w:after="0" w:line="244" w:lineRule="auto"/>
        <w:tabs>
          <w:tab w:leader="none" w:pos="200" w:val="left"/>
        </w:tabs>
        <w:numPr>
          <w:ilvl w:val="0"/>
          <w:numId w:val="233"/>
        </w:numPr>
        <w:rPr>
          <w:rFonts w:ascii="Arial" w:cs="Arial" w:eastAsia="Arial" w:hAnsi="Arial"/>
          <w:sz w:val="15"/>
          <w:szCs w:val="15"/>
          <w:color w:val="auto"/>
          <w:vertAlign w:val="superscript"/>
        </w:rPr>
      </w:pPr>
      <w:r>
        <w:rPr>
          <w:rFonts w:ascii="Arial" w:cs="Arial" w:eastAsia="Arial" w:hAnsi="Arial"/>
          <w:sz w:val="12"/>
          <w:szCs w:val="12"/>
          <w:color w:val="auto"/>
        </w:rPr>
        <w:t>Equity grants are awarded as part of the annual compensation process and as part of employment offers for new hires. Grants made as part of the annual incentive compensation process are generally awarded in January after fourth quarter earnings are released. RSUs and PSUs carry no voting rights. On January 18, 2022, the Firm awarded RSU and PSU awards as part of the 2021 annual incentive compensation. Because these awards were granted in 2022, they do not appear in this table, which is required to include only equity awards actually granted during 2021. These</w:t>
      </w:r>
    </w:p>
    <w:p>
      <w:pPr>
        <w:spacing w:after="0" w:line="2" w:lineRule="exact"/>
        <w:rPr>
          <w:sz w:val="20"/>
          <w:szCs w:val="20"/>
          <w:color w:val="auto"/>
        </w:rPr>
      </w:pPr>
    </w:p>
    <w:p>
      <w:pPr>
        <w:ind w:left="200" w:right="120"/>
        <w:spacing w:after="0" w:line="227" w:lineRule="auto"/>
        <w:rPr>
          <w:sz w:val="20"/>
          <w:szCs w:val="20"/>
          <w:color w:val="auto"/>
        </w:rPr>
      </w:pPr>
      <w:r>
        <w:rPr>
          <w:rFonts w:ascii="Arial" w:cs="Arial" w:eastAsia="Arial" w:hAnsi="Arial"/>
          <w:sz w:val="13"/>
          <w:szCs w:val="13"/>
          <w:color w:val="auto"/>
        </w:rPr>
        <w:t>2022 awards are however reflected in the “NEO Compensation” table on page 65. In 2021, Mr. Dimon and Mr. Pinto were granted special option awards in the form of SARs that are not part of their regular annual compensation and will not be awarded on a recurring basis. Refer to page 66 for further information.</w:t>
      </w:r>
    </w:p>
    <w:p>
      <w:pPr>
        <w:spacing w:after="0" w:line="2" w:lineRule="exact"/>
        <w:rPr>
          <w:sz w:val="20"/>
          <w:szCs w:val="20"/>
          <w:color w:val="auto"/>
        </w:rPr>
      </w:pPr>
    </w:p>
    <w:p>
      <w:pPr>
        <w:ind w:left="200" w:right="80" w:hanging="192"/>
        <w:spacing w:after="0" w:line="249" w:lineRule="auto"/>
        <w:tabs>
          <w:tab w:leader="none" w:pos="200" w:val="left"/>
        </w:tabs>
        <w:numPr>
          <w:ilvl w:val="0"/>
          <w:numId w:val="234"/>
        </w:numPr>
        <w:rPr>
          <w:rFonts w:ascii="Arial" w:cs="Arial" w:eastAsia="Arial" w:hAnsi="Arial"/>
          <w:sz w:val="15"/>
          <w:szCs w:val="15"/>
          <w:color w:val="auto"/>
          <w:vertAlign w:val="superscript"/>
        </w:rPr>
      </w:pPr>
      <w:r>
        <w:rPr>
          <w:rFonts w:ascii="Arial" w:cs="Arial" w:eastAsia="Arial" w:hAnsi="Arial"/>
          <w:sz w:val="12"/>
          <w:szCs w:val="12"/>
          <w:color w:val="auto"/>
        </w:rPr>
        <w:t>For NEOs other than Mr. Pinto, PSUs vest on March 25, 2024, and are subject to a two-year holding period post-vesting. In accordance with U.K. regulations, for Mr. Pinto, PSUs vest in five equal installments on March 25, 2024, 2025, 2026, 2027 and 2028 and are subject to: (i) a twelve-month holding period for all installments post-vesting, (ii) a two-year holding period for the installment vesting on March 25, 2024, with the holding periods associated with (i) and (ii) above running concurrently. Each PSU represents the right to receive one share of common stock on the vesting date. The ultimate number of PSUs that will vest will be determined by the Firm’s performance over the three-year performance period, and for NEOs other than Mr. Pinto, will include any accumulated reinvested dividend equivalent shares. The dividend equivalent shares, if any, will be based on: (1) the number of PSUs earned at vesting; and (2) on dividends that would have been paid on the</w:t>
      </w:r>
    </w:p>
    <w:p>
      <w:pPr>
        <w:spacing w:after="0" w:line="3" w:lineRule="exact"/>
        <w:rPr>
          <w:sz w:val="20"/>
          <w:szCs w:val="20"/>
          <w:color w:val="auto"/>
        </w:rPr>
      </w:pPr>
    </w:p>
    <w:p>
      <w:pPr>
        <w:ind w:left="200" w:right="100"/>
        <w:spacing w:after="0" w:line="227" w:lineRule="auto"/>
        <w:rPr>
          <w:sz w:val="20"/>
          <w:szCs w:val="20"/>
          <w:color w:val="auto"/>
        </w:rPr>
      </w:pPr>
      <w:r>
        <w:rPr>
          <w:rFonts w:ascii="Arial" w:cs="Arial" w:eastAsia="Arial" w:hAnsi="Arial"/>
          <w:sz w:val="13"/>
          <w:szCs w:val="13"/>
          <w:color w:val="auto"/>
        </w:rPr>
        <w:t>Firm’s common stock during the vesting period as of each dividend payment date, if any. Under rules applicable in the U.K., for Mr. Pinto, the PSUs are not eligible for reinvested dividend equivalent shares and an assessment is also made of his qualitative performance in determining the ultimate number of PSUs that will vest.</w:t>
      </w:r>
    </w:p>
    <w:p>
      <w:pPr>
        <w:ind w:left="200" w:hanging="192"/>
        <w:spacing w:after="0" w:line="226" w:lineRule="auto"/>
        <w:tabs>
          <w:tab w:leader="none" w:pos="200" w:val="left"/>
        </w:tabs>
        <w:numPr>
          <w:ilvl w:val="0"/>
          <w:numId w:val="235"/>
        </w:numPr>
        <w:rPr>
          <w:rFonts w:ascii="Arial" w:cs="Arial" w:eastAsia="Arial" w:hAnsi="Arial"/>
          <w:sz w:val="15"/>
          <w:szCs w:val="15"/>
          <w:color w:val="auto"/>
          <w:vertAlign w:val="superscript"/>
        </w:rPr>
      </w:pPr>
      <w:r>
        <w:rPr>
          <w:rFonts w:ascii="Arial" w:cs="Arial" w:eastAsia="Arial" w:hAnsi="Arial"/>
          <w:sz w:val="12"/>
          <w:szCs w:val="12"/>
          <w:color w:val="auto"/>
        </w:rPr>
        <w:t>For NEOs other than Mr. Pinto, RSUs vest in two equal installments on January 13, 2023 and 2024. Each RSU represents the right to receive one share of common stock on the vesting date and</w:t>
      </w:r>
    </w:p>
    <w:p>
      <w:pPr>
        <w:ind w:left="200" w:right="60"/>
        <w:spacing w:after="0" w:line="246" w:lineRule="auto"/>
        <w:rPr>
          <w:sz w:val="20"/>
          <w:szCs w:val="20"/>
          <w:color w:val="auto"/>
        </w:rPr>
      </w:pPr>
      <w:r>
        <w:rPr>
          <w:rFonts w:ascii="Arial" w:cs="Arial" w:eastAsia="Arial" w:hAnsi="Arial"/>
          <w:sz w:val="12"/>
          <w:szCs w:val="12"/>
          <w:color w:val="auto"/>
        </w:rPr>
        <w:t>non-preferential dividend equivalents, payable in cash, equal to any dividends paid on the Firm’s common stock during the vesting period. Under rules applicable in the U.K., for Mr. Pinto, RSUs vest in five equal installments on January 13, 2024, 2025, 2026, 2027 and 2028 are subject to a twelve-month holding period post-vesting. Mr. Pinto’s RSUs are not eligible for dividend equivalents.</w:t>
      </w:r>
    </w:p>
    <w:p>
      <w:pPr>
        <w:spacing w:after="0" w:line="2" w:lineRule="exact"/>
        <w:rPr>
          <w:sz w:val="20"/>
          <w:szCs w:val="20"/>
          <w:color w:val="auto"/>
        </w:rPr>
      </w:pPr>
    </w:p>
    <w:p>
      <w:pPr>
        <w:ind w:left="200" w:right="80" w:hanging="192"/>
        <w:spacing w:after="0" w:line="212" w:lineRule="auto"/>
        <w:tabs>
          <w:tab w:leader="none" w:pos="200" w:val="left"/>
        </w:tabs>
        <w:numPr>
          <w:ilvl w:val="0"/>
          <w:numId w:val="236"/>
        </w:numPr>
        <w:rPr>
          <w:rFonts w:ascii="Arial" w:cs="Arial" w:eastAsia="Arial" w:hAnsi="Arial"/>
          <w:sz w:val="16"/>
          <w:szCs w:val="16"/>
          <w:color w:val="auto"/>
          <w:vertAlign w:val="superscript"/>
        </w:rPr>
      </w:pPr>
      <w:r>
        <w:rPr>
          <w:rFonts w:ascii="Arial" w:cs="Arial" w:eastAsia="Arial" w:hAnsi="Arial"/>
          <w:sz w:val="13"/>
          <w:szCs w:val="13"/>
          <w:color w:val="auto"/>
        </w:rPr>
        <w:t>SARs cliff vest on the fifth anniversary of the Grant Date, and will become exercisable no earlier than the vest date. Net shares delivered from the exercise must be held until the tenth anniversary of the Grant Date.</w:t>
      </w:r>
    </w:p>
    <w:p>
      <w:pPr>
        <w:spacing w:after="0" w:line="2" w:lineRule="exact"/>
        <w:rPr>
          <w:sz w:val="20"/>
          <w:szCs w:val="20"/>
          <w:color w:val="auto"/>
        </w:rPr>
      </w:pPr>
    </w:p>
    <w:p>
      <w:pPr>
        <w:ind w:left="200" w:right="40" w:hanging="192"/>
        <w:spacing w:after="0" w:line="230" w:lineRule="auto"/>
        <w:tabs>
          <w:tab w:leader="none" w:pos="200" w:val="left"/>
        </w:tabs>
        <w:numPr>
          <w:ilvl w:val="0"/>
          <w:numId w:val="237"/>
        </w:numPr>
        <w:rPr>
          <w:rFonts w:ascii="Arial" w:cs="Arial" w:eastAsia="Arial" w:hAnsi="Arial"/>
          <w:sz w:val="16"/>
          <w:szCs w:val="16"/>
          <w:color w:val="auto"/>
          <w:vertAlign w:val="superscript"/>
        </w:rPr>
      </w:pPr>
      <w:r>
        <w:rPr>
          <w:rFonts w:ascii="Arial" w:cs="Arial" w:eastAsia="Arial" w:hAnsi="Arial"/>
          <w:sz w:val="13"/>
          <w:szCs w:val="13"/>
          <w:color w:val="auto"/>
        </w:rPr>
        <w:t>For NEOs other than Mr. Pinto, the grant date fair value for RSUs and PSUs is based on the average of the high and the low prices of JPMorgan Chase common stock on the grant date multiplied by the number of shares granted (for RSUs) or target number of PSUs. For Mr. Pinto the grant date fair value takes into account that these awards do not carry the right to dividends or dividend equivalents prior to vesting, in accordance with local regulations. For SARs, the grant date fair value is calculated using the Black-Scholes valuation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197485</wp:posOffset>
            </wp:positionV>
            <wp:extent cx="27432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75  </w:t>
      </w:r>
      <w:r>
        <w:rPr>
          <w:sz w:val="1"/>
          <w:szCs w:val="1"/>
          <w:color w:val="auto"/>
        </w:rPr>
        <w:drawing>
          <wp:inline distT="0" distB="0" distL="0" distR="0">
            <wp:extent cx="2203450" cy="154305"/>
            <wp:effectExtent l="0" t="0" r="0" b="0"/>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III. OUTSTANDING EQUITY AWARDS AT FISCAL YEAR-END 2021</w:t>
      </w:r>
    </w:p>
    <w:p>
      <w:pPr>
        <w:spacing w:after="0" w:line="11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 shows the number of shares of the Firm’s common stock underlying (i) exercisable SARs and (ii) RSUs and PSUs that had not yet vested held by the Firm’s Named Executive Officers on December 31,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120" w:type="dxa"/>
            <w:vAlign w:val="bottom"/>
            <w:tcBorders>
              <w:bottom w:val="single" w:sz="8" w:color="454545"/>
            </w:tcBorders>
          </w:tcPr>
          <w:p>
            <w:pPr>
              <w:spacing w:after="0"/>
              <w:rPr>
                <w:sz w:val="19"/>
                <w:szCs w:val="19"/>
                <w:color w:val="auto"/>
              </w:rPr>
            </w:pPr>
          </w:p>
        </w:tc>
        <w:tc>
          <w:tcPr>
            <w:tcW w:w="1140" w:type="dxa"/>
            <w:vAlign w:val="bottom"/>
            <w:tcBorders>
              <w:bottom w:val="single" w:sz="8" w:color="454545"/>
            </w:tcBorders>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1560" w:type="dxa"/>
            <w:vAlign w:val="bottom"/>
            <w:tcBorders>
              <w:bottom w:val="single" w:sz="8" w:color="454545"/>
            </w:tcBorders>
            <w:gridSpan w:val="4"/>
          </w:tcPr>
          <w:p>
            <w:pPr>
              <w:jc w:val="right"/>
              <w:ind w:right="100"/>
              <w:spacing w:after="0"/>
              <w:rPr>
                <w:sz w:val="20"/>
                <w:szCs w:val="20"/>
                <w:color w:val="auto"/>
              </w:rPr>
            </w:pPr>
            <w:r>
              <w:rPr>
                <w:rFonts w:ascii="Arial" w:cs="Arial" w:eastAsia="Arial" w:hAnsi="Arial"/>
                <w:sz w:val="16"/>
                <w:szCs w:val="16"/>
                <w:color w:val="auto"/>
              </w:rPr>
              <w:t>Option awards</w:t>
            </w:r>
          </w:p>
        </w:tc>
        <w:tc>
          <w:tcPr>
            <w:tcW w:w="960" w:type="dxa"/>
            <w:vAlign w:val="bottom"/>
            <w:tcBorders>
              <w:bottom w:val="single" w:sz="8" w:color="454545"/>
            </w:tcBorders>
          </w:tcPr>
          <w:p>
            <w:pPr>
              <w:spacing w:after="0"/>
              <w:rPr>
                <w:sz w:val="19"/>
                <w:szCs w:val="19"/>
                <w:color w:val="auto"/>
              </w:rPr>
            </w:pPr>
          </w:p>
        </w:tc>
        <w:tc>
          <w:tcPr>
            <w:tcW w:w="1040" w:type="dxa"/>
            <w:vAlign w:val="bottom"/>
            <w:tcBorders>
              <w:bottom w:val="single" w:sz="8" w:color="454545"/>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454545"/>
            </w:tcBorders>
          </w:tcPr>
          <w:p>
            <w:pPr>
              <w:spacing w:after="0"/>
              <w:rPr>
                <w:sz w:val="19"/>
                <w:szCs w:val="19"/>
                <w:color w:val="auto"/>
              </w:rPr>
            </w:pPr>
          </w:p>
        </w:tc>
        <w:tc>
          <w:tcPr>
            <w:tcW w:w="120" w:type="dxa"/>
            <w:vAlign w:val="bottom"/>
            <w:tcBorders>
              <w:bottom w:val="single" w:sz="8" w:color="454545"/>
            </w:tcBorders>
          </w:tcPr>
          <w:p>
            <w:pPr>
              <w:spacing w:after="0"/>
              <w:rPr>
                <w:sz w:val="19"/>
                <w:szCs w:val="19"/>
                <w:color w:val="auto"/>
              </w:rPr>
            </w:pPr>
          </w:p>
        </w:tc>
        <w:tc>
          <w:tcPr>
            <w:tcW w:w="2720" w:type="dxa"/>
            <w:vAlign w:val="bottom"/>
            <w:tcBorders>
              <w:bottom w:val="single" w:sz="8" w:color="454545"/>
            </w:tcBorders>
            <w:gridSpan w:val="6"/>
          </w:tcPr>
          <w:p>
            <w:pPr>
              <w:jc w:val="right"/>
              <w:ind w:right="919"/>
              <w:spacing w:after="0"/>
              <w:rPr>
                <w:sz w:val="20"/>
                <w:szCs w:val="20"/>
                <w:color w:val="auto"/>
              </w:rPr>
            </w:pPr>
            <w:r>
              <w:rPr>
                <w:rFonts w:ascii="Arial" w:cs="Arial" w:eastAsia="Arial" w:hAnsi="Arial"/>
                <w:sz w:val="16"/>
                <w:szCs w:val="16"/>
                <w:color w:val="auto"/>
              </w:rPr>
              <w:t>Stock awards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color w:val="074A75"/>
              </w:rPr>
              <w:t>Number of</w:t>
            </w:r>
          </w:p>
        </w:tc>
        <w:tc>
          <w:tcPr>
            <w:tcW w:w="14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074A75"/>
              </w:rPr>
              <w:t>Number of</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color w:val="074A75"/>
              </w:rPr>
              <w:t>Number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color w:val="074A75"/>
              </w:rPr>
              <w:t>securities</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074A75"/>
              </w:rPr>
              <w:t>securities</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074A75"/>
              </w:rPr>
              <w:t>Number of</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color w:val="074A75"/>
              </w:rPr>
              <w:t>unearned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color w:val="074A75"/>
              </w:rPr>
              <w:t>underlying</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074A75"/>
              </w:rPr>
              <w:t>underlying</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color w:val="074A75"/>
              </w:rPr>
              <w:t>shares or units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59"/>
              <w:spacing w:after="0"/>
              <w:rPr>
                <w:sz w:val="20"/>
                <w:szCs w:val="20"/>
                <w:color w:val="auto"/>
              </w:rPr>
            </w:pPr>
            <w:r>
              <w:rPr>
                <w:rFonts w:ascii="Arial" w:cs="Arial" w:eastAsia="Arial" w:hAnsi="Arial"/>
                <w:sz w:val="16"/>
                <w:szCs w:val="16"/>
                <w:color w:val="074A75"/>
              </w:rPr>
              <w:t>performance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6"/>
                <w:szCs w:val="16"/>
                <w:color w:val="074A75"/>
              </w:rPr>
              <w:t>Option/</w:t>
            </w:r>
          </w:p>
        </w:tc>
        <w:tc>
          <w:tcPr>
            <w:tcW w:w="12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color w:val="074A75"/>
              </w:rPr>
              <w:t>unexercised</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074A75"/>
              </w:rPr>
              <w:t>unexercised</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074A75"/>
              </w:rPr>
              <w:t>Option</w:t>
            </w:r>
          </w:p>
        </w:tc>
        <w:tc>
          <w:tcPr>
            <w:tcW w:w="1360" w:type="dxa"/>
            <w:vAlign w:val="bottom"/>
            <w:gridSpan w:val="3"/>
          </w:tcPr>
          <w:p>
            <w:pPr>
              <w:jc w:val="center"/>
              <w:ind w:right="400"/>
              <w:spacing w:after="0"/>
              <w:rPr>
                <w:sz w:val="20"/>
                <w:szCs w:val="20"/>
                <w:color w:val="auto"/>
              </w:rPr>
            </w:pPr>
            <w:r>
              <w:rPr>
                <w:rFonts w:ascii="Arial" w:cs="Arial" w:eastAsia="Arial" w:hAnsi="Arial"/>
                <w:sz w:val="16"/>
                <w:szCs w:val="16"/>
                <w:color w:val="074A75"/>
              </w:rPr>
              <w:t>Option</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074A75"/>
              </w:rPr>
              <w:t>of stock that</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39"/>
              <w:spacing w:after="0"/>
              <w:rPr>
                <w:sz w:val="20"/>
                <w:szCs w:val="20"/>
                <w:color w:val="auto"/>
              </w:rPr>
            </w:pPr>
            <w:r>
              <w:rPr>
                <w:rFonts w:ascii="Arial" w:cs="Arial" w:eastAsia="Arial" w:hAnsi="Arial"/>
                <w:sz w:val="16"/>
                <w:szCs w:val="16"/>
                <w:color w:val="074A75"/>
              </w:rPr>
              <w:t>shares or units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6"/>
                <w:szCs w:val="16"/>
                <w:color w:val="074A75"/>
              </w:rPr>
              <w:t>stock award</w:t>
            </w:r>
          </w:p>
        </w:tc>
        <w:tc>
          <w:tcPr>
            <w:tcW w:w="12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color w:val="074A75"/>
              </w:rPr>
              <w:t>options: #</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074A75"/>
              </w:rPr>
              <w:t>options: #</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074A75"/>
              </w:rPr>
              <w:t>exercise</w:t>
            </w:r>
          </w:p>
        </w:tc>
        <w:tc>
          <w:tcPr>
            <w:tcW w:w="1360" w:type="dxa"/>
            <w:vAlign w:val="bottom"/>
            <w:gridSpan w:val="3"/>
          </w:tcPr>
          <w:p>
            <w:pPr>
              <w:jc w:val="center"/>
              <w:ind w:right="420"/>
              <w:spacing w:after="0"/>
              <w:rPr>
                <w:sz w:val="20"/>
                <w:szCs w:val="20"/>
                <w:color w:val="auto"/>
              </w:rPr>
            </w:pPr>
            <w:r>
              <w:rPr>
                <w:rFonts w:ascii="Arial" w:cs="Arial" w:eastAsia="Arial" w:hAnsi="Arial"/>
                <w:sz w:val="16"/>
                <w:szCs w:val="16"/>
                <w:color w:val="074A75"/>
              </w:rPr>
              <w:t>expiration</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074A75"/>
              </w:rPr>
              <w:t>have not</w:t>
            </w:r>
          </w:p>
        </w:tc>
        <w:tc>
          <w:tcPr>
            <w:tcW w:w="40" w:type="dxa"/>
            <w:vAlign w:val="bottom"/>
          </w:tcPr>
          <w:p>
            <w:pPr>
              <w:spacing w:after="0"/>
              <w:rPr>
                <w:sz w:val="16"/>
                <w:szCs w:val="16"/>
                <w:color w:val="auto"/>
              </w:rPr>
            </w:pPr>
          </w:p>
        </w:tc>
        <w:tc>
          <w:tcPr>
            <w:tcW w:w="1580" w:type="dxa"/>
            <w:vAlign w:val="bottom"/>
            <w:gridSpan w:val="3"/>
          </w:tcPr>
          <w:p>
            <w:pPr>
              <w:jc w:val="center"/>
              <w:ind w:left="123"/>
              <w:spacing w:after="0"/>
              <w:rPr>
                <w:sz w:val="20"/>
                <w:szCs w:val="20"/>
                <w:color w:val="auto"/>
              </w:rPr>
            </w:pPr>
            <w:r>
              <w:rPr>
                <w:rFonts w:ascii="Arial" w:cs="Arial" w:eastAsia="Arial" w:hAnsi="Arial"/>
                <w:sz w:val="16"/>
                <w:szCs w:val="16"/>
                <w:color w:val="074A75"/>
              </w:rPr>
              <w:t>of stock that have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420" w:type="dxa"/>
            <w:vAlign w:val="bottom"/>
            <w:tcBorders>
              <w:bottom w:val="single" w:sz="8" w:color="454545"/>
            </w:tcBorders>
            <w:gridSpan w:val="3"/>
          </w:tcPr>
          <w:p>
            <w:pPr>
              <w:jc w:val="center"/>
              <w:ind w:right="280"/>
              <w:spacing w:after="0" w:line="230" w:lineRule="exact"/>
              <w:rPr>
                <w:sz w:val="20"/>
                <w:szCs w:val="20"/>
                <w:color w:val="auto"/>
              </w:rPr>
            </w:pPr>
            <w:r>
              <w:rPr>
                <w:rFonts w:ascii="Arial" w:cs="Arial" w:eastAsia="Arial" w:hAnsi="Arial"/>
                <w:sz w:val="16"/>
                <w:szCs w:val="16"/>
                <w:color w:val="074A75"/>
                <w:w w:val="97"/>
              </w:rPr>
              <w:t>grant date</w:t>
            </w:r>
            <w:r>
              <w:rPr>
                <w:rFonts w:ascii="Arial" w:cs="Arial" w:eastAsia="Arial" w:hAnsi="Arial"/>
                <w:sz w:val="21"/>
                <w:szCs w:val="21"/>
                <w:color w:val="074A75"/>
                <w:w w:val="97"/>
                <w:vertAlign w:val="superscript"/>
              </w:rPr>
              <w:t>1</w:t>
            </w:r>
          </w:p>
        </w:tc>
        <w:tc>
          <w:tcPr>
            <w:tcW w:w="1400" w:type="dxa"/>
            <w:vAlign w:val="bottom"/>
            <w:tcBorders>
              <w:bottom w:val="single" w:sz="8" w:color="454545"/>
            </w:tcBorders>
            <w:gridSpan w:val="3"/>
          </w:tcPr>
          <w:p>
            <w:pPr>
              <w:jc w:val="center"/>
              <w:ind w:right="280"/>
              <w:spacing w:after="0" w:line="230" w:lineRule="exact"/>
              <w:rPr>
                <w:sz w:val="20"/>
                <w:szCs w:val="20"/>
                <w:color w:val="auto"/>
              </w:rPr>
            </w:pPr>
            <w:r>
              <w:rPr>
                <w:rFonts w:ascii="Arial" w:cs="Arial" w:eastAsia="Arial" w:hAnsi="Arial"/>
                <w:sz w:val="16"/>
                <w:szCs w:val="16"/>
                <w:color w:val="074A75"/>
                <w:w w:val="95"/>
              </w:rPr>
              <w:t>exercisable</w:t>
            </w:r>
            <w:r>
              <w:rPr>
                <w:rFonts w:ascii="Arial" w:cs="Arial" w:eastAsia="Arial" w:hAnsi="Arial"/>
                <w:sz w:val="21"/>
                <w:szCs w:val="21"/>
                <w:color w:val="074A75"/>
                <w:w w:val="95"/>
                <w:vertAlign w:val="superscript"/>
              </w:rPr>
              <w:t>1,2</w:t>
            </w:r>
          </w:p>
        </w:tc>
        <w:tc>
          <w:tcPr>
            <w:tcW w:w="1340" w:type="dxa"/>
            <w:vAlign w:val="bottom"/>
            <w:tcBorders>
              <w:bottom w:val="single" w:sz="8" w:color="454545"/>
            </w:tcBorders>
            <w:gridSpan w:val="3"/>
          </w:tcPr>
          <w:p>
            <w:pPr>
              <w:ind w:left="20"/>
              <w:spacing w:after="0" w:line="230" w:lineRule="exact"/>
              <w:rPr>
                <w:sz w:val="20"/>
                <w:szCs w:val="20"/>
                <w:color w:val="auto"/>
              </w:rPr>
            </w:pPr>
            <w:r>
              <w:rPr>
                <w:rFonts w:ascii="Arial" w:cs="Arial" w:eastAsia="Arial" w:hAnsi="Arial"/>
                <w:sz w:val="16"/>
                <w:szCs w:val="16"/>
                <w:color w:val="074A75"/>
              </w:rPr>
              <w:t>unexercisable</w:t>
            </w:r>
            <w:r>
              <w:rPr>
                <w:rFonts w:ascii="Arial" w:cs="Arial" w:eastAsia="Arial" w:hAnsi="Arial"/>
                <w:sz w:val="21"/>
                <w:szCs w:val="21"/>
                <w:color w:val="074A75"/>
                <w:vertAlign w:val="superscript"/>
              </w:rPr>
              <w:t>1,2</w:t>
            </w:r>
          </w:p>
        </w:tc>
        <w:tc>
          <w:tcPr>
            <w:tcW w:w="300" w:type="dxa"/>
            <w:vAlign w:val="bottom"/>
            <w:tcBorders>
              <w:bottom w:val="single" w:sz="8" w:color="454545"/>
            </w:tcBorders>
          </w:tcPr>
          <w:p>
            <w:pPr>
              <w:spacing w:after="0"/>
              <w:rPr>
                <w:sz w:val="20"/>
                <w:szCs w:val="20"/>
                <w:color w:val="auto"/>
              </w:rPr>
            </w:pPr>
          </w:p>
        </w:tc>
        <w:tc>
          <w:tcPr>
            <w:tcW w:w="60" w:type="dxa"/>
            <w:vAlign w:val="bottom"/>
            <w:tcBorders>
              <w:bottom w:val="single" w:sz="8" w:color="454545"/>
            </w:tcBorders>
          </w:tcPr>
          <w:p>
            <w:pPr>
              <w:spacing w:after="0"/>
              <w:rPr>
                <w:sz w:val="20"/>
                <w:szCs w:val="20"/>
                <w:color w:val="auto"/>
              </w:rPr>
            </w:pPr>
          </w:p>
        </w:tc>
        <w:tc>
          <w:tcPr>
            <w:tcW w:w="960" w:type="dxa"/>
            <w:vAlign w:val="bottom"/>
            <w:tcBorders>
              <w:bottom w:val="single" w:sz="8" w:color="454545"/>
            </w:tcBorders>
          </w:tcPr>
          <w:p>
            <w:pPr>
              <w:jc w:val="right"/>
              <w:ind w:right="239"/>
              <w:spacing w:after="0"/>
              <w:rPr>
                <w:sz w:val="20"/>
                <w:szCs w:val="20"/>
                <w:color w:val="auto"/>
              </w:rPr>
            </w:pPr>
            <w:r>
              <w:rPr>
                <w:rFonts w:ascii="Arial" w:cs="Arial" w:eastAsia="Arial" w:hAnsi="Arial"/>
                <w:sz w:val="16"/>
                <w:szCs w:val="16"/>
                <w:color w:val="074A75"/>
              </w:rPr>
              <w:t>price ($)</w:t>
            </w:r>
          </w:p>
        </w:tc>
        <w:tc>
          <w:tcPr>
            <w:tcW w:w="1360" w:type="dxa"/>
            <w:vAlign w:val="bottom"/>
            <w:tcBorders>
              <w:bottom w:val="single" w:sz="8" w:color="454545"/>
            </w:tcBorders>
            <w:gridSpan w:val="3"/>
          </w:tcPr>
          <w:p>
            <w:pPr>
              <w:jc w:val="center"/>
              <w:ind w:right="420"/>
              <w:spacing w:after="0"/>
              <w:rPr>
                <w:sz w:val="20"/>
                <w:szCs w:val="20"/>
                <w:color w:val="auto"/>
              </w:rPr>
            </w:pPr>
            <w:r>
              <w:rPr>
                <w:rFonts w:ascii="Arial" w:cs="Arial" w:eastAsia="Arial" w:hAnsi="Arial"/>
                <w:sz w:val="16"/>
                <w:szCs w:val="16"/>
                <w:color w:val="074A75"/>
                <w:w w:val="96"/>
              </w:rPr>
              <w:t>date</w:t>
            </w:r>
          </w:p>
        </w:tc>
        <w:tc>
          <w:tcPr>
            <w:tcW w:w="12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gridSpan w:val="2"/>
          </w:tcPr>
          <w:p>
            <w:pPr>
              <w:jc w:val="center"/>
              <w:ind w:right="220"/>
              <w:spacing w:after="0" w:line="230" w:lineRule="exact"/>
              <w:rPr>
                <w:sz w:val="20"/>
                <w:szCs w:val="20"/>
                <w:color w:val="auto"/>
              </w:rPr>
            </w:pPr>
            <w:r>
              <w:rPr>
                <w:rFonts w:ascii="Arial" w:cs="Arial" w:eastAsia="Arial" w:hAnsi="Arial"/>
                <w:sz w:val="16"/>
                <w:szCs w:val="16"/>
                <w:color w:val="074A75"/>
                <w:w w:val="91"/>
              </w:rPr>
              <w:t>vested</w:t>
            </w:r>
            <w:r>
              <w:rPr>
                <w:rFonts w:ascii="Arial" w:cs="Arial" w:eastAsia="Arial" w:hAnsi="Arial"/>
                <w:sz w:val="21"/>
                <w:szCs w:val="21"/>
                <w:color w:val="074A75"/>
                <w:w w:val="91"/>
                <w:vertAlign w:val="superscript"/>
              </w:rPr>
              <w:t>1,2,3</w:t>
            </w:r>
          </w:p>
        </w:tc>
        <w:tc>
          <w:tcPr>
            <w:tcW w:w="40" w:type="dxa"/>
            <w:vAlign w:val="bottom"/>
            <w:tcBorders>
              <w:bottom w:val="single" w:sz="8" w:color="454545"/>
            </w:tcBorders>
          </w:tcPr>
          <w:p>
            <w:pPr>
              <w:spacing w:after="0"/>
              <w:rPr>
                <w:sz w:val="20"/>
                <w:szCs w:val="20"/>
                <w:color w:val="auto"/>
              </w:rPr>
            </w:pPr>
          </w:p>
        </w:tc>
        <w:tc>
          <w:tcPr>
            <w:tcW w:w="32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tcBorders>
            <w:gridSpan w:val="2"/>
          </w:tcPr>
          <w:p>
            <w:pPr>
              <w:jc w:val="center"/>
              <w:ind w:right="39"/>
              <w:spacing w:after="0" w:line="230" w:lineRule="exact"/>
              <w:rPr>
                <w:sz w:val="20"/>
                <w:szCs w:val="20"/>
                <w:color w:val="auto"/>
              </w:rPr>
            </w:pPr>
            <w:r>
              <w:rPr>
                <w:rFonts w:ascii="Arial" w:cs="Arial" w:eastAsia="Arial" w:hAnsi="Arial"/>
                <w:sz w:val="16"/>
                <w:szCs w:val="16"/>
                <w:color w:val="074A75"/>
                <w:w w:val="93"/>
              </w:rPr>
              <w:t>not vested</w:t>
            </w:r>
            <w:r>
              <w:rPr>
                <w:rFonts w:ascii="Arial" w:cs="Arial" w:eastAsia="Arial" w:hAnsi="Arial"/>
                <w:sz w:val="21"/>
                <w:szCs w:val="21"/>
                <w:color w:val="074A75"/>
                <w:w w:val="93"/>
                <w:vertAlign w:val="superscript"/>
              </w:rPr>
              <w:t>1,2,3</w:t>
            </w:r>
          </w:p>
        </w:tc>
        <w:tc>
          <w:tcPr>
            <w:tcW w:w="180" w:type="dxa"/>
            <w:vAlign w:val="bottom"/>
            <w:tcBorders>
              <w:bottom w:val="single" w:sz="8" w:color="454545"/>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1280" w:type="dxa"/>
            <w:vAlign w:val="bottom"/>
            <w:gridSpan w:val="2"/>
            <w:vMerge w:val="restart"/>
          </w:tcPr>
          <w:p>
            <w:pPr>
              <w:ind w:left="380"/>
              <w:spacing w:after="0"/>
              <w:rPr>
                <w:sz w:val="20"/>
                <w:szCs w:val="20"/>
                <w:color w:val="auto"/>
              </w:rPr>
            </w:pPr>
            <w:r>
              <w:rPr>
                <w:rFonts w:ascii="Arial" w:cs="Arial" w:eastAsia="Arial" w:hAnsi="Arial"/>
                <w:sz w:val="16"/>
                <w:szCs w:val="16"/>
                <w:color w:val="auto"/>
              </w:rPr>
              <w:t xml:space="preserve">1/15/2019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color w:val="auto"/>
              </w:rPr>
              <w:t>a</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396,010</w:t>
            </w:r>
          </w:p>
        </w:tc>
        <w:tc>
          <w:tcPr>
            <w:tcW w:w="40" w:type="dxa"/>
            <w:vAlign w:val="bottom"/>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1/21/2020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287,637</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1/19/2021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274,053</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52"/>
        </w:trPr>
        <w:tc>
          <w:tcPr>
            <w:tcW w:w="1380" w:type="dxa"/>
            <w:vAlign w:val="bottom"/>
          </w:tcPr>
          <w:p>
            <w:pPr>
              <w:spacing w:after="0"/>
              <w:rPr>
                <w:sz w:val="21"/>
                <w:szCs w:val="21"/>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7/20/2021</w:t>
            </w:r>
          </w:p>
        </w:tc>
        <w:tc>
          <w:tcPr>
            <w:tcW w:w="140" w:type="dxa"/>
            <w:vAlign w:val="bottom"/>
          </w:tcPr>
          <w:p>
            <w:pPr>
              <w:spacing w:after="0"/>
              <w:rPr>
                <w:sz w:val="21"/>
                <w:szCs w:val="21"/>
                <w:color w:val="auto"/>
              </w:rPr>
            </w:pPr>
          </w:p>
        </w:tc>
        <w:tc>
          <w:tcPr>
            <w:tcW w:w="120" w:type="dxa"/>
            <w:vAlign w:val="bottom"/>
            <w:tcBorders>
              <w:bottom w:val="single" w:sz="8" w:color="494949"/>
            </w:tcBorders>
          </w:tcPr>
          <w:p>
            <w:pPr>
              <w:spacing w:after="0"/>
              <w:rPr>
                <w:sz w:val="21"/>
                <w:szCs w:val="21"/>
                <w:color w:val="auto"/>
              </w:rPr>
            </w:pPr>
          </w:p>
        </w:tc>
        <w:tc>
          <w:tcPr>
            <w:tcW w:w="114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0" w:type="dxa"/>
            <w:vAlign w:val="bottom"/>
            <w:tcBorders>
              <w:bottom w:val="single" w:sz="8" w:color="494949"/>
            </w:tcBorders>
          </w:tcPr>
          <w:p>
            <w:pPr>
              <w:spacing w:after="0"/>
              <w:rPr>
                <w:sz w:val="21"/>
                <w:szCs w:val="21"/>
                <w:color w:val="auto"/>
              </w:rPr>
            </w:pPr>
          </w:p>
        </w:tc>
        <w:tc>
          <w:tcPr>
            <w:tcW w:w="1200" w:type="dxa"/>
            <w:vAlign w:val="bottom"/>
            <w:tcBorders>
              <w:bottom w:val="single" w:sz="8" w:color="494949"/>
            </w:tcBorders>
            <w:gridSpan w:val="2"/>
          </w:tcPr>
          <w:p>
            <w:pPr>
              <w:jc w:val="right"/>
              <w:ind w:right="60"/>
              <w:spacing w:after="0"/>
              <w:rPr>
                <w:sz w:val="20"/>
                <w:szCs w:val="20"/>
                <w:color w:val="auto"/>
              </w:rPr>
            </w:pPr>
            <w:r>
              <w:rPr>
                <w:rFonts w:ascii="Arial" w:cs="Arial" w:eastAsia="Arial" w:hAnsi="Arial"/>
                <w:sz w:val="16"/>
                <w:szCs w:val="16"/>
                <w:color w:val="auto"/>
              </w:rPr>
              <w:t>1,500,000</w:t>
            </w: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b</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148.73</w:t>
            </w:r>
          </w:p>
        </w:tc>
        <w:tc>
          <w:tcPr>
            <w:tcW w:w="1040" w:type="dxa"/>
            <w:vAlign w:val="bottom"/>
          </w:tcPr>
          <w:p>
            <w:pPr>
              <w:jc w:val="right"/>
              <w:spacing w:after="0"/>
              <w:rPr>
                <w:sz w:val="20"/>
                <w:szCs w:val="20"/>
                <w:color w:val="auto"/>
              </w:rPr>
            </w:pPr>
            <w:r>
              <w:rPr>
                <w:rFonts w:ascii="Arial" w:cs="Arial" w:eastAsia="Arial" w:hAnsi="Arial"/>
                <w:sz w:val="16"/>
                <w:szCs w:val="16"/>
                <w:color w:val="auto"/>
              </w:rPr>
              <w:t>7/20/2031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494949"/>
            </w:tcBorders>
          </w:tcPr>
          <w:p>
            <w:pPr>
              <w:spacing w:after="0"/>
              <w:rPr>
                <w:sz w:val="21"/>
                <w:szCs w:val="21"/>
                <w:color w:val="auto"/>
              </w:rPr>
            </w:pPr>
          </w:p>
        </w:tc>
        <w:tc>
          <w:tcPr>
            <w:tcW w:w="1100" w:type="dxa"/>
            <w:vAlign w:val="bottom"/>
            <w:tcBorders>
              <w:bottom w:val="single" w:sz="8" w:color="494949"/>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494949"/>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494949"/>
            </w:tcBorders>
          </w:tcPr>
          <w:p>
            <w:pPr>
              <w:spacing w:after="0"/>
              <w:rPr>
                <w:sz w:val="21"/>
                <w:szCs w:val="21"/>
                <w:color w:val="auto"/>
              </w:rPr>
            </w:pPr>
          </w:p>
        </w:tc>
        <w:tc>
          <w:tcPr>
            <w:tcW w:w="116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38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494949"/>
            </w:tcBorders>
          </w:tcPr>
          <w:p>
            <w:pPr>
              <w:spacing w:after="0"/>
              <w:rPr>
                <w:sz w:val="20"/>
                <w:szCs w:val="20"/>
                <w:color w:val="auto"/>
              </w:rPr>
            </w:pPr>
          </w:p>
        </w:tc>
        <w:tc>
          <w:tcPr>
            <w:tcW w:w="114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Borders>
              <w:bottom w:val="single" w:sz="8" w:color="494949"/>
            </w:tcBorders>
          </w:tcPr>
          <w:p>
            <w:pPr>
              <w:spacing w:after="0"/>
              <w:rPr>
                <w:sz w:val="20"/>
                <w:szCs w:val="20"/>
                <w:color w:val="auto"/>
              </w:rPr>
            </w:pPr>
          </w:p>
        </w:tc>
        <w:tc>
          <w:tcPr>
            <w:tcW w:w="1200" w:type="dxa"/>
            <w:vAlign w:val="bottom"/>
            <w:tcBorders>
              <w:bottom w:val="single" w:sz="8" w:color="494949"/>
            </w:tcBorders>
            <w:gridSpan w:val="2"/>
          </w:tcPr>
          <w:p>
            <w:pPr>
              <w:jc w:val="right"/>
              <w:ind w:right="60"/>
              <w:spacing w:after="0"/>
              <w:rPr>
                <w:sz w:val="20"/>
                <w:szCs w:val="20"/>
                <w:color w:val="auto"/>
              </w:rPr>
            </w:pPr>
            <w:r>
              <w:rPr>
                <w:rFonts w:ascii="Arial" w:cs="Arial" w:eastAsia="Arial" w:hAnsi="Arial"/>
                <w:sz w:val="16"/>
                <w:szCs w:val="16"/>
                <w:color w:val="auto"/>
              </w:rPr>
              <w:t>1,500,000</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494949"/>
            </w:tcBorders>
          </w:tcPr>
          <w:p>
            <w:pPr>
              <w:spacing w:after="0"/>
              <w:rPr>
                <w:sz w:val="20"/>
                <w:szCs w:val="20"/>
                <w:color w:val="auto"/>
              </w:rPr>
            </w:pPr>
          </w:p>
        </w:tc>
        <w:tc>
          <w:tcPr>
            <w:tcW w:w="1100" w:type="dxa"/>
            <w:vAlign w:val="bottom"/>
            <w:tcBorders>
              <w:bottom w:val="single" w:sz="8" w:color="494949"/>
            </w:tcBorders>
            <w:gridSpan w:val="2"/>
          </w:tcPr>
          <w:p>
            <w:pPr>
              <w:jc w:val="right"/>
              <w:ind w:right="20"/>
              <w:spacing w:after="0"/>
              <w:rPr>
                <w:sz w:val="20"/>
                <w:szCs w:val="20"/>
                <w:color w:val="auto"/>
              </w:rPr>
            </w:pPr>
            <w:r>
              <w:rPr>
                <w:rFonts w:ascii="Arial" w:cs="Arial" w:eastAsia="Arial" w:hAnsi="Arial"/>
                <w:sz w:val="16"/>
                <w:szCs w:val="16"/>
                <w:color w:val="auto"/>
              </w:rPr>
              <w:t>396,010</w:t>
            </w:r>
          </w:p>
        </w:tc>
        <w:tc>
          <w:tcPr>
            <w:tcW w:w="40" w:type="dxa"/>
            <w:vAlign w:val="bottom"/>
            <w:tcBorders>
              <w:bottom w:val="single" w:sz="8" w:color="494949"/>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494949"/>
            </w:tcBorders>
          </w:tcPr>
          <w:p>
            <w:pPr>
              <w:spacing w:after="0"/>
              <w:rPr>
                <w:sz w:val="20"/>
                <w:szCs w:val="20"/>
                <w:color w:val="auto"/>
              </w:rPr>
            </w:pPr>
          </w:p>
        </w:tc>
        <w:tc>
          <w:tcPr>
            <w:tcW w:w="116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561,690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560" w:type="dxa"/>
            <w:vAlign w:val="bottom"/>
            <w:tcBorders>
              <w:bottom w:val="single" w:sz="8" w:color="454545"/>
            </w:tcBorders>
          </w:tcPr>
          <w:p>
            <w:pPr>
              <w:spacing w:after="0"/>
              <w:rPr>
                <w:sz w:val="23"/>
                <w:szCs w:val="23"/>
                <w:color w:val="auto"/>
              </w:rPr>
            </w:pPr>
          </w:p>
        </w:tc>
        <w:tc>
          <w:tcPr>
            <w:tcW w:w="72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54545"/>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14,430,000</w:t>
            </w:r>
          </w:p>
        </w:tc>
        <w:tc>
          <w:tcPr>
            <w:tcW w:w="300" w:type="dxa"/>
            <w:vAlign w:val="bottom"/>
            <w:tcBorders>
              <w:bottom w:val="single" w:sz="8" w:color="454545"/>
            </w:tcBorders>
          </w:tcPr>
          <w:p>
            <w:pPr>
              <w:spacing w:after="0"/>
              <w:rPr>
                <w:sz w:val="23"/>
                <w:szCs w:val="23"/>
                <w:color w:val="auto"/>
              </w:rPr>
            </w:pPr>
          </w:p>
        </w:tc>
        <w:tc>
          <w:tcPr>
            <w:tcW w:w="60" w:type="dxa"/>
            <w:vAlign w:val="bottom"/>
            <w:tcBorders>
              <w:bottom w:val="single" w:sz="8" w:color="454545"/>
            </w:tcBorders>
          </w:tcPr>
          <w:p>
            <w:pPr>
              <w:spacing w:after="0"/>
              <w:rPr>
                <w:sz w:val="23"/>
                <w:szCs w:val="23"/>
                <w:color w:val="auto"/>
              </w:rPr>
            </w:pPr>
          </w:p>
        </w:tc>
        <w:tc>
          <w:tcPr>
            <w:tcW w:w="960" w:type="dxa"/>
            <w:vAlign w:val="bottom"/>
            <w:tcBorders>
              <w:bottom w:val="single" w:sz="8" w:color="454545"/>
            </w:tcBorders>
          </w:tcPr>
          <w:p>
            <w:pPr>
              <w:spacing w:after="0"/>
              <w:rPr>
                <w:sz w:val="23"/>
                <w:szCs w:val="23"/>
                <w:color w:val="auto"/>
              </w:rPr>
            </w:pPr>
          </w:p>
        </w:tc>
        <w:tc>
          <w:tcPr>
            <w:tcW w:w="104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454545"/>
            </w:tcBorders>
            <w:gridSpan w:val="2"/>
          </w:tcPr>
          <w:p>
            <w:pPr>
              <w:jc w:val="right"/>
              <w:ind w:right="20"/>
              <w:spacing w:after="0"/>
              <w:rPr>
                <w:sz w:val="20"/>
                <w:szCs w:val="20"/>
                <w:color w:val="auto"/>
              </w:rPr>
            </w:pPr>
            <w:r>
              <w:rPr>
                <w:rFonts w:ascii="Arial" w:cs="Arial" w:eastAsia="Arial" w:hAnsi="Arial"/>
                <w:sz w:val="16"/>
                <w:szCs w:val="16"/>
                <w:color w:val="auto"/>
              </w:rPr>
              <w:t>62,708,184</w:t>
            </w:r>
          </w:p>
        </w:tc>
        <w:tc>
          <w:tcPr>
            <w:tcW w:w="46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88,943,612</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6"/>
                <w:szCs w:val="16"/>
                <w:b w:val="1"/>
                <w:bCs w:val="1"/>
                <w:color w:val="auto"/>
              </w:rPr>
              <w:t>Daniel Pinto</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380" w:type="dxa"/>
            <w:vAlign w:val="bottom"/>
          </w:tcPr>
          <w:p>
            <w:pPr>
              <w:spacing w:after="0"/>
              <w:rPr>
                <w:sz w:val="22"/>
                <w:szCs w:val="22"/>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1/17/2013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104,603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21"/>
                <w:szCs w:val="21"/>
                <w:color w:val="auto"/>
                <w:vertAlign w:val="superscript"/>
              </w:rPr>
              <w:t>c</w:t>
            </w:r>
            <w:r>
              <w:rPr>
                <w:rFonts w:ascii="Arial" w:cs="Arial" w:eastAsia="Arial" w:hAnsi="Arial"/>
                <w:sz w:val="16"/>
                <w:szCs w:val="16"/>
                <w:color w:val="auto"/>
              </w:rPr>
              <w:t xml:space="preserve">   $</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46.58</w:t>
            </w:r>
          </w:p>
        </w:tc>
        <w:tc>
          <w:tcPr>
            <w:tcW w:w="1040" w:type="dxa"/>
            <w:vAlign w:val="bottom"/>
          </w:tcPr>
          <w:p>
            <w:pPr>
              <w:jc w:val="right"/>
              <w:spacing w:after="0"/>
              <w:rPr>
                <w:sz w:val="20"/>
                <w:szCs w:val="20"/>
                <w:color w:val="auto"/>
              </w:rPr>
            </w:pPr>
            <w:r>
              <w:rPr>
                <w:rFonts w:ascii="Arial" w:cs="Arial" w:eastAsia="Arial" w:hAnsi="Arial"/>
                <w:sz w:val="16"/>
                <w:szCs w:val="16"/>
                <w:color w:val="auto"/>
              </w:rPr>
              <w:t>1/17/2023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1/17/2017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61,531</w:t>
            </w:r>
          </w:p>
        </w:tc>
        <w:tc>
          <w:tcPr>
            <w:tcW w:w="4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color w:val="auto"/>
              </w:rPr>
              <w:t>d</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1/17/2017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38,091</w:t>
            </w:r>
          </w:p>
        </w:tc>
        <w:tc>
          <w:tcPr>
            <w:tcW w:w="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1/16/2018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78,092</w:t>
            </w:r>
          </w:p>
        </w:tc>
        <w:tc>
          <w:tcPr>
            <w:tcW w:w="40" w:type="dxa"/>
            <w:vAlign w:val="bottom"/>
          </w:tcPr>
          <w:p>
            <w:pPr>
              <w:spacing w:after="0"/>
              <w:rPr>
                <w:sz w:val="24"/>
                <w:szCs w:val="24"/>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1/16/2018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50,944</w:t>
            </w:r>
          </w:p>
        </w:tc>
        <w:tc>
          <w:tcPr>
            <w:tcW w:w="4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380" w:type="dxa"/>
            <w:vAlign w:val="bottom"/>
          </w:tcPr>
          <w:p>
            <w:pPr>
              <w:spacing w:after="0"/>
              <w:rPr>
                <w:sz w:val="23"/>
                <w:szCs w:val="23"/>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 xml:space="preserve">1/15/2019 </w:t>
            </w:r>
            <w:r>
              <w:rPr>
                <w:rFonts w:ascii="Arial" w:cs="Arial" w:eastAsia="Arial" w:hAnsi="Arial"/>
                <w:sz w:val="23"/>
                <w:szCs w:val="23"/>
                <w:color w:val="auto"/>
                <w:vertAlign w:val="superscript"/>
              </w:rPr>
              <w:t>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117,210</w:t>
            </w:r>
          </w:p>
        </w:tc>
        <w:tc>
          <w:tcPr>
            <w:tcW w:w="40" w:type="dxa"/>
            <w:vAlign w:val="bottom"/>
          </w:tcPr>
          <w:p>
            <w:pPr>
              <w:spacing w:after="0"/>
              <w:rPr>
                <w:sz w:val="23"/>
                <w:szCs w:val="23"/>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1/15/2019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83,586</w:t>
            </w:r>
          </w:p>
        </w:tc>
        <w:tc>
          <w:tcPr>
            <w:tcW w:w="4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1/21/2020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61,613</w:t>
            </w:r>
          </w:p>
        </w:tc>
        <w:tc>
          <w:tcPr>
            <w:tcW w:w="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160" w:type="dxa"/>
            <w:vAlign w:val="bottom"/>
          </w:tcPr>
          <w:p>
            <w:pPr>
              <w:jc w:val="right"/>
              <w:spacing w:after="0"/>
              <w:rPr>
                <w:sz w:val="20"/>
                <w:szCs w:val="20"/>
                <w:color w:val="auto"/>
              </w:rPr>
            </w:pPr>
            <w:r>
              <w:rPr>
                <w:rFonts w:ascii="Arial" w:cs="Arial" w:eastAsia="Arial" w:hAnsi="Arial"/>
                <w:sz w:val="16"/>
                <w:szCs w:val="16"/>
                <w:color w:val="auto"/>
              </w:rPr>
              <w:t>89,130</w:t>
            </w:r>
          </w:p>
        </w:tc>
        <w:tc>
          <w:tcPr>
            <w:tcW w:w="180" w:type="dxa"/>
            <w:vAlign w:val="bottom"/>
          </w:tcPr>
          <w:p>
            <w:pPr>
              <w:ind w:left="20"/>
              <w:spacing w:after="0"/>
              <w:rPr>
                <w:sz w:val="20"/>
                <w:szCs w:val="20"/>
                <w:color w:val="auto"/>
              </w:rPr>
            </w:pPr>
            <w:r>
              <w:rPr>
                <w:rFonts w:ascii="Arial" w:cs="Arial" w:eastAsia="Arial" w:hAnsi="Arial"/>
                <w:sz w:val="11"/>
                <w:szCs w:val="11"/>
                <w:color w:val="auto"/>
              </w:rPr>
              <w:t>e</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1/19/2021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69,291</w:t>
            </w:r>
          </w:p>
        </w:tc>
        <w:tc>
          <w:tcPr>
            <w:tcW w:w="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1"/>
                <w:szCs w:val="11"/>
                <w:color w:val="auto"/>
              </w:rPr>
              <w:t>e</w:t>
            </w:r>
          </w:p>
        </w:tc>
        <w:tc>
          <w:tcPr>
            <w:tcW w:w="1160" w:type="dxa"/>
            <w:vAlign w:val="bottom"/>
          </w:tcPr>
          <w:p>
            <w:pPr>
              <w:jc w:val="right"/>
              <w:spacing w:after="0"/>
              <w:rPr>
                <w:sz w:val="20"/>
                <w:szCs w:val="20"/>
                <w:color w:val="auto"/>
              </w:rPr>
            </w:pPr>
            <w:r>
              <w:rPr>
                <w:rFonts w:ascii="Arial" w:cs="Arial" w:eastAsia="Arial" w:hAnsi="Arial"/>
                <w:sz w:val="16"/>
                <w:szCs w:val="16"/>
                <w:color w:val="auto"/>
              </w:rPr>
              <w:t>104,525</w:t>
            </w:r>
          </w:p>
        </w:tc>
        <w:tc>
          <w:tcPr>
            <w:tcW w:w="180" w:type="dxa"/>
            <w:vAlign w:val="bottom"/>
          </w:tcPr>
          <w:p>
            <w:pPr>
              <w:ind w:left="20"/>
              <w:spacing w:after="0"/>
              <w:rPr>
                <w:sz w:val="20"/>
                <w:szCs w:val="20"/>
                <w:color w:val="auto"/>
              </w:rPr>
            </w:pPr>
            <w:r>
              <w:rPr>
                <w:rFonts w:ascii="Arial" w:cs="Arial" w:eastAsia="Arial" w:hAnsi="Arial"/>
                <w:sz w:val="11"/>
                <w:szCs w:val="11"/>
                <w:color w:val="auto"/>
              </w:rPr>
              <w:t>e</w:t>
            </w:r>
          </w:p>
        </w:tc>
        <w:tc>
          <w:tcPr>
            <w:tcW w:w="0" w:type="dxa"/>
            <w:vAlign w:val="bottom"/>
          </w:tcPr>
          <w:p>
            <w:pPr>
              <w:spacing w:after="0"/>
              <w:rPr>
                <w:sz w:val="1"/>
                <w:szCs w:val="1"/>
                <w:color w:val="auto"/>
              </w:rPr>
            </w:pPr>
          </w:p>
        </w:tc>
      </w:tr>
      <w:tr>
        <w:trPr>
          <w:trHeight w:val="252"/>
        </w:trPr>
        <w:tc>
          <w:tcPr>
            <w:tcW w:w="1380" w:type="dxa"/>
            <w:vAlign w:val="bottom"/>
          </w:tcPr>
          <w:p>
            <w:pPr>
              <w:spacing w:after="0"/>
              <w:rPr>
                <w:sz w:val="21"/>
                <w:szCs w:val="21"/>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color w:val="auto"/>
              </w:rPr>
              <w:t>12/14/2021</w:t>
            </w:r>
          </w:p>
        </w:tc>
        <w:tc>
          <w:tcPr>
            <w:tcW w:w="140" w:type="dxa"/>
            <w:vAlign w:val="bottom"/>
          </w:tcPr>
          <w:p>
            <w:pPr>
              <w:spacing w:after="0"/>
              <w:rPr>
                <w:sz w:val="21"/>
                <w:szCs w:val="21"/>
                <w:color w:val="auto"/>
              </w:rPr>
            </w:pPr>
          </w:p>
        </w:tc>
        <w:tc>
          <w:tcPr>
            <w:tcW w:w="12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21"/>
                <w:szCs w:val="21"/>
                <w:color w:val="auto"/>
              </w:rPr>
            </w:pPr>
          </w:p>
        </w:tc>
        <w:tc>
          <w:tcPr>
            <w:tcW w:w="140" w:type="dxa"/>
            <w:vAlign w:val="bottom"/>
            <w:tcBorders>
              <w:bottom w:val="single" w:sz="8" w:color="454545"/>
            </w:tcBorders>
          </w:tcPr>
          <w:p>
            <w:pPr>
              <w:spacing w:after="0"/>
              <w:rPr>
                <w:sz w:val="21"/>
                <w:szCs w:val="21"/>
                <w:color w:val="auto"/>
              </w:rPr>
            </w:pPr>
          </w:p>
        </w:tc>
        <w:tc>
          <w:tcPr>
            <w:tcW w:w="120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750,000</w:t>
            </w: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b</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159.095</w:t>
            </w:r>
          </w:p>
        </w:tc>
        <w:tc>
          <w:tcPr>
            <w:tcW w:w="1040" w:type="dxa"/>
            <w:vAlign w:val="bottom"/>
          </w:tcPr>
          <w:p>
            <w:pPr>
              <w:jc w:val="right"/>
              <w:spacing w:after="0"/>
              <w:rPr>
                <w:sz w:val="20"/>
                <w:szCs w:val="20"/>
                <w:color w:val="auto"/>
              </w:rPr>
            </w:pPr>
            <w:r>
              <w:rPr>
                <w:rFonts w:ascii="Arial" w:cs="Arial" w:eastAsia="Arial" w:hAnsi="Arial"/>
                <w:sz w:val="16"/>
                <w:szCs w:val="16"/>
                <w:color w:val="auto"/>
              </w:rPr>
              <w:t>12/14/2031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454545"/>
            </w:tcBorders>
          </w:tcPr>
          <w:p>
            <w:pPr>
              <w:spacing w:after="0"/>
              <w:rPr>
                <w:sz w:val="21"/>
                <w:szCs w:val="21"/>
                <w:color w:val="auto"/>
              </w:rPr>
            </w:pPr>
          </w:p>
        </w:tc>
        <w:tc>
          <w:tcPr>
            <w:tcW w:w="1100" w:type="dxa"/>
            <w:vAlign w:val="bottom"/>
            <w:tcBorders>
              <w:bottom w:val="single" w:sz="8" w:color="454545"/>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454545"/>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454545"/>
            </w:tcBorders>
          </w:tcPr>
          <w:p>
            <w:pPr>
              <w:spacing w:after="0"/>
              <w:rPr>
                <w:sz w:val="21"/>
                <w:szCs w:val="21"/>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104,603</w:t>
            </w:r>
          </w:p>
        </w:tc>
        <w:tc>
          <w:tcPr>
            <w:tcW w:w="14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20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750,000</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gridSpan w:val="2"/>
          </w:tcPr>
          <w:p>
            <w:pPr>
              <w:jc w:val="right"/>
              <w:ind w:right="20"/>
              <w:spacing w:after="0"/>
              <w:rPr>
                <w:sz w:val="20"/>
                <w:szCs w:val="20"/>
                <w:color w:val="auto"/>
              </w:rPr>
            </w:pPr>
            <w:r>
              <w:rPr>
                <w:rFonts w:ascii="Arial" w:cs="Arial" w:eastAsia="Arial" w:hAnsi="Arial"/>
                <w:sz w:val="16"/>
                <w:szCs w:val="16"/>
                <w:color w:val="auto"/>
              </w:rPr>
              <w:t>560,358</w:t>
            </w:r>
          </w:p>
        </w:tc>
        <w:tc>
          <w:tcPr>
            <w:tcW w:w="40" w:type="dxa"/>
            <w:vAlign w:val="bottom"/>
            <w:tcBorders>
              <w:bottom w:val="single" w:sz="8" w:color="454545"/>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193,655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560" w:type="dxa"/>
            <w:vAlign w:val="bottom"/>
            <w:tcBorders>
              <w:bottom w:val="single" w:sz="8" w:color="454545"/>
            </w:tcBorders>
          </w:tcPr>
          <w:p>
            <w:pPr>
              <w:spacing w:after="0"/>
              <w:rPr>
                <w:sz w:val="23"/>
                <w:szCs w:val="23"/>
                <w:color w:val="auto"/>
              </w:rPr>
            </w:pPr>
          </w:p>
        </w:tc>
        <w:tc>
          <w:tcPr>
            <w:tcW w:w="72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11,691,477</w:t>
            </w:r>
          </w:p>
        </w:tc>
        <w:tc>
          <w:tcPr>
            <w:tcW w:w="14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454545"/>
            </w:tcBorders>
          </w:tcPr>
          <w:p>
            <w:pPr>
              <w:spacing w:after="0"/>
              <w:rPr>
                <w:sz w:val="23"/>
                <w:szCs w:val="23"/>
                <w:color w:val="auto"/>
              </w:rPr>
            </w:pPr>
          </w:p>
        </w:tc>
        <w:tc>
          <w:tcPr>
            <w:tcW w:w="60" w:type="dxa"/>
            <w:vAlign w:val="bottom"/>
            <w:tcBorders>
              <w:bottom w:val="single" w:sz="8" w:color="454545"/>
            </w:tcBorders>
          </w:tcPr>
          <w:p>
            <w:pPr>
              <w:spacing w:after="0"/>
              <w:rPr>
                <w:sz w:val="23"/>
                <w:szCs w:val="23"/>
                <w:color w:val="auto"/>
              </w:rPr>
            </w:pPr>
          </w:p>
        </w:tc>
        <w:tc>
          <w:tcPr>
            <w:tcW w:w="960" w:type="dxa"/>
            <w:vAlign w:val="bottom"/>
            <w:tcBorders>
              <w:bottom w:val="single" w:sz="8" w:color="454545"/>
            </w:tcBorders>
          </w:tcPr>
          <w:p>
            <w:pPr>
              <w:spacing w:after="0"/>
              <w:rPr>
                <w:sz w:val="23"/>
                <w:szCs w:val="23"/>
                <w:color w:val="auto"/>
              </w:rPr>
            </w:pPr>
          </w:p>
        </w:tc>
        <w:tc>
          <w:tcPr>
            <w:tcW w:w="104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454545"/>
            </w:tcBorders>
            <w:gridSpan w:val="2"/>
          </w:tcPr>
          <w:p>
            <w:pPr>
              <w:jc w:val="right"/>
              <w:ind w:right="20"/>
              <w:spacing w:after="0"/>
              <w:rPr>
                <w:sz w:val="20"/>
                <w:szCs w:val="20"/>
                <w:color w:val="auto"/>
              </w:rPr>
            </w:pPr>
            <w:r>
              <w:rPr>
                <w:rFonts w:ascii="Arial" w:cs="Arial" w:eastAsia="Arial" w:hAnsi="Arial"/>
                <w:sz w:val="16"/>
                <w:szCs w:val="16"/>
                <w:color w:val="auto"/>
              </w:rPr>
              <w:t>88,732,691</w:t>
            </w:r>
          </w:p>
        </w:tc>
        <w:tc>
          <w:tcPr>
            <w:tcW w:w="46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30,665,269</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6"/>
                <w:szCs w:val="16"/>
                <w:b w:val="1"/>
                <w:bCs w:val="1"/>
                <w:color w:val="auto"/>
              </w:rPr>
              <w:t>Gordon Smith</w:t>
            </w:r>
          </w:p>
        </w:tc>
        <w:tc>
          <w:tcPr>
            <w:tcW w:w="1280" w:type="dxa"/>
            <w:vAlign w:val="bottom"/>
            <w:gridSpan w:val="2"/>
            <w:vMerge w:val="restart"/>
          </w:tcPr>
          <w:p>
            <w:pPr>
              <w:ind w:left="380"/>
              <w:spacing w:after="0"/>
              <w:rPr>
                <w:sz w:val="20"/>
                <w:szCs w:val="20"/>
                <w:color w:val="auto"/>
              </w:rPr>
            </w:pPr>
            <w:r>
              <w:rPr>
                <w:rFonts w:ascii="Arial" w:cs="Arial" w:eastAsia="Arial" w:hAnsi="Arial"/>
                <w:sz w:val="16"/>
                <w:szCs w:val="16"/>
                <w:color w:val="auto"/>
              </w:rPr>
              <w:t xml:space="preserve">1/15/2019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color w:val="auto"/>
              </w:rPr>
              <w:t>a</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103,044</w:t>
            </w:r>
          </w:p>
        </w:tc>
        <w:tc>
          <w:tcPr>
            <w:tcW w:w="40" w:type="dxa"/>
            <w:vAlign w:val="bottom"/>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380" w:type="dxa"/>
            <w:vAlign w:val="bottom"/>
          </w:tcPr>
          <w:p>
            <w:pPr>
              <w:spacing w:after="0"/>
              <w:rPr>
                <w:sz w:val="20"/>
                <w:szCs w:val="20"/>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1/15/2019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31,706</w:t>
            </w:r>
          </w:p>
        </w:tc>
        <w:tc>
          <w:tcPr>
            <w:tcW w:w="4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color w:val="auto"/>
              </w:rPr>
              <w:t>f</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1/21/2020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47,496</w:t>
            </w:r>
          </w:p>
        </w:tc>
        <w:tc>
          <w:tcPr>
            <w:tcW w:w="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color w:val="auto"/>
              </w:rPr>
              <w:t>f</w:t>
            </w:r>
          </w:p>
        </w:tc>
        <w:tc>
          <w:tcPr>
            <w:tcW w:w="1160" w:type="dxa"/>
            <w:vAlign w:val="bottom"/>
          </w:tcPr>
          <w:p>
            <w:pPr>
              <w:jc w:val="right"/>
              <w:spacing w:after="0"/>
              <w:rPr>
                <w:sz w:val="20"/>
                <w:szCs w:val="20"/>
                <w:color w:val="auto"/>
              </w:rPr>
            </w:pPr>
            <w:r>
              <w:rPr>
                <w:rFonts w:ascii="Arial" w:cs="Arial" w:eastAsia="Arial" w:hAnsi="Arial"/>
                <w:sz w:val="16"/>
                <w:szCs w:val="16"/>
                <w:color w:val="auto"/>
              </w:rPr>
              <w:t>75,074</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52"/>
        </w:trPr>
        <w:tc>
          <w:tcPr>
            <w:tcW w:w="1380" w:type="dxa"/>
            <w:vAlign w:val="bottom"/>
          </w:tcPr>
          <w:p>
            <w:pPr>
              <w:spacing w:after="0"/>
              <w:rPr>
                <w:sz w:val="21"/>
                <w:szCs w:val="21"/>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1/19/2021</w:t>
            </w:r>
          </w:p>
        </w:tc>
        <w:tc>
          <w:tcPr>
            <w:tcW w:w="140" w:type="dxa"/>
            <w:vAlign w:val="bottom"/>
          </w:tcPr>
          <w:p>
            <w:pPr>
              <w:spacing w:after="0"/>
              <w:rPr>
                <w:sz w:val="21"/>
                <w:szCs w:val="21"/>
                <w:color w:val="auto"/>
              </w:rPr>
            </w:pPr>
          </w:p>
        </w:tc>
        <w:tc>
          <w:tcPr>
            <w:tcW w:w="12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0" w:type="dxa"/>
            <w:vAlign w:val="bottom"/>
            <w:tcBorders>
              <w:bottom w:val="single" w:sz="8" w:color="454545"/>
            </w:tcBorders>
          </w:tcPr>
          <w:p>
            <w:pPr>
              <w:spacing w:after="0"/>
              <w:rPr>
                <w:sz w:val="21"/>
                <w:szCs w:val="21"/>
                <w:color w:val="auto"/>
              </w:rPr>
            </w:pPr>
          </w:p>
        </w:tc>
        <w:tc>
          <w:tcPr>
            <w:tcW w:w="120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54545"/>
            </w:tcBorders>
          </w:tcPr>
          <w:p>
            <w:pPr>
              <w:spacing w:after="0"/>
              <w:rPr>
                <w:sz w:val="21"/>
                <w:szCs w:val="21"/>
                <w:color w:val="auto"/>
              </w:rPr>
            </w:pPr>
          </w:p>
        </w:tc>
        <w:tc>
          <w:tcPr>
            <w:tcW w:w="1100" w:type="dxa"/>
            <w:vAlign w:val="bottom"/>
            <w:tcBorders>
              <w:bottom w:val="single" w:sz="8" w:color="454545"/>
            </w:tcBorders>
            <w:gridSpan w:val="2"/>
          </w:tcPr>
          <w:p>
            <w:pPr>
              <w:jc w:val="right"/>
              <w:ind w:right="20"/>
              <w:spacing w:after="0"/>
              <w:rPr>
                <w:sz w:val="20"/>
                <w:szCs w:val="20"/>
                <w:color w:val="auto"/>
              </w:rPr>
            </w:pPr>
            <w:r>
              <w:rPr>
                <w:rFonts w:ascii="Arial" w:cs="Arial" w:eastAsia="Arial" w:hAnsi="Arial"/>
                <w:sz w:val="16"/>
                <w:szCs w:val="16"/>
                <w:color w:val="auto"/>
              </w:rPr>
              <w:t>46,855</w:t>
            </w:r>
          </w:p>
        </w:tc>
        <w:tc>
          <w:tcPr>
            <w:tcW w:w="40" w:type="dxa"/>
            <w:vAlign w:val="bottom"/>
            <w:tcBorders>
              <w:bottom w:val="single" w:sz="8" w:color="454545"/>
            </w:tcBorders>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2"/>
                <w:szCs w:val="12"/>
                <w:color w:val="auto"/>
              </w:rPr>
              <w:t>f</w:t>
            </w:r>
          </w:p>
        </w:tc>
        <w:tc>
          <w:tcPr>
            <w:tcW w:w="100" w:type="dxa"/>
            <w:vAlign w:val="bottom"/>
            <w:tcBorders>
              <w:bottom w:val="single" w:sz="8" w:color="454545"/>
            </w:tcBorders>
          </w:tcPr>
          <w:p>
            <w:pPr>
              <w:spacing w:after="0"/>
              <w:rPr>
                <w:sz w:val="21"/>
                <w:szCs w:val="21"/>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71,528</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7"/>
        </w:trPr>
        <w:tc>
          <w:tcPr>
            <w:tcW w:w="138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20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gridSpan w:val="2"/>
          </w:tcPr>
          <w:p>
            <w:pPr>
              <w:jc w:val="right"/>
              <w:ind w:right="20"/>
              <w:spacing w:after="0"/>
              <w:rPr>
                <w:sz w:val="20"/>
                <w:szCs w:val="20"/>
                <w:color w:val="auto"/>
              </w:rPr>
            </w:pPr>
            <w:r>
              <w:rPr>
                <w:rFonts w:ascii="Arial" w:cs="Arial" w:eastAsia="Arial" w:hAnsi="Arial"/>
                <w:sz w:val="16"/>
                <w:szCs w:val="16"/>
                <w:color w:val="auto"/>
              </w:rPr>
              <w:t>229,101</w:t>
            </w:r>
          </w:p>
        </w:tc>
        <w:tc>
          <w:tcPr>
            <w:tcW w:w="40" w:type="dxa"/>
            <w:vAlign w:val="bottom"/>
            <w:tcBorders>
              <w:bottom w:val="single" w:sz="8" w:color="454545"/>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146,602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560" w:type="dxa"/>
            <w:vAlign w:val="bottom"/>
            <w:tcBorders>
              <w:bottom w:val="single" w:sz="8" w:color="454545"/>
            </w:tcBorders>
          </w:tcPr>
          <w:p>
            <w:pPr>
              <w:spacing w:after="0"/>
              <w:rPr>
                <w:sz w:val="23"/>
                <w:szCs w:val="23"/>
                <w:color w:val="auto"/>
              </w:rPr>
            </w:pPr>
          </w:p>
        </w:tc>
        <w:tc>
          <w:tcPr>
            <w:tcW w:w="72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454545"/>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454545"/>
            </w:tcBorders>
          </w:tcPr>
          <w:p>
            <w:pPr>
              <w:spacing w:after="0"/>
              <w:rPr>
                <w:sz w:val="23"/>
                <w:szCs w:val="23"/>
                <w:color w:val="auto"/>
              </w:rPr>
            </w:pPr>
          </w:p>
        </w:tc>
        <w:tc>
          <w:tcPr>
            <w:tcW w:w="60" w:type="dxa"/>
            <w:vAlign w:val="bottom"/>
            <w:tcBorders>
              <w:bottom w:val="single" w:sz="8" w:color="454545"/>
            </w:tcBorders>
          </w:tcPr>
          <w:p>
            <w:pPr>
              <w:spacing w:after="0"/>
              <w:rPr>
                <w:sz w:val="23"/>
                <w:szCs w:val="23"/>
                <w:color w:val="auto"/>
              </w:rPr>
            </w:pPr>
          </w:p>
        </w:tc>
        <w:tc>
          <w:tcPr>
            <w:tcW w:w="960" w:type="dxa"/>
            <w:vAlign w:val="bottom"/>
            <w:tcBorders>
              <w:bottom w:val="single" w:sz="8" w:color="454545"/>
            </w:tcBorders>
          </w:tcPr>
          <w:p>
            <w:pPr>
              <w:spacing w:after="0"/>
              <w:rPr>
                <w:sz w:val="23"/>
                <w:szCs w:val="23"/>
                <w:color w:val="auto"/>
              </w:rPr>
            </w:pPr>
          </w:p>
        </w:tc>
        <w:tc>
          <w:tcPr>
            <w:tcW w:w="104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spacing w:after="0"/>
              <w:rPr>
                <w:sz w:val="23"/>
                <w:szCs w:val="23"/>
                <w:color w:val="auto"/>
              </w:rPr>
            </w:pPr>
          </w:p>
        </w:tc>
        <w:tc>
          <w:tcPr>
            <w:tcW w:w="160" w:type="dxa"/>
            <w:vAlign w:val="bottom"/>
            <w:tcBorders>
              <w:bottom w:val="single" w:sz="8" w:color="454545"/>
            </w:tcBorders>
          </w:tcPr>
          <w:p>
            <w:pPr>
              <w:spacing w:after="0"/>
              <w:rPr>
                <w:sz w:val="23"/>
                <w:szCs w:val="23"/>
                <w:color w:val="auto"/>
              </w:rPr>
            </w:pPr>
          </w:p>
        </w:tc>
        <w:tc>
          <w:tcPr>
            <w:tcW w:w="1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454545"/>
            </w:tcBorders>
            <w:gridSpan w:val="2"/>
          </w:tcPr>
          <w:p>
            <w:pPr>
              <w:jc w:val="right"/>
              <w:ind w:right="20"/>
              <w:spacing w:after="0"/>
              <w:rPr>
                <w:sz w:val="20"/>
                <w:szCs w:val="20"/>
                <w:color w:val="auto"/>
              </w:rPr>
            </w:pPr>
            <w:r>
              <w:rPr>
                <w:rFonts w:ascii="Arial" w:cs="Arial" w:eastAsia="Arial" w:hAnsi="Arial"/>
                <w:sz w:val="16"/>
                <w:szCs w:val="16"/>
                <w:color w:val="auto"/>
              </w:rPr>
              <w:t>36,278,143</w:t>
            </w:r>
          </w:p>
        </w:tc>
        <w:tc>
          <w:tcPr>
            <w:tcW w:w="46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23,214,427</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506"/>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color w:val="074A75"/>
              </w:rPr>
              <w:t>JPMORGAN CHASE &amp; CO.</w:t>
            </w:r>
          </w:p>
        </w:tc>
        <w:tc>
          <w:tcPr>
            <w:tcW w:w="8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Borders>
              <w:bottom w:val="single" w:sz="8" w:color="8A8C8F"/>
            </w:tcBorders>
          </w:tcPr>
          <w:p>
            <w:pPr>
              <w:spacing w:after="0"/>
              <w:rPr>
                <w:sz w:val="24"/>
                <w:szCs w:val="24"/>
                <w:color w:val="auto"/>
              </w:rPr>
            </w:pPr>
          </w:p>
        </w:tc>
        <w:tc>
          <w:tcPr>
            <w:tcW w:w="300" w:type="dxa"/>
            <w:vAlign w:val="bottom"/>
            <w:tcBorders>
              <w:bottom w:val="single" w:sz="8" w:color="8A8C8F"/>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5"/>
            <w:vMerge w:val="restart"/>
          </w:tcPr>
          <w:p>
            <w:pPr>
              <w:jc w:val="center"/>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88"/>
        </w:trPr>
        <w:tc>
          <w:tcPr>
            <w:tcW w:w="1940" w:type="dxa"/>
            <w:vAlign w:val="bottom"/>
            <w:gridSpan w:val="2"/>
            <w:vMerge w:val="continue"/>
          </w:tcPr>
          <w:p>
            <w:pPr>
              <w:spacing w:after="0"/>
              <w:rPr>
                <w:sz w:val="7"/>
                <w:szCs w:val="7"/>
                <w:color w:val="auto"/>
              </w:rPr>
            </w:pPr>
          </w:p>
        </w:tc>
        <w:tc>
          <w:tcPr>
            <w:tcW w:w="720" w:type="dxa"/>
            <w:vAlign w:val="bottom"/>
            <w:tcBorders>
              <w:bottom w:val="single" w:sz="8" w:color="8A8C8F"/>
            </w:tcBorders>
          </w:tcPr>
          <w:p>
            <w:pPr>
              <w:spacing w:after="0"/>
              <w:rPr>
                <w:sz w:val="7"/>
                <w:szCs w:val="7"/>
                <w:color w:val="auto"/>
              </w:rPr>
            </w:pPr>
          </w:p>
        </w:tc>
        <w:tc>
          <w:tcPr>
            <w:tcW w:w="140" w:type="dxa"/>
            <w:vAlign w:val="bottom"/>
            <w:tcBorders>
              <w:bottom w:val="single" w:sz="8" w:color="8A8C8F"/>
            </w:tcBorders>
          </w:tcPr>
          <w:p>
            <w:pPr>
              <w:spacing w:after="0"/>
              <w:rPr>
                <w:sz w:val="7"/>
                <w:szCs w:val="7"/>
                <w:color w:val="auto"/>
              </w:rPr>
            </w:pPr>
          </w:p>
        </w:tc>
        <w:tc>
          <w:tcPr>
            <w:tcW w:w="120" w:type="dxa"/>
            <w:vAlign w:val="bottom"/>
            <w:tcBorders>
              <w:bottom w:val="single" w:sz="8" w:color="8A8C8F"/>
            </w:tcBorders>
          </w:tcPr>
          <w:p>
            <w:pPr>
              <w:spacing w:after="0"/>
              <w:rPr>
                <w:sz w:val="7"/>
                <w:szCs w:val="7"/>
                <w:color w:val="auto"/>
              </w:rPr>
            </w:pPr>
          </w:p>
        </w:tc>
        <w:tc>
          <w:tcPr>
            <w:tcW w:w="1140" w:type="dxa"/>
            <w:vAlign w:val="bottom"/>
            <w:tcBorders>
              <w:bottom w:val="single" w:sz="8" w:color="8A8C8F"/>
            </w:tcBorders>
          </w:tcPr>
          <w:p>
            <w:pPr>
              <w:spacing w:after="0"/>
              <w:rPr>
                <w:sz w:val="7"/>
                <w:szCs w:val="7"/>
                <w:color w:val="auto"/>
              </w:rPr>
            </w:pPr>
          </w:p>
        </w:tc>
        <w:tc>
          <w:tcPr>
            <w:tcW w:w="140" w:type="dxa"/>
            <w:vAlign w:val="bottom"/>
            <w:tcBorders>
              <w:bottom w:val="single" w:sz="8" w:color="8A8C8F"/>
            </w:tcBorders>
          </w:tcPr>
          <w:p>
            <w:pPr>
              <w:spacing w:after="0"/>
              <w:rPr>
                <w:sz w:val="7"/>
                <w:szCs w:val="7"/>
                <w:color w:val="auto"/>
              </w:rPr>
            </w:pPr>
          </w:p>
        </w:tc>
        <w:tc>
          <w:tcPr>
            <w:tcW w:w="140" w:type="dxa"/>
            <w:vAlign w:val="bottom"/>
            <w:tcBorders>
              <w:bottom w:val="single" w:sz="8" w:color="8A8C8F"/>
            </w:tcBorders>
          </w:tcPr>
          <w:p>
            <w:pPr>
              <w:spacing w:after="0"/>
              <w:rPr>
                <w:sz w:val="7"/>
                <w:szCs w:val="7"/>
                <w:color w:val="auto"/>
              </w:rPr>
            </w:pPr>
          </w:p>
        </w:tc>
        <w:tc>
          <w:tcPr>
            <w:tcW w:w="1080" w:type="dxa"/>
            <w:vAlign w:val="bottom"/>
            <w:tcBorders>
              <w:bottom w:val="single" w:sz="8" w:color="8A8C8F"/>
              <w:right w:val="single" w:sz="8" w:color="8A8C8F"/>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right w:val="single" w:sz="8" w:color="8A8C8F"/>
            </w:tcBorders>
            <w:vMerge w:val="restart"/>
          </w:tcPr>
          <w:p>
            <w:pPr>
              <w:spacing w:after="0"/>
              <w:rPr>
                <w:sz w:val="20"/>
                <w:szCs w:val="20"/>
                <w:color w:val="auto"/>
              </w:rPr>
            </w:pPr>
            <w:r>
              <w:rPr>
                <w:rFonts w:ascii="Arial" w:cs="Arial" w:eastAsia="Arial" w:hAnsi="Arial"/>
                <w:sz w:val="13"/>
                <w:szCs w:val="13"/>
                <w:b w:val="1"/>
                <w:bCs w:val="1"/>
                <w:color w:val="074A75"/>
              </w:rPr>
              <w:t>76</w:t>
            </w:r>
          </w:p>
        </w:tc>
        <w:tc>
          <w:tcPr>
            <w:tcW w:w="60" w:type="dxa"/>
            <w:vAlign w:val="bottom"/>
            <w:tcBorders>
              <w:bottom w:val="single" w:sz="8" w:color="8A8C8F"/>
            </w:tcBorders>
          </w:tcPr>
          <w:p>
            <w:pPr>
              <w:spacing w:after="0"/>
              <w:rPr>
                <w:sz w:val="7"/>
                <w:szCs w:val="7"/>
                <w:color w:val="auto"/>
              </w:rPr>
            </w:pPr>
          </w:p>
        </w:tc>
        <w:tc>
          <w:tcPr>
            <w:tcW w:w="960" w:type="dxa"/>
            <w:vAlign w:val="bottom"/>
            <w:tcBorders>
              <w:bottom w:val="single" w:sz="8" w:color="8A8C8F"/>
            </w:tcBorders>
          </w:tcPr>
          <w:p>
            <w:pPr>
              <w:spacing w:after="0"/>
              <w:rPr>
                <w:sz w:val="7"/>
                <w:szCs w:val="7"/>
                <w:color w:val="auto"/>
              </w:rPr>
            </w:pPr>
          </w:p>
        </w:tc>
        <w:tc>
          <w:tcPr>
            <w:tcW w:w="1040" w:type="dxa"/>
            <w:vAlign w:val="bottom"/>
            <w:tcBorders>
              <w:bottom w:val="single" w:sz="8" w:color="8A8C8F"/>
            </w:tcBorders>
          </w:tcPr>
          <w:p>
            <w:pPr>
              <w:spacing w:after="0"/>
              <w:rPr>
                <w:sz w:val="7"/>
                <w:szCs w:val="7"/>
                <w:color w:val="auto"/>
              </w:rPr>
            </w:pPr>
          </w:p>
        </w:tc>
        <w:tc>
          <w:tcPr>
            <w:tcW w:w="160" w:type="dxa"/>
            <w:vAlign w:val="bottom"/>
            <w:tcBorders>
              <w:bottom w:val="single" w:sz="8" w:color="8A8C8F"/>
            </w:tcBorders>
          </w:tcPr>
          <w:p>
            <w:pPr>
              <w:spacing w:after="0"/>
              <w:rPr>
                <w:sz w:val="7"/>
                <w:szCs w:val="7"/>
                <w:color w:val="auto"/>
              </w:rPr>
            </w:pPr>
          </w:p>
        </w:tc>
        <w:tc>
          <w:tcPr>
            <w:tcW w:w="160" w:type="dxa"/>
            <w:vAlign w:val="bottom"/>
            <w:tcBorders>
              <w:bottom w:val="single" w:sz="8" w:color="8A8C8F"/>
            </w:tcBorders>
          </w:tcPr>
          <w:p>
            <w:pPr>
              <w:spacing w:after="0"/>
              <w:rPr>
                <w:sz w:val="7"/>
                <w:szCs w:val="7"/>
                <w:color w:val="auto"/>
              </w:rPr>
            </w:pPr>
          </w:p>
        </w:tc>
        <w:tc>
          <w:tcPr>
            <w:tcW w:w="120" w:type="dxa"/>
            <w:vAlign w:val="bottom"/>
            <w:tcBorders>
              <w:bottom w:val="single" w:sz="8" w:color="8A8C8F"/>
            </w:tcBorders>
          </w:tcPr>
          <w:p>
            <w:pPr>
              <w:spacing w:after="0"/>
              <w:rPr>
                <w:sz w:val="7"/>
                <w:szCs w:val="7"/>
                <w:color w:val="auto"/>
              </w:rPr>
            </w:pPr>
          </w:p>
        </w:tc>
        <w:tc>
          <w:tcPr>
            <w:tcW w:w="960" w:type="dxa"/>
            <w:vAlign w:val="bottom"/>
            <w:tcBorders>
              <w:bottom w:val="single" w:sz="8" w:color="8A8C8F"/>
            </w:tcBorders>
          </w:tcPr>
          <w:p>
            <w:pPr>
              <w:spacing w:after="0"/>
              <w:rPr>
                <w:sz w:val="7"/>
                <w:szCs w:val="7"/>
                <w:color w:val="auto"/>
              </w:rPr>
            </w:pPr>
          </w:p>
        </w:tc>
        <w:tc>
          <w:tcPr>
            <w:tcW w:w="140" w:type="dxa"/>
            <w:vAlign w:val="bottom"/>
          </w:tcPr>
          <w:p>
            <w:pPr>
              <w:spacing w:after="0"/>
              <w:rPr>
                <w:sz w:val="7"/>
                <w:szCs w:val="7"/>
                <w:color w:val="auto"/>
              </w:rPr>
            </w:pPr>
          </w:p>
        </w:tc>
        <w:tc>
          <w:tcPr>
            <w:tcW w:w="18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40" w:type="dxa"/>
            <w:vAlign w:val="bottom"/>
            <w:gridSpan w:val="2"/>
            <w:vMerge w:val="continue"/>
          </w:tcPr>
          <w:p>
            <w:pPr>
              <w:spacing w:after="0"/>
              <w:rPr>
                <w:sz w:val="8"/>
                <w:szCs w:val="8"/>
                <w:color w:val="auto"/>
              </w:rPr>
            </w:pPr>
          </w:p>
        </w:tc>
        <w:tc>
          <w:tcPr>
            <w:tcW w:w="8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Borders>
              <w:right w:val="single" w:sz="8" w:color="8A8C8F"/>
            </w:tcBorders>
          </w:tcPr>
          <w:p>
            <w:pPr>
              <w:spacing w:after="0"/>
              <w:rPr>
                <w:sz w:val="8"/>
                <w:szCs w:val="8"/>
                <w:color w:val="auto"/>
              </w:rPr>
            </w:pPr>
          </w:p>
        </w:tc>
        <w:tc>
          <w:tcPr>
            <w:tcW w:w="120" w:type="dxa"/>
            <w:vAlign w:val="bottom"/>
            <w:tcBorders>
              <w:bottom w:val="single" w:sz="8" w:color="8A8C8F"/>
            </w:tcBorders>
          </w:tcPr>
          <w:p>
            <w:pPr>
              <w:spacing w:after="0"/>
              <w:rPr>
                <w:sz w:val="8"/>
                <w:szCs w:val="8"/>
                <w:color w:val="auto"/>
              </w:rPr>
            </w:pPr>
          </w:p>
        </w:tc>
        <w:tc>
          <w:tcPr>
            <w:tcW w:w="300" w:type="dxa"/>
            <w:vAlign w:val="bottom"/>
            <w:tcBorders>
              <w:bottom w:val="single" w:sz="8" w:color="8A8C8F"/>
              <w:right w:val="single" w:sz="8" w:color="8A8C8F"/>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1020" w:type="dxa"/>
            <w:vAlign w:val="bottom"/>
            <w:tcBorders>
              <w:bottom w:val="single" w:sz="8" w:color="454545"/>
            </w:tcBorders>
          </w:tcPr>
          <w:p>
            <w:pPr>
              <w:spacing w:after="0"/>
              <w:rPr>
                <w:sz w:val="19"/>
                <w:szCs w:val="19"/>
                <w:color w:val="auto"/>
              </w:rPr>
            </w:pPr>
          </w:p>
        </w:tc>
        <w:tc>
          <w:tcPr>
            <w:tcW w:w="160" w:type="dxa"/>
            <w:vAlign w:val="bottom"/>
            <w:tcBorders>
              <w:bottom w:val="single" w:sz="8" w:color="454545"/>
            </w:tcBorders>
          </w:tcPr>
          <w:p>
            <w:pPr>
              <w:spacing w:after="0"/>
              <w:rPr>
                <w:sz w:val="19"/>
                <w:szCs w:val="19"/>
                <w:color w:val="auto"/>
              </w:rPr>
            </w:pPr>
          </w:p>
        </w:tc>
        <w:tc>
          <w:tcPr>
            <w:tcW w:w="200" w:type="dxa"/>
            <w:vAlign w:val="bottom"/>
            <w:tcBorders>
              <w:bottom w:val="single" w:sz="8" w:color="454545"/>
            </w:tcBorders>
          </w:tcPr>
          <w:p>
            <w:pPr>
              <w:spacing w:after="0"/>
              <w:rPr>
                <w:sz w:val="19"/>
                <w:szCs w:val="19"/>
                <w:color w:val="auto"/>
              </w:rPr>
            </w:pPr>
          </w:p>
        </w:tc>
        <w:tc>
          <w:tcPr>
            <w:tcW w:w="1460" w:type="dxa"/>
            <w:vAlign w:val="bottom"/>
            <w:tcBorders>
              <w:bottom w:val="single" w:sz="8" w:color="454545"/>
            </w:tcBorders>
            <w:gridSpan w:val="3"/>
          </w:tcPr>
          <w:p>
            <w:pPr>
              <w:ind w:left="360"/>
              <w:spacing w:after="0"/>
              <w:rPr>
                <w:sz w:val="20"/>
                <w:szCs w:val="20"/>
                <w:color w:val="auto"/>
              </w:rPr>
            </w:pPr>
            <w:r>
              <w:rPr>
                <w:rFonts w:ascii="Arial" w:cs="Arial" w:eastAsia="Arial" w:hAnsi="Arial"/>
                <w:sz w:val="16"/>
                <w:szCs w:val="16"/>
                <w:color w:val="auto"/>
              </w:rPr>
              <w:t>Option awards</w:t>
            </w:r>
          </w:p>
        </w:tc>
        <w:tc>
          <w:tcPr>
            <w:tcW w:w="820" w:type="dxa"/>
            <w:vAlign w:val="bottom"/>
            <w:tcBorders>
              <w:bottom w:val="single" w:sz="8" w:color="454545"/>
            </w:tcBorders>
          </w:tcPr>
          <w:p>
            <w:pPr>
              <w:spacing w:after="0"/>
              <w:rPr>
                <w:sz w:val="19"/>
                <w:szCs w:val="19"/>
                <w:color w:val="auto"/>
              </w:rPr>
            </w:pPr>
          </w:p>
        </w:tc>
        <w:tc>
          <w:tcPr>
            <w:tcW w:w="1020" w:type="dxa"/>
            <w:vAlign w:val="bottom"/>
            <w:tcBorders>
              <w:bottom w:val="single" w:sz="8" w:color="454545"/>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454545"/>
            </w:tcBorders>
          </w:tcPr>
          <w:p>
            <w:pPr>
              <w:spacing w:after="0"/>
              <w:rPr>
                <w:sz w:val="19"/>
                <w:szCs w:val="19"/>
                <w:color w:val="auto"/>
              </w:rPr>
            </w:pPr>
          </w:p>
        </w:tc>
        <w:tc>
          <w:tcPr>
            <w:tcW w:w="2980" w:type="dxa"/>
            <w:vAlign w:val="bottom"/>
            <w:tcBorders>
              <w:bottom w:val="single" w:sz="8" w:color="454545"/>
            </w:tcBorders>
            <w:gridSpan w:val="5"/>
          </w:tcPr>
          <w:p>
            <w:pPr>
              <w:jc w:val="right"/>
              <w:ind w:right="999"/>
              <w:spacing w:after="0"/>
              <w:rPr>
                <w:sz w:val="20"/>
                <w:szCs w:val="20"/>
                <w:color w:val="auto"/>
              </w:rPr>
            </w:pPr>
            <w:r>
              <w:rPr>
                <w:rFonts w:ascii="Arial" w:cs="Arial" w:eastAsia="Arial" w:hAnsi="Arial"/>
                <w:sz w:val="16"/>
                <w:szCs w:val="16"/>
                <w:color w:val="auto"/>
              </w:rPr>
              <w:t>Stock awards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color w:val="074A75"/>
              </w:rPr>
              <w:t>Number of</w:t>
            </w:r>
          </w:p>
        </w:tc>
        <w:tc>
          <w:tcPr>
            <w:tcW w:w="20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074A75"/>
              </w:rPr>
              <w:t>Number of</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299"/>
              <w:spacing w:after="0"/>
              <w:rPr>
                <w:sz w:val="20"/>
                <w:szCs w:val="20"/>
                <w:color w:val="auto"/>
              </w:rPr>
            </w:pPr>
            <w:r>
              <w:rPr>
                <w:rFonts w:ascii="Arial" w:cs="Arial" w:eastAsia="Arial" w:hAnsi="Arial"/>
                <w:sz w:val="16"/>
                <w:szCs w:val="16"/>
                <w:color w:val="074A75"/>
              </w:rPr>
              <w:t>Number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color w:val="074A75"/>
              </w:rPr>
              <w:t>securities</w:t>
            </w:r>
          </w:p>
        </w:tc>
        <w:tc>
          <w:tcPr>
            <w:tcW w:w="20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074A75"/>
              </w:rPr>
              <w:t>securities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074A75"/>
              </w:rPr>
              <w:t>Number of</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299"/>
              <w:spacing w:after="0"/>
              <w:rPr>
                <w:sz w:val="20"/>
                <w:szCs w:val="20"/>
                <w:color w:val="auto"/>
              </w:rPr>
            </w:pPr>
            <w:r>
              <w:rPr>
                <w:rFonts w:ascii="Arial" w:cs="Arial" w:eastAsia="Arial" w:hAnsi="Arial"/>
                <w:sz w:val="16"/>
                <w:szCs w:val="16"/>
                <w:color w:val="074A75"/>
              </w:rPr>
              <w:t>unearned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074A75"/>
              </w:rPr>
              <w:t>underlying</w:t>
            </w:r>
          </w:p>
        </w:tc>
        <w:tc>
          <w:tcPr>
            <w:tcW w:w="20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074A75"/>
              </w:rPr>
              <w:t>underlying</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074A75"/>
              </w:rPr>
              <w:t>shares or units</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center"/>
              <w:ind w:right="199"/>
              <w:spacing w:after="0"/>
              <w:rPr>
                <w:sz w:val="20"/>
                <w:szCs w:val="20"/>
                <w:color w:val="auto"/>
              </w:rPr>
            </w:pPr>
            <w:r>
              <w:rPr>
                <w:rFonts w:ascii="Arial" w:cs="Arial" w:eastAsia="Arial" w:hAnsi="Arial"/>
                <w:sz w:val="16"/>
                <w:szCs w:val="16"/>
                <w:color w:val="074A75"/>
              </w:rPr>
              <w:t>performance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074A75"/>
              </w:rPr>
              <w:t>Option/</w:t>
            </w:r>
          </w:p>
        </w:tc>
        <w:tc>
          <w:tcPr>
            <w:tcW w:w="14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color w:val="074A75"/>
              </w:rPr>
              <w:t>unexercised</w:t>
            </w:r>
          </w:p>
        </w:tc>
        <w:tc>
          <w:tcPr>
            <w:tcW w:w="20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074A75"/>
              </w:rPr>
              <w:t>unexercised</w:t>
            </w:r>
          </w:p>
        </w:tc>
        <w:tc>
          <w:tcPr>
            <w:tcW w:w="260" w:type="dxa"/>
            <w:vAlign w:val="bottom"/>
          </w:tcPr>
          <w:p>
            <w:pPr>
              <w:spacing w:after="0"/>
              <w:rPr>
                <w:sz w:val="16"/>
                <w:szCs w:val="16"/>
                <w:color w:val="auto"/>
              </w:rPr>
            </w:pPr>
          </w:p>
        </w:tc>
        <w:tc>
          <w:tcPr>
            <w:tcW w:w="820" w:type="dxa"/>
            <w:vAlign w:val="bottom"/>
          </w:tcPr>
          <w:p>
            <w:pPr>
              <w:jc w:val="center"/>
              <w:ind w:right="179"/>
              <w:spacing w:after="0"/>
              <w:rPr>
                <w:sz w:val="20"/>
                <w:szCs w:val="20"/>
                <w:color w:val="auto"/>
              </w:rPr>
            </w:pPr>
            <w:r>
              <w:rPr>
                <w:rFonts w:ascii="Arial" w:cs="Arial" w:eastAsia="Arial" w:hAnsi="Arial"/>
                <w:sz w:val="16"/>
                <w:szCs w:val="16"/>
                <w:color w:val="074A75"/>
              </w:rPr>
              <w:t>Option</w:t>
            </w:r>
          </w:p>
        </w:tc>
        <w:tc>
          <w:tcPr>
            <w:tcW w:w="1320" w:type="dxa"/>
            <w:vAlign w:val="bottom"/>
            <w:gridSpan w:val="3"/>
          </w:tcPr>
          <w:p>
            <w:pPr>
              <w:jc w:val="center"/>
              <w:ind w:right="219"/>
              <w:spacing w:after="0"/>
              <w:rPr>
                <w:sz w:val="20"/>
                <w:szCs w:val="20"/>
                <w:color w:val="auto"/>
              </w:rPr>
            </w:pPr>
            <w:r>
              <w:rPr>
                <w:rFonts w:ascii="Arial" w:cs="Arial" w:eastAsia="Arial" w:hAnsi="Arial"/>
                <w:sz w:val="16"/>
                <w:szCs w:val="16"/>
                <w:color w:val="074A75"/>
                <w:w w:val="97"/>
              </w:rPr>
              <w:t>Option</w:t>
            </w:r>
          </w:p>
        </w:tc>
        <w:tc>
          <w:tcPr>
            <w:tcW w:w="1100" w:type="dxa"/>
            <w:vAlign w:val="bottom"/>
          </w:tcPr>
          <w:p>
            <w:pPr>
              <w:jc w:val="center"/>
              <w:ind w:right="59"/>
              <w:spacing w:after="0"/>
              <w:rPr>
                <w:sz w:val="20"/>
                <w:szCs w:val="20"/>
                <w:color w:val="auto"/>
              </w:rPr>
            </w:pPr>
            <w:r>
              <w:rPr>
                <w:rFonts w:ascii="Arial" w:cs="Arial" w:eastAsia="Arial" w:hAnsi="Arial"/>
                <w:sz w:val="16"/>
                <w:szCs w:val="16"/>
                <w:color w:val="074A75"/>
              </w:rPr>
              <w:t>of stock that</w:t>
            </w:r>
          </w:p>
        </w:tc>
        <w:tc>
          <w:tcPr>
            <w:tcW w:w="280" w:type="dxa"/>
            <w:vAlign w:val="bottom"/>
          </w:tcPr>
          <w:p>
            <w:pPr>
              <w:spacing w:after="0"/>
              <w:rPr>
                <w:sz w:val="16"/>
                <w:szCs w:val="16"/>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color w:val="074A75"/>
              </w:rPr>
              <w:t>shares or units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074A75"/>
              </w:rPr>
              <w:t>stock award</w:t>
            </w:r>
          </w:p>
        </w:tc>
        <w:tc>
          <w:tcPr>
            <w:tcW w:w="14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color w:val="074A75"/>
              </w:rPr>
              <w:t>options: #</w:t>
            </w:r>
          </w:p>
        </w:tc>
        <w:tc>
          <w:tcPr>
            <w:tcW w:w="2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074A75"/>
              </w:rPr>
              <w:t>options: #</w:t>
            </w:r>
          </w:p>
        </w:tc>
        <w:tc>
          <w:tcPr>
            <w:tcW w:w="1080" w:type="dxa"/>
            <w:vAlign w:val="bottom"/>
            <w:gridSpan w:val="2"/>
          </w:tcPr>
          <w:p>
            <w:pPr>
              <w:jc w:val="center"/>
              <w:spacing w:after="0"/>
              <w:rPr>
                <w:sz w:val="20"/>
                <w:szCs w:val="20"/>
                <w:color w:val="auto"/>
              </w:rPr>
            </w:pPr>
            <w:r>
              <w:rPr>
                <w:rFonts w:ascii="Arial" w:cs="Arial" w:eastAsia="Arial" w:hAnsi="Arial"/>
                <w:sz w:val="16"/>
                <w:szCs w:val="16"/>
                <w:color w:val="074A75"/>
              </w:rPr>
              <w:t>exercise</w:t>
            </w:r>
          </w:p>
        </w:tc>
        <w:tc>
          <w:tcPr>
            <w:tcW w:w="1320" w:type="dxa"/>
            <w:vAlign w:val="bottom"/>
            <w:gridSpan w:val="3"/>
          </w:tcPr>
          <w:p>
            <w:pPr>
              <w:jc w:val="center"/>
              <w:ind w:right="219"/>
              <w:spacing w:after="0"/>
              <w:rPr>
                <w:sz w:val="20"/>
                <w:szCs w:val="20"/>
                <w:color w:val="auto"/>
              </w:rPr>
            </w:pPr>
            <w:r>
              <w:rPr>
                <w:rFonts w:ascii="Arial" w:cs="Arial" w:eastAsia="Arial" w:hAnsi="Arial"/>
                <w:sz w:val="16"/>
                <w:szCs w:val="16"/>
                <w:color w:val="074A75"/>
              </w:rPr>
              <w:t>expiration</w:t>
            </w:r>
          </w:p>
        </w:tc>
        <w:tc>
          <w:tcPr>
            <w:tcW w:w="1100" w:type="dxa"/>
            <w:vAlign w:val="bottom"/>
          </w:tcPr>
          <w:p>
            <w:pPr>
              <w:jc w:val="center"/>
              <w:ind w:right="59"/>
              <w:spacing w:after="0"/>
              <w:rPr>
                <w:sz w:val="20"/>
                <w:szCs w:val="20"/>
                <w:color w:val="auto"/>
              </w:rPr>
            </w:pPr>
            <w:r>
              <w:rPr>
                <w:rFonts w:ascii="Arial" w:cs="Arial" w:eastAsia="Arial" w:hAnsi="Arial"/>
                <w:sz w:val="16"/>
                <w:szCs w:val="16"/>
                <w:color w:val="074A75"/>
              </w:rPr>
              <w:t>have not</w:t>
            </w:r>
          </w:p>
        </w:tc>
        <w:tc>
          <w:tcPr>
            <w:tcW w:w="280" w:type="dxa"/>
            <w:vAlign w:val="bottom"/>
          </w:tcPr>
          <w:p>
            <w:pPr>
              <w:spacing w:after="0"/>
              <w:rPr>
                <w:sz w:val="16"/>
                <w:szCs w:val="16"/>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color w:val="074A75"/>
              </w:rPr>
              <w:t>of stock that have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340" w:type="dxa"/>
            <w:vAlign w:val="bottom"/>
            <w:tcBorders>
              <w:bottom w:val="single" w:sz="8" w:color="454545"/>
            </w:tcBorders>
          </w:tcPr>
          <w:p>
            <w:pPr>
              <w:jc w:val="center"/>
              <w:spacing w:after="0" w:line="230" w:lineRule="exact"/>
              <w:rPr>
                <w:sz w:val="20"/>
                <w:szCs w:val="20"/>
                <w:color w:val="auto"/>
              </w:rPr>
            </w:pPr>
            <w:r>
              <w:rPr>
                <w:rFonts w:ascii="Arial" w:cs="Arial" w:eastAsia="Arial" w:hAnsi="Arial"/>
                <w:sz w:val="16"/>
                <w:szCs w:val="16"/>
                <w:color w:val="074A75"/>
              </w:rPr>
              <w:t>grant date</w:t>
            </w:r>
            <w:r>
              <w:rPr>
                <w:rFonts w:ascii="Arial" w:cs="Arial" w:eastAsia="Arial" w:hAnsi="Arial"/>
                <w:sz w:val="21"/>
                <w:szCs w:val="21"/>
                <w:color w:val="074A75"/>
                <w:vertAlign w:val="superscript"/>
              </w:rPr>
              <w:t>1</w:t>
            </w:r>
          </w:p>
        </w:tc>
        <w:tc>
          <w:tcPr>
            <w:tcW w:w="140" w:type="dxa"/>
            <w:vAlign w:val="bottom"/>
            <w:tcBorders>
              <w:bottom w:val="single" w:sz="8" w:color="454545"/>
            </w:tcBorders>
          </w:tcPr>
          <w:p>
            <w:pPr>
              <w:spacing w:after="0"/>
              <w:rPr>
                <w:sz w:val="20"/>
                <w:szCs w:val="20"/>
                <w:color w:val="auto"/>
              </w:rPr>
            </w:pPr>
          </w:p>
        </w:tc>
        <w:tc>
          <w:tcPr>
            <w:tcW w:w="1180" w:type="dxa"/>
            <w:vAlign w:val="bottom"/>
            <w:tcBorders>
              <w:bottom w:val="single" w:sz="8" w:color="454545"/>
            </w:tcBorders>
            <w:gridSpan w:val="2"/>
          </w:tcPr>
          <w:p>
            <w:pPr>
              <w:jc w:val="center"/>
              <w:ind w:right="140"/>
              <w:spacing w:after="0" w:line="230" w:lineRule="exact"/>
              <w:rPr>
                <w:sz w:val="20"/>
                <w:szCs w:val="20"/>
                <w:color w:val="auto"/>
              </w:rPr>
            </w:pPr>
            <w:r>
              <w:rPr>
                <w:rFonts w:ascii="Arial" w:cs="Arial" w:eastAsia="Arial" w:hAnsi="Arial"/>
                <w:sz w:val="16"/>
                <w:szCs w:val="16"/>
                <w:color w:val="074A75"/>
                <w:w w:val="95"/>
              </w:rPr>
              <w:t>exercisable</w:t>
            </w:r>
            <w:r>
              <w:rPr>
                <w:rFonts w:ascii="Arial" w:cs="Arial" w:eastAsia="Arial" w:hAnsi="Arial"/>
                <w:sz w:val="21"/>
                <w:szCs w:val="21"/>
                <w:color w:val="074A75"/>
                <w:w w:val="95"/>
                <w:vertAlign w:val="superscript"/>
              </w:rPr>
              <w:t>1,2</w:t>
            </w:r>
          </w:p>
        </w:tc>
        <w:tc>
          <w:tcPr>
            <w:tcW w:w="200" w:type="dxa"/>
            <w:vAlign w:val="bottom"/>
            <w:tcBorders>
              <w:bottom w:val="single" w:sz="8" w:color="454545"/>
            </w:tcBorders>
          </w:tcPr>
          <w:p>
            <w:pPr>
              <w:spacing w:after="0"/>
              <w:rPr>
                <w:sz w:val="20"/>
                <w:szCs w:val="20"/>
                <w:color w:val="auto"/>
              </w:rPr>
            </w:pPr>
          </w:p>
        </w:tc>
        <w:tc>
          <w:tcPr>
            <w:tcW w:w="1200" w:type="dxa"/>
            <w:vAlign w:val="bottom"/>
            <w:tcBorders>
              <w:bottom w:val="single" w:sz="8" w:color="454545"/>
            </w:tcBorders>
            <w:gridSpan w:val="2"/>
          </w:tcPr>
          <w:p>
            <w:pPr>
              <w:jc w:val="center"/>
              <w:ind w:right="80"/>
              <w:spacing w:after="0" w:line="230" w:lineRule="exact"/>
              <w:rPr>
                <w:sz w:val="20"/>
                <w:szCs w:val="20"/>
                <w:color w:val="auto"/>
              </w:rPr>
            </w:pPr>
            <w:r>
              <w:rPr>
                <w:rFonts w:ascii="Arial" w:cs="Arial" w:eastAsia="Arial" w:hAnsi="Arial"/>
                <w:sz w:val="16"/>
                <w:szCs w:val="16"/>
                <w:color w:val="074A75"/>
                <w:w w:val="95"/>
              </w:rPr>
              <w:t>exercisable</w:t>
            </w:r>
            <w:r>
              <w:rPr>
                <w:rFonts w:ascii="Arial" w:cs="Arial" w:eastAsia="Arial" w:hAnsi="Arial"/>
                <w:sz w:val="21"/>
                <w:szCs w:val="21"/>
                <w:color w:val="074A75"/>
                <w:w w:val="95"/>
                <w:vertAlign w:val="superscript"/>
              </w:rPr>
              <w:t>1,2</w:t>
            </w:r>
          </w:p>
        </w:tc>
        <w:tc>
          <w:tcPr>
            <w:tcW w:w="1080" w:type="dxa"/>
            <w:vAlign w:val="bottom"/>
            <w:tcBorders>
              <w:bottom w:val="single" w:sz="8" w:color="454545"/>
            </w:tcBorders>
            <w:gridSpan w:val="2"/>
          </w:tcPr>
          <w:p>
            <w:pPr>
              <w:jc w:val="center"/>
              <w:spacing w:after="0"/>
              <w:rPr>
                <w:sz w:val="20"/>
                <w:szCs w:val="20"/>
                <w:color w:val="auto"/>
              </w:rPr>
            </w:pPr>
            <w:r>
              <w:rPr>
                <w:rFonts w:ascii="Arial" w:cs="Arial" w:eastAsia="Arial" w:hAnsi="Arial"/>
                <w:sz w:val="16"/>
                <w:szCs w:val="16"/>
                <w:color w:val="074A75"/>
                <w:w w:val="98"/>
              </w:rPr>
              <w:t>price ($)</w:t>
            </w:r>
          </w:p>
        </w:tc>
        <w:tc>
          <w:tcPr>
            <w:tcW w:w="1320" w:type="dxa"/>
            <w:vAlign w:val="bottom"/>
            <w:tcBorders>
              <w:bottom w:val="single" w:sz="8" w:color="454545"/>
            </w:tcBorders>
            <w:gridSpan w:val="3"/>
          </w:tcPr>
          <w:p>
            <w:pPr>
              <w:jc w:val="center"/>
              <w:ind w:right="219"/>
              <w:spacing w:after="0"/>
              <w:rPr>
                <w:sz w:val="20"/>
                <w:szCs w:val="20"/>
                <w:color w:val="auto"/>
              </w:rPr>
            </w:pPr>
            <w:r>
              <w:rPr>
                <w:rFonts w:ascii="Arial" w:cs="Arial" w:eastAsia="Arial" w:hAnsi="Arial"/>
                <w:sz w:val="16"/>
                <w:szCs w:val="16"/>
                <w:color w:val="074A75"/>
                <w:w w:val="96"/>
              </w:rPr>
              <w:t>date</w:t>
            </w:r>
          </w:p>
        </w:tc>
        <w:tc>
          <w:tcPr>
            <w:tcW w:w="1100" w:type="dxa"/>
            <w:vAlign w:val="bottom"/>
            <w:tcBorders>
              <w:bottom w:val="single" w:sz="8" w:color="454545"/>
            </w:tcBorders>
          </w:tcPr>
          <w:p>
            <w:pPr>
              <w:jc w:val="center"/>
              <w:ind w:right="59"/>
              <w:spacing w:after="0" w:line="230" w:lineRule="exact"/>
              <w:rPr>
                <w:sz w:val="20"/>
                <w:szCs w:val="20"/>
                <w:color w:val="auto"/>
              </w:rPr>
            </w:pPr>
            <w:r>
              <w:rPr>
                <w:rFonts w:ascii="Arial" w:cs="Arial" w:eastAsia="Arial" w:hAnsi="Arial"/>
                <w:sz w:val="16"/>
                <w:szCs w:val="16"/>
                <w:color w:val="074A75"/>
                <w:w w:val="91"/>
              </w:rPr>
              <w:t>vested</w:t>
            </w:r>
            <w:r>
              <w:rPr>
                <w:rFonts w:ascii="Arial" w:cs="Arial" w:eastAsia="Arial" w:hAnsi="Arial"/>
                <w:sz w:val="21"/>
                <w:szCs w:val="21"/>
                <w:color w:val="074A75"/>
                <w:w w:val="91"/>
                <w:vertAlign w:val="superscript"/>
              </w:rPr>
              <w:t>1,2,3</w:t>
            </w:r>
          </w:p>
        </w:tc>
        <w:tc>
          <w:tcPr>
            <w:tcW w:w="280" w:type="dxa"/>
            <w:vAlign w:val="bottom"/>
            <w:tcBorders>
              <w:bottom w:val="single" w:sz="8" w:color="454545"/>
            </w:tcBorders>
          </w:tcPr>
          <w:p>
            <w:pPr>
              <w:spacing w:after="0"/>
              <w:rPr>
                <w:sz w:val="20"/>
                <w:szCs w:val="20"/>
                <w:color w:val="auto"/>
              </w:rPr>
            </w:pPr>
          </w:p>
        </w:tc>
        <w:tc>
          <w:tcPr>
            <w:tcW w:w="34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tcBorders>
            <w:gridSpan w:val="2"/>
          </w:tcPr>
          <w:p>
            <w:pPr>
              <w:jc w:val="center"/>
              <w:ind w:right="199"/>
              <w:spacing w:after="0" w:line="230" w:lineRule="exact"/>
              <w:rPr>
                <w:sz w:val="20"/>
                <w:szCs w:val="20"/>
                <w:color w:val="auto"/>
              </w:rPr>
            </w:pPr>
            <w:r>
              <w:rPr>
                <w:rFonts w:ascii="Arial" w:cs="Arial" w:eastAsia="Arial" w:hAnsi="Arial"/>
                <w:sz w:val="16"/>
                <w:szCs w:val="16"/>
                <w:color w:val="074A75"/>
                <w:w w:val="93"/>
              </w:rPr>
              <w:t>not vested</w:t>
            </w:r>
            <w:r>
              <w:rPr>
                <w:rFonts w:ascii="Arial" w:cs="Arial" w:eastAsia="Arial" w:hAnsi="Arial"/>
                <w:sz w:val="21"/>
                <w:szCs w:val="21"/>
                <w:color w:val="074A75"/>
                <w:w w:val="93"/>
                <w:vertAlign w:val="superscript"/>
              </w:rPr>
              <w:t>1,2,3</w:t>
            </w:r>
          </w:p>
        </w:tc>
        <w:tc>
          <w:tcPr>
            <w:tcW w:w="180" w:type="dxa"/>
            <w:vAlign w:val="bottom"/>
            <w:tcBorders>
              <w:bottom w:val="single" w:sz="8" w:color="454545"/>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Mary Callahan</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Erdoes</w:t>
            </w:r>
          </w:p>
        </w:tc>
        <w:tc>
          <w:tcPr>
            <w:tcW w:w="1340" w:type="dxa"/>
            <w:vAlign w:val="bottom"/>
            <w:vMerge w:val="restart"/>
          </w:tcPr>
          <w:p>
            <w:pPr>
              <w:ind w:left="320"/>
              <w:spacing w:after="0"/>
              <w:rPr>
                <w:sz w:val="20"/>
                <w:szCs w:val="20"/>
                <w:color w:val="auto"/>
              </w:rPr>
            </w:pPr>
            <w:r>
              <w:rPr>
                <w:rFonts w:ascii="Arial" w:cs="Arial" w:eastAsia="Arial" w:hAnsi="Arial"/>
                <w:sz w:val="16"/>
                <w:szCs w:val="16"/>
                <w:color w:val="auto"/>
              </w:rPr>
              <w:t xml:space="preserve">1/15/2019 </w:t>
            </w:r>
            <w:r>
              <w:rPr>
                <w:rFonts w:ascii="Arial" w:cs="Arial" w:eastAsia="Arial" w:hAnsi="Arial"/>
                <w:sz w:val="23"/>
                <w:szCs w:val="23"/>
                <w:color w:val="auto"/>
                <w:vertAlign w:val="superscript"/>
              </w:rPr>
              <w:t>4</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vMerge w:val="restart"/>
          </w:tcPr>
          <w:p>
            <w:pPr>
              <w:ind w:left="20"/>
              <w:spacing w:after="0"/>
              <w:rPr>
                <w:sz w:val="20"/>
                <w:szCs w:val="20"/>
                <w:color w:val="auto"/>
              </w:rPr>
            </w:pPr>
            <w:r>
              <w:rPr>
                <w:rFonts w:ascii="Arial" w:cs="Arial" w:eastAsia="Arial" w:hAnsi="Arial"/>
                <w:sz w:val="12"/>
                <w:szCs w:val="12"/>
                <w:color w:val="auto"/>
              </w:rPr>
              <w:t>a</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95,770</w:t>
            </w:r>
          </w:p>
        </w:tc>
        <w:tc>
          <w:tcPr>
            <w:tcW w:w="2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340" w:type="dxa"/>
            <w:vAlign w:val="bottom"/>
          </w:tcPr>
          <w:p>
            <w:pPr>
              <w:ind w:left="320"/>
              <w:spacing w:after="0"/>
              <w:rPr>
                <w:sz w:val="20"/>
                <w:szCs w:val="20"/>
                <w:color w:val="auto"/>
              </w:rPr>
            </w:pPr>
            <w:r>
              <w:rPr>
                <w:rFonts w:ascii="Arial" w:cs="Arial" w:eastAsia="Arial" w:hAnsi="Arial"/>
                <w:sz w:val="16"/>
                <w:szCs w:val="16"/>
                <w:color w:val="auto"/>
              </w:rPr>
              <w:t>1/15/2019</w:t>
            </w:r>
          </w:p>
        </w:tc>
        <w:tc>
          <w:tcPr>
            <w:tcW w:w="14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29,468</w:t>
            </w:r>
          </w:p>
        </w:tc>
        <w:tc>
          <w:tcPr>
            <w:tcW w:w="280" w:type="dxa"/>
            <w:vAlign w:val="bottom"/>
          </w:tcPr>
          <w:p>
            <w:pPr>
              <w:ind w:left="20"/>
              <w:spacing w:after="0"/>
              <w:rPr>
                <w:sz w:val="20"/>
                <w:szCs w:val="20"/>
                <w:color w:val="auto"/>
              </w:rPr>
            </w:pPr>
            <w:r>
              <w:rPr>
                <w:rFonts w:ascii="Arial" w:cs="Arial" w:eastAsia="Arial" w:hAnsi="Arial"/>
                <w:sz w:val="12"/>
                <w:szCs w:val="12"/>
                <w:color w:val="auto"/>
              </w:rPr>
              <w:t>f</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340" w:type="dxa"/>
            <w:vAlign w:val="bottom"/>
          </w:tcPr>
          <w:p>
            <w:pPr>
              <w:ind w:left="320"/>
              <w:spacing w:after="0"/>
              <w:rPr>
                <w:sz w:val="20"/>
                <w:szCs w:val="20"/>
                <w:color w:val="auto"/>
              </w:rPr>
            </w:pPr>
            <w:r>
              <w:rPr>
                <w:rFonts w:ascii="Arial" w:cs="Arial" w:eastAsia="Arial" w:hAnsi="Arial"/>
                <w:sz w:val="16"/>
                <w:szCs w:val="16"/>
                <w:color w:val="auto"/>
              </w:rPr>
              <w:t>1/21/2020</w:t>
            </w:r>
          </w:p>
        </w:tc>
        <w:tc>
          <w:tcPr>
            <w:tcW w:w="14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44,221</w:t>
            </w:r>
          </w:p>
        </w:tc>
        <w:tc>
          <w:tcPr>
            <w:tcW w:w="280" w:type="dxa"/>
            <w:vAlign w:val="bottom"/>
          </w:tcPr>
          <w:p>
            <w:pPr>
              <w:ind w:left="20"/>
              <w:spacing w:after="0"/>
              <w:rPr>
                <w:sz w:val="20"/>
                <w:szCs w:val="20"/>
                <w:color w:val="auto"/>
              </w:rPr>
            </w:pPr>
            <w:r>
              <w:rPr>
                <w:rFonts w:ascii="Arial" w:cs="Arial" w:eastAsia="Arial" w:hAnsi="Arial"/>
                <w:sz w:val="12"/>
                <w:szCs w:val="12"/>
                <w:color w:val="auto"/>
              </w:rPr>
              <w:t>f</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69,897</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1"/>
                <w:szCs w:val="21"/>
                <w:color w:val="auto"/>
              </w:rPr>
            </w:pPr>
          </w:p>
        </w:tc>
        <w:tc>
          <w:tcPr>
            <w:tcW w:w="1340" w:type="dxa"/>
            <w:vAlign w:val="bottom"/>
          </w:tcPr>
          <w:p>
            <w:pPr>
              <w:ind w:left="320"/>
              <w:spacing w:after="0"/>
              <w:rPr>
                <w:sz w:val="20"/>
                <w:szCs w:val="20"/>
                <w:color w:val="auto"/>
              </w:rPr>
            </w:pPr>
            <w:r>
              <w:rPr>
                <w:rFonts w:ascii="Arial" w:cs="Arial" w:eastAsia="Arial" w:hAnsi="Arial"/>
                <w:sz w:val="16"/>
                <w:szCs w:val="16"/>
                <w:color w:val="auto"/>
              </w:rPr>
              <w:t>1/19/2021</w:t>
            </w:r>
          </w:p>
        </w:tc>
        <w:tc>
          <w:tcPr>
            <w:tcW w:w="140" w:type="dxa"/>
            <w:vAlign w:val="bottom"/>
            <w:tcBorders>
              <w:bottom w:val="single" w:sz="8" w:color="454545"/>
            </w:tcBorders>
          </w:tcPr>
          <w:p>
            <w:pPr>
              <w:spacing w:after="0"/>
              <w:rPr>
                <w:sz w:val="21"/>
                <w:szCs w:val="21"/>
                <w:color w:val="auto"/>
              </w:rPr>
            </w:pPr>
          </w:p>
        </w:tc>
        <w:tc>
          <w:tcPr>
            <w:tcW w:w="1020" w:type="dxa"/>
            <w:vAlign w:val="bottom"/>
            <w:tcBorders>
              <w:bottom w:val="single" w:sz="8" w:color="454545"/>
            </w:tcBorders>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900" w:type="dxa"/>
            <w:vAlign w:val="bottom"/>
            <w:tcBorders>
              <w:bottom w:val="single" w:sz="8" w:color="454545"/>
            </w:tcBorders>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54545"/>
            </w:tcBorders>
          </w:tcPr>
          <w:p>
            <w:pPr>
              <w:spacing w:after="0"/>
              <w:rPr>
                <w:sz w:val="21"/>
                <w:szCs w:val="21"/>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43,624</w:t>
            </w:r>
          </w:p>
        </w:tc>
        <w:tc>
          <w:tcPr>
            <w:tcW w:w="280" w:type="dxa"/>
            <w:vAlign w:val="bottom"/>
          </w:tcPr>
          <w:p>
            <w:pPr>
              <w:ind w:left="20"/>
              <w:spacing w:after="0"/>
              <w:rPr>
                <w:sz w:val="20"/>
                <w:szCs w:val="20"/>
                <w:color w:val="auto"/>
              </w:rPr>
            </w:pPr>
            <w:r>
              <w:rPr>
                <w:rFonts w:ascii="Arial" w:cs="Arial" w:eastAsia="Arial" w:hAnsi="Arial"/>
                <w:sz w:val="12"/>
                <w:szCs w:val="12"/>
                <w:color w:val="auto"/>
              </w:rPr>
              <w:t>f</w:t>
            </w:r>
          </w:p>
        </w:tc>
        <w:tc>
          <w:tcPr>
            <w:tcW w:w="340" w:type="dxa"/>
            <w:vAlign w:val="bottom"/>
          </w:tcPr>
          <w:p>
            <w:pPr>
              <w:spacing w:after="0"/>
              <w:rPr>
                <w:sz w:val="21"/>
                <w:szCs w:val="21"/>
                <w:color w:val="auto"/>
              </w:rPr>
            </w:pPr>
          </w:p>
        </w:tc>
        <w:tc>
          <w:tcPr>
            <w:tcW w:w="12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66,596</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34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020" w:type="dxa"/>
            <w:vAlign w:val="bottom"/>
            <w:tcBorders>
              <w:bottom w:val="single" w:sz="8" w:color="454545"/>
            </w:tcBorders>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200" w:type="dxa"/>
            <w:vAlign w:val="bottom"/>
            <w:tcBorders>
              <w:bottom w:val="single" w:sz="8" w:color="454545"/>
            </w:tcBorders>
          </w:tcPr>
          <w:p>
            <w:pPr>
              <w:spacing w:after="0"/>
              <w:rPr>
                <w:sz w:val="20"/>
                <w:szCs w:val="20"/>
                <w:color w:val="auto"/>
              </w:rPr>
            </w:pPr>
          </w:p>
        </w:tc>
        <w:tc>
          <w:tcPr>
            <w:tcW w:w="900" w:type="dxa"/>
            <w:vAlign w:val="bottom"/>
            <w:tcBorders>
              <w:bottom w:val="single" w:sz="8" w:color="454545"/>
            </w:tcBorders>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213,083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136,493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134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54545"/>
            </w:tcBorders>
          </w:tcPr>
          <w:p>
            <w:pPr>
              <w:spacing w:after="0"/>
              <w:rPr>
                <w:sz w:val="23"/>
                <w:szCs w:val="23"/>
                <w:color w:val="auto"/>
              </w:rPr>
            </w:pPr>
          </w:p>
        </w:tc>
        <w:tc>
          <w:tcPr>
            <w:tcW w:w="820" w:type="dxa"/>
            <w:vAlign w:val="bottom"/>
            <w:tcBorders>
              <w:bottom w:val="single" w:sz="8" w:color="454545"/>
            </w:tcBorders>
          </w:tcPr>
          <w:p>
            <w:pPr>
              <w:spacing w:after="0"/>
              <w:rPr>
                <w:sz w:val="23"/>
                <w:szCs w:val="23"/>
                <w:color w:val="auto"/>
              </w:rPr>
            </w:pPr>
          </w:p>
        </w:tc>
        <w:tc>
          <w:tcPr>
            <w:tcW w:w="1320" w:type="dxa"/>
            <w:vAlign w:val="bottom"/>
            <w:tcBorders>
              <w:bottom w:val="single" w:sz="8" w:color="454545"/>
            </w:tcBorders>
            <w:gridSpan w:val="3"/>
          </w:tcPr>
          <w:p>
            <w:pPr>
              <w:ind w:left="12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33,741,693</w:t>
            </w:r>
          </w:p>
        </w:tc>
        <w:tc>
          <w:tcPr>
            <w:tcW w:w="280" w:type="dxa"/>
            <w:vAlign w:val="bottom"/>
            <w:tcBorders>
              <w:bottom w:val="single" w:sz="8" w:color="454545"/>
            </w:tcBorders>
          </w:tcPr>
          <w:p>
            <w:pPr>
              <w:spacing w:after="0"/>
              <w:rPr>
                <w:sz w:val="23"/>
                <w:szCs w:val="23"/>
                <w:color w:val="auto"/>
              </w:rPr>
            </w:pPr>
          </w:p>
        </w:tc>
        <w:tc>
          <w:tcPr>
            <w:tcW w:w="4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21,613,667</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vMerge w:val="restart"/>
          </w:tcPr>
          <w:p>
            <w:pPr>
              <w:ind w:left="20"/>
              <w:spacing w:after="0"/>
              <w:rPr>
                <w:sz w:val="20"/>
                <w:szCs w:val="20"/>
                <w:color w:val="auto"/>
              </w:rPr>
            </w:pPr>
            <w:r>
              <w:rPr>
                <w:rFonts w:ascii="Arial" w:cs="Arial" w:eastAsia="Arial" w:hAnsi="Arial"/>
                <w:sz w:val="12"/>
                <w:szCs w:val="12"/>
                <w:color w:val="auto"/>
              </w:rPr>
              <w:t>f</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340" w:type="dxa"/>
            <w:vAlign w:val="bottom"/>
          </w:tcPr>
          <w:p>
            <w:pPr>
              <w:ind w:left="320"/>
              <w:spacing w:after="0"/>
              <w:rPr>
                <w:sz w:val="20"/>
                <w:szCs w:val="20"/>
                <w:color w:val="auto"/>
              </w:rPr>
            </w:pPr>
            <w:r>
              <w:rPr>
                <w:rFonts w:ascii="Arial" w:cs="Arial" w:eastAsia="Arial" w:hAnsi="Arial"/>
                <w:sz w:val="16"/>
                <w:szCs w:val="16"/>
                <w:color w:val="auto"/>
              </w:rPr>
              <w:t>1/15/2019</w:t>
            </w:r>
          </w:p>
        </w:tc>
        <w:tc>
          <w:tcPr>
            <w:tcW w:w="14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16,413</w:t>
            </w:r>
          </w:p>
        </w:tc>
        <w:tc>
          <w:tcPr>
            <w:tcW w:w="2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340" w:type="dxa"/>
            <w:vAlign w:val="bottom"/>
          </w:tcPr>
          <w:p>
            <w:pPr>
              <w:ind w:left="320"/>
              <w:spacing w:after="0"/>
              <w:rPr>
                <w:sz w:val="20"/>
                <w:szCs w:val="20"/>
                <w:color w:val="auto"/>
              </w:rPr>
            </w:pPr>
            <w:r>
              <w:rPr>
                <w:rFonts w:ascii="Arial" w:cs="Arial" w:eastAsia="Arial" w:hAnsi="Arial"/>
                <w:sz w:val="16"/>
                <w:szCs w:val="16"/>
                <w:color w:val="auto"/>
              </w:rPr>
              <w:t>1/21/2020</w:t>
            </w:r>
          </w:p>
        </w:tc>
        <w:tc>
          <w:tcPr>
            <w:tcW w:w="14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20,382</w:t>
            </w:r>
          </w:p>
        </w:tc>
        <w:tc>
          <w:tcPr>
            <w:tcW w:w="280" w:type="dxa"/>
            <w:vAlign w:val="bottom"/>
          </w:tcPr>
          <w:p>
            <w:pPr>
              <w:ind w:left="20"/>
              <w:spacing w:after="0"/>
              <w:rPr>
                <w:sz w:val="20"/>
                <w:szCs w:val="20"/>
                <w:color w:val="auto"/>
              </w:rPr>
            </w:pPr>
            <w:r>
              <w:rPr>
                <w:rFonts w:ascii="Arial" w:cs="Arial" w:eastAsia="Arial" w:hAnsi="Arial"/>
                <w:sz w:val="12"/>
                <w:szCs w:val="12"/>
                <w:color w:val="auto"/>
              </w:rPr>
              <w:t>f</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32,217</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1"/>
                <w:szCs w:val="21"/>
                <w:color w:val="auto"/>
              </w:rPr>
            </w:pPr>
          </w:p>
        </w:tc>
        <w:tc>
          <w:tcPr>
            <w:tcW w:w="1340" w:type="dxa"/>
            <w:vAlign w:val="bottom"/>
          </w:tcPr>
          <w:p>
            <w:pPr>
              <w:ind w:left="320"/>
              <w:spacing w:after="0"/>
              <w:rPr>
                <w:sz w:val="20"/>
                <w:szCs w:val="20"/>
                <w:color w:val="auto"/>
              </w:rPr>
            </w:pPr>
            <w:r>
              <w:rPr>
                <w:rFonts w:ascii="Arial" w:cs="Arial" w:eastAsia="Arial" w:hAnsi="Arial"/>
                <w:sz w:val="16"/>
                <w:szCs w:val="16"/>
                <w:color w:val="auto"/>
              </w:rPr>
              <w:t>1/19/2021</w:t>
            </w:r>
          </w:p>
        </w:tc>
        <w:tc>
          <w:tcPr>
            <w:tcW w:w="140" w:type="dxa"/>
            <w:vAlign w:val="bottom"/>
            <w:tcBorders>
              <w:bottom w:val="single" w:sz="8" w:color="454545"/>
            </w:tcBorders>
          </w:tcPr>
          <w:p>
            <w:pPr>
              <w:spacing w:after="0"/>
              <w:rPr>
                <w:sz w:val="21"/>
                <w:szCs w:val="21"/>
                <w:color w:val="auto"/>
              </w:rPr>
            </w:pPr>
          </w:p>
        </w:tc>
        <w:tc>
          <w:tcPr>
            <w:tcW w:w="1020" w:type="dxa"/>
            <w:vAlign w:val="bottom"/>
            <w:tcBorders>
              <w:bottom w:val="single" w:sz="8" w:color="454545"/>
            </w:tcBorders>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900" w:type="dxa"/>
            <w:vAlign w:val="bottom"/>
            <w:tcBorders>
              <w:bottom w:val="single" w:sz="8" w:color="454545"/>
            </w:tcBorders>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54545"/>
            </w:tcBorders>
          </w:tcPr>
          <w:p>
            <w:pPr>
              <w:spacing w:after="0"/>
              <w:rPr>
                <w:sz w:val="21"/>
                <w:szCs w:val="21"/>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24,236</w:t>
            </w:r>
          </w:p>
        </w:tc>
        <w:tc>
          <w:tcPr>
            <w:tcW w:w="280" w:type="dxa"/>
            <w:vAlign w:val="bottom"/>
          </w:tcPr>
          <w:p>
            <w:pPr>
              <w:ind w:left="20"/>
              <w:spacing w:after="0"/>
              <w:rPr>
                <w:sz w:val="20"/>
                <w:szCs w:val="20"/>
                <w:color w:val="auto"/>
              </w:rPr>
            </w:pPr>
            <w:r>
              <w:rPr>
                <w:rFonts w:ascii="Arial" w:cs="Arial" w:eastAsia="Arial" w:hAnsi="Arial"/>
                <w:sz w:val="12"/>
                <w:szCs w:val="12"/>
                <w:color w:val="auto"/>
              </w:rPr>
              <w:t>f</w:t>
            </w:r>
          </w:p>
        </w:tc>
        <w:tc>
          <w:tcPr>
            <w:tcW w:w="340" w:type="dxa"/>
            <w:vAlign w:val="bottom"/>
          </w:tcPr>
          <w:p>
            <w:pPr>
              <w:spacing w:after="0"/>
              <w:rPr>
                <w:sz w:val="21"/>
                <w:szCs w:val="21"/>
                <w:color w:val="auto"/>
              </w:rPr>
            </w:pPr>
          </w:p>
        </w:tc>
        <w:tc>
          <w:tcPr>
            <w:tcW w:w="12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36,999</w:t>
            </w:r>
          </w:p>
        </w:tc>
        <w:tc>
          <w:tcPr>
            <w:tcW w:w="180" w:type="dxa"/>
            <w:vAlign w:val="bottom"/>
          </w:tcPr>
          <w:p>
            <w:pPr>
              <w:ind w:left="20"/>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37"/>
        </w:trPr>
        <w:tc>
          <w:tcPr>
            <w:tcW w:w="16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34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020" w:type="dxa"/>
            <w:vAlign w:val="bottom"/>
            <w:tcBorders>
              <w:bottom w:val="single" w:sz="8" w:color="454545"/>
            </w:tcBorders>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200" w:type="dxa"/>
            <w:vAlign w:val="bottom"/>
            <w:tcBorders>
              <w:bottom w:val="single" w:sz="8" w:color="454545"/>
            </w:tcBorders>
          </w:tcPr>
          <w:p>
            <w:pPr>
              <w:spacing w:after="0"/>
              <w:rPr>
                <w:sz w:val="20"/>
                <w:szCs w:val="20"/>
                <w:color w:val="auto"/>
              </w:rPr>
            </w:pPr>
          </w:p>
        </w:tc>
        <w:tc>
          <w:tcPr>
            <w:tcW w:w="900" w:type="dxa"/>
            <w:vAlign w:val="bottom"/>
            <w:tcBorders>
              <w:bottom w:val="single" w:sz="8" w:color="454545"/>
            </w:tcBorders>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61,031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69,216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134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54545"/>
            </w:tcBorders>
          </w:tcPr>
          <w:p>
            <w:pPr>
              <w:spacing w:after="0"/>
              <w:rPr>
                <w:sz w:val="23"/>
                <w:szCs w:val="23"/>
                <w:color w:val="auto"/>
              </w:rPr>
            </w:pPr>
          </w:p>
        </w:tc>
        <w:tc>
          <w:tcPr>
            <w:tcW w:w="820" w:type="dxa"/>
            <w:vAlign w:val="bottom"/>
            <w:tcBorders>
              <w:bottom w:val="single" w:sz="8" w:color="454545"/>
            </w:tcBorders>
          </w:tcPr>
          <w:p>
            <w:pPr>
              <w:spacing w:after="0"/>
              <w:rPr>
                <w:sz w:val="23"/>
                <w:szCs w:val="23"/>
                <w:color w:val="auto"/>
              </w:rPr>
            </w:pPr>
          </w:p>
        </w:tc>
        <w:tc>
          <w:tcPr>
            <w:tcW w:w="1320" w:type="dxa"/>
            <w:vAlign w:val="bottom"/>
            <w:tcBorders>
              <w:bottom w:val="single" w:sz="8" w:color="454545"/>
            </w:tcBorders>
            <w:gridSpan w:val="3"/>
          </w:tcPr>
          <w:p>
            <w:pPr>
              <w:ind w:left="12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9,664,259</w:t>
            </w:r>
          </w:p>
        </w:tc>
        <w:tc>
          <w:tcPr>
            <w:tcW w:w="280" w:type="dxa"/>
            <w:vAlign w:val="bottom"/>
            <w:tcBorders>
              <w:bottom w:val="single" w:sz="8" w:color="454545"/>
            </w:tcBorders>
          </w:tcPr>
          <w:p>
            <w:pPr>
              <w:spacing w:after="0"/>
              <w:rPr>
                <w:sz w:val="23"/>
                <w:szCs w:val="23"/>
                <w:color w:val="auto"/>
              </w:rPr>
            </w:pPr>
          </w:p>
        </w:tc>
        <w:tc>
          <w:tcPr>
            <w:tcW w:w="4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10,960,354</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6"/>
                <w:szCs w:val="16"/>
                <w:b w:val="1"/>
                <w:bCs w:val="1"/>
                <w:color w:val="auto"/>
              </w:rPr>
              <w:t>Jeremy Barnum</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vMerge w:val="restart"/>
          </w:tcPr>
          <w:p>
            <w:pPr>
              <w:ind w:left="20"/>
              <w:spacing w:after="0"/>
              <w:rPr>
                <w:sz w:val="20"/>
                <w:szCs w:val="20"/>
                <w:color w:val="auto"/>
              </w:rPr>
            </w:pPr>
            <w:r>
              <w:rPr>
                <w:rFonts w:ascii="Arial" w:cs="Arial" w:eastAsia="Arial" w:hAnsi="Arial"/>
                <w:sz w:val="12"/>
                <w:szCs w:val="12"/>
                <w:color w:val="auto"/>
              </w:rPr>
              <w:t>f</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20" w:type="dxa"/>
            <w:vAlign w:val="bottom"/>
          </w:tcPr>
          <w:p>
            <w:pPr>
              <w:spacing w:after="0"/>
              <w:rPr>
                <w:sz w:val="20"/>
                <w:szCs w:val="20"/>
                <w:color w:val="auto"/>
              </w:rPr>
            </w:pPr>
          </w:p>
        </w:tc>
        <w:tc>
          <w:tcPr>
            <w:tcW w:w="1340" w:type="dxa"/>
            <w:vAlign w:val="bottom"/>
          </w:tcPr>
          <w:p>
            <w:pPr>
              <w:ind w:left="320"/>
              <w:spacing w:after="0"/>
              <w:rPr>
                <w:sz w:val="20"/>
                <w:szCs w:val="20"/>
                <w:color w:val="auto"/>
              </w:rPr>
            </w:pPr>
            <w:r>
              <w:rPr>
                <w:rFonts w:ascii="Arial" w:cs="Arial" w:eastAsia="Arial" w:hAnsi="Arial"/>
                <w:sz w:val="16"/>
                <w:szCs w:val="16"/>
                <w:color w:val="auto"/>
              </w:rPr>
              <w:t>1/15/2019</w:t>
            </w:r>
          </w:p>
        </w:tc>
        <w:tc>
          <w:tcPr>
            <w:tcW w:w="14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11,564</w:t>
            </w:r>
          </w:p>
        </w:tc>
        <w:tc>
          <w:tcPr>
            <w:tcW w:w="2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340" w:type="dxa"/>
            <w:vAlign w:val="bottom"/>
          </w:tcPr>
          <w:p>
            <w:pPr>
              <w:ind w:left="320"/>
              <w:spacing w:after="0"/>
              <w:rPr>
                <w:sz w:val="20"/>
                <w:szCs w:val="20"/>
                <w:color w:val="auto"/>
              </w:rPr>
            </w:pPr>
            <w:r>
              <w:rPr>
                <w:rFonts w:ascii="Arial" w:cs="Arial" w:eastAsia="Arial" w:hAnsi="Arial"/>
                <w:sz w:val="16"/>
                <w:szCs w:val="16"/>
                <w:color w:val="auto"/>
              </w:rPr>
              <w:t>1/21/2020</w:t>
            </w:r>
          </w:p>
        </w:tc>
        <w:tc>
          <w:tcPr>
            <w:tcW w:w="14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17,834</w:t>
            </w:r>
          </w:p>
        </w:tc>
        <w:tc>
          <w:tcPr>
            <w:tcW w:w="280" w:type="dxa"/>
            <w:vAlign w:val="bottom"/>
          </w:tcPr>
          <w:p>
            <w:pPr>
              <w:ind w:left="20"/>
              <w:spacing w:after="0"/>
              <w:rPr>
                <w:sz w:val="20"/>
                <w:szCs w:val="20"/>
                <w:color w:val="auto"/>
              </w:rPr>
            </w:pPr>
            <w:r>
              <w:rPr>
                <w:rFonts w:ascii="Arial" w:cs="Arial" w:eastAsia="Arial" w:hAnsi="Arial"/>
                <w:sz w:val="12"/>
                <w:szCs w:val="12"/>
                <w:color w:val="auto"/>
              </w:rPr>
              <w:t>f</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1"/>
                <w:szCs w:val="21"/>
                <w:color w:val="auto"/>
              </w:rPr>
            </w:pPr>
          </w:p>
        </w:tc>
        <w:tc>
          <w:tcPr>
            <w:tcW w:w="1340" w:type="dxa"/>
            <w:vAlign w:val="bottom"/>
          </w:tcPr>
          <w:p>
            <w:pPr>
              <w:ind w:left="320"/>
              <w:spacing w:after="0"/>
              <w:rPr>
                <w:sz w:val="20"/>
                <w:szCs w:val="20"/>
                <w:color w:val="auto"/>
              </w:rPr>
            </w:pPr>
            <w:r>
              <w:rPr>
                <w:rFonts w:ascii="Arial" w:cs="Arial" w:eastAsia="Arial" w:hAnsi="Arial"/>
                <w:sz w:val="16"/>
                <w:szCs w:val="16"/>
                <w:color w:val="auto"/>
              </w:rPr>
              <w:t>1/19/2021</w:t>
            </w:r>
          </w:p>
        </w:tc>
        <w:tc>
          <w:tcPr>
            <w:tcW w:w="140" w:type="dxa"/>
            <w:vAlign w:val="bottom"/>
            <w:tcBorders>
              <w:bottom w:val="single" w:sz="8" w:color="454545"/>
            </w:tcBorders>
          </w:tcPr>
          <w:p>
            <w:pPr>
              <w:spacing w:after="0"/>
              <w:rPr>
                <w:sz w:val="21"/>
                <w:szCs w:val="21"/>
                <w:color w:val="auto"/>
              </w:rPr>
            </w:pPr>
          </w:p>
        </w:tc>
        <w:tc>
          <w:tcPr>
            <w:tcW w:w="1020" w:type="dxa"/>
            <w:vAlign w:val="bottom"/>
            <w:tcBorders>
              <w:bottom w:val="single" w:sz="8" w:color="454545"/>
            </w:tcBorders>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200" w:type="dxa"/>
            <w:vAlign w:val="bottom"/>
            <w:tcBorders>
              <w:bottom w:val="single" w:sz="8" w:color="454545"/>
            </w:tcBorders>
          </w:tcPr>
          <w:p>
            <w:pPr>
              <w:spacing w:after="0"/>
              <w:rPr>
                <w:sz w:val="21"/>
                <w:szCs w:val="21"/>
                <w:color w:val="auto"/>
              </w:rPr>
            </w:pPr>
          </w:p>
        </w:tc>
        <w:tc>
          <w:tcPr>
            <w:tcW w:w="900" w:type="dxa"/>
            <w:vAlign w:val="bottom"/>
            <w:tcBorders>
              <w:bottom w:val="single" w:sz="8" w:color="454545"/>
            </w:tcBorders>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54545"/>
            </w:tcBorders>
          </w:tcPr>
          <w:p>
            <w:pPr>
              <w:spacing w:after="0"/>
              <w:rPr>
                <w:sz w:val="21"/>
                <w:szCs w:val="21"/>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17,594</w:t>
            </w:r>
          </w:p>
        </w:tc>
        <w:tc>
          <w:tcPr>
            <w:tcW w:w="280" w:type="dxa"/>
            <w:vAlign w:val="bottom"/>
          </w:tcPr>
          <w:p>
            <w:pPr>
              <w:ind w:left="20"/>
              <w:spacing w:after="0"/>
              <w:rPr>
                <w:sz w:val="20"/>
                <w:szCs w:val="20"/>
                <w:color w:val="auto"/>
              </w:rPr>
            </w:pPr>
            <w:r>
              <w:rPr>
                <w:rFonts w:ascii="Arial" w:cs="Arial" w:eastAsia="Arial" w:hAnsi="Arial"/>
                <w:sz w:val="12"/>
                <w:szCs w:val="12"/>
                <w:color w:val="auto"/>
              </w:rPr>
              <w:t>f</w:t>
            </w:r>
          </w:p>
        </w:tc>
        <w:tc>
          <w:tcPr>
            <w:tcW w:w="340" w:type="dxa"/>
            <w:vAlign w:val="bottom"/>
          </w:tcPr>
          <w:p>
            <w:pPr>
              <w:spacing w:after="0"/>
              <w:rPr>
                <w:sz w:val="21"/>
                <w:szCs w:val="21"/>
                <w:color w:val="auto"/>
              </w:rPr>
            </w:pPr>
          </w:p>
        </w:tc>
        <w:tc>
          <w:tcPr>
            <w:tcW w:w="120" w:type="dxa"/>
            <w:vAlign w:val="bottom"/>
            <w:tcBorders>
              <w:bottom w:val="single" w:sz="8" w:color="454545"/>
            </w:tcBorders>
          </w:tcPr>
          <w:p>
            <w:pPr>
              <w:spacing w:after="0"/>
              <w:rPr>
                <w:sz w:val="21"/>
                <w:szCs w:val="21"/>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2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34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020" w:type="dxa"/>
            <w:vAlign w:val="bottom"/>
            <w:tcBorders>
              <w:bottom w:val="single" w:sz="8" w:color="454545"/>
            </w:tcBorders>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200" w:type="dxa"/>
            <w:vAlign w:val="bottom"/>
            <w:tcBorders>
              <w:bottom w:val="single" w:sz="8" w:color="454545"/>
            </w:tcBorders>
          </w:tcPr>
          <w:p>
            <w:pPr>
              <w:spacing w:after="0"/>
              <w:rPr>
                <w:sz w:val="20"/>
                <w:szCs w:val="20"/>
                <w:color w:val="auto"/>
              </w:rPr>
            </w:pPr>
          </w:p>
        </w:tc>
        <w:tc>
          <w:tcPr>
            <w:tcW w:w="900" w:type="dxa"/>
            <w:vAlign w:val="bottom"/>
            <w:tcBorders>
              <w:bottom w:val="single" w:sz="8" w:color="454545"/>
            </w:tcBorders>
          </w:tcPr>
          <w:p>
            <w:pPr>
              <w:ind w:left="6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46,992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5</w:t>
            </w:r>
          </w:p>
        </w:tc>
        <w:tc>
          <w:tcPr>
            <w:tcW w:w="134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54545"/>
            </w:tcBorders>
            <w:gridSpan w:val="2"/>
          </w:tcPr>
          <w:p>
            <w:pPr>
              <w:ind w:left="7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54545"/>
            </w:tcBorders>
            <w:gridSpan w:val="2"/>
          </w:tcPr>
          <w:p>
            <w:pPr>
              <w:ind w:left="6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54545"/>
            </w:tcBorders>
          </w:tcPr>
          <w:p>
            <w:pPr>
              <w:spacing w:after="0"/>
              <w:rPr>
                <w:sz w:val="23"/>
                <w:szCs w:val="23"/>
                <w:color w:val="auto"/>
              </w:rPr>
            </w:pPr>
          </w:p>
        </w:tc>
        <w:tc>
          <w:tcPr>
            <w:tcW w:w="820" w:type="dxa"/>
            <w:vAlign w:val="bottom"/>
            <w:tcBorders>
              <w:bottom w:val="single" w:sz="8" w:color="454545"/>
            </w:tcBorders>
          </w:tcPr>
          <w:p>
            <w:pPr>
              <w:spacing w:after="0"/>
              <w:rPr>
                <w:sz w:val="23"/>
                <w:szCs w:val="23"/>
                <w:color w:val="auto"/>
              </w:rPr>
            </w:pPr>
          </w:p>
        </w:tc>
        <w:tc>
          <w:tcPr>
            <w:tcW w:w="1320" w:type="dxa"/>
            <w:vAlign w:val="bottom"/>
            <w:tcBorders>
              <w:bottom w:val="single" w:sz="8" w:color="454545"/>
            </w:tcBorders>
            <w:gridSpan w:val="3"/>
          </w:tcPr>
          <w:p>
            <w:pPr>
              <w:ind w:left="12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7,441,183</w:t>
            </w:r>
          </w:p>
        </w:tc>
        <w:tc>
          <w:tcPr>
            <w:tcW w:w="280" w:type="dxa"/>
            <w:vAlign w:val="bottom"/>
            <w:tcBorders>
              <w:bottom w:val="single" w:sz="8" w:color="454545"/>
            </w:tcBorders>
          </w:tcPr>
          <w:p>
            <w:pPr>
              <w:spacing w:after="0"/>
              <w:rPr>
                <w:sz w:val="23"/>
                <w:szCs w:val="23"/>
                <w:color w:val="auto"/>
              </w:rPr>
            </w:pPr>
          </w:p>
        </w:tc>
        <w:tc>
          <w:tcPr>
            <w:tcW w:w="4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54545"/>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0" w:hanging="192"/>
        <w:spacing w:after="0"/>
        <w:tabs>
          <w:tab w:leader="none" w:pos="200" w:val="left"/>
        </w:tabs>
        <w:numPr>
          <w:ilvl w:val="0"/>
          <w:numId w:val="238"/>
        </w:numPr>
        <w:rPr>
          <w:rFonts w:ascii="Arial" w:cs="Arial" w:eastAsia="Arial" w:hAnsi="Arial"/>
          <w:sz w:val="19"/>
          <w:szCs w:val="19"/>
          <w:color w:val="auto"/>
          <w:vertAlign w:val="superscript"/>
        </w:rPr>
      </w:pPr>
      <w:r>
        <w:rPr>
          <w:rFonts w:ascii="Arial" w:cs="Arial" w:eastAsia="Arial" w:hAnsi="Arial"/>
          <w:sz w:val="13"/>
          <w:szCs w:val="13"/>
          <w:color w:val="auto"/>
        </w:rPr>
        <w:t>The awards set forth in the table were granted with the following vesting schedules:</w:t>
      </w:r>
    </w:p>
    <w:p>
      <w:pPr>
        <w:ind w:left="400" w:hanging="198"/>
        <w:spacing w:after="0" w:line="193" w:lineRule="auto"/>
        <w:tabs>
          <w:tab w:leader="none" w:pos="400" w:val="left"/>
        </w:tabs>
        <w:numPr>
          <w:ilvl w:val="0"/>
          <w:numId w:val="239"/>
        </w:numPr>
        <w:rPr>
          <w:rFonts w:ascii="Arial" w:cs="Arial" w:eastAsia="Arial" w:hAnsi="Arial"/>
          <w:sz w:val="16"/>
          <w:szCs w:val="16"/>
          <w:color w:val="auto"/>
          <w:vertAlign w:val="superscript"/>
        </w:rPr>
      </w:pPr>
      <w:r>
        <w:rPr>
          <w:rFonts w:ascii="Arial" w:cs="Arial" w:eastAsia="Arial" w:hAnsi="Arial"/>
          <w:sz w:val="13"/>
          <w:szCs w:val="13"/>
          <w:color w:val="auto"/>
        </w:rPr>
        <w:t>PSUs vest in year three including any dividends that are reinvested over the vesting period</w:t>
      </w:r>
    </w:p>
    <w:p>
      <w:pPr>
        <w:ind w:left="400" w:hanging="198"/>
        <w:spacing w:after="0" w:line="194" w:lineRule="auto"/>
        <w:tabs>
          <w:tab w:leader="none" w:pos="400" w:val="left"/>
        </w:tabs>
        <w:numPr>
          <w:ilvl w:val="0"/>
          <w:numId w:val="240"/>
        </w:numPr>
        <w:rPr>
          <w:rFonts w:ascii="Arial" w:cs="Arial" w:eastAsia="Arial" w:hAnsi="Arial"/>
          <w:sz w:val="16"/>
          <w:szCs w:val="16"/>
          <w:color w:val="auto"/>
          <w:vertAlign w:val="superscript"/>
        </w:rPr>
      </w:pPr>
      <w:r>
        <w:rPr>
          <w:rFonts w:ascii="Arial" w:cs="Arial" w:eastAsia="Arial" w:hAnsi="Arial"/>
          <w:sz w:val="13"/>
          <w:szCs w:val="13"/>
          <w:color w:val="auto"/>
        </w:rPr>
        <w:t>SARs cliff vest in year five</w:t>
      </w:r>
    </w:p>
    <w:p>
      <w:pPr>
        <w:ind w:left="400" w:hanging="198"/>
        <w:spacing w:after="0" w:line="194" w:lineRule="auto"/>
        <w:tabs>
          <w:tab w:leader="none" w:pos="400" w:val="left"/>
        </w:tabs>
        <w:numPr>
          <w:ilvl w:val="0"/>
          <w:numId w:val="241"/>
        </w:numPr>
        <w:rPr>
          <w:rFonts w:ascii="Arial" w:cs="Arial" w:eastAsia="Arial" w:hAnsi="Arial"/>
          <w:sz w:val="16"/>
          <w:szCs w:val="16"/>
          <w:color w:val="auto"/>
          <w:vertAlign w:val="superscript"/>
        </w:rPr>
      </w:pPr>
      <w:r>
        <w:rPr>
          <w:rFonts w:ascii="Arial" w:cs="Arial" w:eastAsia="Arial" w:hAnsi="Arial"/>
          <w:sz w:val="13"/>
          <w:szCs w:val="13"/>
          <w:color w:val="auto"/>
        </w:rPr>
        <w:t>SARs vest in five equal installments, in years one, two, three, four and five</w:t>
      </w:r>
    </w:p>
    <w:p>
      <w:pPr>
        <w:ind w:left="400" w:hanging="198"/>
        <w:spacing w:after="0" w:line="193" w:lineRule="auto"/>
        <w:tabs>
          <w:tab w:leader="none" w:pos="400" w:val="left"/>
        </w:tabs>
        <w:numPr>
          <w:ilvl w:val="0"/>
          <w:numId w:val="242"/>
        </w:numPr>
        <w:rPr>
          <w:rFonts w:ascii="Arial" w:cs="Arial" w:eastAsia="Arial" w:hAnsi="Arial"/>
          <w:sz w:val="16"/>
          <w:szCs w:val="16"/>
          <w:color w:val="auto"/>
          <w:vertAlign w:val="superscript"/>
        </w:rPr>
      </w:pPr>
      <w:r>
        <w:rPr>
          <w:rFonts w:ascii="Arial" w:cs="Arial" w:eastAsia="Arial" w:hAnsi="Arial"/>
          <w:sz w:val="13"/>
          <w:szCs w:val="13"/>
          <w:color w:val="auto"/>
        </w:rPr>
        <w:t>PSUs vest in five equal installments, in years three, four, five, six and seven including any dividends that are reinvested over the vesting period</w:t>
      </w:r>
    </w:p>
    <w:p>
      <w:pPr>
        <w:ind w:left="400" w:hanging="198"/>
        <w:spacing w:after="0" w:line="194" w:lineRule="auto"/>
        <w:tabs>
          <w:tab w:leader="none" w:pos="400" w:val="left"/>
        </w:tabs>
        <w:numPr>
          <w:ilvl w:val="0"/>
          <w:numId w:val="243"/>
        </w:numPr>
        <w:rPr>
          <w:rFonts w:ascii="Arial" w:cs="Arial" w:eastAsia="Arial" w:hAnsi="Arial"/>
          <w:sz w:val="16"/>
          <w:szCs w:val="16"/>
          <w:color w:val="auto"/>
          <w:vertAlign w:val="superscript"/>
        </w:rPr>
      </w:pPr>
      <w:r>
        <w:rPr>
          <w:rFonts w:ascii="Arial" w:cs="Arial" w:eastAsia="Arial" w:hAnsi="Arial"/>
          <w:sz w:val="13"/>
          <w:szCs w:val="13"/>
          <w:color w:val="auto"/>
        </w:rPr>
        <w:t>PSUs and RSUs vest in five equal installments, in years three, four, five, six and seven</w:t>
      </w:r>
    </w:p>
    <w:p>
      <w:pPr>
        <w:ind w:left="380" w:hanging="178"/>
        <w:spacing w:after="0" w:line="186" w:lineRule="auto"/>
        <w:tabs>
          <w:tab w:leader="none" w:pos="380" w:val="left"/>
        </w:tabs>
        <w:numPr>
          <w:ilvl w:val="0"/>
          <w:numId w:val="244"/>
        </w:numPr>
        <w:rPr>
          <w:rFonts w:ascii="Arial" w:cs="Arial" w:eastAsia="Arial" w:hAnsi="Arial"/>
          <w:sz w:val="14"/>
          <w:szCs w:val="14"/>
          <w:color w:val="auto"/>
          <w:vertAlign w:val="superscript"/>
        </w:rPr>
      </w:pPr>
      <w:r>
        <w:rPr>
          <w:rFonts w:ascii="Arial" w:cs="Arial" w:eastAsia="Arial" w:hAnsi="Arial"/>
          <w:sz w:val="11"/>
          <w:szCs w:val="11"/>
          <w:color w:val="auto"/>
        </w:rPr>
        <w:t>RSUs vest in two equal installments, in years two and three</w:t>
      </w:r>
    </w:p>
    <w:p>
      <w:pPr>
        <w:ind w:left="200" w:hanging="192"/>
        <w:spacing w:after="0" w:line="182" w:lineRule="auto"/>
        <w:tabs>
          <w:tab w:leader="none" w:pos="200" w:val="left"/>
        </w:tabs>
        <w:numPr>
          <w:ilvl w:val="0"/>
          <w:numId w:val="245"/>
        </w:numPr>
        <w:rPr>
          <w:rFonts w:ascii="Arial" w:cs="Arial" w:eastAsia="Arial" w:hAnsi="Arial"/>
          <w:sz w:val="17"/>
          <w:szCs w:val="17"/>
          <w:color w:val="auto"/>
          <w:vertAlign w:val="superscript"/>
        </w:rPr>
      </w:pPr>
      <w:r>
        <w:rPr>
          <w:rFonts w:ascii="Arial" w:cs="Arial" w:eastAsia="Arial" w:hAnsi="Arial"/>
          <w:sz w:val="11"/>
          <w:szCs w:val="11"/>
          <w:color w:val="auto"/>
        </w:rPr>
        <w:t>Value based on $158.35, which was the closing price per share of our common stock on December 31, 2021.</w:t>
      </w:r>
    </w:p>
    <w:p>
      <w:pPr>
        <w:spacing w:after="0" w:line="13" w:lineRule="exact"/>
        <w:rPr>
          <w:sz w:val="20"/>
          <w:szCs w:val="20"/>
          <w:color w:val="auto"/>
        </w:rPr>
      </w:pPr>
    </w:p>
    <w:p>
      <w:pPr>
        <w:ind w:left="200" w:right="380" w:hanging="192"/>
        <w:spacing w:after="0" w:line="185" w:lineRule="auto"/>
        <w:tabs>
          <w:tab w:leader="none" w:pos="193" w:val="left"/>
        </w:tabs>
        <w:numPr>
          <w:ilvl w:val="0"/>
          <w:numId w:val="246"/>
        </w:numPr>
        <w:rPr>
          <w:rFonts w:ascii="Arial" w:cs="Arial" w:eastAsia="Arial" w:hAnsi="Arial"/>
          <w:sz w:val="19"/>
          <w:szCs w:val="19"/>
          <w:color w:val="auto"/>
          <w:vertAlign w:val="superscript"/>
        </w:rPr>
      </w:pPr>
      <w:r>
        <w:rPr>
          <w:rFonts w:ascii="Arial" w:cs="Arial" w:eastAsia="Arial" w:hAnsi="Arial"/>
          <w:sz w:val="13"/>
          <w:szCs w:val="13"/>
          <w:color w:val="auto"/>
        </w:rPr>
        <w:t>Represents the maximum number of shares that NEOs may receive over the vesting period in connection with PSU awards granted and accumulated reinvested dividend equivalent shares, as applicable, as of December 31, 2021.</w:t>
      </w:r>
    </w:p>
    <w:p>
      <w:pPr>
        <w:spacing w:after="0" w:line="13" w:lineRule="exact"/>
        <w:rPr>
          <w:sz w:val="20"/>
          <w:szCs w:val="20"/>
          <w:color w:val="auto"/>
        </w:rPr>
      </w:pPr>
    </w:p>
    <w:p>
      <w:pPr>
        <w:ind w:left="200" w:right="520" w:hanging="192"/>
        <w:spacing w:after="0" w:line="185" w:lineRule="auto"/>
        <w:tabs>
          <w:tab w:leader="none" w:pos="193" w:val="left"/>
        </w:tabs>
        <w:numPr>
          <w:ilvl w:val="0"/>
          <w:numId w:val="247"/>
        </w:numPr>
        <w:rPr>
          <w:rFonts w:ascii="Arial" w:cs="Arial" w:eastAsia="Arial" w:hAnsi="Arial"/>
          <w:sz w:val="19"/>
          <w:szCs w:val="19"/>
          <w:color w:val="auto"/>
          <w:vertAlign w:val="superscript"/>
        </w:rPr>
      </w:pPr>
      <w:r>
        <w:rPr>
          <w:rFonts w:ascii="Arial" w:cs="Arial" w:eastAsia="Arial" w:hAnsi="Arial"/>
          <w:sz w:val="13"/>
          <w:szCs w:val="13"/>
          <w:color w:val="auto"/>
        </w:rPr>
        <w:t>Represents PSU awards for which the performance period ended on December 31, 2021. The CMDC certified the applicable performance criteria for the PSUs on March 15, 2022; the PSUs subsequently vested on March 25, 2022 as noted in the applicable footnotes a and e.</w:t>
      </w:r>
    </w:p>
    <w:p>
      <w:pPr>
        <w:ind w:left="200" w:hanging="192"/>
        <w:spacing w:after="0" w:line="196" w:lineRule="auto"/>
        <w:tabs>
          <w:tab w:leader="none" w:pos="200" w:val="left"/>
        </w:tabs>
        <w:numPr>
          <w:ilvl w:val="0"/>
          <w:numId w:val="248"/>
        </w:numPr>
        <w:rPr>
          <w:rFonts w:ascii="Arial" w:cs="Arial" w:eastAsia="Arial" w:hAnsi="Arial"/>
          <w:sz w:val="19"/>
          <w:szCs w:val="19"/>
          <w:color w:val="auto"/>
          <w:vertAlign w:val="superscript"/>
        </w:rPr>
      </w:pPr>
      <w:r>
        <w:rPr>
          <w:rFonts w:ascii="Arial" w:cs="Arial" w:eastAsia="Arial" w:hAnsi="Arial"/>
          <w:sz w:val="13"/>
          <w:szCs w:val="13"/>
          <w:color w:val="auto"/>
        </w:rPr>
        <w:t>For option awards, this represents the market value of in-the-money SARs; for stock awards it represents the value of unearned PSUs or RSUs that have not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198120</wp:posOffset>
            </wp:positionV>
            <wp:extent cx="27432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77  </w:t>
      </w:r>
      <w:r>
        <w:rPr>
          <w:sz w:val="1"/>
          <w:szCs w:val="1"/>
          <w:color w:val="auto"/>
        </w:rPr>
        <w:drawing>
          <wp:inline distT="0" distB="0" distL="0" distR="0">
            <wp:extent cx="2203450" cy="154305"/>
            <wp:effectExtent l="0" t="0" r="0" b="0"/>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IV. 2021 OPTION EXERCISES AND STOCK VESTED TABLE</w:t>
      </w:r>
    </w:p>
    <w:p>
      <w:pPr>
        <w:spacing w:after="0" w:line="11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table shows the number of shares acquired and the value realized during 2021 upon the exercise of stock options and the vesting of PSUs and RSUs previously granted to each of the Named Executive Officers.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80" w:type="dxa"/>
            <w:vAlign w:val="bottom"/>
          </w:tcPr>
          <w:p>
            <w:pPr>
              <w:spacing w:after="0"/>
              <w:rPr>
                <w:sz w:val="19"/>
                <w:szCs w:val="19"/>
                <w:color w:val="auto"/>
              </w:rPr>
            </w:pPr>
          </w:p>
        </w:tc>
        <w:tc>
          <w:tcPr>
            <w:tcW w:w="2840" w:type="dxa"/>
            <w:vAlign w:val="bottom"/>
            <w:gridSpan w:val="3"/>
          </w:tcPr>
          <w:p>
            <w:pPr>
              <w:ind w:left="840"/>
              <w:spacing w:after="0"/>
              <w:rPr>
                <w:sz w:val="20"/>
                <w:szCs w:val="20"/>
                <w:color w:val="auto"/>
              </w:rPr>
            </w:pPr>
            <w:r>
              <w:rPr>
                <w:rFonts w:ascii="Arial" w:cs="Arial" w:eastAsia="Arial" w:hAnsi="Arial"/>
                <w:sz w:val="16"/>
                <w:szCs w:val="16"/>
                <w:color w:val="auto"/>
              </w:rPr>
              <w:t>Option awards</w:t>
            </w:r>
          </w:p>
        </w:tc>
        <w:tc>
          <w:tcPr>
            <w:tcW w:w="2720" w:type="dxa"/>
            <w:vAlign w:val="bottom"/>
            <w:gridSpan w:val="3"/>
          </w:tcPr>
          <w:p>
            <w:pPr>
              <w:jc w:val="right"/>
              <w:ind w:right="799"/>
              <w:spacing w:after="0"/>
              <w:rPr>
                <w:sz w:val="20"/>
                <w:szCs w:val="20"/>
                <w:color w:val="auto"/>
              </w:rPr>
            </w:pPr>
            <w:r>
              <w:rPr>
                <w:rFonts w:ascii="Arial" w:cs="Arial" w:eastAsia="Arial" w:hAnsi="Arial"/>
                <w:sz w:val="16"/>
                <w:szCs w:val="16"/>
                <w:color w:val="auto"/>
              </w:rPr>
              <w:t>Stock awards</w:t>
            </w:r>
          </w:p>
        </w:tc>
      </w:tr>
      <w:tr>
        <w:trPr>
          <w:trHeight w:val="202"/>
        </w:trPr>
        <w:tc>
          <w:tcPr>
            <w:tcW w:w="5680" w:type="dxa"/>
            <w:vAlign w:val="bottom"/>
          </w:tcPr>
          <w:p>
            <w:pPr>
              <w:spacing w:after="0"/>
              <w:rPr>
                <w:sz w:val="17"/>
                <w:szCs w:val="17"/>
                <w:color w:val="auto"/>
              </w:rPr>
            </w:pPr>
          </w:p>
        </w:tc>
        <w:tc>
          <w:tcPr>
            <w:tcW w:w="1440" w:type="dxa"/>
            <w:vAlign w:val="bottom"/>
            <w:tcBorders>
              <w:top w:val="single" w:sz="8" w:color="454545"/>
            </w:tcBorders>
          </w:tcPr>
          <w:p>
            <w:pPr>
              <w:jc w:val="center"/>
              <w:spacing w:after="0"/>
              <w:rPr>
                <w:sz w:val="20"/>
                <w:szCs w:val="20"/>
                <w:color w:val="auto"/>
              </w:rPr>
            </w:pPr>
            <w:r>
              <w:rPr>
                <w:rFonts w:ascii="Arial" w:cs="Arial" w:eastAsia="Arial" w:hAnsi="Arial"/>
                <w:sz w:val="16"/>
                <w:szCs w:val="16"/>
                <w:color w:val="205A85"/>
              </w:rPr>
              <w:t>Number of</w:t>
            </w:r>
          </w:p>
        </w:tc>
        <w:tc>
          <w:tcPr>
            <w:tcW w:w="1280" w:type="dxa"/>
            <w:vAlign w:val="bottom"/>
            <w:tcBorders>
              <w:top w:val="single" w:sz="8" w:color="454545"/>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454545"/>
            </w:tcBorders>
          </w:tcPr>
          <w:p>
            <w:pPr>
              <w:spacing w:after="0"/>
              <w:rPr>
                <w:sz w:val="17"/>
                <w:szCs w:val="17"/>
                <w:color w:val="auto"/>
              </w:rPr>
            </w:pPr>
          </w:p>
        </w:tc>
        <w:tc>
          <w:tcPr>
            <w:tcW w:w="180" w:type="dxa"/>
            <w:vAlign w:val="bottom"/>
            <w:tcBorders>
              <w:top w:val="single" w:sz="8" w:color="454545"/>
            </w:tcBorders>
          </w:tcPr>
          <w:p>
            <w:pPr>
              <w:spacing w:after="0"/>
              <w:rPr>
                <w:sz w:val="17"/>
                <w:szCs w:val="17"/>
                <w:color w:val="auto"/>
              </w:rPr>
            </w:pPr>
          </w:p>
        </w:tc>
        <w:tc>
          <w:tcPr>
            <w:tcW w:w="1100" w:type="dxa"/>
            <w:vAlign w:val="bottom"/>
            <w:tcBorders>
              <w:top w:val="single" w:sz="8" w:color="454545"/>
            </w:tcBorders>
          </w:tcPr>
          <w:p>
            <w:pPr>
              <w:spacing w:after="0"/>
              <w:rPr>
                <w:sz w:val="17"/>
                <w:szCs w:val="17"/>
                <w:color w:val="auto"/>
              </w:rPr>
            </w:pPr>
          </w:p>
        </w:tc>
      </w:tr>
      <w:tr>
        <w:trPr>
          <w:trHeight w:val="189"/>
        </w:trPr>
        <w:tc>
          <w:tcPr>
            <w:tcW w:w="56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205A85"/>
              </w:rPr>
              <w:t>shares acquired</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color w:val="205A85"/>
                <w:w w:val="97"/>
              </w:rPr>
              <w:t>Value</w:t>
            </w:r>
          </w:p>
        </w:tc>
        <w:tc>
          <w:tcPr>
            <w:tcW w:w="1440" w:type="dxa"/>
            <w:vAlign w:val="bottom"/>
          </w:tcPr>
          <w:p>
            <w:pPr>
              <w:jc w:val="center"/>
              <w:spacing w:after="0"/>
              <w:rPr>
                <w:sz w:val="20"/>
                <w:szCs w:val="20"/>
                <w:color w:val="auto"/>
              </w:rPr>
            </w:pPr>
            <w:r>
              <w:rPr>
                <w:rFonts w:ascii="Arial" w:cs="Arial" w:eastAsia="Arial" w:hAnsi="Arial"/>
                <w:sz w:val="16"/>
                <w:szCs w:val="16"/>
                <w:color w:val="205A85"/>
                <w:w w:val="99"/>
              </w:rPr>
              <w:t>Number of</w:t>
            </w:r>
          </w:p>
        </w:tc>
        <w:tc>
          <w:tcPr>
            <w:tcW w:w="18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color w:val="205A85"/>
                <w:w w:val="97"/>
              </w:rPr>
              <w:t>Value</w:t>
            </w:r>
          </w:p>
        </w:tc>
      </w:tr>
      <w:tr>
        <w:trPr>
          <w:trHeight w:val="189"/>
        </w:trPr>
        <w:tc>
          <w:tcPr>
            <w:tcW w:w="56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205A85"/>
              </w:rPr>
              <w:t>on exercise</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color w:val="205A85"/>
              </w:rPr>
              <w:t>realized on</w:t>
            </w:r>
          </w:p>
        </w:tc>
        <w:tc>
          <w:tcPr>
            <w:tcW w:w="1440" w:type="dxa"/>
            <w:vAlign w:val="bottom"/>
          </w:tcPr>
          <w:p>
            <w:pPr>
              <w:jc w:val="center"/>
              <w:spacing w:after="0"/>
              <w:rPr>
                <w:sz w:val="20"/>
                <w:szCs w:val="20"/>
                <w:color w:val="auto"/>
              </w:rPr>
            </w:pPr>
            <w:r>
              <w:rPr>
                <w:rFonts w:ascii="Arial" w:cs="Arial" w:eastAsia="Arial" w:hAnsi="Arial"/>
                <w:sz w:val="16"/>
                <w:szCs w:val="16"/>
                <w:color w:val="205A85"/>
              </w:rPr>
              <w:t>shares acquired</w:t>
            </w:r>
          </w:p>
        </w:tc>
        <w:tc>
          <w:tcPr>
            <w:tcW w:w="18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color w:val="205A85"/>
              </w:rPr>
              <w:t>realized on</w:t>
            </w:r>
          </w:p>
        </w:tc>
      </w:tr>
      <w:tr>
        <w:trPr>
          <w:trHeight w:val="230"/>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205A85"/>
              </w:rPr>
              <w:t>Name</w:t>
            </w:r>
          </w:p>
        </w:tc>
        <w:tc>
          <w:tcPr>
            <w:tcW w:w="144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w:t>
            </w:r>
          </w:p>
        </w:tc>
        <w:tc>
          <w:tcPr>
            <w:tcW w:w="1400" w:type="dxa"/>
            <w:vAlign w:val="bottom"/>
            <w:tcBorders>
              <w:bottom w:val="single" w:sz="8" w:color="454545"/>
            </w:tcBorders>
            <w:gridSpan w:val="2"/>
          </w:tcPr>
          <w:p>
            <w:pPr>
              <w:jc w:val="center"/>
              <w:ind w:right="220"/>
              <w:spacing w:after="0" w:line="230" w:lineRule="exact"/>
              <w:rPr>
                <w:sz w:val="20"/>
                <w:szCs w:val="20"/>
                <w:color w:val="auto"/>
              </w:rPr>
            </w:pPr>
            <w:r>
              <w:rPr>
                <w:rFonts w:ascii="Arial" w:cs="Arial" w:eastAsia="Arial" w:hAnsi="Arial"/>
                <w:sz w:val="16"/>
                <w:szCs w:val="16"/>
                <w:color w:val="205A85"/>
                <w:w w:val="98"/>
              </w:rPr>
              <w:t>exercise ($)</w:t>
            </w:r>
            <w:r>
              <w:rPr>
                <w:rFonts w:ascii="Arial" w:cs="Arial" w:eastAsia="Arial" w:hAnsi="Arial"/>
                <w:sz w:val="21"/>
                <w:szCs w:val="21"/>
                <w:color w:val="205A85"/>
                <w:w w:val="98"/>
                <w:vertAlign w:val="superscript"/>
              </w:rPr>
              <w:t>1</w:t>
            </w:r>
          </w:p>
        </w:tc>
        <w:tc>
          <w:tcPr>
            <w:tcW w:w="144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on vesting (#)</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center"/>
              <w:ind w:right="159"/>
              <w:spacing w:after="0" w:line="230" w:lineRule="exact"/>
              <w:rPr>
                <w:sz w:val="20"/>
                <w:szCs w:val="20"/>
                <w:color w:val="auto"/>
              </w:rPr>
            </w:pPr>
            <w:r>
              <w:rPr>
                <w:rFonts w:ascii="Arial" w:cs="Arial" w:eastAsia="Arial" w:hAnsi="Arial"/>
                <w:sz w:val="16"/>
                <w:szCs w:val="16"/>
                <w:color w:val="205A85"/>
                <w:w w:val="99"/>
              </w:rPr>
              <w:t>vesting ($)</w:t>
            </w:r>
            <w:r>
              <w:rPr>
                <w:rFonts w:ascii="Arial" w:cs="Arial" w:eastAsia="Arial" w:hAnsi="Arial"/>
                <w:sz w:val="21"/>
                <w:szCs w:val="21"/>
                <w:color w:val="205A85"/>
                <w:w w:val="99"/>
                <w:vertAlign w:val="superscript"/>
              </w:rPr>
              <w:t>2</w:t>
            </w:r>
          </w:p>
        </w:tc>
      </w:tr>
      <w:tr>
        <w:trPr>
          <w:trHeight w:val="233"/>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562,430</w:t>
            </w:r>
          </w:p>
        </w:tc>
        <w:tc>
          <w:tcPr>
            <w:tcW w:w="12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71,105,213</w:t>
            </w:r>
          </w:p>
        </w:tc>
        <w:tc>
          <w:tcPr>
            <w:tcW w:w="120" w:type="dxa"/>
            <w:vAlign w:val="bottom"/>
            <w:tcBorders>
              <w:bottom w:val="single" w:sz="8" w:color="454545"/>
            </w:tcBorders>
          </w:tcPr>
          <w:p>
            <w:pPr>
              <w:spacing w:after="0"/>
              <w:rPr>
                <w:sz w:val="20"/>
                <w:szCs w:val="20"/>
                <w:color w:val="auto"/>
              </w:rPr>
            </w:pP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335,429</w:t>
            </w:r>
          </w:p>
        </w:tc>
        <w:tc>
          <w:tcPr>
            <w:tcW w:w="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50,700,241</w:t>
            </w:r>
          </w:p>
        </w:tc>
      </w:tr>
      <w:tr>
        <w:trPr>
          <w:trHeight w:val="236"/>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82,115</w:t>
            </w:r>
          </w:p>
        </w:tc>
        <w:tc>
          <w:tcPr>
            <w:tcW w:w="12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11,108,928</w:t>
            </w:r>
          </w:p>
        </w:tc>
        <w:tc>
          <w:tcPr>
            <w:tcW w:w="120" w:type="dxa"/>
            <w:vAlign w:val="bottom"/>
            <w:tcBorders>
              <w:bottom w:val="single" w:sz="8" w:color="454545"/>
            </w:tcBorders>
          </w:tcPr>
          <w:p>
            <w:pPr>
              <w:spacing w:after="0"/>
              <w:rPr>
                <w:sz w:val="20"/>
                <w:szCs w:val="20"/>
                <w:color w:val="auto"/>
              </w:rPr>
            </w:pP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65,462</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9,597,034</w:t>
            </w:r>
          </w:p>
        </w:tc>
      </w:tr>
      <w:tr>
        <w:trPr>
          <w:trHeight w:val="237"/>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Gordon Smith</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141,651</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20,738,426</w:t>
            </w:r>
          </w:p>
        </w:tc>
      </w:tr>
      <w:tr>
        <w:trPr>
          <w:trHeight w:val="237"/>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105,143</w:t>
            </w:r>
          </w:p>
        </w:tc>
        <w:tc>
          <w:tcPr>
            <w:tcW w:w="12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11,819,387</w:t>
            </w:r>
          </w:p>
        </w:tc>
        <w:tc>
          <w:tcPr>
            <w:tcW w:w="120" w:type="dxa"/>
            <w:vAlign w:val="bottom"/>
            <w:tcBorders>
              <w:bottom w:val="single" w:sz="8" w:color="454545"/>
            </w:tcBorders>
          </w:tcPr>
          <w:p>
            <w:pPr>
              <w:spacing w:after="0"/>
              <w:rPr>
                <w:sz w:val="20"/>
                <w:szCs w:val="20"/>
                <w:color w:val="auto"/>
              </w:rPr>
            </w:pP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136,558</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20,002,620</w:t>
            </w:r>
          </w:p>
        </w:tc>
      </w:tr>
      <w:tr>
        <w:trPr>
          <w:trHeight w:val="237"/>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25,321</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3,530,887</w:t>
            </w:r>
          </w:p>
        </w:tc>
      </w:tr>
      <w:tr>
        <w:trPr>
          <w:trHeight w:val="236"/>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21,920</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3,056,634</w:t>
            </w:r>
          </w:p>
        </w:tc>
      </w:tr>
    </w:tbl>
    <w:p>
      <w:pPr>
        <w:spacing w:after="0" w:line="90" w:lineRule="exact"/>
        <w:rPr>
          <w:sz w:val="20"/>
          <w:szCs w:val="20"/>
          <w:color w:val="auto"/>
        </w:rPr>
      </w:pPr>
    </w:p>
    <w:p>
      <w:pPr>
        <w:ind w:left="200" w:right="380" w:hanging="192"/>
        <w:spacing w:after="0" w:line="221" w:lineRule="auto"/>
        <w:tabs>
          <w:tab w:leader="none" w:pos="200" w:val="left"/>
        </w:tabs>
        <w:numPr>
          <w:ilvl w:val="0"/>
          <w:numId w:val="249"/>
        </w:numPr>
        <w:rPr>
          <w:rFonts w:ascii="Arial" w:cs="Arial" w:eastAsia="Arial" w:hAnsi="Arial"/>
          <w:sz w:val="16"/>
          <w:szCs w:val="16"/>
          <w:color w:val="auto"/>
          <w:vertAlign w:val="superscript"/>
        </w:rPr>
      </w:pPr>
      <w:r>
        <w:rPr>
          <w:rFonts w:ascii="Arial" w:cs="Arial" w:eastAsia="Arial" w:hAnsi="Arial"/>
          <w:sz w:val="13"/>
          <w:szCs w:val="13"/>
          <w:color w:val="auto"/>
        </w:rPr>
        <w:t>Values were determined by multiplying the number of shares of our common stock, to which the exercise of the options related, by the difference between the per-share fair market value of our common stock on the date of exercise and the exercise price of the options.</w:t>
      </w:r>
    </w:p>
    <w:p>
      <w:pPr>
        <w:ind w:left="200" w:hanging="192"/>
        <w:spacing w:after="0" w:line="203" w:lineRule="auto"/>
        <w:tabs>
          <w:tab w:leader="none" w:pos="200" w:val="left"/>
        </w:tabs>
        <w:numPr>
          <w:ilvl w:val="0"/>
          <w:numId w:val="250"/>
        </w:numPr>
        <w:rPr>
          <w:rFonts w:ascii="Arial" w:cs="Arial" w:eastAsia="Arial" w:hAnsi="Arial"/>
          <w:sz w:val="16"/>
          <w:szCs w:val="16"/>
          <w:color w:val="auto"/>
          <w:vertAlign w:val="superscript"/>
        </w:rPr>
      </w:pPr>
      <w:r>
        <w:rPr>
          <w:rFonts w:ascii="Arial" w:cs="Arial" w:eastAsia="Arial" w:hAnsi="Arial"/>
          <w:sz w:val="13"/>
          <w:szCs w:val="13"/>
          <w:color w:val="auto"/>
        </w:rPr>
        <w:t>Values were determined by multiplying the number of PSUs and RSUs, as applicable, that vested by the per-share fair market value of our common stock on the vesting date.</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074A75"/>
        </w:rPr>
        <w:t>V. 2021 PENSION BENEFITS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retirement benefits expected to be paid to our Named Executive Officers under the Firm’s retirement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plans are described below the table. No payments were made under these plans during 2021 to our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620" w:type="dxa"/>
            <w:vAlign w:val="bottom"/>
          </w:tcPr>
          <w:p>
            <w:pPr>
              <w:jc w:val="right"/>
              <w:ind w:right="279"/>
              <w:spacing w:after="0"/>
              <w:rPr>
                <w:sz w:val="20"/>
                <w:szCs w:val="20"/>
                <w:color w:val="auto"/>
              </w:rPr>
            </w:pPr>
            <w:r>
              <w:rPr>
                <w:rFonts w:ascii="Arial" w:cs="Arial" w:eastAsia="Arial" w:hAnsi="Arial"/>
                <w:sz w:val="16"/>
                <w:szCs w:val="16"/>
                <w:color w:val="074A75"/>
              </w:rPr>
              <w:t>Number of years of</w:t>
            </w:r>
          </w:p>
        </w:tc>
        <w:tc>
          <w:tcPr>
            <w:tcW w:w="6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074A75"/>
              </w:rPr>
              <w:t>Present value of</w:t>
            </w:r>
          </w:p>
        </w:tc>
      </w:tr>
      <w:tr>
        <w:trPr>
          <w:trHeight w:val="224"/>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3540" w:type="dxa"/>
            <w:vAlign w:val="bottom"/>
            <w:tcBorders>
              <w:bottom w:val="single" w:sz="8" w:color="454545"/>
            </w:tcBorders>
          </w:tcPr>
          <w:p>
            <w:pPr>
              <w:ind w:left="920"/>
              <w:spacing w:after="0"/>
              <w:rPr>
                <w:sz w:val="20"/>
                <w:szCs w:val="20"/>
                <w:color w:val="auto"/>
              </w:rPr>
            </w:pPr>
            <w:r>
              <w:rPr>
                <w:rFonts w:ascii="Arial" w:cs="Arial" w:eastAsia="Arial" w:hAnsi="Arial"/>
                <w:sz w:val="16"/>
                <w:szCs w:val="16"/>
                <w:color w:val="074A75"/>
              </w:rPr>
              <w:t>Plan name</w:t>
            </w:r>
          </w:p>
        </w:tc>
        <w:tc>
          <w:tcPr>
            <w:tcW w:w="262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074A75"/>
              </w:rPr>
              <w:t>credited service (#)</w:t>
            </w:r>
          </w:p>
        </w:tc>
        <w:tc>
          <w:tcPr>
            <w:tcW w:w="600" w:type="dxa"/>
            <w:vAlign w:val="bottom"/>
            <w:tcBorders>
              <w:bottom w:val="single" w:sz="8" w:color="454545"/>
            </w:tcBorders>
          </w:tcPr>
          <w:p>
            <w:pPr>
              <w:spacing w:after="0"/>
              <w:rPr>
                <w:sz w:val="19"/>
                <w:szCs w:val="19"/>
                <w:color w:val="auto"/>
              </w:rPr>
            </w:pPr>
          </w:p>
        </w:tc>
        <w:tc>
          <w:tcPr>
            <w:tcW w:w="18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074A75"/>
              </w:rPr>
              <w:t>accumulated benefit ($)</w:t>
            </w:r>
          </w:p>
        </w:tc>
      </w:tr>
      <w:tr>
        <w:trPr>
          <w:trHeight w:val="23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3540" w:type="dxa"/>
            <w:vAlign w:val="bottom"/>
          </w:tcPr>
          <w:p>
            <w:pPr>
              <w:ind w:left="920"/>
              <w:spacing w:after="0"/>
              <w:rPr>
                <w:sz w:val="20"/>
                <w:szCs w:val="20"/>
                <w:color w:val="auto"/>
              </w:rPr>
            </w:pPr>
            <w:r>
              <w:rPr>
                <w:rFonts w:ascii="Arial" w:cs="Arial" w:eastAsia="Arial" w:hAnsi="Arial"/>
                <w:sz w:val="16"/>
                <w:szCs w:val="16"/>
                <w:color w:val="auto"/>
              </w:rPr>
              <w:t>Retirement Plan</w:t>
            </w:r>
          </w:p>
        </w:tc>
        <w:tc>
          <w:tcPr>
            <w:tcW w:w="262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201,238</w:t>
            </w:r>
          </w:p>
        </w:tc>
      </w:tr>
      <w:tr>
        <w:trPr>
          <w:trHeight w:val="244"/>
        </w:trPr>
        <w:tc>
          <w:tcPr>
            <w:tcW w:w="2620" w:type="dxa"/>
            <w:vAlign w:val="bottom"/>
            <w:tcBorders>
              <w:bottom w:val="single" w:sz="8" w:color="454545"/>
            </w:tcBorders>
          </w:tcPr>
          <w:p>
            <w:pPr>
              <w:spacing w:after="0"/>
              <w:rPr>
                <w:sz w:val="21"/>
                <w:szCs w:val="21"/>
                <w:color w:val="auto"/>
              </w:rPr>
            </w:pPr>
          </w:p>
        </w:tc>
        <w:tc>
          <w:tcPr>
            <w:tcW w:w="3540" w:type="dxa"/>
            <w:vAlign w:val="bottom"/>
            <w:tcBorders>
              <w:bottom w:val="single" w:sz="8" w:color="454545"/>
            </w:tcBorders>
          </w:tcPr>
          <w:p>
            <w:pPr>
              <w:ind w:left="920"/>
              <w:spacing w:after="0"/>
              <w:rPr>
                <w:sz w:val="20"/>
                <w:szCs w:val="20"/>
                <w:color w:val="auto"/>
              </w:rPr>
            </w:pPr>
            <w:r>
              <w:rPr>
                <w:rFonts w:ascii="Arial" w:cs="Arial" w:eastAsia="Arial" w:hAnsi="Arial"/>
                <w:sz w:val="16"/>
                <w:szCs w:val="16"/>
                <w:color w:val="auto"/>
              </w:rPr>
              <w:t>Excess Retirement Plan</w:t>
            </w:r>
          </w:p>
        </w:tc>
        <w:tc>
          <w:tcPr>
            <w:tcW w:w="262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19</w:t>
            </w:r>
          </w:p>
        </w:tc>
        <w:tc>
          <w:tcPr>
            <w:tcW w:w="600" w:type="dxa"/>
            <w:vAlign w:val="bottom"/>
            <w:tcBorders>
              <w:bottom w:val="single" w:sz="8" w:color="454545"/>
            </w:tcBorders>
          </w:tcPr>
          <w:p>
            <w:pPr>
              <w:spacing w:after="0"/>
              <w:rPr>
                <w:sz w:val="21"/>
                <w:szCs w:val="21"/>
                <w:color w:val="auto"/>
              </w:rPr>
            </w:pPr>
          </w:p>
        </w:tc>
        <w:tc>
          <w:tcPr>
            <w:tcW w:w="18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479,354</w:t>
            </w:r>
          </w:p>
        </w:tc>
      </w:tr>
      <w:tr>
        <w:trPr>
          <w:trHeight w:val="239"/>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3540" w:type="dxa"/>
            <w:vAlign w:val="bottom"/>
            <w:tcBorders>
              <w:bottom w:val="single" w:sz="8" w:color="454545"/>
            </w:tcBorders>
          </w:tcPr>
          <w:p>
            <w:pPr>
              <w:ind w:left="920"/>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54545"/>
            </w:tcBorders>
          </w:tcPr>
          <w:p>
            <w:pPr>
              <w:spacing w:after="0"/>
              <w:rPr>
                <w:sz w:val="20"/>
                <w:szCs w:val="20"/>
                <w:color w:val="auto"/>
              </w:rPr>
            </w:pPr>
          </w:p>
        </w:tc>
        <w:tc>
          <w:tcPr>
            <w:tcW w:w="18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Gordon Smith</w:t>
            </w:r>
          </w:p>
        </w:tc>
        <w:tc>
          <w:tcPr>
            <w:tcW w:w="3540" w:type="dxa"/>
            <w:vAlign w:val="bottom"/>
          </w:tcPr>
          <w:p>
            <w:pPr>
              <w:ind w:left="920"/>
              <w:spacing w:after="0"/>
              <w:rPr>
                <w:sz w:val="20"/>
                <w:szCs w:val="20"/>
                <w:color w:val="auto"/>
              </w:rPr>
            </w:pPr>
            <w:r>
              <w:rPr>
                <w:rFonts w:ascii="Arial" w:cs="Arial" w:eastAsia="Arial" w:hAnsi="Arial"/>
                <w:sz w:val="16"/>
                <w:szCs w:val="16"/>
                <w:color w:val="auto"/>
              </w:rPr>
              <w:t>Retirement Plan</w:t>
            </w:r>
          </w:p>
        </w:tc>
        <w:tc>
          <w:tcPr>
            <w:tcW w:w="2620" w:type="dxa"/>
            <w:vAlign w:val="bottom"/>
          </w:tcPr>
          <w:p>
            <w:pPr>
              <w:jc w:val="right"/>
              <w:ind w:right="279"/>
              <w:spacing w:after="0"/>
              <w:rPr>
                <w:sz w:val="20"/>
                <w:szCs w:val="20"/>
                <w:color w:val="auto"/>
              </w:rPr>
            </w:pPr>
            <w:r>
              <w:rPr>
                <w:rFonts w:ascii="Arial" w:cs="Arial" w:eastAsia="Arial" w:hAnsi="Arial"/>
                <w:sz w:val="16"/>
                <w:szCs w:val="16"/>
                <w:color w:val="auto"/>
              </w:rPr>
              <w:t>12</w:t>
            </w:r>
          </w:p>
        </w:tc>
        <w:tc>
          <w:tcPr>
            <w:tcW w:w="6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66,648</w:t>
            </w:r>
          </w:p>
        </w:tc>
      </w:tr>
      <w:tr>
        <w:trPr>
          <w:trHeight w:val="244"/>
        </w:trPr>
        <w:tc>
          <w:tcPr>
            <w:tcW w:w="2620" w:type="dxa"/>
            <w:vAlign w:val="bottom"/>
            <w:tcBorders>
              <w:bottom w:val="single" w:sz="8" w:color="454545"/>
            </w:tcBorders>
          </w:tcPr>
          <w:p>
            <w:pPr>
              <w:spacing w:after="0"/>
              <w:rPr>
                <w:sz w:val="21"/>
                <w:szCs w:val="21"/>
                <w:color w:val="auto"/>
              </w:rPr>
            </w:pPr>
          </w:p>
        </w:tc>
        <w:tc>
          <w:tcPr>
            <w:tcW w:w="3540" w:type="dxa"/>
            <w:vAlign w:val="bottom"/>
            <w:tcBorders>
              <w:bottom w:val="single" w:sz="8" w:color="454545"/>
            </w:tcBorders>
          </w:tcPr>
          <w:p>
            <w:pPr>
              <w:ind w:left="920"/>
              <w:spacing w:after="0"/>
              <w:rPr>
                <w:sz w:val="20"/>
                <w:szCs w:val="20"/>
                <w:color w:val="auto"/>
              </w:rPr>
            </w:pPr>
            <w:r>
              <w:rPr>
                <w:rFonts w:ascii="Arial" w:cs="Arial" w:eastAsia="Arial" w:hAnsi="Arial"/>
                <w:sz w:val="16"/>
                <w:szCs w:val="16"/>
                <w:color w:val="auto"/>
              </w:rPr>
              <w:t>Excess Retirement Plan</w:t>
            </w:r>
          </w:p>
        </w:tc>
        <w:tc>
          <w:tcPr>
            <w:tcW w:w="262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12</w:t>
            </w:r>
          </w:p>
        </w:tc>
        <w:tc>
          <w:tcPr>
            <w:tcW w:w="600" w:type="dxa"/>
            <w:vAlign w:val="bottom"/>
            <w:tcBorders>
              <w:bottom w:val="single" w:sz="8" w:color="454545"/>
            </w:tcBorders>
          </w:tcPr>
          <w:p>
            <w:pPr>
              <w:spacing w:after="0"/>
              <w:rPr>
                <w:sz w:val="21"/>
                <w:szCs w:val="21"/>
                <w:color w:val="auto"/>
              </w:rPr>
            </w:pPr>
          </w:p>
        </w:tc>
        <w:tc>
          <w:tcPr>
            <w:tcW w:w="18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12,237</w:t>
            </w:r>
          </w:p>
        </w:tc>
      </w:tr>
      <w:tr>
        <w:trPr>
          <w:trHeight w:val="23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3540" w:type="dxa"/>
            <w:vAlign w:val="bottom"/>
          </w:tcPr>
          <w:p>
            <w:pPr>
              <w:ind w:left="920"/>
              <w:spacing w:after="0"/>
              <w:rPr>
                <w:sz w:val="20"/>
                <w:szCs w:val="20"/>
                <w:color w:val="auto"/>
              </w:rPr>
            </w:pPr>
            <w:r>
              <w:rPr>
                <w:rFonts w:ascii="Arial" w:cs="Arial" w:eastAsia="Arial" w:hAnsi="Arial"/>
                <w:sz w:val="16"/>
                <w:szCs w:val="16"/>
                <w:color w:val="auto"/>
              </w:rPr>
              <w:t>Retirement Plan</w:t>
            </w:r>
          </w:p>
        </w:tc>
        <w:tc>
          <w:tcPr>
            <w:tcW w:w="2620" w:type="dxa"/>
            <w:vAlign w:val="bottom"/>
          </w:tcPr>
          <w:p>
            <w:pPr>
              <w:jc w:val="right"/>
              <w:ind w:right="279"/>
              <w:spacing w:after="0"/>
              <w:rPr>
                <w:sz w:val="20"/>
                <w:szCs w:val="20"/>
                <w:color w:val="auto"/>
              </w:rPr>
            </w:pPr>
            <w:r>
              <w:rPr>
                <w:rFonts w:ascii="Arial" w:cs="Arial" w:eastAsia="Arial" w:hAnsi="Arial"/>
                <w:sz w:val="16"/>
                <w:szCs w:val="16"/>
                <w:color w:val="auto"/>
              </w:rPr>
              <w:t>23</w:t>
            </w:r>
          </w:p>
        </w:tc>
        <w:tc>
          <w:tcPr>
            <w:tcW w:w="6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401,756</w:t>
            </w:r>
          </w:p>
        </w:tc>
      </w:tr>
      <w:tr>
        <w:trPr>
          <w:trHeight w:val="244"/>
        </w:trPr>
        <w:tc>
          <w:tcPr>
            <w:tcW w:w="2620" w:type="dxa"/>
            <w:vAlign w:val="bottom"/>
            <w:tcBorders>
              <w:bottom w:val="single" w:sz="8" w:color="454545"/>
            </w:tcBorders>
          </w:tcPr>
          <w:p>
            <w:pPr>
              <w:spacing w:after="0"/>
              <w:rPr>
                <w:sz w:val="21"/>
                <w:szCs w:val="21"/>
                <w:color w:val="auto"/>
              </w:rPr>
            </w:pPr>
          </w:p>
        </w:tc>
        <w:tc>
          <w:tcPr>
            <w:tcW w:w="3540" w:type="dxa"/>
            <w:vAlign w:val="bottom"/>
            <w:tcBorders>
              <w:bottom w:val="single" w:sz="8" w:color="454545"/>
            </w:tcBorders>
          </w:tcPr>
          <w:p>
            <w:pPr>
              <w:ind w:left="920"/>
              <w:spacing w:after="0"/>
              <w:rPr>
                <w:sz w:val="20"/>
                <w:szCs w:val="20"/>
                <w:color w:val="auto"/>
              </w:rPr>
            </w:pPr>
            <w:r>
              <w:rPr>
                <w:rFonts w:ascii="Arial" w:cs="Arial" w:eastAsia="Arial" w:hAnsi="Arial"/>
                <w:sz w:val="16"/>
                <w:szCs w:val="16"/>
                <w:color w:val="auto"/>
              </w:rPr>
              <w:t>Excess Retirement Plan</w:t>
            </w:r>
          </w:p>
        </w:tc>
        <w:tc>
          <w:tcPr>
            <w:tcW w:w="262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23</w:t>
            </w:r>
          </w:p>
        </w:tc>
        <w:tc>
          <w:tcPr>
            <w:tcW w:w="600" w:type="dxa"/>
            <w:vAlign w:val="bottom"/>
            <w:tcBorders>
              <w:bottom w:val="single" w:sz="8" w:color="454545"/>
            </w:tcBorders>
          </w:tcPr>
          <w:p>
            <w:pPr>
              <w:spacing w:after="0"/>
              <w:rPr>
                <w:sz w:val="21"/>
                <w:szCs w:val="21"/>
                <w:color w:val="auto"/>
              </w:rPr>
            </w:pPr>
          </w:p>
        </w:tc>
        <w:tc>
          <w:tcPr>
            <w:tcW w:w="18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35,619</w:t>
            </w:r>
          </w:p>
        </w:tc>
      </w:tr>
      <w:tr>
        <w:trPr>
          <w:trHeight w:val="235"/>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3540" w:type="dxa"/>
            <w:vAlign w:val="bottom"/>
          </w:tcPr>
          <w:p>
            <w:pPr>
              <w:ind w:left="920"/>
              <w:spacing w:after="0"/>
              <w:rPr>
                <w:sz w:val="20"/>
                <w:szCs w:val="20"/>
                <w:color w:val="auto"/>
              </w:rPr>
            </w:pPr>
            <w:r>
              <w:rPr>
                <w:rFonts w:ascii="Arial" w:cs="Arial" w:eastAsia="Arial" w:hAnsi="Arial"/>
                <w:sz w:val="16"/>
                <w:szCs w:val="16"/>
                <w:color w:val="auto"/>
              </w:rPr>
              <w:t>Retirement Plan</w:t>
            </w:r>
          </w:p>
        </w:tc>
        <w:tc>
          <w:tcPr>
            <w:tcW w:w="2620" w:type="dxa"/>
            <w:vAlign w:val="bottom"/>
          </w:tcPr>
          <w:p>
            <w:pPr>
              <w:jc w:val="right"/>
              <w:ind w:right="279"/>
              <w:spacing w:after="0"/>
              <w:rPr>
                <w:sz w:val="20"/>
                <w:szCs w:val="20"/>
                <w:color w:val="auto"/>
              </w:rPr>
            </w:pPr>
            <w:r>
              <w:rPr>
                <w:rFonts w:ascii="Arial" w:cs="Arial" w:eastAsia="Arial" w:hAnsi="Arial"/>
                <w:sz w:val="16"/>
                <w:szCs w:val="16"/>
                <w:color w:val="auto"/>
              </w:rPr>
              <w:t>25</w:t>
            </w:r>
          </w:p>
        </w:tc>
        <w:tc>
          <w:tcPr>
            <w:tcW w:w="6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328,645</w:t>
            </w:r>
          </w:p>
        </w:tc>
      </w:tr>
      <w:tr>
        <w:trPr>
          <w:trHeight w:val="244"/>
        </w:trPr>
        <w:tc>
          <w:tcPr>
            <w:tcW w:w="2620" w:type="dxa"/>
            <w:vAlign w:val="bottom"/>
            <w:tcBorders>
              <w:bottom w:val="single" w:sz="8" w:color="454545"/>
            </w:tcBorders>
          </w:tcPr>
          <w:p>
            <w:pPr>
              <w:spacing w:after="0"/>
              <w:rPr>
                <w:sz w:val="21"/>
                <w:szCs w:val="21"/>
                <w:color w:val="auto"/>
              </w:rPr>
            </w:pPr>
          </w:p>
        </w:tc>
        <w:tc>
          <w:tcPr>
            <w:tcW w:w="3540" w:type="dxa"/>
            <w:vAlign w:val="bottom"/>
            <w:tcBorders>
              <w:bottom w:val="single" w:sz="8" w:color="454545"/>
            </w:tcBorders>
          </w:tcPr>
          <w:p>
            <w:pPr>
              <w:ind w:left="920"/>
              <w:spacing w:after="0"/>
              <w:rPr>
                <w:sz w:val="20"/>
                <w:szCs w:val="20"/>
                <w:color w:val="auto"/>
              </w:rPr>
            </w:pPr>
            <w:r>
              <w:rPr>
                <w:rFonts w:ascii="Arial" w:cs="Arial" w:eastAsia="Arial" w:hAnsi="Arial"/>
                <w:sz w:val="16"/>
                <w:szCs w:val="16"/>
                <w:color w:val="auto"/>
              </w:rPr>
              <w:t>Excess Retirement Plan</w:t>
            </w:r>
          </w:p>
        </w:tc>
        <w:tc>
          <w:tcPr>
            <w:tcW w:w="262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25</w:t>
            </w:r>
          </w:p>
        </w:tc>
        <w:tc>
          <w:tcPr>
            <w:tcW w:w="600" w:type="dxa"/>
            <w:vAlign w:val="bottom"/>
            <w:tcBorders>
              <w:bottom w:val="single" w:sz="8" w:color="454545"/>
            </w:tcBorders>
          </w:tcPr>
          <w:p>
            <w:pPr>
              <w:spacing w:after="0"/>
              <w:rPr>
                <w:sz w:val="21"/>
                <w:szCs w:val="21"/>
                <w:color w:val="auto"/>
              </w:rPr>
            </w:pPr>
          </w:p>
        </w:tc>
        <w:tc>
          <w:tcPr>
            <w:tcW w:w="18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675</w:t>
            </w:r>
          </w:p>
        </w:tc>
      </w:tr>
      <w:tr>
        <w:trPr>
          <w:trHeight w:val="239"/>
        </w:trPr>
        <w:tc>
          <w:tcPr>
            <w:tcW w:w="26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3540" w:type="dxa"/>
            <w:vAlign w:val="bottom"/>
            <w:tcBorders>
              <w:bottom w:val="single" w:sz="8" w:color="454545"/>
            </w:tcBorders>
          </w:tcPr>
          <w:p>
            <w:pPr>
              <w:ind w:left="920"/>
              <w:spacing w:after="0"/>
              <w:rPr>
                <w:sz w:val="20"/>
                <w:szCs w:val="20"/>
                <w:color w:val="auto"/>
              </w:rPr>
            </w:pPr>
            <w:r>
              <w:rPr>
                <w:rFonts w:ascii="Arial" w:cs="Arial" w:eastAsia="Arial" w:hAnsi="Arial"/>
                <w:sz w:val="16"/>
                <w:szCs w:val="16"/>
                <w:color w:val="auto"/>
              </w:rPr>
              <w:t>Retirement Plan</w:t>
            </w:r>
          </w:p>
        </w:tc>
        <w:tc>
          <w:tcPr>
            <w:tcW w:w="2620" w:type="dxa"/>
            <w:vAlign w:val="bottom"/>
            <w:tcBorders>
              <w:bottom w:val="single" w:sz="8" w:color="454545"/>
            </w:tcBorders>
          </w:tcPr>
          <w:p>
            <w:pPr>
              <w:jc w:val="right"/>
              <w:ind w:right="279"/>
              <w:spacing w:after="0"/>
              <w:rPr>
                <w:sz w:val="20"/>
                <w:szCs w:val="20"/>
                <w:color w:val="auto"/>
              </w:rPr>
            </w:pPr>
            <w:r>
              <w:rPr>
                <w:rFonts w:ascii="Arial" w:cs="Arial" w:eastAsia="Arial" w:hAnsi="Arial"/>
                <w:sz w:val="16"/>
                <w:szCs w:val="16"/>
                <w:color w:val="auto"/>
              </w:rPr>
              <w:t>23</w:t>
            </w:r>
          </w:p>
        </w:tc>
        <w:tc>
          <w:tcPr>
            <w:tcW w:w="600" w:type="dxa"/>
            <w:vAlign w:val="bottom"/>
            <w:tcBorders>
              <w:bottom w:val="single" w:sz="8" w:color="454545"/>
            </w:tcBorders>
          </w:tcPr>
          <w:p>
            <w:pPr>
              <w:spacing w:after="0"/>
              <w:rPr>
                <w:sz w:val="20"/>
                <w:szCs w:val="20"/>
                <w:color w:val="auto"/>
              </w:rPr>
            </w:pPr>
          </w:p>
        </w:tc>
        <w:tc>
          <w:tcPr>
            <w:tcW w:w="18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269,815</w:t>
            </w:r>
          </w:p>
        </w:tc>
      </w:tr>
    </w:tbl>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Retirement Plan — </w:t>
      </w:r>
      <w:r>
        <w:rPr>
          <w:rFonts w:ascii="Arial" w:cs="Arial" w:eastAsia="Arial" w:hAnsi="Arial"/>
          <w:sz w:val="18"/>
          <w:szCs w:val="18"/>
          <w:color w:val="auto"/>
        </w:rPr>
        <w:t>The JPMorgan Chase Retirement Plan is a qualified noncontributory U.S. defined benefit pension plan that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to most U.S. employees. The Plan was frozen with respect to pay credit contributions, effective January 1, 2020, and frozen with respect to new entrants into the Plan, effective January 1, 2019. Employees became fully vested in the value of their Plan benefits as a result of this change. The years of service listed above are as of the freeze date. The Plan employed a cash balance formula (in the form of pay and interest credits) to determine amounts at retirement. Pay credits ceased effective with the plan freeze. Interest credits, which generally equal the yield on one-year U.S. Treasury bills plus 1% (subject to a minimum of 4.5%), continue to accrue.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 xml:space="preserve">Excess Retirement Plan — </w:t>
      </w:r>
      <w:r>
        <w:rPr>
          <w:rFonts w:ascii="Arial" w:cs="Arial" w:eastAsia="Arial" w:hAnsi="Arial"/>
          <w:sz w:val="18"/>
          <w:szCs w:val="18"/>
          <w:color w:val="auto"/>
        </w:rPr>
        <w:t>Benefits were determined under the same terms and conditions as the Retirement Plan, but reflecting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in excess of IRS limits up to $ 1 million and benefit amounts in excess of IRS limits. Benefits are generally payable in a lump sum in the year following termination. The plan is closed to new participants and accruals under the plan were discontinued as of May 1, 2009.</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Present value of accumulated benefits — </w:t>
      </w:r>
      <w:r>
        <w:rPr>
          <w:rFonts w:ascii="Arial" w:cs="Arial" w:eastAsia="Arial" w:hAnsi="Arial"/>
          <w:sz w:val="18"/>
          <w:szCs w:val="18"/>
          <w:color w:val="auto"/>
        </w:rPr>
        <w:t>The valuation method and all material assumptions used to calculate the amounts above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those reflected in Note 8 to the Firm’s Consolidated Financial Statements in the 2021 Form 10-K on pages 215-217. Key assumptions include the discount rate (2.85%); interest rates (4.75% crediting to project cash balances; 2.00% to convert annuities to lump sums and lump sums to annuities) and mortality rates (for the present value of annuities, the Pri-2012 (white-collar) projected generational mortality table with projection scale MP2021; for lump sums, the UP94 mortality table projected to 2002, with 50%/50% male/female weighting). We assumed benefits would commence at normal retirement date or unreduced retirement date, if earlier. Benefits paid from the Retirement Plan were assumed to be paid either as single-sum distributions (with probability of 85%) or life annuities (with probability of 15%). Benefits from the Excess Retirement Plan are paid as single-sum distributions. No death or other separation from service was assumed prior to retirement date.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074A75"/>
        </w:rPr>
        <w:t>VI. 2021 NON-QUALIFIED DEFERRED COMPENSATION</w:t>
      </w:r>
    </w:p>
    <w:p>
      <w:pPr>
        <w:spacing w:after="0" w:line="1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Deferred Compensation Plan allows eligible participants to defer their annual cash incentive compensation awards on a before-tax basis up to a maximum of $1 million. A lifetime $10 million cap applies to deferrals of cash made after 2005. No deferral elections have been permitted relative to equity awards since 2006. During 2021, there were no contributions made by the Firm nor contributions made or withdrawals or distributions received by the Named Executive Officers.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4780" w:type="dxa"/>
            <w:vAlign w:val="bottom"/>
            <w:gridSpan w:val="2"/>
          </w:tcPr>
          <w:p>
            <w:pPr>
              <w:jc w:val="center"/>
              <w:ind w:left="2739"/>
              <w:spacing w:after="0"/>
              <w:rPr>
                <w:sz w:val="20"/>
                <w:szCs w:val="20"/>
                <w:color w:val="auto"/>
              </w:rPr>
            </w:pPr>
            <w:r>
              <w:rPr>
                <w:rFonts w:ascii="Arial" w:cs="Arial" w:eastAsia="Arial" w:hAnsi="Arial"/>
                <w:sz w:val="16"/>
                <w:szCs w:val="16"/>
                <w:color w:val="205A85"/>
              </w:rPr>
              <w:t>Aggregate earnings</w:t>
            </w:r>
          </w:p>
        </w:tc>
        <w:tc>
          <w:tcPr>
            <w:tcW w:w="1660" w:type="dxa"/>
            <w:vAlign w:val="bottom"/>
          </w:tcPr>
          <w:p>
            <w:pPr>
              <w:jc w:val="center"/>
              <w:spacing w:after="0"/>
              <w:rPr>
                <w:sz w:val="20"/>
                <w:szCs w:val="20"/>
                <w:color w:val="auto"/>
              </w:rPr>
            </w:pPr>
            <w:r>
              <w:rPr>
                <w:rFonts w:ascii="Arial" w:cs="Arial" w:eastAsia="Arial" w:hAnsi="Arial"/>
                <w:sz w:val="16"/>
                <w:szCs w:val="16"/>
                <w:color w:val="205A85"/>
              </w:rPr>
              <w:t>Aggregate</w:t>
            </w:r>
          </w:p>
        </w:tc>
      </w:tr>
      <w:tr>
        <w:trPr>
          <w:trHeight w:val="189"/>
        </w:trPr>
        <w:tc>
          <w:tcPr>
            <w:tcW w:w="4800" w:type="dxa"/>
            <w:vAlign w:val="bottom"/>
          </w:tcPr>
          <w:p>
            <w:pPr>
              <w:spacing w:after="0"/>
              <w:rPr>
                <w:sz w:val="16"/>
                <w:szCs w:val="16"/>
                <w:color w:val="auto"/>
              </w:rPr>
            </w:pPr>
          </w:p>
        </w:tc>
        <w:tc>
          <w:tcPr>
            <w:tcW w:w="4340" w:type="dxa"/>
            <w:vAlign w:val="bottom"/>
          </w:tcPr>
          <w:p>
            <w:pPr>
              <w:jc w:val="center"/>
              <w:ind w:left="3179"/>
              <w:spacing w:after="0"/>
              <w:rPr>
                <w:sz w:val="20"/>
                <w:szCs w:val="20"/>
                <w:color w:val="auto"/>
              </w:rPr>
            </w:pPr>
            <w:r>
              <w:rPr>
                <w:rFonts w:ascii="Arial" w:cs="Arial" w:eastAsia="Arial" w:hAnsi="Arial"/>
                <w:sz w:val="16"/>
                <w:szCs w:val="16"/>
                <w:color w:val="205A85"/>
              </w:rPr>
              <w:t>(loss) in last</w:t>
            </w:r>
          </w:p>
        </w:tc>
        <w:tc>
          <w:tcPr>
            <w:tcW w:w="44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205A85"/>
              </w:rPr>
              <w:t>balance at last</w:t>
            </w:r>
          </w:p>
        </w:tc>
      </w:tr>
      <w:tr>
        <w:trPr>
          <w:trHeight w:val="230"/>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4340" w:type="dxa"/>
            <w:vAlign w:val="bottom"/>
            <w:tcBorders>
              <w:bottom w:val="single" w:sz="8" w:color="454545"/>
            </w:tcBorders>
          </w:tcPr>
          <w:p>
            <w:pPr>
              <w:jc w:val="center"/>
              <w:ind w:left="3179"/>
              <w:spacing w:after="0" w:line="230" w:lineRule="exact"/>
              <w:rPr>
                <w:sz w:val="20"/>
                <w:szCs w:val="20"/>
                <w:color w:val="auto"/>
              </w:rPr>
            </w:pPr>
            <w:r>
              <w:rPr>
                <w:rFonts w:ascii="Arial" w:cs="Arial" w:eastAsia="Arial" w:hAnsi="Arial"/>
                <w:sz w:val="16"/>
                <w:szCs w:val="16"/>
                <w:color w:val="205A85"/>
              </w:rPr>
              <w:t>fiscal year ($)</w:t>
            </w:r>
            <w:r>
              <w:rPr>
                <w:rFonts w:ascii="Arial" w:cs="Arial" w:eastAsia="Arial" w:hAnsi="Arial"/>
                <w:sz w:val="21"/>
                <w:szCs w:val="21"/>
                <w:color w:val="205A85"/>
                <w:vertAlign w:val="superscript"/>
              </w:rPr>
              <w:t>1</w:t>
            </w:r>
          </w:p>
        </w:tc>
        <w:tc>
          <w:tcPr>
            <w:tcW w:w="440" w:type="dxa"/>
            <w:vAlign w:val="bottom"/>
            <w:tcBorders>
              <w:bottom w:val="single" w:sz="8" w:color="454545"/>
            </w:tcBorders>
          </w:tcPr>
          <w:p>
            <w:pPr>
              <w:spacing w:after="0"/>
              <w:rPr>
                <w:sz w:val="20"/>
                <w:szCs w:val="20"/>
                <w:color w:val="auto"/>
              </w:rPr>
            </w:pPr>
          </w:p>
        </w:tc>
        <w:tc>
          <w:tcPr>
            <w:tcW w:w="166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fiscal year–end ($)</w:t>
            </w:r>
          </w:p>
        </w:tc>
      </w:tr>
      <w:tr>
        <w:trPr>
          <w:trHeight w:val="233"/>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4340" w:type="dxa"/>
            <w:vAlign w:val="bottom"/>
            <w:tcBorders>
              <w:bottom w:val="single" w:sz="8" w:color="454545"/>
            </w:tcBorders>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209</w:t>
            </w:r>
          </w:p>
        </w:tc>
        <w:tc>
          <w:tcPr>
            <w:tcW w:w="16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151,258</w:t>
            </w:r>
          </w:p>
        </w:tc>
      </w:tr>
      <w:tr>
        <w:trPr>
          <w:trHeight w:val="23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4340" w:type="dxa"/>
            <w:vAlign w:val="bottom"/>
            <w:tcBorders>
              <w:bottom w:val="single" w:sz="8" w:color="454545"/>
            </w:tcBorders>
          </w:tcPr>
          <w:p>
            <w:pPr>
              <w:spacing w:after="0"/>
              <w:rPr>
                <w:sz w:val="20"/>
                <w:szCs w:val="20"/>
                <w:color w:val="auto"/>
              </w:rPr>
            </w:pPr>
          </w:p>
        </w:tc>
        <w:tc>
          <w:tcPr>
            <w:tcW w:w="44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721</w:t>
            </w:r>
          </w:p>
        </w:tc>
        <w:tc>
          <w:tcPr>
            <w:tcW w:w="16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24,885</w:t>
            </w:r>
          </w:p>
        </w:tc>
      </w:tr>
      <w:tr>
        <w:trPr>
          <w:trHeight w:val="23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Gordon Smith</w:t>
            </w:r>
          </w:p>
        </w:tc>
        <w:tc>
          <w:tcPr>
            <w:tcW w:w="4340" w:type="dxa"/>
            <w:vAlign w:val="bottom"/>
            <w:tcBorders>
              <w:bottom w:val="single" w:sz="8" w:color="454545"/>
            </w:tcBorders>
          </w:tcPr>
          <w:p>
            <w:pPr>
              <w:spacing w:after="0"/>
              <w:rPr>
                <w:sz w:val="20"/>
                <w:szCs w:val="20"/>
                <w:color w:val="auto"/>
              </w:rPr>
            </w:pPr>
          </w:p>
        </w:tc>
        <w:tc>
          <w:tcPr>
            <w:tcW w:w="44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4340" w:type="dxa"/>
            <w:vAlign w:val="bottom"/>
            <w:tcBorders>
              <w:bottom w:val="single" w:sz="8" w:color="454545"/>
            </w:tcBorders>
          </w:tcPr>
          <w:p>
            <w:pPr>
              <w:spacing w:after="0"/>
              <w:rPr>
                <w:sz w:val="20"/>
                <w:szCs w:val="20"/>
                <w:color w:val="auto"/>
              </w:rPr>
            </w:pPr>
          </w:p>
        </w:tc>
        <w:tc>
          <w:tcPr>
            <w:tcW w:w="44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4340" w:type="dxa"/>
            <w:vAlign w:val="bottom"/>
            <w:tcBorders>
              <w:bottom w:val="single" w:sz="8" w:color="454545"/>
            </w:tcBorders>
          </w:tcPr>
          <w:p>
            <w:pPr>
              <w:spacing w:after="0"/>
              <w:rPr>
                <w:sz w:val="20"/>
                <w:szCs w:val="20"/>
                <w:color w:val="auto"/>
              </w:rPr>
            </w:pPr>
          </w:p>
        </w:tc>
        <w:tc>
          <w:tcPr>
            <w:tcW w:w="44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15</w:t>
            </w:r>
          </w:p>
        </w:tc>
        <w:tc>
          <w:tcPr>
            <w:tcW w:w="16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510</w:t>
            </w:r>
          </w:p>
        </w:tc>
      </w:tr>
      <w:tr>
        <w:trPr>
          <w:trHeight w:val="23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4340" w:type="dxa"/>
            <w:vAlign w:val="bottom"/>
            <w:tcBorders>
              <w:bottom w:val="single" w:sz="8" w:color="454545"/>
            </w:tcBorders>
          </w:tcPr>
          <w:p>
            <w:pPr>
              <w:spacing w:after="0"/>
              <w:rPr>
                <w:sz w:val="20"/>
                <w:szCs w:val="20"/>
                <w:color w:val="auto"/>
              </w:rPr>
            </w:pPr>
          </w:p>
        </w:tc>
        <w:tc>
          <w:tcPr>
            <w:tcW w:w="44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bl>
    <w:p>
      <w:pPr>
        <w:spacing w:after="0" w:line="90" w:lineRule="exact"/>
        <w:rPr>
          <w:sz w:val="20"/>
          <w:szCs w:val="20"/>
          <w:color w:val="auto"/>
        </w:rPr>
      </w:pPr>
    </w:p>
    <w:p>
      <w:pPr>
        <w:ind w:left="200" w:right="80" w:hanging="192"/>
        <w:spacing w:after="0" w:line="247" w:lineRule="auto"/>
        <w:tabs>
          <w:tab w:leader="none" w:pos="200" w:val="left"/>
        </w:tabs>
        <w:numPr>
          <w:ilvl w:val="0"/>
          <w:numId w:val="251"/>
        </w:numPr>
        <w:rPr>
          <w:rFonts w:ascii="Arial" w:cs="Arial" w:eastAsia="Arial" w:hAnsi="Arial"/>
          <w:sz w:val="15"/>
          <w:szCs w:val="15"/>
          <w:color w:val="auto"/>
          <w:vertAlign w:val="superscript"/>
        </w:rPr>
      </w:pPr>
      <w:r>
        <w:rPr>
          <w:rFonts w:ascii="Arial" w:cs="Arial" w:eastAsia="Arial" w:hAnsi="Arial"/>
          <w:sz w:val="12"/>
          <w:szCs w:val="12"/>
          <w:color w:val="auto"/>
        </w:rPr>
        <w:t>The Deferred Compensation Plan allows participants to direct their deferrals among several investment choices, including JPMorgan Chase common stock; an interest income fund based 50% on a weighted average of returns by Hartford Investment Management Company SVA Bond Index Division and 50% by Newport Group designated set of general account life insurance policies owned by JPMorgan Chase; Hartford funds indexed to fixed income, bond, balanced, S&amp;P 500, Russell 2000 and international portfolios; and Hartford investments in Vanguard Variable Insurance Fund high-yield bond, mid-cap and REIT index. In addition, there are balances in deemed investment choices from heritage company plans that are no longer open to new deferrals.</w:t>
      </w:r>
    </w:p>
    <w:p>
      <w:pPr>
        <w:spacing w:after="0" w:line="2" w:lineRule="exact"/>
        <w:rPr>
          <w:rFonts w:ascii="Arial" w:cs="Arial" w:eastAsia="Arial" w:hAnsi="Arial"/>
          <w:sz w:val="15"/>
          <w:szCs w:val="15"/>
          <w:color w:val="auto"/>
          <w:vertAlign w:val="superscript"/>
        </w:rPr>
      </w:pPr>
    </w:p>
    <w:p>
      <w:pPr>
        <w:ind w:left="200"/>
        <w:spacing w:after="0"/>
        <w:rPr>
          <w:rFonts w:ascii="Arial" w:cs="Arial" w:eastAsia="Arial" w:hAnsi="Arial"/>
          <w:sz w:val="15"/>
          <w:szCs w:val="15"/>
          <w:color w:val="auto"/>
          <w:vertAlign w:val="superscript"/>
        </w:rPr>
      </w:pPr>
      <w:r>
        <w:rPr>
          <w:rFonts w:ascii="Arial" w:cs="Arial" w:eastAsia="Arial" w:hAnsi="Arial"/>
          <w:sz w:val="12"/>
          <w:szCs w:val="12"/>
          <w:color w:val="auto"/>
        </w:rPr>
        <w:t>Investment returns in 2021 for the following investment choices were: Short-Term Fixed Income, 0.21%; Interest Income, 2.98%; Barclays Capital U.S. Aggregate Bond Index, (1.82)%; High-Yield,</w:t>
      </w:r>
    </w:p>
    <w:p>
      <w:pPr>
        <w:spacing w:after="0" w:line="10" w:lineRule="exact"/>
        <w:rPr>
          <w:rFonts w:ascii="Arial" w:cs="Arial" w:eastAsia="Arial" w:hAnsi="Arial"/>
          <w:sz w:val="15"/>
          <w:szCs w:val="15"/>
          <w:color w:val="auto"/>
          <w:vertAlign w:val="superscript"/>
        </w:rPr>
      </w:pPr>
    </w:p>
    <w:p>
      <w:pPr>
        <w:ind w:left="200" w:right="20"/>
        <w:spacing w:after="0" w:line="238" w:lineRule="auto"/>
        <w:rPr>
          <w:rFonts w:ascii="Arial" w:cs="Arial" w:eastAsia="Arial" w:hAnsi="Arial"/>
          <w:sz w:val="15"/>
          <w:szCs w:val="15"/>
          <w:color w:val="auto"/>
          <w:vertAlign w:val="superscript"/>
        </w:rPr>
      </w:pPr>
      <w:r>
        <w:rPr>
          <w:rFonts w:ascii="Arial" w:cs="Arial" w:eastAsia="Arial" w:hAnsi="Arial"/>
          <w:sz w:val="13"/>
          <w:szCs w:val="13"/>
          <w:color w:val="auto"/>
        </w:rPr>
        <w:t>3.68%; Balanced Portfolio, 12.63%; S&amp;P 500 Index, 28.66%; Mid-Cap Index, 24.36%; Russell 2000 Index, 14.69%; REIT Index, 40.21%; International, (1.54)%; and JPMorgan Chase common stock, including dividend equivalents, 27.73)%.</w:t>
      </w:r>
    </w:p>
    <w:p>
      <w:pPr>
        <w:ind w:left="200" w:right="40"/>
        <w:spacing w:after="0" w:line="238" w:lineRule="auto"/>
        <w:rPr>
          <w:rFonts w:ascii="Arial" w:cs="Arial" w:eastAsia="Arial" w:hAnsi="Arial"/>
          <w:sz w:val="15"/>
          <w:szCs w:val="15"/>
          <w:color w:val="auto"/>
          <w:vertAlign w:val="superscript"/>
        </w:rPr>
      </w:pPr>
      <w:r>
        <w:rPr>
          <w:rFonts w:ascii="Arial" w:cs="Arial" w:eastAsia="Arial" w:hAnsi="Arial"/>
          <w:sz w:val="13"/>
          <w:szCs w:val="13"/>
          <w:color w:val="auto"/>
        </w:rPr>
        <w:t>Beginning with deferrals credited January 2005 under the Deferred Compensation Plan, participants were required to elect to receive distribution of the deferral balance beginning either following retirement or termination or in a specific year but no earlier than the second anniversary of the date the deferral would otherwise have been paid. If retirement or termination were elected, payments will commence during the calendar year following retirement or termination. Participants may elect the distribution to be lump sum or annual installments for a maximum of 15 years. With respect to deferrals made after December 31, 2004, under the Deferred Compensation Plan, account balances are automatically paid as a lump sum in the year following termination if employment terminates prior to the participant attaining 15 years of service. With respect to deferrals made after December 31, 2017, account balances are automatically paid as a lump sum in the year following termination if employment terminates prior to the participant attaining 5 years of service.</w:t>
      </w:r>
    </w:p>
    <w:p>
      <w:pPr>
        <w:spacing w:after="0" w:line="1" w:lineRule="exact"/>
        <w:rPr>
          <w:rFonts w:ascii="Arial" w:cs="Arial" w:eastAsia="Arial" w:hAnsi="Arial"/>
          <w:sz w:val="15"/>
          <w:szCs w:val="15"/>
          <w:color w:val="auto"/>
          <w:vertAlign w:val="superscript"/>
        </w:rPr>
      </w:pPr>
    </w:p>
    <w:p>
      <w:pPr>
        <w:ind w:left="200" w:right="220"/>
        <w:spacing w:after="0" w:line="242" w:lineRule="auto"/>
        <w:rPr>
          <w:rFonts w:ascii="Arial" w:cs="Arial" w:eastAsia="Arial" w:hAnsi="Arial"/>
          <w:sz w:val="15"/>
          <w:szCs w:val="15"/>
          <w:color w:val="auto"/>
          <w:vertAlign w:val="superscript"/>
        </w:rPr>
      </w:pPr>
      <w:r>
        <w:rPr>
          <w:rFonts w:ascii="Arial" w:cs="Arial" w:eastAsia="Arial" w:hAnsi="Arial"/>
          <w:sz w:val="13"/>
          <w:szCs w:val="13"/>
          <w:color w:val="auto"/>
        </w:rPr>
        <w:t>The Supplemental Savings and Investment Plan (“SSIP”) is a heritage plan applicable to former Bank One employees which is closed to new participants and does not permit new deferrals. It functions similarly to the Deferred Compensation Plan. The investment return in 2021 for the following investment choice was: Short-Term Fixed Income, 0.14%. With respect to the SSIP, account balances are automatically paid as a lump sum in the year following termination unless an installment option is elected prior to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196850</wp:posOffset>
            </wp:positionV>
            <wp:extent cx="27432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79  </w:t>
      </w:r>
      <w:r>
        <w:rPr>
          <w:sz w:val="1"/>
          <w:szCs w:val="1"/>
          <w:color w:val="auto"/>
        </w:rPr>
        <w:drawing>
          <wp:inline distT="0" distB="0" distL="0" distR="0">
            <wp:extent cx="2203450" cy="154305"/>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VII. 2021 POTENTIAL PAYMENTS UPON TERMINATION OR CHANGE IN CONTROL</w:t>
      </w:r>
    </w:p>
    <w:p>
      <w:pPr>
        <w:spacing w:after="0" w:line="11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believe our pay practices relating to termination events, summarized below, illustrate our commitment to sound corporate governance, are consistent with best practices and are aligned with the interests of shareholders.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POLICIES ALIGNED WITH SHAREHOLDER INTERESTS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360" w:type="dxa"/>
            <w:vAlign w:val="bottom"/>
            <w:shd w:val="clear" w:color="auto" w:fill="EEEFEF"/>
          </w:tcPr>
          <w:p>
            <w:pPr>
              <w:ind w:left="20"/>
              <w:spacing w:after="0"/>
              <w:rPr>
                <w:sz w:val="20"/>
                <w:szCs w:val="20"/>
                <w:color w:val="auto"/>
              </w:rPr>
            </w:pPr>
            <w:r>
              <w:rPr>
                <w:rFonts w:ascii="Arial" w:cs="Arial" w:eastAsia="Arial" w:hAnsi="Arial"/>
                <w:sz w:val="18"/>
                <w:szCs w:val="18"/>
                <w:color w:val="auto"/>
              </w:rPr>
              <w:t>No golden parachute agreements</w:t>
            </w:r>
          </w:p>
        </w:tc>
        <w:tc>
          <w:tcPr>
            <w:tcW w:w="7880" w:type="dxa"/>
            <w:vAlign w:val="bottom"/>
            <w:shd w:val="clear" w:color="auto" w:fill="EEEFEF"/>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NEOs are not entitled to any accelerated cash/equity payments or special benefits upon a</w:t>
            </w:r>
          </w:p>
        </w:tc>
      </w:tr>
      <w:tr>
        <w:trPr>
          <w:trHeight w:val="239"/>
        </w:trPr>
        <w:tc>
          <w:tcPr>
            <w:tcW w:w="3360" w:type="dxa"/>
            <w:vAlign w:val="bottom"/>
            <w:shd w:val="clear" w:color="auto" w:fill="EEEFEF"/>
          </w:tcPr>
          <w:p>
            <w:pPr>
              <w:spacing w:after="0"/>
              <w:rPr>
                <w:sz w:val="20"/>
                <w:szCs w:val="20"/>
                <w:color w:val="auto"/>
              </w:rPr>
            </w:pPr>
          </w:p>
        </w:tc>
        <w:tc>
          <w:tcPr>
            <w:tcW w:w="7880" w:type="dxa"/>
            <w:vAlign w:val="bottom"/>
            <w:shd w:val="clear" w:color="auto" w:fill="EEEFEF"/>
          </w:tcPr>
          <w:p>
            <w:pPr>
              <w:ind w:left="220"/>
              <w:spacing w:after="0"/>
              <w:rPr>
                <w:sz w:val="20"/>
                <w:szCs w:val="20"/>
                <w:color w:val="auto"/>
              </w:rPr>
            </w:pPr>
            <w:r>
              <w:rPr>
                <w:rFonts w:ascii="Arial" w:cs="Arial" w:eastAsia="Arial" w:hAnsi="Arial"/>
                <w:sz w:val="18"/>
                <w:szCs w:val="18"/>
                <w:color w:val="auto"/>
              </w:rPr>
              <w:t>change in control</w:t>
            </w:r>
          </w:p>
        </w:tc>
      </w:tr>
      <w:tr>
        <w:trPr>
          <w:trHeight w:val="77"/>
        </w:trPr>
        <w:tc>
          <w:tcPr>
            <w:tcW w:w="3360" w:type="dxa"/>
            <w:vAlign w:val="bottom"/>
            <w:shd w:val="clear" w:color="auto" w:fill="EEEFEF"/>
          </w:tcPr>
          <w:p>
            <w:pPr>
              <w:spacing w:after="0"/>
              <w:rPr>
                <w:sz w:val="6"/>
                <w:szCs w:val="6"/>
                <w:color w:val="auto"/>
              </w:rPr>
            </w:pPr>
          </w:p>
        </w:tc>
        <w:tc>
          <w:tcPr>
            <w:tcW w:w="7880" w:type="dxa"/>
            <w:vAlign w:val="bottom"/>
            <w:shd w:val="clear" w:color="auto" w:fill="EEEFEF"/>
          </w:tcPr>
          <w:p>
            <w:pPr>
              <w:spacing w:after="0"/>
              <w:rPr>
                <w:sz w:val="6"/>
                <w:szCs w:val="6"/>
                <w:color w:val="auto"/>
              </w:rPr>
            </w:pPr>
          </w:p>
        </w:tc>
      </w:tr>
      <w:tr>
        <w:trPr>
          <w:trHeight w:val="292"/>
        </w:trPr>
        <w:tc>
          <w:tcPr>
            <w:tcW w:w="3360" w:type="dxa"/>
            <w:vAlign w:val="bottom"/>
          </w:tcPr>
          <w:p>
            <w:pPr>
              <w:ind w:left="20"/>
              <w:spacing w:after="0"/>
              <w:rPr>
                <w:sz w:val="20"/>
                <w:szCs w:val="20"/>
                <w:color w:val="auto"/>
              </w:rPr>
            </w:pPr>
            <w:r>
              <w:rPr>
                <w:rFonts w:ascii="Arial" w:cs="Arial" w:eastAsia="Arial" w:hAnsi="Arial"/>
                <w:sz w:val="18"/>
                <w:szCs w:val="18"/>
                <w:color w:val="auto"/>
              </w:rPr>
              <w:t>No employment agreements</w:t>
            </w: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All of the U.S. based NEOs are “at will” employees and are not covered by employment</w:t>
            </w:r>
          </w:p>
        </w:tc>
      </w:tr>
      <w:tr>
        <w:trPr>
          <w:trHeight w:val="239"/>
        </w:trPr>
        <w:tc>
          <w:tcPr>
            <w:tcW w:w="3360" w:type="dxa"/>
            <w:vAlign w:val="bottom"/>
          </w:tcPr>
          <w:p>
            <w:pPr>
              <w:spacing w:after="0"/>
              <w:rPr>
                <w:sz w:val="20"/>
                <w:szCs w:val="20"/>
                <w:color w:val="auto"/>
              </w:rPr>
            </w:pPr>
          </w:p>
        </w:tc>
        <w:tc>
          <w:tcPr>
            <w:tcW w:w="7880" w:type="dxa"/>
            <w:vAlign w:val="bottom"/>
          </w:tcPr>
          <w:p>
            <w:pPr>
              <w:ind w:left="220"/>
              <w:spacing w:after="0"/>
              <w:rPr>
                <w:sz w:val="20"/>
                <w:szCs w:val="20"/>
                <w:color w:val="auto"/>
              </w:rPr>
            </w:pPr>
            <w:r>
              <w:rPr>
                <w:rFonts w:ascii="Arial" w:cs="Arial" w:eastAsia="Arial" w:hAnsi="Arial"/>
                <w:sz w:val="18"/>
                <w:szCs w:val="18"/>
                <w:color w:val="auto"/>
              </w:rPr>
              <w:t>agreements</w:t>
            </w:r>
          </w:p>
        </w:tc>
      </w:tr>
      <w:tr>
        <w:trPr>
          <w:trHeight w:val="243"/>
        </w:trPr>
        <w:tc>
          <w:tcPr>
            <w:tcW w:w="3360" w:type="dxa"/>
            <w:vAlign w:val="bottom"/>
          </w:tcPr>
          <w:p>
            <w:pPr>
              <w:spacing w:after="0"/>
              <w:rPr>
                <w:sz w:val="21"/>
                <w:szCs w:val="21"/>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Mr. Pinto's terms of employment reflect applicable U.K. legal standards</w:t>
            </w:r>
          </w:p>
        </w:tc>
      </w:tr>
      <w:tr>
        <w:trPr>
          <w:trHeight w:val="90"/>
        </w:trPr>
        <w:tc>
          <w:tcPr>
            <w:tcW w:w="3360" w:type="dxa"/>
            <w:vAlign w:val="bottom"/>
          </w:tcPr>
          <w:p>
            <w:pPr>
              <w:spacing w:after="0"/>
              <w:rPr>
                <w:sz w:val="7"/>
                <w:szCs w:val="7"/>
                <w:color w:val="auto"/>
              </w:rPr>
            </w:pPr>
          </w:p>
        </w:tc>
        <w:tc>
          <w:tcPr>
            <w:tcW w:w="7880" w:type="dxa"/>
            <w:vAlign w:val="bottom"/>
          </w:tcPr>
          <w:p>
            <w:pPr>
              <w:spacing w:after="0"/>
              <w:rPr>
                <w:sz w:val="7"/>
                <w:szCs w:val="7"/>
                <w:color w:val="auto"/>
              </w:rPr>
            </w:pPr>
          </w:p>
        </w:tc>
      </w:tr>
      <w:tr>
        <w:trPr>
          <w:trHeight w:val="278"/>
        </w:trPr>
        <w:tc>
          <w:tcPr>
            <w:tcW w:w="3360" w:type="dxa"/>
            <w:vAlign w:val="bottom"/>
            <w:shd w:val="clear" w:color="auto" w:fill="EEEFEF"/>
          </w:tcPr>
          <w:p>
            <w:pPr>
              <w:ind w:left="20"/>
              <w:spacing w:after="0"/>
              <w:rPr>
                <w:sz w:val="20"/>
                <w:szCs w:val="20"/>
                <w:color w:val="auto"/>
              </w:rPr>
            </w:pPr>
            <w:r>
              <w:rPr>
                <w:rFonts w:ascii="Arial" w:cs="Arial" w:eastAsia="Arial" w:hAnsi="Arial"/>
                <w:sz w:val="18"/>
                <w:szCs w:val="18"/>
                <w:color w:val="auto"/>
              </w:rPr>
              <w:t>No special cash severance</w:t>
            </w:r>
          </w:p>
        </w:tc>
        <w:tc>
          <w:tcPr>
            <w:tcW w:w="7880" w:type="dxa"/>
            <w:vAlign w:val="bottom"/>
            <w:shd w:val="clear" w:color="auto" w:fill="EEEFEF"/>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Severance amounts for NEOs are capped at one-year salary, not to exceed $400,000 (or</w:t>
            </w:r>
          </w:p>
        </w:tc>
      </w:tr>
      <w:tr>
        <w:trPr>
          <w:trHeight w:val="239"/>
        </w:trPr>
        <w:tc>
          <w:tcPr>
            <w:tcW w:w="3360" w:type="dxa"/>
            <w:vAlign w:val="bottom"/>
            <w:shd w:val="clear" w:color="auto" w:fill="EEEFEF"/>
          </w:tcPr>
          <w:p>
            <w:pPr>
              <w:spacing w:after="0"/>
              <w:rPr>
                <w:sz w:val="20"/>
                <w:szCs w:val="20"/>
                <w:color w:val="auto"/>
              </w:rPr>
            </w:pPr>
          </w:p>
        </w:tc>
        <w:tc>
          <w:tcPr>
            <w:tcW w:w="7880" w:type="dxa"/>
            <w:vAlign w:val="bottom"/>
            <w:shd w:val="clear" w:color="auto" w:fill="EEEFEF"/>
          </w:tcPr>
          <w:p>
            <w:pPr>
              <w:ind w:left="220"/>
              <w:spacing w:after="0"/>
              <w:rPr>
                <w:sz w:val="20"/>
                <w:szCs w:val="20"/>
                <w:color w:val="auto"/>
              </w:rPr>
            </w:pPr>
            <w:r>
              <w:rPr>
                <w:rFonts w:ascii="Arial" w:cs="Arial" w:eastAsia="Arial" w:hAnsi="Arial"/>
                <w:sz w:val="18"/>
                <w:szCs w:val="18"/>
                <w:color w:val="auto"/>
              </w:rPr>
              <w:t>£275,000 in the case of Mr. Pinto)</w:t>
            </w:r>
          </w:p>
        </w:tc>
      </w:tr>
      <w:tr>
        <w:trPr>
          <w:trHeight w:val="77"/>
        </w:trPr>
        <w:tc>
          <w:tcPr>
            <w:tcW w:w="3360" w:type="dxa"/>
            <w:vAlign w:val="bottom"/>
            <w:shd w:val="clear" w:color="auto" w:fill="EEEFEF"/>
          </w:tcPr>
          <w:p>
            <w:pPr>
              <w:spacing w:after="0"/>
              <w:rPr>
                <w:sz w:val="6"/>
                <w:szCs w:val="6"/>
                <w:color w:val="auto"/>
              </w:rPr>
            </w:pPr>
          </w:p>
        </w:tc>
        <w:tc>
          <w:tcPr>
            <w:tcW w:w="7880" w:type="dxa"/>
            <w:vAlign w:val="bottom"/>
            <w:shd w:val="clear" w:color="auto" w:fill="EEEFEF"/>
          </w:tcPr>
          <w:p>
            <w:pPr>
              <w:spacing w:after="0"/>
              <w:rPr>
                <w:sz w:val="6"/>
                <w:szCs w:val="6"/>
                <w:color w:val="auto"/>
              </w:rPr>
            </w:pPr>
          </w:p>
        </w:tc>
      </w:tr>
      <w:tr>
        <w:trPr>
          <w:trHeight w:val="301"/>
        </w:trPr>
        <w:tc>
          <w:tcPr>
            <w:tcW w:w="3360" w:type="dxa"/>
            <w:vAlign w:val="bottom"/>
          </w:tcPr>
          <w:p>
            <w:pPr>
              <w:ind w:left="20"/>
              <w:spacing w:after="0"/>
              <w:rPr>
                <w:sz w:val="20"/>
                <w:szCs w:val="20"/>
                <w:color w:val="auto"/>
              </w:rPr>
            </w:pPr>
            <w:r>
              <w:rPr>
                <w:rFonts w:ascii="Arial" w:cs="Arial" w:eastAsia="Arial" w:hAnsi="Arial"/>
                <w:sz w:val="18"/>
                <w:szCs w:val="18"/>
                <w:color w:val="auto"/>
              </w:rPr>
              <w:t>No special executive benefits</w:t>
            </w: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NEOs are not entitled to any special benefits upon termination</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broad-based severance</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Dimon, Mr. Smith, Ms. Erdoes, Ms. Piepszak and Mr. Barnum are covered under the Firm’s broad-based U.S. Severance Pay Plan. Benefits under the U.S. Severance Pay Plan are based on an employee’s base salary and length of service on termination of employment. Employees remain eligible for coverage at active employee rates under certain of the Firm’s employee welfare plans (such as medical and dental) for up to six months after their employment terminates. Mr. Pinto is covered under the Firm’s U.K. Discretionary Redundancy Policy, which provides for a lump sum payment on termination based on base salary and length of service and subject to a cap of £275,000. In addition, in the event of termination by the Firm for reasons other than cause, employees may be considered, at the discretion of the Firm, for a cash payment in lieu of an annual incentive compensation award, taking into consideration all circumstances the Firm deems relevant, including the circumstances of the employee’s leaving and the employee’s contributions to the Firm over his or her career. Severance benefits and any such discretionary payment are subject to execution of a release in favor of the Firm and certain post-termination restrictions.</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table on the following page sets forth the benefits and compensation which the Named Executive Officers would have received if their employment had terminated on December 31, 2021. The amounts shown in the table on the following page do not include other payments and benefits available generally to salaried employees upon termination of employment, such as accrued vacation pay, distributions from the 401(k) Savings Plan, pension and deferred compensation plans, or any death, disability or post retirement welfare benefits available under broad-based employee plans. For information on the pension and deferred compensation plans, see “Table V: 2021 Pension benefits” on page 78 and “Table VI: 2021 Non-qualified deferred compensation” on page 79. Such tables also do not show the value of vested SARs, which are listed In “Table III: Outstanding equity awards at fiscal year-end 2021” on pages 76 and 77.</w:t>
      </w:r>
    </w:p>
    <w:p>
      <w:pPr>
        <w:spacing w:after="0" w:line="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NEOs are not entitled to any additional equity awards in connection with a potential termination. Rather, under certain termination scenarios including disability, death, termination without cause, or resignation (if full-career eligible), NEOs’ outstanding equity awards continue to vest in accordance with their terms (or accelerate in the event of death). The table on the following page shows the value of these unvested RSUs, PSUs and SARs based on the closing price of our common stock on December 31, 2021 (for SARs it is the closing price of our common stock price on December 31, 2021, minus the applicable exercise price of the SARs).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Office provision</w:t>
      </w:r>
    </w:p>
    <w:p>
      <w:pPr>
        <w:spacing w:after="0" w:line="11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Employees with applicable awards, including NEOs, are covered under the Firm’s Government Office provision which allows for continued vesting of equity awards if the employee resigns to accept a covered government office. For such employees who are full-career eligible, outstanding performance year awards continue to vest in accordance with their terms whether they leave the Firm to enter government service or otherwise, so, for these awards, the Government Office provision does not provide any benefit to employees who are full-career eligible. All NEOs meet the full-career eligibility provision of their applicable awards.</w:t>
      </w:r>
      <w:r>
        <w:rPr>
          <w:rFonts w:ascii="Arial" w:cs="Arial" w:eastAsia="Arial" w:hAnsi="Arial"/>
          <w:sz w:val="23"/>
          <w:szCs w:val="23"/>
          <w:color w:val="auto"/>
          <w:vertAlign w:val="superscript"/>
        </w:rPr>
        <w:t>1</w:t>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employees who are not full-career eligible, and for awards that do not have full career eligibility provisions, the value of awards that would continue to vest as a result of the Government Office provision of our equity plan would equal a percentage of the unvested stock awards ranging from 0% prior to three years of employment by the Firm to 50% after three years of employment increasing to 100% after five years.</w:t>
      </w:r>
    </w:p>
    <w:p>
      <w:pPr>
        <w:spacing w:after="0" w:line="288" w:lineRule="exact"/>
        <w:rPr>
          <w:sz w:val="20"/>
          <w:szCs w:val="20"/>
          <w:color w:val="auto"/>
        </w:rPr>
      </w:pPr>
    </w:p>
    <w:p>
      <w:pPr>
        <w:ind w:left="200" w:hanging="192"/>
        <w:spacing w:after="0"/>
        <w:tabs>
          <w:tab w:leader="none" w:pos="200" w:val="left"/>
        </w:tabs>
        <w:numPr>
          <w:ilvl w:val="0"/>
          <w:numId w:val="252"/>
        </w:numPr>
        <w:rPr>
          <w:rFonts w:ascii="Arial" w:cs="Arial" w:eastAsia="Arial" w:hAnsi="Arial"/>
          <w:sz w:val="16"/>
          <w:szCs w:val="16"/>
          <w:color w:val="auto"/>
          <w:vertAlign w:val="superscript"/>
        </w:rPr>
      </w:pPr>
      <w:r>
        <w:rPr>
          <w:rFonts w:ascii="Arial" w:cs="Arial" w:eastAsia="Arial" w:hAnsi="Arial"/>
          <w:sz w:val="13"/>
          <w:szCs w:val="13"/>
          <w:color w:val="auto"/>
        </w:rPr>
        <w:t>Refer to Notes 3 and 6 on page 81.</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color w:val="auto"/>
        </w:rPr>
        <w:t>The Firm’s Government Office provision allows for accelerated vesting of the awards otherwise eligible for continued vesting, as described above, only if government ethics or conflicts of interest laws require divestiture of unvested awards and do not allow continued vesting.</w:t>
      </w:r>
    </w:p>
    <w:p>
      <w:pPr>
        <w:spacing w:after="0" w:line="2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Notwithstanding acceleration of any awards, the former employee remains subject to the applicable terms of the award agreement as if the award had remained outstanding for the duration of the original vesting period, including the clawback provisions and post-employment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awards not eligible for continued vesting under the terms of the plan are forfeited and they do not accelerate.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2021, no current or former OC member received any benefits under the Government Office provision.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POTENTIAL PAYMENTS UPON TERMINATION OR CHANGE IN CONTROL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2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60" w:type="dxa"/>
            <w:vAlign w:val="bottom"/>
            <w:tcBorders>
              <w:bottom w:val="single" w:sz="8" w:color="454545"/>
            </w:tcBorders>
          </w:tcPr>
          <w:p>
            <w:pPr>
              <w:spacing w:after="0"/>
              <w:rPr>
                <w:sz w:val="22"/>
                <w:szCs w:val="22"/>
                <w:color w:val="auto"/>
              </w:rPr>
            </w:pPr>
          </w:p>
        </w:tc>
        <w:tc>
          <w:tcPr>
            <w:tcW w:w="1140" w:type="dxa"/>
            <w:vAlign w:val="bottom"/>
            <w:tcBorders>
              <w:bottom w:val="single" w:sz="8" w:color="454545"/>
            </w:tcBorders>
          </w:tcPr>
          <w:p>
            <w:pPr>
              <w:spacing w:after="0"/>
              <w:rPr>
                <w:sz w:val="22"/>
                <w:szCs w:val="22"/>
                <w:color w:val="auto"/>
              </w:rPr>
            </w:pPr>
          </w:p>
        </w:tc>
        <w:tc>
          <w:tcPr>
            <w:tcW w:w="180" w:type="dxa"/>
            <w:vAlign w:val="bottom"/>
            <w:tcBorders>
              <w:bottom w:val="single" w:sz="8" w:color="454545"/>
            </w:tcBorders>
          </w:tcPr>
          <w:p>
            <w:pPr>
              <w:spacing w:after="0"/>
              <w:rPr>
                <w:sz w:val="22"/>
                <w:szCs w:val="22"/>
                <w:color w:val="auto"/>
              </w:rPr>
            </w:pPr>
          </w:p>
        </w:tc>
        <w:tc>
          <w:tcPr>
            <w:tcW w:w="1440" w:type="dxa"/>
            <w:vAlign w:val="bottom"/>
            <w:tcBorders>
              <w:bottom w:val="single" w:sz="8" w:color="454545"/>
            </w:tcBorders>
          </w:tcPr>
          <w:p>
            <w:pPr>
              <w:spacing w:after="0"/>
              <w:rPr>
                <w:sz w:val="22"/>
                <w:szCs w:val="22"/>
                <w:color w:val="auto"/>
              </w:rPr>
            </w:pPr>
          </w:p>
        </w:tc>
        <w:tc>
          <w:tcPr>
            <w:tcW w:w="2600" w:type="dxa"/>
            <w:vAlign w:val="bottom"/>
            <w:tcBorders>
              <w:bottom w:val="single" w:sz="8" w:color="454545"/>
            </w:tcBorders>
            <w:gridSpan w:val="2"/>
          </w:tcPr>
          <w:p>
            <w:pPr>
              <w:jc w:val="right"/>
              <w:ind w:right="859"/>
              <w:spacing w:after="0"/>
              <w:rPr>
                <w:sz w:val="20"/>
                <w:szCs w:val="20"/>
                <w:color w:val="auto"/>
              </w:rPr>
            </w:pPr>
            <w:r>
              <w:rPr>
                <w:rFonts w:ascii="Arial" w:cs="Arial" w:eastAsia="Arial" w:hAnsi="Arial"/>
                <w:sz w:val="16"/>
                <w:szCs w:val="16"/>
                <w:color w:val="auto"/>
              </w:rPr>
              <w:t>Termination reason</w:t>
            </w:r>
            <w:r>
              <w:rPr>
                <w:rFonts w:ascii="Arial" w:cs="Arial" w:eastAsia="Arial" w:hAnsi="Arial"/>
                <w:sz w:val="21"/>
                <w:szCs w:val="21"/>
                <w:color w:val="auto"/>
                <w:vertAlign w:val="superscript"/>
              </w:rPr>
              <w:t>1</w:t>
            </w:r>
          </w:p>
        </w:tc>
        <w:tc>
          <w:tcPr>
            <w:tcW w:w="220" w:type="dxa"/>
            <w:vAlign w:val="bottom"/>
            <w:tcBorders>
              <w:bottom w:val="single" w:sz="8" w:color="454545"/>
            </w:tcBorders>
          </w:tcPr>
          <w:p>
            <w:pPr>
              <w:spacing w:after="0"/>
              <w:rPr>
                <w:sz w:val="22"/>
                <w:szCs w:val="22"/>
                <w:color w:val="auto"/>
              </w:rPr>
            </w:pPr>
          </w:p>
        </w:tc>
        <w:tc>
          <w:tcPr>
            <w:tcW w:w="1180" w:type="dxa"/>
            <w:vAlign w:val="bottom"/>
            <w:tcBorders>
              <w:bottom w:val="single" w:sz="8" w:color="454545"/>
            </w:tcBorders>
          </w:tcPr>
          <w:p>
            <w:pPr>
              <w:spacing w:after="0"/>
              <w:rPr>
                <w:sz w:val="22"/>
                <w:szCs w:val="22"/>
                <w:color w:val="auto"/>
              </w:rPr>
            </w:pPr>
          </w:p>
        </w:tc>
        <w:tc>
          <w:tcPr>
            <w:tcW w:w="480" w:type="dxa"/>
            <w:vAlign w:val="bottom"/>
            <w:tcBorders>
              <w:bottom w:val="single" w:sz="8" w:color="454545"/>
            </w:tcBorders>
          </w:tcPr>
          <w:p>
            <w:pPr>
              <w:spacing w:after="0"/>
              <w:rPr>
                <w:sz w:val="22"/>
                <w:szCs w:val="22"/>
                <w:color w:val="auto"/>
              </w:rPr>
            </w:pPr>
          </w:p>
        </w:tc>
        <w:tc>
          <w:tcPr>
            <w:tcW w:w="420" w:type="dxa"/>
            <w:vAlign w:val="bottom"/>
            <w:tcBorders>
              <w:bottom w:val="single" w:sz="8" w:color="454545"/>
            </w:tcBorders>
          </w:tcPr>
          <w:p>
            <w:pPr>
              <w:spacing w:after="0"/>
              <w:rPr>
                <w:sz w:val="22"/>
                <w:szCs w:val="22"/>
                <w:color w:val="auto"/>
              </w:rPr>
            </w:pPr>
          </w:p>
        </w:tc>
      </w:tr>
      <w:tr>
        <w:trPr>
          <w:trHeight w:val="195"/>
        </w:trPr>
        <w:tc>
          <w:tcPr>
            <w:tcW w:w="1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gridSpan w:val="2"/>
          </w:tcPr>
          <w:p>
            <w:pPr>
              <w:jc w:val="center"/>
              <w:ind w:right="199"/>
              <w:spacing w:after="0"/>
              <w:rPr>
                <w:sz w:val="20"/>
                <w:szCs w:val="20"/>
                <w:color w:val="auto"/>
              </w:rPr>
            </w:pPr>
            <w:r>
              <w:rPr>
                <w:rFonts w:ascii="Arial" w:cs="Arial" w:eastAsia="Arial" w:hAnsi="Arial"/>
                <w:sz w:val="16"/>
                <w:szCs w:val="16"/>
                <w:color w:val="205A85"/>
              </w:rPr>
              <w:t>Resignation per</w:t>
            </w:r>
          </w:p>
        </w:tc>
        <w:tc>
          <w:tcPr>
            <w:tcW w:w="1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color w:val="205A85"/>
                <w:w w:val="99"/>
              </w:rPr>
              <w:t>Resignation per</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color w:val="205A85"/>
              </w:rPr>
              <w:t>Involuntary</w:t>
            </w:r>
          </w:p>
        </w:tc>
        <w:tc>
          <w:tcPr>
            <w:tcW w:w="180" w:type="dxa"/>
            <w:vAlign w:val="bottom"/>
          </w:tcPr>
          <w:p>
            <w:pPr>
              <w:spacing w:after="0"/>
              <w:rPr>
                <w:sz w:val="16"/>
                <w:szCs w:val="16"/>
                <w:color w:val="auto"/>
              </w:rPr>
            </w:pPr>
          </w:p>
        </w:tc>
        <w:tc>
          <w:tcPr>
            <w:tcW w:w="1440" w:type="dxa"/>
            <w:vAlign w:val="bottom"/>
          </w:tcPr>
          <w:p>
            <w:pPr>
              <w:jc w:val="center"/>
              <w:ind w:right="379"/>
              <w:spacing w:after="0"/>
              <w:rPr>
                <w:sz w:val="20"/>
                <w:szCs w:val="20"/>
                <w:color w:val="auto"/>
              </w:rPr>
            </w:pPr>
            <w:r>
              <w:rPr>
                <w:rFonts w:ascii="Arial" w:cs="Arial" w:eastAsia="Arial" w:hAnsi="Arial"/>
                <w:sz w:val="16"/>
                <w:szCs w:val="16"/>
                <w:color w:val="205A85"/>
              </w:rPr>
              <w:t>Full-Career</w:t>
            </w:r>
          </w:p>
        </w:tc>
        <w:tc>
          <w:tcPr>
            <w:tcW w:w="1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color w:val="205A85"/>
                <w:w w:val="99"/>
              </w:rPr>
              <w:t>Government</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color w:val="205A85"/>
              </w:rPr>
              <w:t>without cause</w:t>
            </w:r>
          </w:p>
        </w:tc>
        <w:tc>
          <w:tcPr>
            <w:tcW w:w="180" w:type="dxa"/>
            <w:vAlign w:val="bottom"/>
          </w:tcPr>
          <w:p>
            <w:pPr>
              <w:spacing w:after="0"/>
              <w:rPr>
                <w:sz w:val="16"/>
                <w:szCs w:val="16"/>
                <w:color w:val="auto"/>
              </w:rPr>
            </w:pPr>
          </w:p>
        </w:tc>
        <w:tc>
          <w:tcPr>
            <w:tcW w:w="1440" w:type="dxa"/>
            <w:vAlign w:val="bottom"/>
          </w:tcPr>
          <w:p>
            <w:pPr>
              <w:jc w:val="center"/>
              <w:ind w:right="379"/>
              <w:spacing w:after="0"/>
              <w:rPr>
                <w:sz w:val="20"/>
                <w:szCs w:val="20"/>
                <w:color w:val="auto"/>
              </w:rPr>
            </w:pPr>
            <w:r>
              <w:rPr>
                <w:rFonts w:ascii="Arial" w:cs="Arial" w:eastAsia="Arial" w:hAnsi="Arial"/>
                <w:sz w:val="16"/>
                <w:szCs w:val="16"/>
                <w:color w:val="205A85"/>
                <w:w w:val="99"/>
              </w:rPr>
              <w:t>Eligibility</w:t>
            </w:r>
          </w:p>
        </w:tc>
        <w:tc>
          <w:tcPr>
            <w:tcW w:w="148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color w:val="205A85"/>
              </w:rPr>
              <w:t>Death</w:t>
            </w:r>
          </w:p>
        </w:tc>
        <w:tc>
          <w:tcPr>
            <w:tcW w:w="1400" w:type="dxa"/>
            <w:vAlign w:val="bottom"/>
            <w:gridSpan w:val="2"/>
          </w:tcPr>
          <w:p>
            <w:pPr>
              <w:jc w:val="center"/>
              <w:spacing w:after="0"/>
              <w:rPr>
                <w:sz w:val="20"/>
                <w:szCs w:val="20"/>
                <w:color w:val="auto"/>
              </w:rPr>
            </w:pPr>
            <w:r>
              <w:rPr>
                <w:rFonts w:ascii="Arial" w:cs="Arial" w:eastAsia="Arial" w:hAnsi="Arial"/>
                <w:sz w:val="16"/>
                <w:szCs w:val="16"/>
                <w:color w:val="205A85"/>
              </w:rPr>
              <w:t>Office provision</w:t>
            </w:r>
          </w:p>
        </w:tc>
        <w:tc>
          <w:tcPr>
            <w:tcW w:w="900" w:type="dxa"/>
            <w:vAlign w:val="bottom"/>
            <w:gridSpan w:val="2"/>
          </w:tcPr>
          <w:p>
            <w:pPr>
              <w:ind w:left="60"/>
              <w:spacing w:after="0"/>
              <w:rPr>
                <w:sz w:val="20"/>
                <w:szCs w:val="20"/>
                <w:color w:val="auto"/>
              </w:rPr>
            </w:pPr>
            <w:r>
              <w:rPr>
                <w:rFonts w:ascii="Arial" w:cs="Arial" w:eastAsia="Arial" w:hAnsi="Arial"/>
                <w:sz w:val="16"/>
                <w:szCs w:val="16"/>
                <w:color w:val="205A85"/>
              </w:rPr>
              <w:t>Change in</w:t>
            </w:r>
          </w:p>
        </w:tc>
      </w:tr>
      <w:tr>
        <w:trPr>
          <w:trHeight w:val="230"/>
        </w:trPr>
        <w:tc>
          <w:tcPr>
            <w:tcW w:w="12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205A85"/>
              </w:rPr>
              <w:t>Name</w:t>
            </w:r>
          </w:p>
        </w:tc>
        <w:tc>
          <w:tcPr>
            <w:tcW w:w="2100" w:type="dxa"/>
            <w:vAlign w:val="bottom"/>
            <w:tcBorders>
              <w:bottom w:val="single" w:sz="8" w:color="454545"/>
            </w:tcBorders>
          </w:tcPr>
          <w:p>
            <w:pPr>
              <w:spacing w:after="0"/>
              <w:rPr>
                <w:sz w:val="20"/>
                <w:szCs w:val="20"/>
                <w:color w:val="auto"/>
              </w:rPr>
            </w:pPr>
          </w:p>
        </w:tc>
        <w:tc>
          <w:tcPr>
            <w:tcW w:w="260" w:type="dxa"/>
            <w:vAlign w:val="bottom"/>
            <w:tcBorders>
              <w:bottom w:val="single" w:sz="8" w:color="454545"/>
            </w:tcBorders>
          </w:tcPr>
          <w:p>
            <w:pPr>
              <w:spacing w:after="0"/>
              <w:rPr>
                <w:sz w:val="20"/>
                <w:szCs w:val="20"/>
                <w:color w:val="auto"/>
              </w:rPr>
            </w:pPr>
          </w:p>
        </w:tc>
        <w:tc>
          <w:tcPr>
            <w:tcW w:w="1140" w:type="dxa"/>
            <w:vAlign w:val="bottom"/>
            <w:tcBorders>
              <w:bottom w:val="single" w:sz="8" w:color="454545"/>
            </w:tcBorders>
          </w:tcPr>
          <w:p>
            <w:pPr>
              <w:jc w:val="center"/>
              <w:ind w:right="199"/>
              <w:spacing w:after="0" w:line="230" w:lineRule="exact"/>
              <w:rPr>
                <w:sz w:val="20"/>
                <w:szCs w:val="20"/>
                <w:color w:val="auto"/>
              </w:rPr>
            </w:pPr>
            <w:r>
              <w:rPr>
                <w:rFonts w:ascii="Arial" w:cs="Arial" w:eastAsia="Arial" w:hAnsi="Arial"/>
                <w:sz w:val="16"/>
                <w:szCs w:val="16"/>
                <w:color w:val="205A85"/>
                <w:w w:val="94"/>
              </w:rPr>
              <w:t>($)</w:t>
            </w:r>
            <w:r>
              <w:rPr>
                <w:rFonts w:ascii="Arial" w:cs="Arial" w:eastAsia="Arial" w:hAnsi="Arial"/>
                <w:sz w:val="21"/>
                <w:szCs w:val="21"/>
                <w:color w:val="205A85"/>
                <w:w w:val="94"/>
                <w:vertAlign w:val="superscript"/>
              </w:rPr>
              <w:t>2</w:t>
            </w:r>
          </w:p>
        </w:tc>
        <w:tc>
          <w:tcPr>
            <w:tcW w:w="180" w:type="dxa"/>
            <w:vAlign w:val="bottom"/>
            <w:tcBorders>
              <w:bottom w:val="single" w:sz="8" w:color="454545"/>
            </w:tcBorders>
          </w:tcPr>
          <w:p>
            <w:pPr>
              <w:spacing w:after="0"/>
              <w:rPr>
                <w:sz w:val="20"/>
                <w:szCs w:val="20"/>
                <w:color w:val="auto"/>
              </w:rPr>
            </w:pPr>
          </w:p>
        </w:tc>
        <w:tc>
          <w:tcPr>
            <w:tcW w:w="1440" w:type="dxa"/>
            <w:vAlign w:val="bottom"/>
            <w:tcBorders>
              <w:bottom w:val="single" w:sz="8" w:color="454545"/>
            </w:tcBorders>
          </w:tcPr>
          <w:p>
            <w:pPr>
              <w:jc w:val="center"/>
              <w:ind w:right="379"/>
              <w:spacing w:after="0" w:line="230" w:lineRule="exact"/>
              <w:rPr>
                <w:sz w:val="20"/>
                <w:szCs w:val="20"/>
                <w:color w:val="auto"/>
              </w:rPr>
            </w:pPr>
            <w:r>
              <w:rPr>
                <w:rFonts w:ascii="Arial" w:cs="Arial" w:eastAsia="Arial" w:hAnsi="Arial"/>
                <w:sz w:val="16"/>
                <w:szCs w:val="16"/>
                <w:color w:val="205A85"/>
                <w:w w:val="98"/>
              </w:rPr>
              <w:t>provision ($)</w:t>
            </w:r>
            <w:r>
              <w:rPr>
                <w:rFonts w:ascii="Arial" w:cs="Arial" w:eastAsia="Arial" w:hAnsi="Arial"/>
                <w:sz w:val="21"/>
                <w:szCs w:val="21"/>
                <w:color w:val="205A85"/>
                <w:w w:val="98"/>
                <w:vertAlign w:val="superscript"/>
              </w:rPr>
              <w:t>3</w:t>
            </w:r>
          </w:p>
        </w:tc>
        <w:tc>
          <w:tcPr>
            <w:tcW w:w="1480" w:type="dxa"/>
            <w:vAlign w:val="bottom"/>
            <w:tcBorders>
              <w:bottom w:val="single" w:sz="8" w:color="454545"/>
            </w:tcBorders>
          </w:tcPr>
          <w:p>
            <w:pPr>
              <w:jc w:val="right"/>
              <w:ind w:right="599"/>
              <w:spacing w:after="0" w:line="230" w:lineRule="exact"/>
              <w:rPr>
                <w:sz w:val="20"/>
                <w:szCs w:val="20"/>
                <w:color w:val="auto"/>
              </w:rPr>
            </w:pPr>
            <w:r>
              <w:rPr>
                <w:rFonts w:ascii="Arial" w:cs="Arial" w:eastAsia="Arial" w:hAnsi="Arial"/>
                <w:sz w:val="16"/>
                <w:szCs w:val="16"/>
                <w:color w:val="205A85"/>
              </w:rPr>
              <w:t>Disability</w:t>
            </w:r>
            <w:r>
              <w:rPr>
                <w:rFonts w:ascii="Arial" w:cs="Arial" w:eastAsia="Arial" w:hAnsi="Arial"/>
                <w:sz w:val="21"/>
                <w:szCs w:val="21"/>
                <w:color w:val="205A85"/>
                <w:vertAlign w:val="superscript"/>
              </w:rPr>
              <w:t>4</w:t>
            </w:r>
          </w:p>
        </w:tc>
        <w:tc>
          <w:tcPr>
            <w:tcW w:w="1120" w:type="dxa"/>
            <w:vAlign w:val="bottom"/>
            <w:tcBorders>
              <w:bottom w:val="single" w:sz="8" w:color="454545"/>
            </w:tcBorders>
          </w:tcPr>
          <w:p>
            <w:pPr>
              <w:jc w:val="right"/>
              <w:ind w:right="519"/>
              <w:spacing w:after="0" w:line="230" w:lineRule="exact"/>
              <w:rPr>
                <w:sz w:val="20"/>
                <w:szCs w:val="20"/>
                <w:color w:val="auto"/>
              </w:rPr>
            </w:pPr>
            <w:r>
              <w:rPr>
                <w:rFonts w:ascii="Arial" w:cs="Arial" w:eastAsia="Arial" w:hAnsi="Arial"/>
                <w:sz w:val="16"/>
                <w:szCs w:val="16"/>
                <w:color w:val="205A85"/>
              </w:rPr>
              <w:t>($)</w:t>
            </w:r>
            <w:r>
              <w:rPr>
                <w:rFonts w:ascii="Arial" w:cs="Arial" w:eastAsia="Arial" w:hAnsi="Arial"/>
                <w:sz w:val="21"/>
                <w:szCs w:val="21"/>
                <w:color w:val="205A85"/>
                <w:vertAlign w:val="superscript"/>
              </w:rPr>
              <w:t>5</w:t>
            </w:r>
          </w:p>
        </w:tc>
        <w:tc>
          <w:tcPr>
            <w:tcW w:w="220" w:type="dxa"/>
            <w:vAlign w:val="bottom"/>
            <w:tcBorders>
              <w:bottom w:val="single" w:sz="8" w:color="454545"/>
            </w:tcBorders>
          </w:tcPr>
          <w:p>
            <w:pPr>
              <w:spacing w:after="0"/>
              <w:rPr>
                <w:sz w:val="20"/>
                <w:szCs w:val="20"/>
                <w:color w:val="auto"/>
              </w:rPr>
            </w:pPr>
          </w:p>
        </w:tc>
        <w:tc>
          <w:tcPr>
            <w:tcW w:w="1180" w:type="dxa"/>
            <w:vAlign w:val="bottom"/>
            <w:tcBorders>
              <w:bottom w:val="single" w:sz="8" w:color="454545"/>
            </w:tcBorders>
          </w:tcPr>
          <w:p>
            <w:pPr>
              <w:jc w:val="center"/>
              <w:ind w:right="179"/>
              <w:spacing w:after="0" w:line="230" w:lineRule="exact"/>
              <w:rPr>
                <w:sz w:val="20"/>
                <w:szCs w:val="20"/>
                <w:color w:val="auto"/>
              </w:rPr>
            </w:pPr>
            <w:r>
              <w:rPr>
                <w:rFonts w:ascii="Arial" w:cs="Arial" w:eastAsia="Arial" w:hAnsi="Arial"/>
                <w:sz w:val="16"/>
                <w:szCs w:val="16"/>
                <w:color w:val="205A85"/>
                <w:w w:val="87"/>
              </w:rPr>
              <w:t>($)</w:t>
            </w:r>
            <w:r>
              <w:rPr>
                <w:rFonts w:ascii="Arial" w:cs="Arial" w:eastAsia="Arial" w:hAnsi="Arial"/>
                <w:sz w:val="21"/>
                <w:szCs w:val="21"/>
                <w:color w:val="205A85"/>
                <w:w w:val="87"/>
                <w:vertAlign w:val="superscript"/>
              </w:rPr>
              <w:t>6</w:t>
            </w:r>
          </w:p>
        </w:tc>
        <w:tc>
          <w:tcPr>
            <w:tcW w:w="900" w:type="dxa"/>
            <w:vAlign w:val="bottom"/>
            <w:tcBorders>
              <w:bottom w:val="single" w:sz="8" w:color="454545"/>
            </w:tcBorders>
            <w:gridSpan w:val="2"/>
          </w:tcPr>
          <w:p>
            <w:pPr>
              <w:ind w:left="60"/>
              <w:spacing w:after="0"/>
              <w:rPr>
                <w:sz w:val="20"/>
                <w:szCs w:val="20"/>
                <w:color w:val="auto"/>
              </w:rPr>
            </w:pPr>
            <w:r>
              <w:rPr>
                <w:rFonts w:ascii="Arial" w:cs="Arial" w:eastAsia="Arial" w:hAnsi="Arial"/>
                <w:sz w:val="16"/>
                <w:szCs w:val="16"/>
                <w:color w:val="205A85"/>
              </w:rPr>
              <w:t>control ($)</w:t>
            </w:r>
          </w:p>
        </w:tc>
      </w:tr>
      <w:tr>
        <w:trPr>
          <w:trHeight w:val="229"/>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2100" w:type="dxa"/>
            <w:vAlign w:val="bottom"/>
          </w:tcPr>
          <w:p>
            <w:pPr>
              <w:ind w:left="100"/>
              <w:spacing w:after="0"/>
              <w:rPr>
                <w:sz w:val="20"/>
                <w:szCs w:val="20"/>
                <w:color w:val="auto"/>
              </w:rPr>
            </w:pPr>
            <w:r>
              <w:rPr>
                <w:rFonts w:ascii="Arial" w:cs="Arial" w:eastAsia="Arial" w:hAnsi="Arial"/>
                <w:sz w:val="16"/>
                <w:szCs w:val="16"/>
                <w:color w:val="auto"/>
              </w:rPr>
              <w:t>Severance and other</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400,000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  $</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35"/>
        </w:trPr>
        <w:tc>
          <w:tcPr>
            <w:tcW w:w="1220" w:type="dxa"/>
            <w:vAlign w:val="bottom"/>
          </w:tcPr>
          <w:p>
            <w:pPr>
              <w:spacing w:after="0"/>
              <w:rPr>
                <w:sz w:val="20"/>
                <w:szCs w:val="20"/>
                <w:color w:val="auto"/>
              </w:rPr>
            </w:pPr>
          </w:p>
        </w:tc>
        <w:tc>
          <w:tcPr>
            <w:tcW w:w="2100" w:type="dxa"/>
            <w:vAlign w:val="bottom"/>
          </w:tcPr>
          <w:p>
            <w:pPr>
              <w:ind w:left="100"/>
              <w:spacing w:after="0"/>
              <w:rPr>
                <w:sz w:val="20"/>
                <w:szCs w:val="20"/>
                <w:color w:val="auto"/>
              </w:rPr>
            </w:pPr>
            <w:r>
              <w:rPr>
                <w:rFonts w:ascii="Arial" w:cs="Arial" w:eastAsia="Arial" w:hAnsi="Arial"/>
                <w:sz w:val="16"/>
                <w:szCs w:val="16"/>
                <w:color w:val="auto"/>
              </w:rPr>
              <w:t>Option/SAR awards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14,430,000</w:t>
            </w:r>
          </w:p>
        </w:tc>
        <w:tc>
          <w:tcPr>
            <w:tcW w:w="1120" w:type="dxa"/>
            <w:vAlign w:val="bottom"/>
          </w:tcPr>
          <w:p>
            <w:pPr>
              <w:jc w:val="right"/>
              <w:spacing w:after="0"/>
              <w:rPr>
                <w:sz w:val="20"/>
                <w:szCs w:val="20"/>
                <w:color w:val="auto"/>
              </w:rPr>
            </w:pPr>
            <w:r>
              <w:rPr>
                <w:rFonts w:ascii="Arial" w:cs="Arial" w:eastAsia="Arial" w:hAnsi="Arial"/>
                <w:sz w:val="16"/>
                <w:szCs w:val="16"/>
                <w:color w:val="auto"/>
              </w:rPr>
              <w:t>14,430,000</w:t>
            </w:r>
          </w:p>
        </w:tc>
        <w:tc>
          <w:tcPr>
            <w:tcW w:w="2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14,430,000</w:t>
            </w:r>
          </w:p>
        </w:tc>
        <w:tc>
          <w:tcPr>
            <w:tcW w:w="480" w:type="dxa"/>
            <w:vAlign w:val="bottom"/>
          </w:tcPr>
          <w:p>
            <w:pPr>
              <w:spacing w:after="0"/>
              <w:rPr>
                <w:sz w:val="20"/>
                <w:szCs w:val="20"/>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43"/>
        </w:trPr>
        <w:tc>
          <w:tcPr>
            <w:tcW w:w="1220" w:type="dxa"/>
            <w:vAlign w:val="bottom"/>
          </w:tcPr>
          <w:p>
            <w:pPr>
              <w:spacing w:after="0"/>
              <w:rPr>
                <w:sz w:val="21"/>
                <w:szCs w:val="21"/>
                <w:color w:val="auto"/>
              </w:rPr>
            </w:pPr>
          </w:p>
        </w:tc>
        <w:tc>
          <w:tcPr>
            <w:tcW w:w="2100" w:type="dxa"/>
            <w:vAlign w:val="bottom"/>
          </w:tcPr>
          <w:p>
            <w:pPr>
              <w:ind w:left="100"/>
              <w:spacing w:after="0"/>
              <w:rPr>
                <w:sz w:val="20"/>
                <w:szCs w:val="20"/>
                <w:color w:val="auto"/>
              </w:rPr>
            </w:pPr>
            <w:r>
              <w:rPr>
                <w:rFonts w:ascii="Arial" w:cs="Arial" w:eastAsia="Arial" w:hAnsi="Arial"/>
                <w:sz w:val="16"/>
                <w:szCs w:val="16"/>
                <w:color w:val="auto"/>
              </w:rPr>
              <w:t>Stock awards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99"/>
        </w:trPr>
        <w:tc>
          <w:tcPr>
            <w:tcW w:w="122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10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7</w:t>
            </w:r>
          </w:p>
        </w:tc>
        <w:tc>
          <w:tcPr>
            <w:tcW w:w="260" w:type="dxa"/>
            <w:vAlign w:val="bottom"/>
            <w:tcBorders>
              <w:bottom w:val="single" w:sz="8" w:color="454545"/>
            </w:tcBorders>
          </w:tcPr>
          <w:p>
            <w:pPr>
              <w:spacing w:after="0"/>
              <w:rPr>
                <w:sz w:val="24"/>
                <w:szCs w:val="24"/>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122,003,667</w:t>
            </w:r>
          </w:p>
        </w:tc>
        <w:tc>
          <w:tcPr>
            <w:tcW w:w="180" w:type="dxa"/>
            <w:vAlign w:val="bottom"/>
            <w:tcBorders>
              <w:bottom w:val="single" w:sz="8" w:color="454545"/>
            </w:tcBorders>
          </w:tcPr>
          <w:p>
            <w:pPr>
              <w:spacing w:after="0"/>
              <w:rPr>
                <w:sz w:val="24"/>
                <w:szCs w:val="24"/>
                <w:color w:val="auto"/>
              </w:rPr>
            </w:pPr>
          </w:p>
        </w:tc>
        <w:tc>
          <w:tcPr>
            <w:tcW w:w="144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122,003,667</w:t>
            </w:r>
          </w:p>
        </w:tc>
        <w:tc>
          <w:tcPr>
            <w:tcW w:w="1480" w:type="dxa"/>
            <w:vAlign w:val="bottom"/>
            <w:tcBorders>
              <w:bottom w:val="single" w:sz="8" w:color="454545"/>
            </w:tcBorders>
          </w:tcPr>
          <w:p>
            <w:pPr>
              <w:jc w:val="right"/>
              <w:ind w:right="319"/>
              <w:spacing w:after="0"/>
              <w:rPr>
                <w:sz w:val="20"/>
                <w:szCs w:val="20"/>
                <w:color w:val="auto"/>
              </w:rPr>
            </w:pPr>
            <w:r>
              <w:rPr>
                <w:rFonts w:ascii="Arial" w:cs="Arial" w:eastAsia="Arial" w:hAnsi="Arial"/>
                <w:sz w:val="16"/>
                <w:szCs w:val="16"/>
                <w:color w:val="auto"/>
              </w:rPr>
              <w:t>122,003,667</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136,947,054</w:t>
            </w:r>
          </w:p>
        </w:tc>
        <w:tc>
          <w:tcPr>
            <w:tcW w:w="220" w:type="dxa"/>
            <w:vAlign w:val="bottom"/>
            <w:tcBorders>
              <w:bottom w:val="single" w:sz="8" w:color="454545"/>
            </w:tcBorders>
          </w:tcPr>
          <w:p>
            <w:pPr>
              <w:spacing w:after="0"/>
              <w:rPr>
                <w:sz w:val="24"/>
                <w:szCs w:val="24"/>
                <w:color w:val="auto"/>
              </w:rPr>
            </w:pPr>
          </w:p>
        </w:tc>
        <w:tc>
          <w:tcPr>
            <w:tcW w:w="118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54545"/>
            </w:tcBorders>
          </w:tcPr>
          <w:p>
            <w:pPr>
              <w:spacing w:after="0"/>
              <w:rPr>
                <w:sz w:val="24"/>
                <w:szCs w:val="24"/>
                <w:color w:val="auto"/>
              </w:rPr>
            </w:pPr>
          </w:p>
        </w:tc>
        <w:tc>
          <w:tcPr>
            <w:tcW w:w="420" w:type="dxa"/>
            <w:vAlign w:val="bottom"/>
            <w:tcBorders>
              <w:bottom w:val="single" w:sz="8" w:color="454545"/>
            </w:tcBorders>
          </w:tcPr>
          <w:p>
            <w:pPr>
              <w:ind w:left="180"/>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Daniel Pinto</w:t>
            </w:r>
          </w:p>
        </w:tc>
        <w:tc>
          <w:tcPr>
            <w:tcW w:w="2100" w:type="dxa"/>
            <w:vAlign w:val="bottom"/>
          </w:tcPr>
          <w:p>
            <w:pPr>
              <w:ind w:left="100"/>
              <w:spacing w:after="0"/>
              <w:rPr>
                <w:sz w:val="20"/>
                <w:szCs w:val="20"/>
                <w:color w:val="auto"/>
              </w:rPr>
            </w:pPr>
            <w:r>
              <w:rPr>
                <w:rFonts w:ascii="Arial" w:cs="Arial" w:eastAsia="Arial" w:hAnsi="Arial"/>
                <w:sz w:val="16"/>
                <w:szCs w:val="16"/>
                <w:color w:val="auto"/>
              </w:rPr>
              <w:t>Severance and 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366,306</w:t>
            </w:r>
          </w:p>
        </w:tc>
        <w:tc>
          <w:tcPr>
            <w:tcW w:w="180" w:type="dxa"/>
            <w:vAlign w:val="bottom"/>
          </w:tcPr>
          <w:p>
            <w:pPr>
              <w:spacing w:after="0"/>
              <w:rPr>
                <w:sz w:val="19"/>
                <w:szCs w:val="19"/>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35"/>
        </w:trPr>
        <w:tc>
          <w:tcPr>
            <w:tcW w:w="1220" w:type="dxa"/>
            <w:vAlign w:val="bottom"/>
          </w:tcPr>
          <w:p>
            <w:pPr>
              <w:spacing w:after="0"/>
              <w:rPr>
                <w:sz w:val="20"/>
                <w:szCs w:val="20"/>
                <w:color w:val="auto"/>
              </w:rPr>
            </w:pPr>
          </w:p>
        </w:tc>
        <w:tc>
          <w:tcPr>
            <w:tcW w:w="2100" w:type="dxa"/>
            <w:vAlign w:val="bottom"/>
          </w:tcPr>
          <w:p>
            <w:pPr>
              <w:ind w:left="100"/>
              <w:spacing w:after="0"/>
              <w:rPr>
                <w:sz w:val="20"/>
                <w:szCs w:val="20"/>
                <w:color w:val="auto"/>
              </w:rPr>
            </w:pPr>
            <w:r>
              <w:rPr>
                <w:rFonts w:ascii="Arial" w:cs="Arial" w:eastAsia="Arial" w:hAnsi="Arial"/>
                <w:sz w:val="16"/>
                <w:szCs w:val="16"/>
                <w:color w:val="auto"/>
              </w:rPr>
              <w:t>Option/SAR awards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20"/>
                <w:szCs w:val="20"/>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43"/>
        </w:trPr>
        <w:tc>
          <w:tcPr>
            <w:tcW w:w="1220" w:type="dxa"/>
            <w:vAlign w:val="bottom"/>
          </w:tcPr>
          <w:p>
            <w:pPr>
              <w:spacing w:after="0"/>
              <w:rPr>
                <w:sz w:val="21"/>
                <w:szCs w:val="21"/>
                <w:color w:val="auto"/>
              </w:rPr>
            </w:pPr>
          </w:p>
        </w:tc>
        <w:tc>
          <w:tcPr>
            <w:tcW w:w="2100" w:type="dxa"/>
            <w:vAlign w:val="bottom"/>
          </w:tcPr>
          <w:p>
            <w:pPr>
              <w:ind w:left="100"/>
              <w:spacing w:after="0"/>
              <w:rPr>
                <w:sz w:val="20"/>
                <w:szCs w:val="20"/>
                <w:color w:val="auto"/>
              </w:rPr>
            </w:pPr>
            <w:r>
              <w:rPr>
                <w:rFonts w:ascii="Arial" w:cs="Arial" w:eastAsia="Arial" w:hAnsi="Arial"/>
                <w:sz w:val="16"/>
                <w:szCs w:val="16"/>
                <w:color w:val="auto"/>
              </w:rPr>
              <w:t>Stock awards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70,172,488</w:t>
            </w:r>
          </w:p>
        </w:tc>
        <w:tc>
          <w:tcPr>
            <w:tcW w:w="180" w:type="dxa"/>
            <w:vAlign w:val="bottom"/>
          </w:tcPr>
          <w:p>
            <w:pPr>
              <w:spacing w:after="0"/>
              <w:rPr>
                <w:sz w:val="21"/>
                <w:szCs w:val="21"/>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70,172,488</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70,172,488</w:t>
            </w:r>
          </w:p>
        </w:tc>
        <w:tc>
          <w:tcPr>
            <w:tcW w:w="1120" w:type="dxa"/>
            <w:vAlign w:val="bottom"/>
          </w:tcPr>
          <w:p>
            <w:pPr>
              <w:jc w:val="right"/>
              <w:spacing w:after="0"/>
              <w:rPr>
                <w:sz w:val="20"/>
                <w:szCs w:val="20"/>
                <w:color w:val="auto"/>
              </w:rPr>
            </w:pPr>
            <w:r>
              <w:rPr>
                <w:rFonts w:ascii="Arial" w:cs="Arial" w:eastAsia="Arial" w:hAnsi="Arial"/>
                <w:sz w:val="16"/>
                <w:szCs w:val="16"/>
                <w:color w:val="auto"/>
              </w:rPr>
              <w:t>70,172,488</w:t>
            </w:r>
          </w:p>
        </w:tc>
        <w:tc>
          <w:tcPr>
            <w:tcW w:w="2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99"/>
        </w:trPr>
        <w:tc>
          <w:tcPr>
            <w:tcW w:w="122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10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7</w:t>
            </w:r>
          </w:p>
        </w:tc>
        <w:tc>
          <w:tcPr>
            <w:tcW w:w="260" w:type="dxa"/>
            <w:vAlign w:val="bottom"/>
            <w:tcBorders>
              <w:bottom w:val="single" w:sz="8" w:color="454545"/>
            </w:tcBorders>
          </w:tcPr>
          <w:p>
            <w:pPr>
              <w:spacing w:after="0"/>
              <w:rPr>
                <w:sz w:val="24"/>
                <w:szCs w:val="24"/>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39,003,664</w:t>
            </w:r>
          </w:p>
        </w:tc>
        <w:tc>
          <w:tcPr>
            <w:tcW w:w="180" w:type="dxa"/>
            <w:vAlign w:val="bottom"/>
            <w:tcBorders>
              <w:bottom w:val="single" w:sz="8" w:color="454545"/>
            </w:tcBorders>
          </w:tcPr>
          <w:p>
            <w:pPr>
              <w:spacing w:after="0"/>
              <w:rPr>
                <w:sz w:val="24"/>
                <w:szCs w:val="24"/>
                <w:color w:val="auto"/>
              </w:rPr>
            </w:pPr>
          </w:p>
        </w:tc>
        <w:tc>
          <w:tcPr>
            <w:tcW w:w="144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39,003,664</w:t>
            </w:r>
          </w:p>
        </w:tc>
        <w:tc>
          <w:tcPr>
            <w:tcW w:w="1480" w:type="dxa"/>
            <w:vAlign w:val="bottom"/>
            <w:tcBorders>
              <w:bottom w:val="single" w:sz="8" w:color="454545"/>
            </w:tcBorders>
          </w:tcPr>
          <w:p>
            <w:pPr>
              <w:jc w:val="right"/>
              <w:ind w:right="319"/>
              <w:spacing w:after="0"/>
              <w:rPr>
                <w:sz w:val="20"/>
                <w:szCs w:val="20"/>
                <w:color w:val="auto"/>
              </w:rPr>
            </w:pPr>
            <w:r>
              <w:rPr>
                <w:rFonts w:ascii="Arial" w:cs="Arial" w:eastAsia="Arial" w:hAnsi="Arial"/>
                <w:sz w:val="16"/>
                <w:szCs w:val="16"/>
                <w:color w:val="auto"/>
              </w:rPr>
              <w:t>39,003,664</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43,979,100</w:t>
            </w:r>
          </w:p>
        </w:tc>
        <w:tc>
          <w:tcPr>
            <w:tcW w:w="220" w:type="dxa"/>
            <w:vAlign w:val="bottom"/>
            <w:tcBorders>
              <w:bottom w:val="single" w:sz="8" w:color="454545"/>
            </w:tcBorders>
          </w:tcPr>
          <w:p>
            <w:pPr>
              <w:spacing w:after="0"/>
              <w:rPr>
                <w:sz w:val="24"/>
                <w:szCs w:val="24"/>
                <w:color w:val="auto"/>
              </w:rPr>
            </w:pPr>
          </w:p>
        </w:tc>
        <w:tc>
          <w:tcPr>
            <w:tcW w:w="118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54545"/>
            </w:tcBorders>
          </w:tcPr>
          <w:p>
            <w:pPr>
              <w:spacing w:after="0"/>
              <w:rPr>
                <w:sz w:val="24"/>
                <w:szCs w:val="24"/>
                <w:color w:val="auto"/>
              </w:rPr>
            </w:pPr>
          </w:p>
        </w:tc>
        <w:tc>
          <w:tcPr>
            <w:tcW w:w="420" w:type="dxa"/>
            <w:vAlign w:val="bottom"/>
            <w:tcBorders>
              <w:bottom w:val="single" w:sz="8" w:color="454545"/>
            </w:tcBorders>
          </w:tcPr>
          <w:p>
            <w:pPr>
              <w:ind w:left="180"/>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Gordon Smith</w:t>
            </w:r>
          </w:p>
        </w:tc>
        <w:tc>
          <w:tcPr>
            <w:tcW w:w="2100" w:type="dxa"/>
            <w:vAlign w:val="bottom"/>
          </w:tcPr>
          <w:p>
            <w:pPr>
              <w:ind w:left="100"/>
              <w:spacing w:after="0"/>
              <w:rPr>
                <w:sz w:val="20"/>
                <w:szCs w:val="20"/>
                <w:color w:val="auto"/>
              </w:rPr>
            </w:pPr>
            <w:r>
              <w:rPr>
                <w:rFonts w:ascii="Arial" w:cs="Arial" w:eastAsia="Arial" w:hAnsi="Arial"/>
                <w:sz w:val="16"/>
                <w:szCs w:val="16"/>
                <w:color w:val="auto"/>
              </w:rPr>
              <w:t>Severance and 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346,154</w:t>
            </w:r>
          </w:p>
        </w:tc>
        <w:tc>
          <w:tcPr>
            <w:tcW w:w="180" w:type="dxa"/>
            <w:vAlign w:val="bottom"/>
          </w:tcPr>
          <w:p>
            <w:pPr>
              <w:spacing w:after="0"/>
              <w:rPr>
                <w:sz w:val="19"/>
                <w:szCs w:val="19"/>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35"/>
        </w:trPr>
        <w:tc>
          <w:tcPr>
            <w:tcW w:w="1220" w:type="dxa"/>
            <w:vAlign w:val="bottom"/>
          </w:tcPr>
          <w:p>
            <w:pPr>
              <w:spacing w:after="0"/>
              <w:rPr>
                <w:sz w:val="20"/>
                <w:szCs w:val="20"/>
                <w:color w:val="auto"/>
              </w:rPr>
            </w:pPr>
          </w:p>
        </w:tc>
        <w:tc>
          <w:tcPr>
            <w:tcW w:w="2100" w:type="dxa"/>
            <w:vAlign w:val="bottom"/>
          </w:tcPr>
          <w:p>
            <w:pPr>
              <w:ind w:left="100"/>
              <w:spacing w:after="0"/>
              <w:rPr>
                <w:sz w:val="20"/>
                <w:szCs w:val="20"/>
                <w:color w:val="auto"/>
              </w:rPr>
            </w:pPr>
            <w:r>
              <w:rPr>
                <w:rFonts w:ascii="Arial" w:cs="Arial" w:eastAsia="Arial" w:hAnsi="Arial"/>
                <w:sz w:val="16"/>
                <w:szCs w:val="16"/>
                <w:color w:val="auto"/>
              </w:rPr>
              <w:t>Stock awards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19,961,126</w:t>
            </w:r>
          </w:p>
        </w:tc>
        <w:tc>
          <w:tcPr>
            <w:tcW w:w="18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19,961,126</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19,961,126</w:t>
            </w:r>
          </w:p>
        </w:tc>
        <w:tc>
          <w:tcPr>
            <w:tcW w:w="1120" w:type="dxa"/>
            <w:vAlign w:val="bottom"/>
          </w:tcPr>
          <w:p>
            <w:pPr>
              <w:jc w:val="right"/>
              <w:spacing w:after="0"/>
              <w:rPr>
                <w:sz w:val="20"/>
                <w:szCs w:val="20"/>
                <w:color w:val="auto"/>
              </w:rPr>
            </w:pPr>
            <w:r>
              <w:rPr>
                <w:rFonts w:ascii="Arial" w:cs="Arial" w:eastAsia="Arial" w:hAnsi="Arial"/>
                <w:sz w:val="16"/>
                <w:szCs w:val="16"/>
                <w:color w:val="auto"/>
              </w:rPr>
              <w:t>19,961,126</w:t>
            </w:r>
          </w:p>
        </w:tc>
        <w:tc>
          <w:tcPr>
            <w:tcW w:w="2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99"/>
        </w:trPr>
        <w:tc>
          <w:tcPr>
            <w:tcW w:w="122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10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7</w:t>
            </w:r>
          </w:p>
        </w:tc>
        <w:tc>
          <w:tcPr>
            <w:tcW w:w="260" w:type="dxa"/>
            <w:vAlign w:val="bottom"/>
            <w:tcBorders>
              <w:bottom w:val="single" w:sz="8" w:color="454545"/>
            </w:tcBorders>
          </w:tcPr>
          <w:p>
            <w:pPr>
              <w:spacing w:after="0"/>
              <w:rPr>
                <w:sz w:val="24"/>
                <w:szCs w:val="24"/>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31,793,062</w:t>
            </w:r>
          </w:p>
        </w:tc>
        <w:tc>
          <w:tcPr>
            <w:tcW w:w="180" w:type="dxa"/>
            <w:vAlign w:val="bottom"/>
            <w:tcBorders>
              <w:bottom w:val="single" w:sz="8" w:color="454545"/>
            </w:tcBorders>
          </w:tcPr>
          <w:p>
            <w:pPr>
              <w:spacing w:after="0"/>
              <w:rPr>
                <w:sz w:val="24"/>
                <w:szCs w:val="24"/>
                <w:color w:val="auto"/>
              </w:rPr>
            </w:pPr>
          </w:p>
        </w:tc>
        <w:tc>
          <w:tcPr>
            <w:tcW w:w="144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31,793,062</w:t>
            </w:r>
          </w:p>
        </w:tc>
        <w:tc>
          <w:tcPr>
            <w:tcW w:w="1480" w:type="dxa"/>
            <w:vAlign w:val="bottom"/>
            <w:tcBorders>
              <w:bottom w:val="single" w:sz="8" w:color="454545"/>
            </w:tcBorders>
          </w:tcPr>
          <w:p>
            <w:pPr>
              <w:jc w:val="right"/>
              <w:ind w:right="319"/>
              <w:spacing w:after="0"/>
              <w:rPr>
                <w:sz w:val="20"/>
                <w:szCs w:val="20"/>
                <w:color w:val="auto"/>
              </w:rPr>
            </w:pPr>
            <w:r>
              <w:rPr>
                <w:rFonts w:ascii="Arial" w:cs="Arial" w:eastAsia="Arial" w:hAnsi="Arial"/>
                <w:sz w:val="16"/>
                <w:szCs w:val="16"/>
                <w:color w:val="auto"/>
              </w:rPr>
              <w:t>31,793,062</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35,693,287</w:t>
            </w:r>
          </w:p>
        </w:tc>
        <w:tc>
          <w:tcPr>
            <w:tcW w:w="220" w:type="dxa"/>
            <w:vAlign w:val="bottom"/>
            <w:tcBorders>
              <w:bottom w:val="single" w:sz="8" w:color="454545"/>
            </w:tcBorders>
          </w:tcPr>
          <w:p>
            <w:pPr>
              <w:spacing w:after="0"/>
              <w:rPr>
                <w:sz w:val="24"/>
                <w:szCs w:val="24"/>
                <w:color w:val="auto"/>
              </w:rPr>
            </w:pPr>
          </w:p>
        </w:tc>
        <w:tc>
          <w:tcPr>
            <w:tcW w:w="118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54545"/>
            </w:tcBorders>
          </w:tcPr>
          <w:p>
            <w:pPr>
              <w:spacing w:after="0"/>
              <w:rPr>
                <w:sz w:val="24"/>
                <w:szCs w:val="24"/>
                <w:color w:val="auto"/>
              </w:rPr>
            </w:pPr>
          </w:p>
        </w:tc>
        <w:tc>
          <w:tcPr>
            <w:tcW w:w="420" w:type="dxa"/>
            <w:vAlign w:val="bottom"/>
            <w:tcBorders>
              <w:bottom w:val="single" w:sz="8" w:color="454545"/>
            </w:tcBorders>
          </w:tcPr>
          <w:p>
            <w:pPr>
              <w:ind w:left="180"/>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Mary Callahan</w:t>
            </w:r>
          </w:p>
        </w:tc>
        <w:tc>
          <w:tcPr>
            <w:tcW w:w="2100" w:type="dxa"/>
            <w:vAlign w:val="bottom"/>
          </w:tcPr>
          <w:p>
            <w:pPr>
              <w:ind w:left="100"/>
              <w:spacing w:after="0"/>
              <w:rPr>
                <w:sz w:val="20"/>
                <w:szCs w:val="20"/>
                <w:color w:val="auto"/>
              </w:rPr>
            </w:pPr>
            <w:r>
              <w:rPr>
                <w:rFonts w:ascii="Arial" w:cs="Arial" w:eastAsia="Arial" w:hAnsi="Arial"/>
                <w:sz w:val="16"/>
                <w:szCs w:val="16"/>
                <w:color w:val="auto"/>
              </w:rPr>
              <w:t>Severance and 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400,000</w:t>
            </w:r>
          </w:p>
        </w:tc>
        <w:tc>
          <w:tcPr>
            <w:tcW w:w="180" w:type="dxa"/>
            <w:vAlign w:val="bottom"/>
          </w:tcPr>
          <w:p>
            <w:pPr>
              <w:spacing w:after="0"/>
              <w:rPr>
                <w:sz w:val="19"/>
                <w:szCs w:val="19"/>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43"/>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Erdoes</w:t>
            </w:r>
          </w:p>
        </w:tc>
        <w:tc>
          <w:tcPr>
            <w:tcW w:w="2100" w:type="dxa"/>
            <w:vAlign w:val="bottom"/>
          </w:tcPr>
          <w:p>
            <w:pPr>
              <w:ind w:left="100"/>
              <w:spacing w:after="0"/>
              <w:rPr>
                <w:sz w:val="20"/>
                <w:szCs w:val="20"/>
                <w:color w:val="auto"/>
              </w:rPr>
            </w:pPr>
            <w:r>
              <w:rPr>
                <w:rFonts w:ascii="Arial" w:cs="Arial" w:eastAsia="Arial" w:hAnsi="Arial"/>
                <w:sz w:val="16"/>
                <w:szCs w:val="16"/>
                <w:color w:val="auto"/>
              </w:rPr>
              <w:t>Stock awards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18,576,514</w:t>
            </w:r>
          </w:p>
        </w:tc>
        <w:tc>
          <w:tcPr>
            <w:tcW w:w="180" w:type="dxa"/>
            <w:vAlign w:val="bottom"/>
          </w:tcPr>
          <w:p>
            <w:pPr>
              <w:spacing w:after="0"/>
              <w:rPr>
                <w:sz w:val="21"/>
                <w:szCs w:val="21"/>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18,576,514</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18,576,514</w:t>
            </w:r>
          </w:p>
        </w:tc>
        <w:tc>
          <w:tcPr>
            <w:tcW w:w="1120" w:type="dxa"/>
            <w:vAlign w:val="bottom"/>
          </w:tcPr>
          <w:p>
            <w:pPr>
              <w:jc w:val="right"/>
              <w:spacing w:after="0"/>
              <w:rPr>
                <w:sz w:val="20"/>
                <w:szCs w:val="20"/>
                <w:color w:val="auto"/>
              </w:rPr>
            </w:pPr>
            <w:r>
              <w:rPr>
                <w:rFonts w:ascii="Arial" w:cs="Arial" w:eastAsia="Arial" w:hAnsi="Arial"/>
                <w:sz w:val="16"/>
                <w:szCs w:val="16"/>
                <w:color w:val="auto"/>
              </w:rPr>
              <w:t>18,576,514</w:t>
            </w:r>
          </w:p>
        </w:tc>
        <w:tc>
          <w:tcPr>
            <w:tcW w:w="2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91"/>
        </w:trPr>
        <w:tc>
          <w:tcPr>
            <w:tcW w:w="122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10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7</w:t>
            </w:r>
          </w:p>
        </w:tc>
        <w:tc>
          <w:tcPr>
            <w:tcW w:w="260" w:type="dxa"/>
            <w:vAlign w:val="bottom"/>
            <w:tcBorders>
              <w:bottom w:val="single" w:sz="8" w:color="454545"/>
            </w:tcBorders>
          </w:tcPr>
          <w:p>
            <w:pPr>
              <w:spacing w:after="0"/>
              <w:rPr>
                <w:sz w:val="24"/>
                <w:szCs w:val="24"/>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29,574,136</w:t>
            </w:r>
          </w:p>
        </w:tc>
        <w:tc>
          <w:tcPr>
            <w:tcW w:w="180" w:type="dxa"/>
            <w:vAlign w:val="bottom"/>
            <w:tcBorders>
              <w:bottom w:val="single" w:sz="8" w:color="454545"/>
            </w:tcBorders>
          </w:tcPr>
          <w:p>
            <w:pPr>
              <w:spacing w:after="0"/>
              <w:rPr>
                <w:sz w:val="24"/>
                <w:szCs w:val="24"/>
                <w:color w:val="auto"/>
              </w:rPr>
            </w:pPr>
          </w:p>
        </w:tc>
        <w:tc>
          <w:tcPr>
            <w:tcW w:w="144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29,574,136</w:t>
            </w:r>
          </w:p>
        </w:tc>
        <w:tc>
          <w:tcPr>
            <w:tcW w:w="1480" w:type="dxa"/>
            <w:vAlign w:val="bottom"/>
            <w:tcBorders>
              <w:bottom w:val="single" w:sz="8" w:color="454545"/>
            </w:tcBorders>
          </w:tcPr>
          <w:p>
            <w:pPr>
              <w:jc w:val="right"/>
              <w:ind w:right="319"/>
              <w:spacing w:after="0"/>
              <w:rPr>
                <w:sz w:val="20"/>
                <w:szCs w:val="20"/>
                <w:color w:val="auto"/>
              </w:rPr>
            </w:pPr>
            <w:r>
              <w:rPr>
                <w:rFonts w:ascii="Arial" w:cs="Arial" w:eastAsia="Arial" w:hAnsi="Arial"/>
                <w:sz w:val="16"/>
                <w:szCs w:val="16"/>
                <w:color w:val="auto"/>
              </w:rPr>
              <w:t>29,574,136</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33,205,423</w:t>
            </w:r>
          </w:p>
        </w:tc>
        <w:tc>
          <w:tcPr>
            <w:tcW w:w="220" w:type="dxa"/>
            <w:vAlign w:val="bottom"/>
            <w:tcBorders>
              <w:bottom w:val="single" w:sz="8" w:color="454545"/>
            </w:tcBorders>
          </w:tcPr>
          <w:p>
            <w:pPr>
              <w:spacing w:after="0"/>
              <w:rPr>
                <w:sz w:val="24"/>
                <w:szCs w:val="24"/>
                <w:color w:val="auto"/>
              </w:rPr>
            </w:pPr>
          </w:p>
        </w:tc>
        <w:tc>
          <w:tcPr>
            <w:tcW w:w="118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54545"/>
            </w:tcBorders>
          </w:tcPr>
          <w:p>
            <w:pPr>
              <w:spacing w:after="0"/>
              <w:rPr>
                <w:sz w:val="24"/>
                <w:szCs w:val="24"/>
                <w:color w:val="auto"/>
              </w:rPr>
            </w:pPr>
          </w:p>
        </w:tc>
        <w:tc>
          <w:tcPr>
            <w:tcW w:w="420" w:type="dxa"/>
            <w:vAlign w:val="bottom"/>
            <w:tcBorders>
              <w:bottom w:val="single" w:sz="8" w:color="454545"/>
            </w:tcBorders>
          </w:tcPr>
          <w:p>
            <w:pPr>
              <w:ind w:left="180"/>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Jennifer</w:t>
            </w:r>
          </w:p>
        </w:tc>
        <w:tc>
          <w:tcPr>
            <w:tcW w:w="2100" w:type="dxa"/>
            <w:vAlign w:val="bottom"/>
          </w:tcPr>
          <w:p>
            <w:pPr>
              <w:ind w:left="100"/>
              <w:spacing w:after="0"/>
              <w:rPr>
                <w:sz w:val="20"/>
                <w:szCs w:val="20"/>
                <w:color w:val="auto"/>
              </w:rPr>
            </w:pPr>
            <w:r>
              <w:rPr>
                <w:rFonts w:ascii="Arial" w:cs="Arial" w:eastAsia="Arial" w:hAnsi="Arial"/>
                <w:sz w:val="16"/>
                <w:szCs w:val="16"/>
                <w:color w:val="auto"/>
              </w:rPr>
              <w:t>Severance and 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400,000</w:t>
            </w:r>
          </w:p>
        </w:tc>
        <w:tc>
          <w:tcPr>
            <w:tcW w:w="180" w:type="dxa"/>
            <w:vAlign w:val="bottom"/>
          </w:tcPr>
          <w:p>
            <w:pPr>
              <w:spacing w:after="0"/>
              <w:rPr>
                <w:sz w:val="19"/>
                <w:szCs w:val="19"/>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43"/>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Piepszak</w:t>
            </w:r>
          </w:p>
        </w:tc>
        <w:tc>
          <w:tcPr>
            <w:tcW w:w="2100" w:type="dxa"/>
            <w:vAlign w:val="bottom"/>
          </w:tcPr>
          <w:p>
            <w:pPr>
              <w:ind w:left="100"/>
              <w:spacing w:after="0"/>
              <w:rPr>
                <w:sz w:val="20"/>
                <w:szCs w:val="20"/>
                <w:color w:val="auto"/>
              </w:rPr>
            </w:pPr>
            <w:r>
              <w:rPr>
                <w:rFonts w:ascii="Arial" w:cs="Arial" w:eastAsia="Arial" w:hAnsi="Arial"/>
                <w:sz w:val="16"/>
                <w:szCs w:val="16"/>
                <w:color w:val="auto"/>
              </w:rPr>
              <w:t>Stock awards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9,664,259</w:t>
            </w:r>
          </w:p>
        </w:tc>
        <w:tc>
          <w:tcPr>
            <w:tcW w:w="180" w:type="dxa"/>
            <w:vAlign w:val="bottom"/>
          </w:tcPr>
          <w:p>
            <w:pPr>
              <w:spacing w:after="0"/>
              <w:rPr>
                <w:sz w:val="21"/>
                <w:szCs w:val="21"/>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9,664,259</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9,664,259</w:t>
            </w:r>
          </w:p>
        </w:tc>
        <w:tc>
          <w:tcPr>
            <w:tcW w:w="1120" w:type="dxa"/>
            <w:vAlign w:val="bottom"/>
          </w:tcPr>
          <w:p>
            <w:pPr>
              <w:jc w:val="right"/>
              <w:spacing w:after="0"/>
              <w:rPr>
                <w:sz w:val="20"/>
                <w:szCs w:val="20"/>
                <w:color w:val="auto"/>
              </w:rPr>
            </w:pPr>
            <w:r>
              <w:rPr>
                <w:rFonts w:ascii="Arial" w:cs="Arial" w:eastAsia="Arial" w:hAnsi="Arial"/>
                <w:sz w:val="16"/>
                <w:szCs w:val="16"/>
                <w:color w:val="auto"/>
              </w:rPr>
              <w:t>9,664,259</w:t>
            </w:r>
          </w:p>
        </w:tc>
        <w:tc>
          <w:tcPr>
            <w:tcW w:w="2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91"/>
        </w:trPr>
        <w:tc>
          <w:tcPr>
            <w:tcW w:w="1220" w:type="dxa"/>
            <w:vAlign w:val="bottom"/>
            <w:tcBorders>
              <w:bottom w:val="single" w:sz="8" w:color="454545"/>
            </w:tcBorders>
          </w:tcPr>
          <w:p>
            <w:pPr>
              <w:spacing w:after="0"/>
              <w:rPr>
                <w:sz w:val="24"/>
                <w:szCs w:val="24"/>
                <w:color w:val="auto"/>
              </w:rPr>
            </w:pPr>
          </w:p>
        </w:tc>
        <w:tc>
          <w:tcPr>
            <w:tcW w:w="2100" w:type="dxa"/>
            <w:vAlign w:val="bottom"/>
            <w:tcBorders>
              <w:bottom w:val="single" w:sz="8" w:color="454545"/>
            </w:tcBorders>
          </w:tcPr>
          <w:p>
            <w:pPr>
              <w:ind w:left="10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7</w:t>
            </w:r>
          </w:p>
        </w:tc>
        <w:tc>
          <w:tcPr>
            <w:tcW w:w="260" w:type="dxa"/>
            <w:vAlign w:val="bottom"/>
            <w:tcBorders>
              <w:bottom w:val="single" w:sz="8" w:color="454545"/>
            </w:tcBorders>
          </w:tcPr>
          <w:p>
            <w:pPr>
              <w:spacing w:after="0"/>
              <w:rPr>
                <w:sz w:val="24"/>
                <w:szCs w:val="24"/>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7,306,711</w:t>
            </w:r>
          </w:p>
        </w:tc>
        <w:tc>
          <w:tcPr>
            <w:tcW w:w="180" w:type="dxa"/>
            <w:vAlign w:val="bottom"/>
            <w:tcBorders>
              <w:bottom w:val="single" w:sz="8" w:color="454545"/>
            </w:tcBorders>
          </w:tcPr>
          <w:p>
            <w:pPr>
              <w:spacing w:after="0"/>
              <w:rPr>
                <w:sz w:val="24"/>
                <w:szCs w:val="24"/>
                <w:color w:val="auto"/>
              </w:rPr>
            </w:pPr>
          </w:p>
        </w:tc>
        <w:tc>
          <w:tcPr>
            <w:tcW w:w="144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7,306,711</w:t>
            </w:r>
          </w:p>
        </w:tc>
        <w:tc>
          <w:tcPr>
            <w:tcW w:w="1480" w:type="dxa"/>
            <w:vAlign w:val="bottom"/>
            <w:tcBorders>
              <w:bottom w:val="single" w:sz="8" w:color="454545"/>
            </w:tcBorders>
          </w:tcPr>
          <w:p>
            <w:pPr>
              <w:jc w:val="right"/>
              <w:ind w:right="319"/>
              <w:spacing w:after="0"/>
              <w:rPr>
                <w:sz w:val="20"/>
                <w:szCs w:val="20"/>
                <w:color w:val="auto"/>
              </w:rPr>
            </w:pPr>
            <w:r>
              <w:rPr>
                <w:rFonts w:ascii="Arial" w:cs="Arial" w:eastAsia="Arial" w:hAnsi="Arial"/>
                <w:sz w:val="16"/>
                <w:szCs w:val="16"/>
                <w:color w:val="auto"/>
              </w:rPr>
              <w:t>7,306,711</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9,091,322</w:t>
            </w:r>
          </w:p>
        </w:tc>
        <w:tc>
          <w:tcPr>
            <w:tcW w:w="220" w:type="dxa"/>
            <w:vAlign w:val="bottom"/>
            <w:tcBorders>
              <w:bottom w:val="single" w:sz="8" w:color="454545"/>
            </w:tcBorders>
          </w:tcPr>
          <w:p>
            <w:pPr>
              <w:spacing w:after="0"/>
              <w:rPr>
                <w:sz w:val="24"/>
                <w:szCs w:val="24"/>
                <w:color w:val="auto"/>
              </w:rPr>
            </w:pPr>
          </w:p>
        </w:tc>
        <w:tc>
          <w:tcPr>
            <w:tcW w:w="118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54545"/>
            </w:tcBorders>
          </w:tcPr>
          <w:p>
            <w:pPr>
              <w:spacing w:after="0"/>
              <w:rPr>
                <w:sz w:val="24"/>
                <w:szCs w:val="24"/>
                <w:color w:val="auto"/>
              </w:rPr>
            </w:pPr>
          </w:p>
        </w:tc>
        <w:tc>
          <w:tcPr>
            <w:tcW w:w="420" w:type="dxa"/>
            <w:vAlign w:val="bottom"/>
            <w:tcBorders>
              <w:bottom w:val="single" w:sz="8" w:color="454545"/>
            </w:tcBorders>
          </w:tcPr>
          <w:p>
            <w:pPr>
              <w:ind w:left="180"/>
              <w:spacing w:after="0"/>
              <w:rPr>
                <w:sz w:val="20"/>
                <w:szCs w:val="20"/>
                <w:color w:val="auto"/>
              </w:rPr>
            </w:pPr>
            <w:r>
              <w:rPr>
                <w:rFonts w:ascii="Arial" w:cs="Arial" w:eastAsia="Arial" w:hAnsi="Arial"/>
                <w:sz w:val="16"/>
                <w:szCs w:val="16"/>
                <w:color w:val="auto"/>
              </w:rPr>
              <w:t>—</w:t>
            </w:r>
          </w:p>
        </w:tc>
      </w:tr>
      <w:tr>
        <w:trPr>
          <w:trHeight w:val="229"/>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Jeremy</w:t>
            </w:r>
          </w:p>
        </w:tc>
        <w:tc>
          <w:tcPr>
            <w:tcW w:w="2100" w:type="dxa"/>
            <w:vAlign w:val="bottom"/>
          </w:tcPr>
          <w:p>
            <w:pPr>
              <w:ind w:left="100"/>
              <w:spacing w:after="0"/>
              <w:rPr>
                <w:sz w:val="20"/>
                <w:szCs w:val="20"/>
                <w:color w:val="auto"/>
              </w:rPr>
            </w:pPr>
            <w:r>
              <w:rPr>
                <w:rFonts w:ascii="Arial" w:cs="Arial" w:eastAsia="Arial" w:hAnsi="Arial"/>
                <w:sz w:val="16"/>
                <w:szCs w:val="16"/>
                <w:color w:val="auto"/>
              </w:rPr>
              <w:t>Severance and 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323,077</w:t>
            </w:r>
          </w:p>
        </w:tc>
        <w:tc>
          <w:tcPr>
            <w:tcW w:w="180" w:type="dxa"/>
            <w:vAlign w:val="bottom"/>
          </w:tcPr>
          <w:p>
            <w:pPr>
              <w:spacing w:after="0"/>
              <w:rPr>
                <w:sz w:val="19"/>
                <w:szCs w:val="19"/>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87"/>
        </w:trPr>
        <w:tc>
          <w:tcPr>
            <w:tcW w:w="12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Barnum</w:t>
            </w:r>
          </w:p>
        </w:tc>
        <w:tc>
          <w:tcPr>
            <w:tcW w:w="2100" w:type="dxa"/>
            <w:vAlign w:val="bottom"/>
            <w:tcBorders>
              <w:bottom w:val="single" w:sz="8" w:color="454545"/>
            </w:tcBorders>
          </w:tcPr>
          <w:p>
            <w:pPr>
              <w:ind w:left="100"/>
              <w:spacing w:after="0"/>
              <w:rPr>
                <w:sz w:val="20"/>
                <w:szCs w:val="20"/>
                <w:color w:val="auto"/>
              </w:rPr>
            </w:pPr>
            <w:r>
              <w:rPr>
                <w:rFonts w:ascii="Arial" w:cs="Arial" w:eastAsia="Arial" w:hAnsi="Arial"/>
                <w:sz w:val="16"/>
                <w:szCs w:val="16"/>
                <w:color w:val="auto"/>
              </w:rPr>
              <w:t>Stock awards</w:t>
            </w:r>
          </w:p>
        </w:tc>
        <w:tc>
          <w:tcPr>
            <w:tcW w:w="260" w:type="dxa"/>
            <w:vAlign w:val="bottom"/>
            <w:tcBorders>
              <w:bottom w:val="single" w:sz="8" w:color="454545"/>
            </w:tcBorders>
          </w:tcPr>
          <w:p>
            <w:pPr>
              <w:spacing w:after="0"/>
              <w:rPr>
                <w:sz w:val="24"/>
                <w:szCs w:val="24"/>
                <w:color w:val="auto"/>
              </w:rPr>
            </w:pPr>
          </w:p>
        </w:tc>
        <w:tc>
          <w:tcPr>
            <w:tcW w:w="1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7,441,183</w:t>
            </w:r>
          </w:p>
        </w:tc>
        <w:tc>
          <w:tcPr>
            <w:tcW w:w="180" w:type="dxa"/>
            <w:vAlign w:val="bottom"/>
            <w:tcBorders>
              <w:bottom w:val="single" w:sz="8" w:color="454545"/>
            </w:tcBorders>
          </w:tcPr>
          <w:p>
            <w:pPr>
              <w:spacing w:after="0"/>
              <w:rPr>
                <w:sz w:val="24"/>
                <w:szCs w:val="24"/>
                <w:color w:val="auto"/>
              </w:rPr>
            </w:pPr>
          </w:p>
        </w:tc>
        <w:tc>
          <w:tcPr>
            <w:tcW w:w="144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7,441,183</w:t>
            </w:r>
          </w:p>
        </w:tc>
        <w:tc>
          <w:tcPr>
            <w:tcW w:w="1480" w:type="dxa"/>
            <w:vAlign w:val="bottom"/>
            <w:tcBorders>
              <w:bottom w:val="single" w:sz="8" w:color="454545"/>
            </w:tcBorders>
          </w:tcPr>
          <w:p>
            <w:pPr>
              <w:jc w:val="right"/>
              <w:ind w:right="319"/>
              <w:spacing w:after="0"/>
              <w:rPr>
                <w:sz w:val="20"/>
                <w:szCs w:val="20"/>
                <w:color w:val="auto"/>
              </w:rPr>
            </w:pPr>
            <w:r>
              <w:rPr>
                <w:rFonts w:ascii="Arial" w:cs="Arial" w:eastAsia="Arial" w:hAnsi="Arial"/>
                <w:sz w:val="16"/>
                <w:szCs w:val="16"/>
                <w:color w:val="auto"/>
              </w:rPr>
              <w:t>7,441,183</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7,441,183</w:t>
            </w:r>
          </w:p>
        </w:tc>
        <w:tc>
          <w:tcPr>
            <w:tcW w:w="220" w:type="dxa"/>
            <w:vAlign w:val="bottom"/>
            <w:tcBorders>
              <w:bottom w:val="single" w:sz="8" w:color="454545"/>
            </w:tcBorders>
          </w:tcPr>
          <w:p>
            <w:pPr>
              <w:spacing w:after="0"/>
              <w:rPr>
                <w:sz w:val="24"/>
                <w:szCs w:val="24"/>
                <w:color w:val="auto"/>
              </w:rPr>
            </w:pPr>
          </w:p>
        </w:tc>
        <w:tc>
          <w:tcPr>
            <w:tcW w:w="118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54545"/>
            </w:tcBorders>
          </w:tcPr>
          <w:p>
            <w:pPr>
              <w:spacing w:after="0"/>
              <w:rPr>
                <w:sz w:val="24"/>
                <w:szCs w:val="24"/>
                <w:color w:val="auto"/>
              </w:rPr>
            </w:pPr>
          </w:p>
        </w:tc>
        <w:tc>
          <w:tcPr>
            <w:tcW w:w="420" w:type="dxa"/>
            <w:vAlign w:val="bottom"/>
            <w:tcBorders>
              <w:bottom w:val="single" w:sz="8" w:color="454545"/>
            </w:tcBorders>
          </w:tcPr>
          <w:p>
            <w:pPr>
              <w:ind w:left="180"/>
              <w:spacing w:after="0"/>
              <w:rPr>
                <w:sz w:val="20"/>
                <w:szCs w:val="20"/>
                <w:color w:val="auto"/>
              </w:rPr>
            </w:pPr>
            <w:r>
              <w:rPr>
                <w:rFonts w:ascii="Arial" w:cs="Arial" w:eastAsia="Arial" w:hAnsi="Arial"/>
                <w:sz w:val="16"/>
                <w:szCs w:val="16"/>
                <w:color w:val="auto"/>
              </w:rPr>
              <w:t>—</w:t>
            </w:r>
          </w:p>
        </w:tc>
      </w:tr>
    </w:tbl>
    <w:p>
      <w:pPr>
        <w:spacing w:after="0" w:line="78" w:lineRule="exact"/>
        <w:rPr>
          <w:sz w:val="20"/>
          <w:szCs w:val="20"/>
          <w:color w:val="auto"/>
        </w:rPr>
      </w:pPr>
    </w:p>
    <w:p>
      <w:pPr>
        <w:ind w:left="200" w:hanging="192"/>
        <w:spacing w:after="0"/>
        <w:tabs>
          <w:tab w:leader="none" w:pos="200" w:val="left"/>
        </w:tabs>
        <w:numPr>
          <w:ilvl w:val="0"/>
          <w:numId w:val="253"/>
        </w:numPr>
        <w:rPr>
          <w:rFonts w:ascii="Arial" w:cs="Arial" w:eastAsia="Arial" w:hAnsi="Arial"/>
          <w:sz w:val="15"/>
          <w:szCs w:val="15"/>
          <w:color w:val="auto"/>
          <w:vertAlign w:val="superscript"/>
        </w:rPr>
      </w:pPr>
      <w:r>
        <w:rPr>
          <w:rFonts w:ascii="Arial" w:cs="Arial" w:eastAsia="Arial" w:hAnsi="Arial"/>
          <w:sz w:val="12"/>
          <w:szCs w:val="12"/>
          <w:color w:val="auto"/>
        </w:rPr>
        <w:t>"Option/SAR Awards", “Stock awards” and “Performance share units” refer to previously granted, outstanding equity awards. NEOs are not entitled to any additional equity awards in connection with</w:t>
      </w:r>
    </w:p>
    <w:p>
      <w:pPr>
        <w:ind w:left="200"/>
        <w:spacing w:after="0" w:line="237" w:lineRule="auto"/>
        <w:rPr>
          <w:sz w:val="20"/>
          <w:szCs w:val="20"/>
          <w:color w:val="auto"/>
        </w:rPr>
      </w:pPr>
      <w:r>
        <w:rPr>
          <w:rFonts w:ascii="Arial" w:cs="Arial" w:eastAsia="Arial" w:hAnsi="Arial"/>
          <w:sz w:val="13"/>
          <w:szCs w:val="13"/>
          <w:color w:val="auto"/>
        </w:rPr>
        <w:t>a potential termination.</w:t>
      </w:r>
    </w:p>
    <w:p>
      <w:pPr>
        <w:ind w:left="200" w:right="40" w:hanging="192"/>
        <w:spacing w:after="0" w:line="230" w:lineRule="auto"/>
        <w:tabs>
          <w:tab w:leader="none" w:pos="200" w:val="left"/>
        </w:tabs>
        <w:numPr>
          <w:ilvl w:val="0"/>
          <w:numId w:val="254"/>
        </w:numPr>
        <w:rPr>
          <w:rFonts w:ascii="Arial" w:cs="Arial" w:eastAsia="Arial" w:hAnsi="Arial"/>
          <w:sz w:val="15"/>
          <w:szCs w:val="15"/>
          <w:color w:val="auto"/>
          <w:vertAlign w:val="superscript"/>
        </w:rPr>
      </w:pPr>
      <w:r>
        <w:rPr>
          <w:rFonts w:ascii="Arial" w:cs="Arial" w:eastAsia="Arial" w:hAnsi="Arial"/>
          <w:sz w:val="12"/>
          <w:szCs w:val="12"/>
          <w:color w:val="auto"/>
        </w:rPr>
        <w:t>Involuntary terminations without cause include involuntary terminations due to redundancies and involuntary terminations without alternative employment. For “Severance and other”, amounts shown represent severance under the Firm’s broad-based U.S. Severance Pay Plan, or the U.K. Discretionary Redundancy Policy in the case of Mr. Pinto. Base salary greater than $400,000 per year, or</w:t>
      </w:r>
    </w:p>
    <w:p>
      <w:pPr>
        <w:ind w:left="200" w:right="40"/>
        <w:spacing w:after="0" w:line="237" w:lineRule="auto"/>
        <w:rPr>
          <w:sz w:val="20"/>
          <w:szCs w:val="20"/>
          <w:color w:val="auto"/>
        </w:rPr>
      </w:pPr>
      <w:r>
        <w:rPr>
          <w:rFonts w:ascii="Arial" w:cs="Arial" w:eastAsia="Arial" w:hAnsi="Arial"/>
          <w:sz w:val="13"/>
          <w:szCs w:val="13"/>
          <w:color w:val="auto"/>
        </w:rPr>
        <w:t>£275,000 in the case of Mr. Pinto, is disregarded for purposes of determining severance amounts. The rate used to convert Mr. Pinto’s eligible severance to U.S. dollars was the blended spot rate for the month of December 2021, which was $1.33202 U.S. dollars per British pound sterling.</w:t>
      </w:r>
    </w:p>
    <w:p>
      <w:pPr>
        <w:spacing w:after="0" w:line="1" w:lineRule="exact"/>
        <w:rPr>
          <w:sz w:val="20"/>
          <w:szCs w:val="20"/>
          <w:color w:val="auto"/>
        </w:rPr>
      </w:pPr>
    </w:p>
    <w:p>
      <w:pPr>
        <w:ind w:left="200" w:right="20" w:hanging="192"/>
        <w:spacing w:after="0" w:line="238" w:lineRule="auto"/>
        <w:tabs>
          <w:tab w:leader="none" w:pos="200" w:val="left"/>
        </w:tabs>
        <w:numPr>
          <w:ilvl w:val="0"/>
          <w:numId w:val="255"/>
        </w:numPr>
        <w:rPr>
          <w:rFonts w:ascii="Arial" w:cs="Arial" w:eastAsia="Arial" w:hAnsi="Arial"/>
          <w:sz w:val="15"/>
          <w:szCs w:val="15"/>
          <w:color w:val="auto"/>
          <w:vertAlign w:val="superscript"/>
        </w:rPr>
      </w:pPr>
      <w:r>
        <w:rPr>
          <w:rFonts w:ascii="Arial" w:cs="Arial" w:eastAsia="Arial" w:hAnsi="Arial"/>
          <w:sz w:val="12"/>
          <w:szCs w:val="12"/>
          <w:color w:val="auto"/>
        </w:rPr>
        <w:t>For employees in good standing who have resigned and have met full-career eligibility or other acceptable criteria, awards continue to vest over time on their original schedule, provided that the employees, for the remainder of the vesting period, do not perform services for a financial services company or work in their profession (whether or not for a financial services company); provided that employees may work for a government, education or not-for-profit organization. The awards shown represent RSUs and PSUs that would continue to vest because the Named Executive Officers</w:t>
      </w:r>
    </w:p>
    <w:p>
      <w:pPr>
        <w:ind w:left="200"/>
        <w:spacing w:after="0"/>
        <w:rPr>
          <w:sz w:val="20"/>
          <w:szCs w:val="20"/>
          <w:color w:val="auto"/>
        </w:rPr>
      </w:pPr>
      <w:r>
        <w:rPr>
          <w:rFonts w:ascii="Arial" w:cs="Arial" w:eastAsia="Arial" w:hAnsi="Arial"/>
          <w:sz w:val="13"/>
          <w:szCs w:val="13"/>
          <w:color w:val="auto"/>
        </w:rPr>
        <w:t>have met the full-career eligibility criteria. The awards are subject to continuing post-employment obligations to the Firm during this period.</w:t>
      </w:r>
    </w:p>
    <w:p>
      <w:pPr>
        <w:ind w:left="200" w:hanging="192"/>
        <w:spacing w:after="0" w:line="193" w:lineRule="auto"/>
        <w:tabs>
          <w:tab w:leader="none" w:pos="200" w:val="left"/>
        </w:tabs>
        <w:numPr>
          <w:ilvl w:val="0"/>
          <w:numId w:val="256"/>
        </w:numPr>
        <w:rPr>
          <w:rFonts w:ascii="Arial" w:cs="Arial" w:eastAsia="Arial" w:hAnsi="Arial"/>
          <w:sz w:val="16"/>
          <w:szCs w:val="16"/>
          <w:color w:val="auto"/>
          <w:vertAlign w:val="superscript"/>
        </w:rPr>
      </w:pPr>
      <w:r>
        <w:rPr>
          <w:rFonts w:ascii="Arial" w:cs="Arial" w:eastAsia="Arial" w:hAnsi="Arial"/>
          <w:sz w:val="13"/>
          <w:szCs w:val="13"/>
          <w:color w:val="auto"/>
        </w:rPr>
        <w:t>In the case of disability, stock awards continue to vest pursuant to their original vesting schedule.</w:t>
      </w:r>
    </w:p>
    <w:p>
      <w:pPr>
        <w:ind w:left="200" w:hanging="192"/>
        <w:spacing w:after="0" w:line="194" w:lineRule="auto"/>
        <w:tabs>
          <w:tab w:leader="none" w:pos="200" w:val="left"/>
        </w:tabs>
        <w:numPr>
          <w:ilvl w:val="0"/>
          <w:numId w:val="257"/>
        </w:numPr>
        <w:rPr>
          <w:rFonts w:ascii="Arial" w:cs="Arial" w:eastAsia="Arial" w:hAnsi="Arial"/>
          <w:sz w:val="16"/>
          <w:szCs w:val="16"/>
          <w:color w:val="auto"/>
          <w:vertAlign w:val="superscript"/>
        </w:rPr>
      </w:pPr>
      <w:r>
        <w:rPr>
          <w:rFonts w:ascii="Arial" w:cs="Arial" w:eastAsia="Arial" w:hAnsi="Arial"/>
          <w:sz w:val="13"/>
          <w:szCs w:val="13"/>
          <w:color w:val="auto"/>
        </w:rPr>
        <w:t>Vesting restrictions on stock awards and PSU awards lapse immediately upon death.</w:t>
      </w:r>
    </w:p>
    <w:p>
      <w:pPr>
        <w:ind w:left="200" w:right="20" w:hanging="192"/>
        <w:spacing w:after="0" w:line="242" w:lineRule="auto"/>
        <w:tabs>
          <w:tab w:leader="none" w:pos="200" w:val="left"/>
        </w:tabs>
        <w:numPr>
          <w:ilvl w:val="0"/>
          <w:numId w:val="258"/>
        </w:numPr>
        <w:rPr>
          <w:rFonts w:ascii="Arial" w:cs="Arial" w:eastAsia="Arial" w:hAnsi="Arial"/>
          <w:sz w:val="15"/>
          <w:szCs w:val="15"/>
          <w:color w:val="auto"/>
          <w:vertAlign w:val="superscript"/>
        </w:rPr>
      </w:pPr>
      <w:r>
        <w:rPr>
          <w:rFonts w:ascii="Arial" w:cs="Arial" w:eastAsia="Arial" w:hAnsi="Arial"/>
          <w:sz w:val="12"/>
          <w:szCs w:val="12"/>
          <w:color w:val="auto"/>
        </w:rPr>
        <w:t>The Government Office provision of an award does not provide any benefit to employees who have met the full-career eligibility provision of that same award. Therefore, under the terms of the Government Office provision, Named Executive Officers would generally not receive any benefit upon termination since they meet the full-career eligibility provision entitling them to continued vesting of their equity awards (see preceding Note 3). For awards that do not have the full career eligibility provision, the amount reported is based on the December 31, 2021 value of the award in which the</w:t>
      </w:r>
    </w:p>
    <w:p>
      <w:pPr>
        <w:spacing w:after="0" w:line="118" w:lineRule="exact"/>
        <w:rPr>
          <w:sz w:val="20"/>
          <w:szCs w:val="20"/>
          <w:color w:val="auto"/>
        </w:rPr>
      </w:pPr>
    </w:p>
    <w:p>
      <w:pPr>
        <w:ind w:left="200" w:hanging="192"/>
        <w:spacing w:after="0"/>
        <w:tabs>
          <w:tab w:leader="none" w:pos="200" w:val="left"/>
        </w:tabs>
        <w:numPr>
          <w:ilvl w:val="0"/>
          <w:numId w:val="259"/>
        </w:numPr>
        <w:rPr>
          <w:rFonts w:ascii="Arial" w:cs="Arial" w:eastAsia="Arial" w:hAnsi="Arial"/>
          <w:sz w:val="15"/>
          <w:szCs w:val="15"/>
          <w:color w:val="auto"/>
          <w:vertAlign w:val="superscript"/>
        </w:rPr>
      </w:pPr>
      <w:r>
        <w:rPr>
          <w:rFonts w:ascii="Arial" w:cs="Arial" w:eastAsia="Arial" w:hAnsi="Arial"/>
          <w:sz w:val="12"/>
          <w:szCs w:val="12"/>
          <w:color w:val="auto"/>
        </w:rPr>
        <w:t>For death, represents the value of PSUs granted on January 15, 2019, January 21, 2020 and January 19, 2021, assuming: (a) maximum payout related to 2019, 2020 and 2021 performance years;</w:t>
      </w:r>
    </w:p>
    <w:p>
      <w:pPr>
        <w:ind w:left="200" w:right="460"/>
        <w:spacing w:after="0" w:line="245" w:lineRule="auto"/>
        <w:rPr>
          <w:rFonts w:ascii="Arial" w:cs="Arial" w:eastAsia="Arial" w:hAnsi="Arial"/>
          <w:sz w:val="15"/>
          <w:szCs w:val="15"/>
          <w:color w:val="auto"/>
          <w:vertAlign w:val="superscript"/>
        </w:rPr>
      </w:pPr>
      <w:r>
        <w:rPr>
          <w:rFonts w:ascii="Arial" w:cs="Arial" w:eastAsia="Arial" w:hAnsi="Arial"/>
          <w:sz w:val="13"/>
          <w:szCs w:val="13"/>
          <w:color w:val="auto"/>
        </w:rPr>
        <w:t>(b) target payout related to 2022 and 2023 performance years; and (c) accumulated reinvested dividend equivalent shares as of December 31, 2021. For involuntary without cause, full career eligibility provision and disability, target payout is assumed for the PSUs granted on January 21, 2020 and January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195580</wp:posOffset>
            </wp:positionV>
            <wp:extent cx="27432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81  </w:t>
      </w:r>
      <w:r>
        <w:rPr>
          <w:sz w:val="1"/>
          <w:szCs w:val="1"/>
          <w:color w:val="auto"/>
        </w:rPr>
        <w:drawing>
          <wp:inline distT="0" distB="0" distL="0" distR="0">
            <wp:extent cx="2203450" cy="154305"/>
            <wp:effectExtent l="0" t="0" r="0" b="0"/>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500"/>
        <w:spacing w:after="0"/>
        <w:rPr>
          <w:sz w:val="20"/>
          <w:szCs w:val="20"/>
          <w:color w:val="auto"/>
        </w:rPr>
      </w:pPr>
      <w:r>
        <w:rPr>
          <w:rFonts w:ascii="Arial" w:cs="Arial" w:eastAsia="Arial" w:hAnsi="Arial"/>
          <w:sz w:val="16"/>
          <w:szCs w:val="16"/>
          <w:color w:val="074A75"/>
        </w:rPr>
        <w:t xml:space="preserve">CEO PAY RATIO DISCLOSURE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CEO pay ratio disclosure</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estimated median employee and the annual total compensation of Mr. Dimon, our Chairman and CEO.</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074A75"/>
        </w:rPr>
        <w:t>CEO PAY RATIO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w:t>
      </w:r>
    </w:p>
    <w:p>
      <w:pPr>
        <w:spacing w:after="0" w:line="97" w:lineRule="exact"/>
        <w:rPr>
          <w:sz w:val="20"/>
          <w:szCs w:val="20"/>
          <w:color w:val="auto"/>
        </w:rPr>
      </w:pPr>
    </w:p>
    <w:p>
      <w:pPr>
        <w:ind w:left="200" w:right="100" w:hanging="192"/>
        <w:spacing w:after="0" w:line="232" w:lineRule="auto"/>
        <w:tabs>
          <w:tab w:leader="none" w:pos="204" w:val="left"/>
        </w:tabs>
        <w:numPr>
          <w:ilvl w:val="0"/>
          <w:numId w:val="260"/>
        </w:numPr>
        <w:rPr>
          <w:rFonts w:ascii="Arial" w:cs="Arial" w:eastAsia="Arial" w:hAnsi="Arial"/>
          <w:sz w:val="18"/>
          <w:szCs w:val="18"/>
          <w:color w:val="074A75"/>
        </w:rPr>
      </w:pPr>
      <w:r>
        <w:rPr>
          <w:rFonts w:ascii="Arial" w:cs="Arial" w:eastAsia="Arial" w:hAnsi="Arial"/>
          <w:sz w:val="18"/>
          <w:szCs w:val="18"/>
          <w:color w:val="auto"/>
        </w:rPr>
        <w:t>The annual total compensation of Mr. Dimon was $84,435,729</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including Firm-paid employee benefits, or $31,815,729 excluding the one-time special award described on page 66</w:t>
      </w:r>
    </w:p>
    <w:p>
      <w:pPr>
        <w:spacing w:after="0" w:line="46" w:lineRule="exact"/>
        <w:rPr>
          <w:rFonts w:ascii="Arial" w:cs="Arial" w:eastAsia="Arial" w:hAnsi="Arial"/>
          <w:sz w:val="18"/>
          <w:szCs w:val="18"/>
          <w:color w:val="074A75"/>
        </w:rPr>
      </w:pPr>
    </w:p>
    <w:p>
      <w:pPr>
        <w:ind w:left="200" w:right="340" w:hanging="192"/>
        <w:spacing w:after="0" w:line="231" w:lineRule="auto"/>
        <w:tabs>
          <w:tab w:leader="none" w:pos="204" w:val="left"/>
        </w:tabs>
        <w:numPr>
          <w:ilvl w:val="0"/>
          <w:numId w:val="260"/>
        </w:numPr>
        <w:rPr>
          <w:rFonts w:ascii="Arial" w:cs="Arial" w:eastAsia="Arial" w:hAnsi="Arial"/>
          <w:sz w:val="18"/>
          <w:szCs w:val="18"/>
          <w:color w:val="074A75"/>
        </w:rPr>
      </w:pPr>
      <w:r>
        <w:rPr>
          <w:rFonts w:ascii="Arial" w:cs="Arial" w:eastAsia="Arial" w:hAnsi="Arial"/>
          <w:sz w:val="18"/>
          <w:szCs w:val="18"/>
          <w:color w:val="auto"/>
        </w:rPr>
        <w:t>The annual total compensation of our estimated median employee was $92,112, including Firm-paid employee benefits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change in pension value</w:t>
      </w:r>
    </w:p>
    <w:p>
      <w:pPr>
        <w:spacing w:after="0" w:line="59" w:lineRule="exact"/>
        <w:rPr>
          <w:rFonts w:ascii="Arial" w:cs="Arial" w:eastAsia="Arial" w:hAnsi="Arial"/>
          <w:sz w:val="18"/>
          <w:szCs w:val="18"/>
          <w:color w:val="074A75"/>
        </w:rPr>
      </w:pPr>
    </w:p>
    <w:p>
      <w:pPr>
        <w:ind w:left="200" w:hanging="192"/>
        <w:spacing w:after="0"/>
        <w:tabs>
          <w:tab w:leader="none" w:pos="200" w:val="left"/>
        </w:tabs>
        <w:numPr>
          <w:ilvl w:val="0"/>
          <w:numId w:val="260"/>
        </w:numPr>
        <w:rPr>
          <w:rFonts w:ascii="Arial" w:cs="Arial" w:eastAsia="Arial" w:hAnsi="Arial"/>
          <w:sz w:val="18"/>
          <w:szCs w:val="18"/>
          <w:color w:val="074A75"/>
        </w:rPr>
      </w:pPr>
      <w:r>
        <w:rPr>
          <w:rFonts w:ascii="Arial" w:cs="Arial" w:eastAsia="Arial" w:hAnsi="Arial"/>
          <w:sz w:val="18"/>
          <w:szCs w:val="18"/>
          <w:color w:val="auto"/>
        </w:rPr>
        <w:t>This represents a ratio of 917 to 1, or 346 to 1 excluding the one-time special award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074A75"/>
        </w:rPr>
        <w:t>IDENTIFYING OUR MEDIAN EMPLOYEE</w:t>
      </w:r>
    </w:p>
    <w:p>
      <w:pPr>
        <w:spacing w:after="0" w:line="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our disclosure in the 2021 proxy statement, we identified our estimated median employee using annual total compensation for performance year 2020 based on data from the Firm's global compensation system as of February 28, 2021. Annual total compensation included salary as of December 31, 2020, as well as overtime pay, fixed allowance and incentive compensation, if applicable. We annualized the salary portion of the compensation for employees who were hired during 2020; however, we did not make any full-time equivalent adjustments to part-time, temporary and seasonal employees. We did not apply any cost-of-living adjustments as part of the calculation. In determining the scope of our employees (other than our CEO), we included our global workforce of full-time, part-time, temporary and seasonal employees who were employed as of December 31, 2020.</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believe there were no material changes in our employee population or employee compensation arrangements in 2021 that would have necessitated a change to our CEO pay ratio calculation methodology. Therefore, as permitted under SEC rules, for this year’s disclosure we have used the 2021 annual total compensation of the same estimated median employee that we identified for last year's disclosure.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074A75"/>
        </w:rPr>
        <w:t>COMPARABILITY</w:t>
      </w:r>
    </w:p>
    <w:p>
      <w:pPr>
        <w:spacing w:after="0" w:line="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the ratio above is a reasonable estimate, based on the methodology we have described. Given the different methodologies, exclusions, estimates and assumptions other companies may use to calculate their respective CEO pay ratios, as well as differences in employment and compensation practices between companies, the estimated ratio reported above may not be comparable to that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right="60" w:hanging="192"/>
        <w:spacing w:after="0" w:line="221" w:lineRule="auto"/>
        <w:tabs>
          <w:tab w:leader="none" w:pos="200" w:val="left"/>
        </w:tabs>
        <w:numPr>
          <w:ilvl w:val="0"/>
          <w:numId w:val="261"/>
        </w:numPr>
        <w:rPr>
          <w:rFonts w:ascii="Arial" w:cs="Arial" w:eastAsia="Arial" w:hAnsi="Arial"/>
          <w:sz w:val="16"/>
          <w:szCs w:val="16"/>
          <w:color w:val="auto"/>
          <w:vertAlign w:val="superscript"/>
        </w:rPr>
      </w:pPr>
      <w:r>
        <w:rPr>
          <w:rFonts w:ascii="Arial" w:cs="Arial" w:eastAsia="Arial" w:hAnsi="Arial"/>
          <w:sz w:val="13"/>
          <w:szCs w:val="13"/>
          <w:color w:val="auto"/>
        </w:rPr>
        <w:t>For purposes of the CEO pay ratio disclosure, Mr. Dimon’s annual total compensation includes the amount reported in the “Total” column of the 2021 Summary Compensation Table on page 74, plus the value of Firm-paid healthcare benefits applicable to Mr. Dimon.</w:t>
      </w:r>
    </w:p>
    <w:p>
      <w:pPr>
        <w:ind w:left="200" w:hanging="192"/>
        <w:spacing w:after="0" w:line="203" w:lineRule="auto"/>
        <w:tabs>
          <w:tab w:leader="none" w:pos="200" w:val="left"/>
        </w:tabs>
        <w:numPr>
          <w:ilvl w:val="0"/>
          <w:numId w:val="262"/>
        </w:numPr>
        <w:rPr>
          <w:rFonts w:ascii="Arial" w:cs="Arial" w:eastAsia="Arial" w:hAnsi="Arial"/>
          <w:sz w:val="16"/>
          <w:szCs w:val="16"/>
          <w:color w:val="auto"/>
          <w:vertAlign w:val="superscript"/>
        </w:rPr>
      </w:pPr>
      <w:r>
        <w:rPr>
          <w:rFonts w:ascii="Arial" w:cs="Arial" w:eastAsia="Arial" w:hAnsi="Arial"/>
          <w:sz w:val="13"/>
          <w:szCs w:val="13"/>
          <w:color w:val="auto"/>
        </w:rPr>
        <w:t>The estimated median employee’s Firm-paid employee benefits include healthcare benefits and 401(k) retirement plan contributions.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Security ownership of directors and executive officers</w:t>
      </w:r>
    </w:p>
    <w:p>
      <w:pPr>
        <w:sectPr>
          <w:pgSz w:w="11900" w:h="16838" w:orient="portrait"/>
          <w:cols w:equalWidth="0" w:num="1">
            <w:col w:w="11240"/>
          </w:cols>
          <w:pgMar w:left="320" w:top="157" w:right="339" w:bottom="1440" w:gutter="0" w:footer="0" w:header="0"/>
        </w:sectPr>
      </w:pPr>
    </w:p>
    <w:p>
      <w:pPr>
        <w:spacing w:after="0" w:line="23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share retention policies require share ownership for directors and executive officers, as described on pages 33 and 50, respectively.</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shows the number of shares of common stock and common stock equivalents beneficially owned by each director, the current executive officers named in the SCT, and all directors and executive officers as a group as of February 28, 2022. Shares beneficially owned include shares that could have been acquired within 60 days after that date through the exercise of stock options or SARs, and additional</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underlying stock units as described in Note 2 to the table. Unless otherwise indicated, each individual and member of the group has sole voting power and sole investment power with respect to shares owned. The number of shares beneficially owned, as defined by Rule 13d-3 under the Securities Exchange Act of 1934 —as of February 28, 2022, by all directors and executive officers as a group and by each director and NEO individually—is less than 1% of our outstanding common stock.</w:t>
      </w:r>
    </w:p>
    <w:p>
      <w:pPr>
        <w:spacing w:after="0" w:line="722"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SECURITY OWNERSHIP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00" w:type="dxa"/>
            <w:vAlign w:val="bottom"/>
          </w:tcPr>
          <w:p>
            <w:pPr>
              <w:spacing w:after="0"/>
              <w:rPr>
                <w:sz w:val="19"/>
                <w:szCs w:val="19"/>
                <w:color w:val="auto"/>
              </w:rPr>
            </w:pPr>
          </w:p>
        </w:tc>
        <w:tc>
          <w:tcPr>
            <w:tcW w:w="1080" w:type="dxa"/>
            <w:vAlign w:val="bottom"/>
            <w:tcBorders>
              <w:bottom w:val="single" w:sz="8" w:color="454545"/>
            </w:tcBorders>
          </w:tcPr>
          <w:p>
            <w:pPr>
              <w:spacing w:after="0"/>
              <w:rPr>
                <w:sz w:val="19"/>
                <w:szCs w:val="19"/>
                <w:color w:val="auto"/>
              </w:rPr>
            </w:pPr>
          </w:p>
        </w:tc>
        <w:tc>
          <w:tcPr>
            <w:tcW w:w="1640" w:type="dxa"/>
            <w:vAlign w:val="bottom"/>
            <w:tcBorders>
              <w:bottom w:val="single" w:sz="8" w:color="454545"/>
            </w:tcBorders>
            <w:gridSpan w:val="2"/>
          </w:tcPr>
          <w:p>
            <w:pPr>
              <w:ind w:left="140"/>
              <w:spacing w:after="0"/>
              <w:rPr>
                <w:sz w:val="20"/>
                <w:szCs w:val="20"/>
                <w:color w:val="auto"/>
              </w:rPr>
            </w:pPr>
            <w:r>
              <w:rPr>
                <w:rFonts w:ascii="Arial" w:cs="Arial" w:eastAsia="Arial" w:hAnsi="Arial"/>
                <w:sz w:val="16"/>
                <w:szCs w:val="16"/>
                <w:color w:val="auto"/>
              </w:rPr>
              <w:t>Beneficial ownership</w:t>
            </w:r>
          </w:p>
        </w:tc>
        <w:tc>
          <w:tcPr>
            <w:tcW w:w="1260" w:type="dxa"/>
            <w:vAlign w:val="bottom"/>
            <w:tcBorders>
              <w:bottom w:val="single" w:sz="8" w:color="454545"/>
            </w:tcBorders>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2"/>
        </w:trPr>
        <w:tc>
          <w:tcPr>
            <w:tcW w:w="4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color w:val="074A75"/>
              </w:rPr>
              <w:t>SARs/Options</w:t>
            </w:r>
          </w:p>
        </w:tc>
        <w:tc>
          <w:tcPr>
            <w:tcW w:w="12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074A75"/>
              </w:rPr>
              <w:t>Additional</w:t>
            </w:r>
          </w:p>
        </w:tc>
        <w:tc>
          <w:tcPr>
            <w:tcW w:w="1060" w:type="dxa"/>
            <w:vAlign w:val="bottom"/>
          </w:tcPr>
          <w:p>
            <w:pPr>
              <w:spacing w:after="0"/>
              <w:rPr>
                <w:sz w:val="17"/>
                <w:szCs w:val="17"/>
                <w:color w:val="auto"/>
              </w:rPr>
            </w:pPr>
          </w:p>
        </w:tc>
      </w:tr>
      <w:tr>
        <w:trPr>
          <w:trHeight w:val="189"/>
        </w:trPr>
        <w:tc>
          <w:tcPr>
            <w:tcW w:w="480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074A75"/>
              </w:rPr>
              <w:t>Common</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074A75"/>
              </w:rPr>
              <w:t>exercisable within</w:t>
            </w:r>
          </w:p>
        </w:tc>
        <w:tc>
          <w:tcPr>
            <w:tcW w:w="1260" w:type="dxa"/>
            <w:vAlign w:val="bottom"/>
          </w:tcPr>
          <w:p>
            <w:pPr>
              <w:jc w:val="right"/>
              <w:ind w:right="79"/>
              <w:spacing w:after="0"/>
              <w:rPr>
                <w:sz w:val="20"/>
                <w:szCs w:val="20"/>
                <w:color w:val="auto"/>
              </w:rPr>
            </w:pPr>
            <w:r>
              <w:rPr>
                <w:rFonts w:ascii="Arial" w:cs="Arial" w:eastAsia="Arial" w:hAnsi="Arial"/>
                <w:sz w:val="16"/>
                <w:szCs w:val="16"/>
                <w:color w:val="074A75"/>
              </w:rPr>
              <w:t>Total beneficial</w:t>
            </w:r>
          </w:p>
        </w:tc>
        <w:tc>
          <w:tcPr>
            <w:tcW w:w="1400" w:type="dxa"/>
            <w:vAlign w:val="bottom"/>
          </w:tcPr>
          <w:p>
            <w:pPr>
              <w:jc w:val="center"/>
              <w:spacing w:after="0"/>
              <w:rPr>
                <w:sz w:val="20"/>
                <w:szCs w:val="20"/>
                <w:color w:val="auto"/>
              </w:rPr>
            </w:pPr>
            <w:r>
              <w:rPr>
                <w:rFonts w:ascii="Arial" w:cs="Arial" w:eastAsia="Arial" w:hAnsi="Arial"/>
                <w:sz w:val="16"/>
                <w:szCs w:val="16"/>
                <w:color w:val="074A75"/>
              </w:rPr>
              <w:t>underlying stock</w:t>
            </w:r>
          </w:p>
        </w:tc>
        <w:tc>
          <w:tcPr>
            <w:tcW w:w="1060" w:type="dxa"/>
            <w:vAlign w:val="bottom"/>
          </w:tcPr>
          <w:p>
            <w:pPr>
              <w:spacing w:after="0"/>
              <w:rPr>
                <w:sz w:val="16"/>
                <w:szCs w:val="16"/>
                <w:color w:val="auto"/>
              </w:rPr>
            </w:pPr>
          </w:p>
        </w:tc>
      </w:tr>
      <w:tr>
        <w:trPr>
          <w:trHeight w:val="230"/>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080" w:type="dxa"/>
            <w:vAlign w:val="bottom"/>
            <w:tcBorders>
              <w:bottom w:val="single" w:sz="8" w:color="454545"/>
            </w:tcBorders>
          </w:tcPr>
          <w:p>
            <w:pPr>
              <w:jc w:val="right"/>
              <w:ind w:right="119"/>
              <w:spacing w:after="0" w:line="230" w:lineRule="exact"/>
              <w:rPr>
                <w:sz w:val="20"/>
                <w:szCs w:val="20"/>
                <w:color w:val="auto"/>
              </w:rPr>
            </w:pPr>
            <w:r>
              <w:rPr>
                <w:rFonts w:ascii="Arial" w:cs="Arial" w:eastAsia="Arial" w:hAnsi="Arial"/>
                <w:sz w:val="16"/>
                <w:szCs w:val="16"/>
                <w:color w:val="074A75"/>
              </w:rPr>
              <w:t>Stock (#)</w:t>
            </w:r>
            <w:r>
              <w:rPr>
                <w:rFonts w:ascii="Arial" w:cs="Arial" w:eastAsia="Arial" w:hAnsi="Arial"/>
                <w:sz w:val="21"/>
                <w:szCs w:val="21"/>
                <w:color w:val="074A75"/>
                <w:vertAlign w:val="superscript"/>
              </w:rPr>
              <w:t>1</w:t>
            </w:r>
          </w:p>
        </w:tc>
        <w:tc>
          <w:tcPr>
            <w:tcW w:w="1640" w:type="dxa"/>
            <w:vAlign w:val="bottom"/>
            <w:tcBorders>
              <w:bottom w:val="single" w:sz="8" w:color="454545"/>
            </w:tcBorders>
            <w:gridSpan w:val="2"/>
          </w:tcPr>
          <w:p>
            <w:pPr>
              <w:jc w:val="center"/>
              <w:ind w:right="120"/>
              <w:spacing w:after="0"/>
              <w:rPr>
                <w:sz w:val="20"/>
                <w:szCs w:val="20"/>
                <w:color w:val="auto"/>
              </w:rPr>
            </w:pPr>
            <w:r>
              <w:rPr>
                <w:rFonts w:ascii="Arial" w:cs="Arial" w:eastAsia="Arial" w:hAnsi="Arial"/>
                <w:sz w:val="16"/>
                <w:szCs w:val="16"/>
                <w:color w:val="074A75"/>
                <w:w w:val="99"/>
              </w:rPr>
              <w:t>60 days (#)</w:t>
            </w:r>
          </w:p>
        </w:tc>
        <w:tc>
          <w:tcPr>
            <w:tcW w:w="126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074A75"/>
              </w:rPr>
              <w:t>ownership (#)</w:t>
            </w:r>
          </w:p>
        </w:tc>
        <w:tc>
          <w:tcPr>
            <w:tcW w:w="1400" w:type="dxa"/>
            <w:vAlign w:val="bottom"/>
            <w:tcBorders>
              <w:bottom w:val="single" w:sz="8" w:color="454545"/>
            </w:tcBorders>
          </w:tcPr>
          <w:p>
            <w:pPr>
              <w:jc w:val="center"/>
              <w:spacing w:after="0" w:line="230" w:lineRule="exact"/>
              <w:rPr>
                <w:sz w:val="20"/>
                <w:szCs w:val="20"/>
                <w:color w:val="auto"/>
              </w:rPr>
            </w:pPr>
            <w:r>
              <w:rPr>
                <w:rFonts w:ascii="Arial" w:cs="Arial" w:eastAsia="Arial" w:hAnsi="Arial"/>
                <w:sz w:val="16"/>
                <w:szCs w:val="16"/>
                <w:color w:val="074A75"/>
                <w:w w:val="97"/>
              </w:rPr>
              <w:t>units (#)</w:t>
            </w:r>
            <w:r>
              <w:rPr>
                <w:rFonts w:ascii="Arial" w:cs="Arial" w:eastAsia="Arial" w:hAnsi="Arial"/>
                <w:sz w:val="21"/>
                <w:szCs w:val="21"/>
                <w:color w:val="074A75"/>
                <w:w w:val="97"/>
                <w:vertAlign w:val="superscript"/>
              </w:rPr>
              <w:t>2</w:t>
            </w:r>
          </w:p>
        </w:tc>
        <w:tc>
          <w:tcPr>
            <w:tcW w:w="1060" w:type="dxa"/>
            <w:vAlign w:val="bottom"/>
            <w:tcBorders>
              <w:bottom w:val="single" w:sz="8" w:color="454545"/>
            </w:tcBorders>
          </w:tcPr>
          <w:p>
            <w:pPr>
              <w:jc w:val="right"/>
              <w:ind w:right="159"/>
              <w:spacing w:after="0"/>
              <w:rPr>
                <w:sz w:val="20"/>
                <w:szCs w:val="20"/>
                <w:color w:val="auto"/>
              </w:rPr>
            </w:pPr>
            <w:r>
              <w:rPr>
                <w:rFonts w:ascii="Arial" w:cs="Arial" w:eastAsia="Arial" w:hAnsi="Arial"/>
                <w:sz w:val="16"/>
                <w:szCs w:val="16"/>
                <w:color w:val="074A75"/>
              </w:rPr>
              <w:t>Total (#)</w:t>
            </w:r>
          </w:p>
        </w:tc>
      </w:tr>
      <w:tr>
        <w:trPr>
          <w:trHeight w:val="233"/>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Stephen B. Burke</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107,107</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107,107</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130,006</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237,113</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65,986</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65,986</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28,336</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94,322</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Jeremy Barnum</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16,953</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16,953</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44,740</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61,693</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13,016</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13,016</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14,008</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27,024</w:t>
            </w:r>
          </w:p>
        </w:tc>
      </w:tr>
      <w:tr>
        <w:trPr>
          <w:trHeight w:val="281"/>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S. Crown</w:t>
            </w:r>
            <w:r>
              <w:rPr>
                <w:rFonts w:ascii="Arial" w:cs="Arial" w:eastAsia="Arial" w:hAnsi="Arial"/>
                <w:sz w:val="21"/>
                <w:szCs w:val="21"/>
                <w:b w:val="1"/>
                <w:bCs w:val="1"/>
                <w:color w:val="auto"/>
                <w:vertAlign w:val="superscript"/>
              </w:rPr>
              <w:t>3</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12,282,729</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12,282,729</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204,039</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12,486,768</w:t>
            </w:r>
          </w:p>
        </w:tc>
      </w:tr>
      <w:tr>
        <w:trPr>
          <w:trHeight w:val="27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r>
              <w:rPr>
                <w:rFonts w:ascii="Arial" w:cs="Arial" w:eastAsia="Arial" w:hAnsi="Arial"/>
                <w:sz w:val="21"/>
                <w:szCs w:val="21"/>
                <w:b w:val="1"/>
                <w:bCs w:val="1"/>
                <w:color w:val="auto"/>
                <w:vertAlign w:val="superscript"/>
              </w:rPr>
              <w:t>4</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8,487,173</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8,487,173</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651,047</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9,138,220</w:t>
            </w:r>
          </w:p>
        </w:tc>
      </w:tr>
      <w:tr>
        <w:trPr>
          <w:trHeight w:val="27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r>
              <w:rPr>
                <w:rFonts w:ascii="Arial" w:cs="Arial" w:eastAsia="Arial" w:hAnsi="Arial"/>
                <w:sz w:val="21"/>
                <w:szCs w:val="21"/>
                <w:b w:val="1"/>
                <w:bCs w:val="1"/>
                <w:color w:val="auto"/>
                <w:vertAlign w:val="superscript"/>
              </w:rPr>
              <w:t>5</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524,210</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524,210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260,317</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784,527</w:t>
            </w:r>
          </w:p>
        </w:tc>
      </w:tr>
      <w:tr>
        <w:trPr>
          <w:trHeight w:val="233"/>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Timothy P. Flynn</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10,000</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10,000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51,068</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61,068</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129,199</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129,199</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13,251</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142,450</w:t>
            </w:r>
          </w:p>
        </w:tc>
      </w:tr>
      <w:tr>
        <w:trPr>
          <w:trHeight w:val="236"/>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Michael A. Neal</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9,050</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9,050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39,912</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48,962</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500</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3,470</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3,970</w:t>
            </w:r>
          </w:p>
        </w:tc>
      </w:tr>
      <w:tr>
        <w:trPr>
          <w:trHeight w:val="236"/>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15,803</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15,803</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111,735</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127,538</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577,237</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104,603</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681,840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683,015</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1,364,855</w:t>
            </w:r>
          </w:p>
        </w:tc>
      </w:tr>
      <w:tr>
        <w:trPr>
          <w:trHeight w:val="236"/>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280</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280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5,003</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5,283</w:t>
            </w:r>
          </w:p>
        </w:tc>
      </w:tr>
      <w:tr>
        <w:trPr>
          <w:trHeight w:val="240"/>
        </w:trPr>
        <w:tc>
          <w:tcPr>
            <w:tcW w:w="4800" w:type="dxa"/>
            <w:vAlign w:val="bottom"/>
            <w:tcBorders>
              <w:right w:val="single" w:sz="8" w:color="454545"/>
            </w:tcBorders>
          </w:tcPr>
          <w:p>
            <w:pPr>
              <w:ind w:left="20"/>
              <w:spacing w:after="0"/>
              <w:rPr>
                <w:sz w:val="20"/>
                <w:szCs w:val="20"/>
                <w:color w:val="auto"/>
              </w:rPr>
            </w:pPr>
            <w:r>
              <w:rPr>
                <w:rFonts w:ascii="Arial" w:cs="Arial" w:eastAsia="Arial" w:hAnsi="Arial"/>
                <w:sz w:val="16"/>
                <w:szCs w:val="16"/>
                <w:b w:val="1"/>
                <w:bCs w:val="1"/>
                <w:color w:val="auto"/>
              </w:rPr>
              <w:t>All directors and current executive officers</w:t>
            </w:r>
          </w:p>
        </w:tc>
        <w:tc>
          <w:tcPr>
            <w:tcW w:w="1080" w:type="dxa"/>
            <w:vAlign w:val="bottom"/>
            <w:tcBorders>
              <w:right w:val="single" w:sz="8" w:color="454545"/>
            </w:tcBorders>
          </w:tcPr>
          <w:p>
            <w:pPr>
              <w:spacing w:after="0"/>
              <w:rPr>
                <w:sz w:val="20"/>
                <w:szCs w:val="20"/>
                <w:color w:val="auto"/>
              </w:rPr>
            </w:pPr>
          </w:p>
        </w:tc>
        <w:tc>
          <w:tcPr>
            <w:tcW w:w="1540" w:type="dxa"/>
            <w:vAlign w:val="bottom"/>
            <w:tcBorders>
              <w:right w:val="single" w:sz="8" w:color="454545"/>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right w:val="single" w:sz="8" w:color="454545"/>
            </w:tcBorders>
          </w:tcPr>
          <w:p>
            <w:pPr>
              <w:spacing w:after="0"/>
              <w:rPr>
                <w:sz w:val="20"/>
                <w:szCs w:val="20"/>
                <w:color w:val="auto"/>
              </w:rPr>
            </w:pPr>
          </w:p>
        </w:tc>
        <w:tc>
          <w:tcPr>
            <w:tcW w:w="1400" w:type="dxa"/>
            <w:vAlign w:val="bottom"/>
            <w:tcBorders>
              <w:right w:val="single" w:sz="8" w:color="454545"/>
            </w:tcBorders>
          </w:tcPr>
          <w:p>
            <w:pPr>
              <w:spacing w:after="0"/>
              <w:rPr>
                <w:sz w:val="20"/>
                <w:szCs w:val="20"/>
                <w:color w:val="auto"/>
              </w:rPr>
            </w:pPr>
          </w:p>
        </w:tc>
        <w:tc>
          <w:tcPr>
            <w:tcW w:w="1060" w:type="dxa"/>
            <w:vAlign w:val="bottom"/>
          </w:tcPr>
          <w:p>
            <w:pPr>
              <w:spacing w:after="0"/>
              <w:rPr>
                <w:sz w:val="20"/>
                <w:szCs w:val="20"/>
                <w:color w:val="auto"/>
              </w:rPr>
            </w:pPr>
          </w:p>
        </w:tc>
      </w:tr>
      <w:tr>
        <w:trPr>
          <w:trHeight w:val="244"/>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as a group (21 persons)</w:t>
            </w:r>
            <w:r>
              <w:rPr>
                <w:rFonts w:ascii="Arial" w:cs="Arial" w:eastAsia="Arial" w:hAnsi="Arial"/>
                <w:sz w:val="21"/>
                <w:szCs w:val="21"/>
                <w:b w:val="1"/>
                <w:bCs w:val="1"/>
                <w:color w:val="auto"/>
                <w:vertAlign w:val="superscript"/>
              </w:rPr>
              <w:t>3, 5</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23,126,861</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104,603</w:t>
            </w:r>
          </w:p>
        </w:tc>
        <w:tc>
          <w:tcPr>
            <w:tcW w:w="100" w:type="dxa"/>
            <w:vAlign w:val="bottom"/>
            <w:tcBorders>
              <w:bottom w:val="single" w:sz="8" w:color="454545"/>
            </w:tcBorders>
          </w:tcPr>
          <w:p>
            <w:pPr>
              <w:spacing w:after="0"/>
              <w:rPr>
                <w:sz w:val="21"/>
                <w:szCs w:val="21"/>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23,231,464</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3,114,805</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26,346,269</w:t>
            </w:r>
          </w:p>
        </w:tc>
      </w:tr>
    </w:tbl>
    <w:p>
      <w:pPr>
        <w:spacing w:after="0" w:line="90" w:lineRule="exact"/>
        <w:rPr>
          <w:sz w:val="20"/>
          <w:szCs w:val="20"/>
          <w:color w:val="auto"/>
        </w:rPr>
      </w:pPr>
    </w:p>
    <w:p>
      <w:pPr>
        <w:ind w:left="200" w:right="60" w:hanging="192"/>
        <w:spacing w:after="0" w:line="221" w:lineRule="auto"/>
        <w:tabs>
          <w:tab w:leader="none" w:pos="200" w:val="left"/>
        </w:tabs>
        <w:numPr>
          <w:ilvl w:val="0"/>
          <w:numId w:val="263"/>
        </w:numPr>
        <w:rPr>
          <w:rFonts w:ascii="Arial" w:cs="Arial" w:eastAsia="Arial" w:hAnsi="Arial"/>
          <w:sz w:val="16"/>
          <w:szCs w:val="16"/>
          <w:color w:val="auto"/>
          <w:vertAlign w:val="superscript"/>
        </w:rPr>
      </w:pPr>
      <w:r>
        <w:rPr>
          <w:rFonts w:ascii="Arial" w:cs="Arial" w:eastAsia="Arial" w:hAnsi="Arial"/>
          <w:sz w:val="13"/>
          <w:szCs w:val="13"/>
          <w:color w:val="auto"/>
        </w:rPr>
        <w:t>Shares owned outright, except as otherwise noted. Directors agree to retain all shares of common stock of JPMorgan Chase purchased on the open market or received pursuant to their service as a Board member for as long as they serve on the Board.</w:t>
      </w:r>
    </w:p>
    <w:p>
      <w:pPr>
        <w:spacing w:after="0" w:line="1" w:lineRule="exact"/>
        <w:rPr>
          <w:sz w:val="20"/>
          <w:szCs w:val="20"/>
          <w:color w:val="auto"/>
        </w:rPr>
      </w:pPr>
    </w:p>
    <w:p>
      <w:pPr>
        <w:ind w:left="200" w:right="20" w:hanging="192"/>
        <w:spacing w:after="0" w:line="238" w:lineRule="auto"/>
        <w:tabs>
          <w:tab w:leader="none" w:pos="200" w:val="left"/>
        </w:tabs>
        <w:numPr>
          <w:ilvl w:val="0"/>
          <w:numId w:val="264"/>
        </w:numPr>
        <w:rPr>
          <w:rFonts w:ascii="Arial" w:cs="Arial" w:eastAsia="Arial" w:hAnsi="Arial"/>
          <w:sz w:val="15"/>
          <w:szCs w:val="15"/>
          <w:color w:val="auto"/>
          <w:vertAlign w:val="superscript"/>
        </w:rPr>
      </w:pPr>
      <w:r>
        <w:rPr>
          <w:rFonts w:ascii="Arial" w:cs="Arial" w:eastAsia="Arial" w:hAnsi="Arial"/>
          <w:sz w:val="12"/>
          <w:szCs w:val="12"/>
          <w:color w:val="auto"/>
        </w:rPr>
        <w:t>Amounts include for directors and executive officers, shares or deferred stock units, receipt of which has been deferred under deferred compensation plan arrangements. For executive officers, amounts also include unvested RSUs and unvested PSUs (including accumulated reinvested dividend equivalent shares), as well as share equivalents attributable under the JPMorgan Chase 401(k) Savings Plan. The ultimate number of PSUs earned at vesting is formulaically determined, with potential payout value ranging from 0% to 150%. Additional details on the PSU program are provided</w:t>
      </w:r>
    </w:p>
    <w:p>
      <w:pPr>
        <w:ind w:left="200"/>
        <w:spacing w:after="0"/>
        <w:rPr>
          <w:sz w:val="20"/>
          <w:szCs w:val="20"/>
          <w:color w:val="auto"/>
        </w:rPr>
      </w:pPr>
      <w:r>
        <w:rPr>
          <w:rFonts w:ascii="Arial" w:cs="Arial" w:eastAsia="Arial" w:hAnsi="Arial"/>
          <w:sz w:val="13"/>
          <w:szCs w:val="13"/>
          <w:color w:val="auto"/>
        </w:rPr>
        <w:t>on pages 47-49.</w:t>
      </w:r>
    </w:p>
    <w:p>
      <w:pPr>
        <w:ind w:left="200" w:right="100" w:hanging="192"/>
        <w:spacing w:after="0" w:line="230" w:lineRule="auto"/>
        <w:tabs>
          <w:tab w:leader="none" w:pos="200" w:val="left"/>
        </w:tabs>
        <w:numPr>
          <w:ilvl w:val="0"/>
          <w:numId w:val="265"/>
        </w:numPr>
        <w:rPr>
          <w:rFonts w:ascii="Arial" w:cs="Arial" w:eastAsia="Arial" w:hAnsi="Arial"/>
          <w:sz w:val="15"/>
          <w:szCs w:val="15"/>
          <w:color w:val="auto"/>
          <w:vertAlign w:val="superscript"/>
        </w:rPr>
      </w:pPr>
      <w:r>
        <w:rPr>
          <w:rFonts w:ascii="Arial" w:cs="Arial" w:eastAsia="Arial" w:hAnsi="Arial"/>
          <w:sz w:val="12"/>
          <w:szCs w:val="12"/>
          <w:color w:val="auto"/>
        </w:rPr>
        <w:t>Includes 167,846 shares Mr. Crown owns individually; 37,150 shares owned by Mr. Crown’s spouse; and 38,140 shares held in trusts for the benefit of his children. None of such shares are pledged or held in margin accounts. Also includes 12,039,593 shares owned by entities as to which Mr. Crown disclaims beneficial ownership, except to the extent of his pecuniary interest therein. Of such</w:t>
      </w:r>
    </w:p>
    <w:p>
      <w:pPr>
        <w:ind w:left="200"/>
        <w:spacing w:after="0"/>
        <w:rPr>
          <w:sz w:val="20"/>
          <w:szCs w:val="20"/>
          <w:color w:val="auto"/>
        </w:rPr>
      </w:pPr>
      <w:r>
        <w:rPr>
          <w:rFonts w:ascii="Arial" w:cs="Arial" w:eastAsia="Arial" w:hAnsi="Arial"/>
          <w:sz w:val="12"/>
          <w:szCs w:val="12"/>
          <w:color w:val="auto"/>
        </w:rPr>
        <w:t>shares (and for all directors and current executive officers as a group) 11,871,288 shares may be pledged or held by brokers in margin loan accounts, whether or not there are loans outstanding.</w:t>
      </w:r>
    </w:p>
    <w:p>
      <w:pPr>
        <w:ind w:left="200" w:hanging="192"/>
        <w:spacing w:after="0" w:line="206" w:lineRule="auto"/>
        <w:tabs>
          <w:tab w:leader="none" w:pos="200" w:val="left"/>
        </w:tabs>
        <w:numPr>
          <w:ilvl w:val="0"/>
          <w:numId w:val="266"/>
        </w:numPr>
        <w:rPr>
          <w:rFonts w:ascii="Arial" w:cs="Arial" w:eastAsia="Arial" w:hAnsi="Arial"/>
          <w:sz w:val="16"/>
          <w:szCs w:val="16"/>
          <w:color w:val="auto"/>
          <w:vertAlign w:val="superscript"/>
        </w:rPr>
      </w:pPr>
      <w:r>
        <w:rPr>
          <w:rFonts w:ascii="Arial" w:cs="Arial" w:eastAsia="Arial" w:hAnsi="Arial"/>
          <w:sz w:val="13"/>
          <w:szCs w:val="13"/>
          <w:color w:val="auto"/>
        </w:rPr>
        <w:t>Includes 152,940 shares owned by entities as to which Mr. Dimon disclaims beneficial ownership, except to the extent of his pecuniary interest therein.</w:t>
      </w:r>
    </w:p>
    <w:p>
      <w:pPr>
        <w:spacing w:after="0" w:line="1" w:lineRule="exact"/>
        <w:rPr>
          <w:sz w:val="20"/>
          <w:szCs w:val="20"/>
          <w:color w:val="auto"/>
        </w:rPr>
      </w:pPr>
    </w:p>
    <w:p>
      <w:pPr>
        <w:ind w:left="200" w:right="440" w:hanging="192"/>
        <w:spacing w:after="0" w:line="218" w:lineRule="auto"/>
        <w:tabs>
          <w:tab w:leader="none" w:pos="200" w:val="left"/>
        </w:tabs>
        <w:numPr>
          <w:ilvl w:val="0"/>
          <w:numId w:val="267"/>
        </w:numPr>
        <w:rPr>
          <w:rFonts w:ascii="Arial" w:cs="Arial" w:eastAsia="Arial" w:hAnsi="Arial"/>
          <w:sz w:val="16"/>
          <w:szCs w:val="16"/>
          <w:color w:val="auto"/>
          <w:vertAlign w:val="superscript"/>
        </w:rPr>
      </w:pPr>
      <w:r>
        <w:rPr>
          <w:rFonts w:ascii="Arial" w:cs="Arial" w:eastAsia="Arial" w:hAnsi="Arial"/>
          <w:sz w:val="13"/>
          <w:szCs w:val="13"/>
          <w:color w:val="auto"/>
        </w:rPr>
        <w:t>As of February 28, 2022, Ms. Erdoes held 51,000 depositary shares, each representing a one-tenth interest in a share of JPMorgan Chase’s Fixed-to-Floating Rate Non-Cumulative Perpetual Preferred Stock, Series HH (“Series HH Preferred”). Ms. Erdoes is the only director or executive officer who owns shares of the Series HH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497840</wp:posOffset>
            </wp:positionV>
            <wp:extent cx="27432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83  </w:t>
      </w:r>
      <w:r>
        <w:rPr>
          <w:sz w:val="1"/>
          <w:szCs w:val="1"/>
          <w:color w:val="auto"/>
        </w:rPr>
        <w:drawing>
          <wp:inline distT="0" distB="0" distL="0" distR="0">
            <wp:extent cx="2203450" cy="154305"/>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3460"/>
        <w:spacing w:after="0"/>
        <w:rPr>
          <w:sz w:val="20"/>
          <w:szCs w:val="20"/>
          <w:color w:val="auto"/>
        </w:rPr>
      </w:pPr>
      <w:r>
        <w:rPr>
          <w:rFonts w:ascii="Arial" w:cs="Arial" w:eastAsia="Arial" w:hAnsi="Arial"/>
          <w:sz w:val="16"/>
          <w:szCs w:val="16"/>
          <w:color w:val="074A75"/>
        </w:rPr>
        <w:t xml:space="preserve">SECURITY OWNERSHIP OF DIRECTORS AND EXECUTIVE OFFICERS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Pursuant to SEC filings, the companies included in the table below were the beneficial owners of more than 5% of our outstanding common stock as of December 31,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074A75"/>
              </w:rPr>
              <w:t>Common stock</w:t>
            </w:r>
          </w:p>
        </w:tc>
        <w:tc>
          <w:tcPr>
            <w:tcW w:w="1000" w:type="dxa"/>
            <w:vAlign w:val="bottom"/>
          </w:tcPr>
          <w:p>
            <w:pPr>
              <w:jc w:val="right"/>
              <w:ind w:right="159"/>
              <w:spacing w:after="0"/>
              <w:rPr>
                <w:sz w:val="20"/>
                <w:szCs w:val="20"/>
                <w:color w:val="auto"/>
              </w:rPr>
            </w:pPr>
            <w:r>
              <w:rPr>
                <w:rFonts w:ascii="Arial" w:cs="Arial" w:eastAsia="Arial" w:hAnsi="Arial"/>
                <w:sz w:val="16"/>
                <w:szCs w:val="16"/>
                <w:color w:val="074A75"/>
              </w:rPr>
              <w:t>Percent</w:t>
            </w:r>
          </w:p>
        </w:tc>
      </w:tr>
      <w:tr>
        <w:trPr>
          <w:trHeight w:val="224"/>
        </w:trPr>
        <w:tc>
          <w:tcPr>
            <w:tcW w:w="43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 of beneficial owner</w:t>
            </w:r>
          </w:p>
        </w:tc>
        <w:tc>
          <w:tcPr>
            <w:tcW w:w="45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074A75"/>
              </w:rPr>
              <w:t>Address of beneficial owner</w:t>
            </w:r>
          </w:p>
        </w:tc>
        <w:tc>
          <w:tcPr>
            <w:tcW w:w="1380" w:type="dxa"/>
            <w:vAlign w:val="bottom"/>
            <w:tcBorders>
              <w:bottom w:val="single" w:sz="8" w:color="454545"/>
            </w:tcBorders>
          </w:tcPr>
          <w:p>
            <w:pPr>
              <w:jc w:val="right"/>
              <w:ind w:right="319"/>
              <w:spacing w:after="0"/>
              <w:rPr>
                <w:sz w:val="20"/>
                <w:szCs w:val="20"/>
                <w:color w:val="auto"/>
              </w:rPr>
            </w:pPr>
            <w:r>
              <w:rPr>
                <w:rFonts w:ascii="Arial" w:cs="Arial" w:eastAsia="Arial" w:hAnsi="Arial"/>
                <w:sz w:val="16"/>
                <w:szCs w:val="16"/>
                <w:color w:val="074A75"/>
              </w:rPr>
              <w:t>owned (#)</w:t>
            </w:r>
          </w:p>
        </w:tc>
        <w:tc>
          <w:tcPr>
            <w:tcW w:w="100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074A75"/>
              </w:rPr>
              <w:t>owned (%)</w:t>
            </w:r>
          </w:p>
        </w:tc>
      </w:tr>
      <w:tr>
        <w:trPr>
          <w:trHeight w:val="202"/>
        </w:trPr>
        <w:tc>
          <w:tcPr>
            <w:tcW w:w="4320" w:type="dxa"/>
            <w:vAlign w:val="bottom"/>
          </w:tcPr>
          <w:p>
            <w:pPr>
              <w:ind w:left="20"/>
              <w:spacing w:after="0" w:line="202" w:lineRule="exact"/>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1</w:t>
            </w:r>
          </w:p>
        </w:tc>
        <w:tc>
          <w:tcPr>
            <w:tcW w:w="4540" w:type="dxa"/>
            <w:vAlign w:val="bottom"/>
          </w:tcPr>
          <w:p>
            <w:pPr>
              <w:jc w:val="right"/>
              <w:ind w:right="19"/>
              <w:spacing w:after="0"/>
              <w:rPr>
                <w:sz w:val="20"/>
                <w:szCs w:val="20"/>
                <w:color w:val="auto"/>
              </w:rPr>
            </w:pPr>
            <w:r>
              <w:rPr>
                <w:rFonts w:ascii="Arial" w:cs="Arial" w:eastAsia="Arial" w:hAnsi="Arial"/>
                <w:sz w:val="16"/>
                <w:szCs w:val="16"/>
                <w:color w:val="auto"/>
              </w:rPr>
              <w:t>100 Vanguard Blvd.</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4320" w:type="dxa"/>
            <w:vAlign w:val="bottom"/>
            <w:tcBorders>
              <w:bottom w:val="single" w:sz="8" w:color="454545"/>
            </w:tcBorders>
          </w:tcPr>
          <w:p>
            <w:pPr>
              <w:spacing w:after="0"/>
              <w:rPr>
                <w:sz w:val="19"/>
                <w:szCs w:val="19"/>
                <w:color w:val="auto"/>
              </w:rPr>
            </w:pPr>
          </w:p>
        </w:tc>
        <w:tc>
          <w:tcPr>
            <w:tcW w:w="45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Malvern, PA 19355</w:t>
            </w:r>
          </w:p>
        </w:tc>
        <w:tc>
          <w:tcPr>
            <w:tcW w:w="13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260,062,354</w:t>
            </w:r>
          </w:p>
        </w:tc>
        <w:tc>
          <w:tcPr>
            <w:tcW w:w="10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8.80</w:t>
            </w:r>
          </w:p>
        </w:tc>
      </w:tr>
      <w:tr>
        <w:trPr>
          <w:trHeight w:val="202"/>
        </w:trPr>
        <w:tc>
          <w:tcPr>
            <w:tcW w:w="4320" w:type="dxa"/>
            <w:vAlign w:val="bottom"/>
          </w:tcPr>
          <w:p>
            <w:pPr>
              <w:ind w:left="20"/>
              <w:spacing w:after="0" w:line="202" w:lineRule="exact"/>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2</w:t>
            </w:r>
          </w:p>
        </w:tc>
        <w:tc>
          <w:tcPr>
            <w:tcW w:w="4540" w:type="dxa"/>
            <w:vAlign w:val="bottom"/>
          </w:tcPr>
          <w:p>
            <w:pPr>
              <w:jc w:val="right"/>
              <w:ind w:right="19"/>
              <w:spacing w:after="0"/>
              <w:rPr>
                <w:sz w:val="20"/>
                <w:szCs w:val="20"/>
                <w:color w:val="auto"/>
              </w:rPr>
            </w:pPr>
            <w:r>
              <w:rPr>
                <w:rFonts w:ascii="Arial" w:cs="Arial" w:eastAsia="Arial" w:hAnsi="Arial"/>
                <w:sz w:val="16"/>
                <w:szCs w:val="16"/>
                <w:color w:val="auto"/>
              </w:rPr>
              <w:t>55 East 52nd Street</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4320" w:type="dxa"/>
            <w:vAlign w:val="bottom"/>
            <w:tcBorders>
              <w:bottom w:val="single" w:sz="8" w:color="454545"/>
            </w:tcBorders>
          </w:tcPr>
          <w:p>
            <w:pPr>
              <w:spacing w:after="0"/>
              <w:rPr>
                <w:sz w:val="19"/>
                <w:szCs w:val="19"/>
                <w:color w:val="auto"/>
              </w:rPr>
            </w:pPr>
          </w:p>
        </w:tc>
        <w:tc>
          <w:tcPr>
            <w:tcW w:w="45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New York, NY 10055</w:t>
            </w:r>
          </w:p>
        </w:tc>
        <w:tc>
          <w:tcPr>
            <w:tcW w:w="13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192,249,551</w:t>
            </w:r>
          </w:p>
        </w:tc>
        <w:tc>
          <w:tcPr>
            <w:tcW w:w="10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6.50</w:t>
            </w:r>
          </w:p>
        </w:tc>
      </w:tr>
    </w:tbl>
    <w:p>
      <w:pPr>
        <w:spacing w:after="0" w:line="77" w:lineRule="exact"/>
        <w:rPr>
          <w:sz w:val="20"/>
          <w:szCs w:val="20"/>
          <w:color w:val="auto"/>
        </w:rPr>
      </w:pPr>
    </w:p>
    <w:p>
      <w:pPr>
        <w:ind w:left="200" w:right="120" w:hanging="192"/>
        <w:spacing w:after="0" w:line="220" w:lineRule="auto"/>
        <w:tabs>
          <w:tab w:leader="none" w:pos="200" w:val="left"/>
        </w:tabs>
        <w:numPr>
          <w:ilvl w:val="0"/>
          <w:numId w:val="268"/>
        </w:numPr>
        <w:rPr>
          <w:rFonts w:ascii="Arial" w:cs="Arial" w:eastAsia="Arial" w:hAnsi="Arial"/>
          <w:sz w:val="16"/>
          <w:szCs w:val="16"/>
          <w:color w:val="auto"/>
          <w:vertAlign w:val="superscript"/>
        </w:rPr>
      </w:pPr>
      <w:r>
        <w:rPr>
          <w:rFonts w:ascii="Arial" w:cs="Arial" w:eastAsia="Arial" w:hAnsi="Arial"/>
          <w:sz w:val="13"/>
          <w:szCs w:val="13"/>
          <w:color w:val="auto"/>
        </w:rPr>
        <w:t>The Vanguard Group owns the above holdings in its capacity as an investment advisor in accordance with SEC Rule 13d-1(b)(1)(ii)(E). According to the Schedule 13G dated February 9, 2022, filed with the SEC, in the aggregate, Vanguard (including the affiliated entities identified in the Schedule 13G) has sole dispositive power over 247,909,883 shares, shared dispositive power over 12,152,471 shares, sole voting power over 0 shares and shared voting power over 4,675,911 shares of our common stock.</w:t>
      </w:r>
    </w:p>
    <w:p>
      <w:pPr>
        <w:spacing w:after="0" w:line="3" w:lineRule="exact"/>
        <w:rPr>
          <w:sz w:val="20"/>
          <w:szCs w:val="20"/>
          <w:color w:val="auto"/>
        </w:rPr>
      </w:pPr>
    </w:p>
    <w:p>
      <w:pPr>
        <w:ind w:left="200" w:right="80" w:hanging="192"/>
        <w:spacing w:after="0" w:line="230" w:lineRule="auto"/>
        <w:tabs>
          <w:tab w:leader="none" w:pos="200" w:val="left"/>
        </w:tabs>
        <w:numPr>
          <w:ilvl w:val="0"/>
          <w:numId w:val="269"/>
        </w:numPr>
        <w:rPr>
          <w:rFonts w:ascii="Arial" w:cs="Arial" w:eastAsia="Arial" w:hAnsi="Arial"/>
          <w:sz w:val="16"/>
          <w:szCs w:val="16"/>
          <w:color w:val="auto"/>
          <w:vertAlign w:val="superscript"/>
        </w:rPr>
      </w:pPr>
      <w:r>
        <w:rPr>
          <w:rFonts w:ascii="Arial" w:cs="Arial" w:eastAsia="Arial" w:hAnsi="Arial"/>
          <w:sz w:val="13"/>
          <w:szCs w:val="13"/>
          <w:color w:val="auto"/>
        </w:rPr>
        <w:t>BlackRock, Inc. owns the above holdings in its capacity as a parent holding company or control person in accordance with SEC Rule 13d-1(b)(1)(ii)(G). According to the Schedule 13G dated February 1, 2022, filed with the SEC, in the aggregate, BlackRock (including the affiliated entities identified in the Schedule 13G) has sole dispositive power over 192,249,551 shares and sole voting power over 166,168,863 shares of our common stock.</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43"/>
          <w:szCs w:val="43"/>
          <w:color w:val="074A75"/>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074A75"/>
        </w:rPr>
        <w:t>Proposal 3: Ratification of independent registered public accounting firm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00" w:type="dxa"/>
            <w:vAlign w:val="bottom"/>
          </w:tcPr>
          <w:p>
            <w:pPr>
              <w:ind w:left="20"/>
              <w:spacing w:after="0"/>
              <w:rPr>
                <w:sz w:val="20"/>
                <w:szCs w:val="20"/>
                <w:color w:val="auto"/>
              </w:rPr>
            </w:pPr>
            <w:r>
              <w:rPr>
                <w:rFonts w:ascii="Arial" w:cs="Arial" w:eastAsia="Arial" w:hAnsi="Arial"/>
                <w:sz w:val="18"/>
                <w:szCs w:val="18"/>
                <w:color w:val="auto"/>
              </w:rPr>
              <w:t>The Audit Committee has appointed PwC as the Firm’s</w:t>
            </w:r>
          </w:p>
        </w:tc>
        <w:tc>
          <w:tcPr>
            <w:tcW w:w="5340" w:type="dxa"/>
            <w:vAlign w:val="bottom"/>
            <w:vMerge w:val="restart"/>
            <w:shd w:val="clear" w:color="auto" w:fill="074A75"/>
          </w:tcPr>
          <w:p>
            <w:pPr>
              <w:ind w:left="200"/>
              <w:spacing w:after="0"/>
              <w:rPr>
                <w:sz w:val="20"/>
                <w:szCs w:val="20"/>
                <w:color w:val="auto"/>
              </w:rPr>
            </w:pPr>
            <w:r>
              <w:rPr>
                <w:rFonts w:ascii="Arial" w:cs="Arial" w:eastAsia="Arial" w:hAnsi="Arial"/>
                <w:sz w:val="20"/>
                <w:szCs w:val="20"/>
                <w:b w:val="1"/>
                <w:bCs w:val="1"/>
                <w:color w:val="FFFFFF"/>
              </w:rPr>
              <w:t>RECOMMENDATION:</w:t>
            </w:r>
          </w:p>
        </w:tc>
        <w:tc>
          <w:tcPr>
            <w:tcW w:w="0" w:type="dxa"/>
            <w:vAlign w:val="bottom"/>
          </w:tcPr>
          <w:p>
            <w:pPr>
              <w:spacing w:after="0"/>
              <w:rPr>
                <w:sz w:val="1"/>
                <w:szCs w:val="1"/>
                <w:color w:val="auto"/>
              </w:rPr>
            </w:pPr>
          </w:p>
        </w:tc>
      </w:tr>
      <w:tr>
        <w:trPr>
          <w:trHeight w:val="211"/>
        </w:trPr>
        <w:tc>
          <w:tcPr>
            <w:tcW w:w="5900" w:type="dxa"/>
            <w:vAlign w:val="bottom"/>
          </w:tcPr>
          <w:p>
            <w:pPr>
              <w:ind w:left="20"/>
              <w:spacing w:after="0"/>
              <w:rPr>
                <w:sz w:val="20"/>
                <w:szCs w:val="20"/>
                <w:color w:val="auto"/>
              </w:rPr>
            </w:pPr>
            <w:r>
              <w:rPr>
                <w:rFonts w:ascii="Arial" w:cs="Arial" w:eastAsia="Arial" w:hAnsi="Arial"/>
                <w:sz w:val="18"/>
                <w:szCs w:val="18"/>
                <w:color w:val="auto"/>
              </w:rPr>
              <w:t>independent registered public accounting firm for the year</w:t>
            </w:r>
          </w:p>
        </w:tc>
        <w:tc>
          <w:tcPr>
            <w:tcW w:w="5340" w:type="dxa"/>
            <w:vAlign w:val="bottom"/>
            <w:vMerge w:val="continue"/>
            <w:shd w:val="clear" w:color="auto" w:fill="074A75"/>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5900" w:type="dxa"/>
            <w:vAlign w:val="bottom"/>
          </w:tcPr>
          <w:p>
            <w:pPr>
              <w:ind w:left="20"/>
              <w:spacing w:after="0"/>
              <w:rPr>
                <w:sz w:val="20"/>
                <w:szCs w:val="20"/>
                <w:color w:val="auto"/>
              </w:rPr>
            </w:pPr>
            <w:r>
              <w:rPr>
                <w:rFonts w:ascii="Arial" w:cs="Arial" w:eastAsia="Arial" w:hAnsi="Arial"/>
                <w:sz w:val="18"/>
                <w:szCs w:val="18"/>
                <w:color w:val="auto"/>
              </w:rPr>
              <w:t>ending December 31, 2022.</w:t>
            </w:r>
          </w:p>
        </w:tc>
        <w:tc>
          <w:tcPr>
            <w:tcW w:w="5340" w:type="dxa"/>
            <w:vAlign w:val="bottom"/>
            <w:shd w:val="clear" w:color="auto" w:fill="074A75"/>
          </w:tcPr>
          <w:p>
            <w:pPr>
              <w:ind w:left="200"/>
              <w:spacing w:after="0"/>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FOR</w:t>
            </w:r>
            <w:r>
              <w:rPr>
                <w:rFonts w:ascii="Arial" w:cs="Arial" w:eastAsia="Arial" w:hAnsi="Arial"/>
                <w:sz w:val="20"/>
                <w:szCs w:val="20"/>
                <w:color w:val="FFFFFF"/>
              </w:rPr>
              <w:t xml:space="preserve"> ratification of PwC</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5340" w:type="dxa"/>
            <w:vAlign w:val="bottom"/>
            <w:shd w:val="clear" w:color="auto" w:fill="074A75"/>
          </w:tcPr>
          <w:p>
            <w:pPr>
              <w:spacing w:after="0"/>
              <w:rPr>
                <w:sz w:val="18"/>
                <w:szCs w:val="18"/>
                <w:color w:val="auto"/>
              </w:rPr>
            </w:pPr>
          </w:p>
        </w:tc>
        <w:tc>
          <w:tcPr>
            <w:tcW w:w="0" w:type="dxa"/>
            <w:vAlign w:val="bottom"/>
          </w:tcPr>
          <w:p>
            <w:pPr>
              <w:spacing w:after="0"/>
              <w:rPr>
                <w:sz w:val="1"/>
                <w:szCs w:val="1"/>
                <w:color w:val="auto"/>
              </w:rPr>
            </w:pPr>
          </w:p>
        </w:tc>
      </w:tr>
      <w:tr>
        <w:trPr>
          <w:trHeight w:val="1404"/>
        </w:trPr>
        <w:tc>
          <w:tcPr>
            <w:tcW w:w="5900" w:type="dxa"/>
            <w:vAlign w:val="bottom"/>
            <w:tcBorders>
              <w:bottom w:val="single" w:sz="8" w:color="074A75"/>
            </w:tcBorders>
          </w:tcPr>
          <w:p>
            <w:pPr>
              <w:spacing w:after="0"/>
              <w:rPr>
                <w:sz w:val="24"/>
                <w:szCs w:val="24"/>
                <w:color w:val="auto"/>
              </w:rPr>
            </w:pPr>
          </w:p>
        </w:tc>
        <w:tc>
          <w:tcPr>
            <w:tcW w:w="5340" w:type="dxa"/>
            <w:vAlign w:val="bottom"/>
            <w:tcBorders>
              <w:bottom w:val="single" w:sz="8" w:color="074A75"/>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-1294130</wp:posOffset>
            </wp:positionV>
            <wp:extent cx="137160" cy="13716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-1071245</wp:posOffset>
            </wp:positionV>
            <wp:extent cx="26479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6479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994410</wp:posOffset>
            </wp:positionV>
            <wp:extent cx="27432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85  </w:t>
      </w:r>
      <w:r>
        <w:rPr>
          <w:sz w:val="1"/>
          <w:szCs w:val="1"/>
          <w:color w:val="auto"/>
        </w:rPr>
        <w:drawing>
          <wp:inline distT="0" distB="0" distL="0" distR="0">
            <wp:extent cx="2203450" cy="154305"/>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OVERVIEW </w:t>
      </w:r>
      <w:r>
        <w:rPr>
          <w:rFonts w:ascii="Arial" w:cs="Arial" w:eastAsia="Arial" w:hAnsi="Arial"/>
          <w:sz w:val="16"/>
          <w:szCs w:val="16"/>
          <w:b w:val="1"/>
          <w:bCs w:val="1"/>
          <w:color w:val="074A75"/>
        </w:rPr>
        <w:t>|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9"/>
          <w:szCs w:val="29"/>
          <w:color w:val="074A75"/>
        </w:rPr>
        <w:t>Overview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responsible for the appointment, retention,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compensation, evaluation and oversight of the Firm’s independent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public accounting firm. It is also responsible for assisting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in its oversight of the Firm’s Internal Audit function and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management’s responsibilities to assure that there is an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 of controls in place reasonably designed to safeguard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and income of the Firm, assure the integrity of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maintain compliance with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ethical standards and with laws and regulations. The Report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on these matters can be found on pages 89-90.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appointed PwC as the Firm’s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 to audit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of JPMorgan Chase and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for the year ending December 31, 2022. A resolution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be presented to our shareholders at the annual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them to ratify PwC’s appointment. For more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this resolution, see page 87. If the shareholders do not ratify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PwC, the Audit Committee will consider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another independent registered public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8"/>
          <w:szCs w:val="28"/>
          <w:color w:val="074A75"/>
        </w:rPr>
        <w:t>Proposal 3 — Ratification of independent registered public accounting firm</w:t>
      </w:r>
    </w:p>
    <w:p>
      <w:pPr>
        <w:sectPr>
          <w:pgSz w:w="11900" w:h="16838" w:orient="portrait"/>
          <w:cols w:equalWidth="0" w:num="1">
            <w:col w:w="11220"/>
          </w:cols>
          <w:pgMar w:left="320" w:top="157" w:right="359" w:bottom="1440" w:gutter="0" w:footer="0" w:header="0"/>
        </w:sectPr>
      </w:pPr>
    </w:p>
    <w:p>
      <w:pPr>
        <w:spacing w:after="0" w:line="134"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074A75"/>
        </w:rPr>
        <w:t>Engagement of independent registered public accounting firm</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Audit Committee is responsible for the appointment, retention, compensation, evaluation and oversight of the Firm’s independent registered public accounting firm.</w:t>
      </w:r>
    </w:p>
    <w:p>
      <w:pPr>
        <w:spacing w:after="0" w:line="6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Audit Committee has appointed PwC as the Firm’s independent registered public accounting firm to audit the Consolidated Financial Statements of JPMorgan Chase and its subsidiaries for the year ending December 31, 2022.</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For information on the factors reviewed by the Audit Committee, see the Audit Committee Report on pages 89-90.</w:t>
      </w:r>
    </w:p>
    <w:p>
      <w:pPr>
        <w:spacing w:after="0" w:line="7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members of the Audit Committee and the Board believe that continued retention of PwC as the Firm’s independent external auditor is in the best interests of JPMorgan Chase and its shareholders. PwC and its predecessors have acted as our independent registered public accounting firm since 1965. The Board believes the Firm receives significant benefits from the extensive history PwC has with the Firm. These benefits include:</w:t>
      </w:r>
    </w:p>
    <w:p>
      <w:pPr>
        <w:spacing w:after="0" w:line="58" w:lineRule="exact"/>
        <w:rPr>
          <w:sz w:val="20"/>
          <w:szCs w:val="20"/>
          <w:color w:val="auto"/>
        </w:rPr>
      </w:pPr>
    </w:p>
    <w:p>
      <w:pPr>
        <w:ind w:left="200" w:right="20" w:hanging="192"/>
        <w:spacing w:after="0" w:line="262" w:lineRule="auto"/>
        <w:tabs>
          <w:tab w:leader="none" w:pos="204" w:val="left"/>
        </w:tabs>
        <w:numPr>
          <w:ilvl w:val="0"/>
          <w:numId w:val="270"/>
        </w:numPr>
        <w:rPr>
          <w:rFonts w:ascii="Arial" w:cs="Arial" w:eastAsia="Arial" w:hAnsi="Arial"/>
          <w:sz w:val="18"/>
          <w:szCs w:val="18"/>
          <w:color w:val="074A75"/>
        </w:rPr>
      </w:pPr>
      <w:r>
        <w:rPr>
          <w:rFonts w:ascii="Arial" w:cs="Arial" w:eastAsia="Arial" w:hAnsi="Arial"/>
          <w:sz w:val="18"/>
          <w:szCs w:val="18"/>
          <w:color w:val="auto"/>
        </w:rPr>
        <w:t>the high quality of their audit work and accounting advice, as a result of their institutional knowledge of our businesses, global operations, key risks, accounting policies, financial systems and internal control framework;</w:t>
      </w:r>
    </w:p>
    <w:p>
      <w:pPr>
        <w:spacing w:after="0" w:line="27" w:lineRule="exact"/>
        <w:rPr>
          <w:rFonts w:ascii="Arial" w:cs="Arial" w:eastAsia="Arial" w:hAnsi="Arial"/>
          <w:sz w:val="18"/>
          <w:szCs w:val="18"/>
          <w:color w:val="074A75"/>
        </w:rPr>
      </w:pPr>
    </w:p>
    <w:p>
      <w:pPr>
        <w:ind w:left="200" w:right="100" w:hanging="192"/>
        <w:spacing w:after="0" w:line="268" w:lineRule="auto"/>
        <w:tabs>
          <w:tab w:leader="none" w:pos="204" w:val="left"/>
        </w:tabs>
        <w:numPr>
          <w:ilvl w:val="0"/>
          <w:numId w:val="270"/>
        </w:numPr>
        <w:rPr>
          <w:rFonts w:ascii="Arial" w:cs="Arial" w:eastAsia="Arial" w:hAnsi="Arial"/>
          <w:sz w:val="18"/>
          <w:szCs w:val="18"/>
          <w:color w:val="074A75"/>
        </w:rPr>
      </w:pPr>
      <w:r>
        <w:rPr>
          <w:rFonts w:ascii="Arial" w:cs="Arial" w:eastAsia="Arial" w:hAnsi="Arial"/>
          <w:sz w:val="18"/>
          <w:szCs w:val="18"/>
          <w:color w:val="auto"/>
        </w:rPr>
        <w:t>their audit efficiency and effectiveness, which results in a lower fee structure due to their history and familiarity with our businesses;</w:t>
      </w:r>
    </w:p>
    <w:p>
      <w:pPr>
        <w:spacing w:after="0" w:line="35" w:lineRule="exact"/>
        <w:rPr>
          <w:rFonts w:ascii="Arial" w:cs="Arial" w:eastAsia="Arial" w:hAnsi="Arial"/>
          <w:sz w:val="18"/>
          <w:szCs w:val="18"/>
          <w:color w:val="074A75"/>
        </w:rPr>
      </w:pPr>
    </w:p>
    <w:p>
      <w:pPr>
        <w:ind w:left="200" w:right="240" w:hanging="192"/>
        <w:spacing w:after="0" w:line="306" w:lineRule="auto"/>
        <w:tabs>
          <w:tab w:leader="none" w:pos="204" w:val="left"/>
        </w:tabs>
        <w:numPr>
          <w:ilvl w:val="0"/>
          <w:numId w:val="270"/>
        </w:numPr>
        <w:rPr>
          <w:rFonts w:ascii="Arial" w:cs="Arial" w:eastAsia="Arial" w:hAnsi="Arial"/>
          <w:sz w:val="17"/>
          <w:szCs w:val="17"/>
          <w:color w:val="074A75"/>
        </w:rPr>
      </w:pPr>
      <w:r>
        <w:rPr>
          <w:rFonts w:ascii="Arial" w:cs="Arial" w:eastAsia="Arial" w:hAnsi="Arial"/>
          <w:sz w:val="17"/>
          <w:szCs w:val="17"/>
          <w:color w:val="auto"/>
        </w:rPr>
        <w:t>the time and expense that would be avoided by management and staff in order to onboard a new auditor; and</w:t>
      </w:r>
    </w:p>
    <w:p>
      <w:pPr>
        <w:spacing w:after="0" w:line="1" w:lineRule="exact"/>
        <w:rPr>
          <w:rFonts w:ascii="Arial" w:cs="Arial" w:eastAsia="Arial" w:hAnsi="Arial"/>
          <w:sz w:val="17"/>
          <w:szCs w:val="17"/>
          <w:color w:val="074A75"/>
        </w:rPr>
      </w:pPr>
    </w:p>
    <w:p>
      <w:pPr>
        <w:ind w:left="200" w:right="260" w:hanging="192"/>
        <w:spacing w:after="0" w:line="287" w:lineRule="auto"/>
        <w:tabs>
          <w:tab w:leader="none" w:pos="204" w:val="left"/>
        </w:tabs>
        <w:numPr>
          <w:ilvl w:val="0"/>
          <w:numId w:val="270"/>
        </w:numPr>
        <w:rPr>
          <w:rFonts w:ascii="Arial" w:cs="Arial" w:eastAsia="Arial" w:hAnsi="Arial"/>
          <w:sz w:val="18"/>
          <w:szCs w:val="18"/>
          <w:color w:val="074A75"/>
        </w:rPr>
      </w:pPr>
      <w:r>
        <w:rPr>
          <w:rFonts w:ascii="Arial" w:cs="Arial" w:eastAsia="Arial" w:hAnsi="Arial"/>
          <w:sz w:val="18"/>
          <w:szCs w:val="18"/>
          <w:color w:val="auto"/>
        </w:rPr>
        <w:t>their commitment to maintaining their independence from the Firm.</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member of PwC will be present at the annual meeting and will have the opportunity to make a statement and respond to appropriate questions from shareholders.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074A75"/>
        </w:rPr>
        <w:t>Board oversight of PwC</w:t>
      </w:r>
    </w:p>
    <w:p>
      <w:pPr>
        <w:spacing w:after="0" w:line="11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Audit Committee held eight private sessions with PwC during 2021.</w:t>
      </w:r>
    </w:p>
    <w:p>
      <w:pPr>
        <w:spacing w:after="0" w:line="4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Audit Committee assesses PwC’s independence throughout the year. This includes reviewing with PwC its practices for maintaining its independence. The Audit Committee has also established policies and procedures for approving services provided by PwC. It is JPMorgan Chase’s policy to use PwC only for audit and audit-related services, and tax services in certain circumstances. For more information see Audit Committee Approval Policies and Procedures on page 88.</w:t>
      </w:r>
    </w:p>
    <w:p>
      <w:pPr>
        <w:spacing w:after="0" w:line="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No member of PwC’s audit team may be hired by the Firm for a period of one year after such person transferred from the Firm’s audit engagement to another role at PwC, or has terminated employment with PwC. Further, no former PwC employee who was a manager or partner may be hired by the Firm as the CFO, Principal Accounting Officer, General Auditor, Treasurer, Director of Tax or CFO or Controller of a LOB or Corporate function for a period of two years following his or her termination of employment with PwC.</w:t>
      </w:r>
    </w:p>
    <w:p>
      <w:pPr>
        <w:spacing w:after="0" w:line="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accordance with SEC rules and PwC policies, audit partners are subject to rotation requirements to limit the number of consecutive years of service an individual partner may provide audit services to our Firm. The lead audit partner and quality review partner may provide services to our Firm for a maximum of five consecutive years. As a result of the rotation requirements, a new lead audit partner was selected last year for the 2021 audit engagement. The Audit Committee was directly involved in the selection of the new lead audit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1224280</wp:posOffset>
            </wp:positionV>
            <wp:extent cx="27432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843" w:lineRule="exact"/>
        <w:rPr>
          <w:sz w:val="20"/>
          <w:szCs w:val="20"/>
          <w:color w:val="auto"/>
        </w:rPr>
      </w:pPr>
    </w:p>
    <w:p>
      <w:pPr>
        <w:sectPr>
          <w:pgSz w:w="11900" w:h="16838" w:orient="portrait"/>
          <w:cols w:equalWidth="0" w:num="2">
            <w:col w:w="5300" w:space="440"/>
            <w:col w:w="5480"/>
          </w:cols>
          <w:pgMar w:left="320" w:top="157" w:right="35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87  </w:t>
      </w:r>
      <w:r>
        <w:rPr>
          <w:sz w:val="1"/>
          <w:szCs w:val="1"/>
          <w:color w:val="auto"/>
        </w:rPr>
        <w:drawing>
          <wp:inline distT="0" distB="0" distL="0" distR="0">
            <wp:extent cx="2203450" cy="154305"/>
            <wp:effectExtent l="0" t="0" r="0"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RATIFICATION OF INDEPENDENT REGISTERED PUBLIC ACCOUNTING FIRM </w:t>
      </w:r>
      <w:r>
        <w:rPr>
          <w:rFonts w:ascii="Arial" w:cs="Arial" w:eastAsia="Arial" w:hAnsi="Arial"/>
          <w:sz w:val="16"/>
          <w:szCs w:val="16"/>
          <w:b w:val="1"/>
          <w:bCs w:val="1"/>
          <w:color w:val="074A75"/>
        </w:rPr>
        <w:t>|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074A75"/>
        </w:rPr>
        <w:t>Fees paid to PricewaterhouseCoopers LLP</w:t>
      </w:r>
    </w:p>
    <w:p>
      <w:pPr>
        <w:spacing w:after="0" w:line="1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Audit Committee is responsible for negotiating the terms and fees associated with the Firm’s retention of PwC, including the annual integrated audit of the Firm’s Consolidated Financial Statements.</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Aggregate fees for professional services rendered by PwC for JPMorgan Chase and its subsidiaries for the years ended December 31, 2021 and 2020, were: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ind w:left="20"/>
              <w:spacing w:after="0"/>
              <w:rPr>
                <w:sz w:val="20"/>
                <w:szCs w:val="20"/>
                <w:color w:val="auto"/>
              </w:rPr>
            </w:pPr>
            <w:r>
              <w:rPr>
                <w:rFonts w:ascii="Arial" w:cs="Arial" w:eastAsia="Arial" w:hAnsi="Arial"/>
                <w:sz w:val="16"/>
                <w:szCs w:val="16"/>
                <w:color w:val="074A75"/>
              </w:rPr>
              <w:t>Year ended December 31,</w:t>
            </w: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4"/>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74A75"/>
              </w:rPr>
              <w:t>($ in millions)</w:t>
            </w: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74A75"/>
              </w:rPr>
              <w:t>2021</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74A75"/>
              </w:rPr>
              <w:t>2020</w:t>
            </w:r>
          </w:p>
        </w:tc>
      </w:tr>
      <w:tr>
        <w:trPr>
          <w:trHeight w:val="208"/>
        </w:trPr>
        <w:tc>
          <w:tcPr>
            <w:tcW w:w="2940" w:type="dxa"/>
            <w:vAlign w:val="bottom"/>
          </w:tcPr>
          <w:p>
            <w:pPr>
              <w:ind w:left="20"/>
              <w:spacing w:after="0"/>
              <w:rPr>
                <w:sz w:val="20"/>
                <w:szCs w:val="20"/>
                <w:color w:val="auto"/>
              </w:rPr>
            </w:pPr>
            <w:r>
              <w:rPr>
                <w:rFonts w:ascii="Arial" w:cs="Arial" w:eastAsia="Arial" w:hAnsi="Arial"/>
                <w:sz w:val="14"/>
                <w:szCs w:val="14"/>
                <w:color w:val="auto"/>
              </w:rPr>
              <w:t>Audit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63.9</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75.1</w:t>
            </w:r>
          </w:p>
        </w:tc>
      </w:tr>
      <w:tr>
        <w:trPr>
          <w:trHeight w:val="216"/>
        </w:trPr>
        <w:tc>
          <w:tcPr>
            <w:tcW w:w="2940" w:type="dxa"/>
            <w:vAlign w:val="bottom"/>
          </w:tcPr>
          <w:p>
            <w:pPr>
              <w:ind w:left="20"/>
              <w:spacing w:after="0"/>
              <w:rPr>
                <w:sz w:val="20"/>
                <w:szCs w:val="20"/>
                <w:color w:val="auto"/>
              </w:rPr>
            </w:pPr>
            <w:r>
              <w:rPr>
                <w:rFonts w:ascii="Arial" w:cs="Arial" w:eastAsia="Arial" w:hAnsi="Arial"/>
                <w:sz w:val="14"/>
                <w:szCs w:val="14"/>
                <w:color w:val="auto"/>
              </w:rPr>
              <w:t>Audit-related</w:t>
            </w:r>
          </w:p>
        </w:tc>
        <w:tc>
          <w:tcPr>
            <w:tcW w:w="1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26.5</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2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Tax</w:t>
            </w: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1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w:t>
            </w:r>
          </w:p>
        </w:tc>
      </w:tr>
    </w:tbl>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amounts reported in the table above exclude all fees paid to PwC by investment companies and asset management funds (e.g., private equity, mutual and exchange-traded funds, and collective investment funds), and special purpose vehicles that are sponsored, managed or advised by subsidiaries of JPMorgan Chase but are not consolidated with the Firm.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years ended December 31, 2021 and 2020, fees for the annual integrated audit of the Firm’s Consolidated Financial Statements and of the Firm’s internal control over financial reporting, and quarterly reviews of the Firm’s Consolidated Financial Statements, were $41.8 million and $40.3 million, respectively. Fees for services related to statutory/subsidiary audits, attestation reports required by statute or regulation, and comfort letters and consents related to SEC filings and other similar filings with non-U.S. authorities were $22.1 million and $34.8 million, respectively. The reduction in Audit fees with PwC is primarily driven by mandatory audit firm rotations as required by regulators in Europe.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Audit-related fees comprise assurance and related services that are traditionally performed by the independent registered public accounting firm. These services include attestation and agreed-upon procedures which address accounting, reporting and control matters relating to fiduciary, transaction processing, investment management and servicing activities; reviews related to investment and lending processes, and technology systems; and due diligence reviews related to acquisitions and divestitures. These services are normally provided in connection with the recurring audit engagement.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Fees for the years ended December 31, 2021 and 2020, for tax compliance and tax return preparation services were $3.8 million and $2.5 million, respectively. Fees for other tax services, including tax advisory and consultation on tax matters, were $0.3 million and $0.2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074A75"/>
        </w:rPr>
        <w:t>Audit Committee approval policies and procedures</w:t>
      </w:r>
    </w:p>
    <w:p>
      <w:pPr>
        <w:spacing w:after="0" w:line="1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Audit Committee’s policies and procedures require the Audit Committee to pre-approve a list of specified audit, audit-related and tax services, and review and approve the terms and fees for the annual integrated audit of the Consolidated Financial Statements. All requests for audit, audit-related and tax services that are not on the pre-approved list of specified services must be approved by the Audit Committee. JPMorgan Chase’s pre-approval policy does not provide for a de minimis exception under which the pre-approval requirement may be waived.</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Pre-approved services to be performed by PwC with estimated costs in excess of $250,000 are approved by the Chair of the Audit Committee; and pre-approved services with estimated costs less than or equal to $ 250,000 are delegated to the Firmwide Controller’s office for approval.</w:t>
      </w:r>
    </w:p>
    <w:p>
      <w:pPr>
        <w:spacing w:after="0" w:line="47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074A75"/>
        </w:rPr>
        <w:t>Audit Committee report</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Audit Committee of the Board of Directors of JPMorgan Chase is comprised of three non-management directors. The Board has determined that each member of our committee has no material relationship with the Firm under the Board’s director independence standards and that each member is independent under the listing standards of the NYSE, where the Firm’s securities are listed, and under the SEC’s standards relating to the independence of audit committees. The Board has also determined that each member is financially literate and is an audit committee financial expert as defined by the SEC.</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Details of the fees paid to PwC for its services, as well as the Audit Committee’s “pre-approval policy” for such services, can be found on page 88.</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074A75"/>
        </w:rPr>
        <w:t>Assessment of PwC</w:t>
      </w:r>
    </w:p>
    <w:p>
      <w:pPr>
        <w:spacing w:after="0" w:line="110"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In conducting our review we considered, among other things:</w:t>
      </w:r>
    </w:p>
    <w:p>
      <w:pPr>
        <w:spacing w:after="0" w:line="68" w:lineRule="exact"/>
        <w:rPr>
          <w:sz w:val="20"/>
          <w:szCs w:val="20"/>
          <w:color w:val="auto"/>
        </w:rPr>
      </w:pPr>
    </w:p>
    <w:p>
      <w:pPr>
        <w:ind w:left="200" w:right="200" w:hanging="196"/>
        <w:spacing w:after="0" w:line="256" w:lineRule="auto"/>
        <w:tabs>
          <w:tab w:leader="none" w:pos="204" w:val="left"/>
        </w:tabs>
        <w:numPr>
          <w:ilvl w:val="0"/>
          <w:numId w:val="271"/>
        </w:numPr>
        <w:rPr>
          <w:rFonts w:ascii="Arial" w:cs="Arial" w:eastAsia="Arial" w:hAnsi="Arial"/>
          <w:sz w:val="18"/>
          <w:szCs w:val="18"/>
          <w:color w:val="074A75"/>
        </w:rPr>
      </w:pPr>
      <w:r>
        <w:rPr>
          <w:rFonts w:ascii="Arial" w:cs="Arial" w:eastAsia="Arial" w:hAnsi="Arial"/>
          <w:sz w:val="18"/>
          <w:szCs w:val="18"/>
          <w:color w:val="auto"/>
        </w:rPr>
        <w:t>the professional qualifications of PwC, and that of the lead audit partner, quality review partner and other key engagement partners;</w:t>
      </w:r>
    </w:p>
    <w:p>
      <w:pPr>
        <w:spacing w:after="0" w:line="1" w:lineRule="exact"/>
        <w:rPr>
          <w:sz w:val="20"/>
          <w:szCs w:val="20"/>
          <w:color w:val="auto"/>
        </w:rPr>
      </w:pPr>
    </w:p>
    <w:p>
      <w:pPr>
        <w:sectPr>
          <w:pgSz w:w="11900" w:h="16838" w:orient="portrait"/>
          <w:cols w:equalWidth="0" w:num="2">
            <w:col w:w="5340" w:space="400"/>
            <w:col w:w="5480"/>
          </w:cols>
          <w:pgMar w:left="320" w:top="157" w:right="359" w:bottom="1440" w:gutter="0" w:footer="0" w:header="0"/>
          <w:type w:val="continuous"/>
        </w:sectPr>
      </w:pPr>
    </w:p>
    <w:p>
      <w:pPr>
        <w:spacing w:after="0"/>
        <w:rPr>
          <w:sz w:val="20"/>
          <w:szCs w:val="20"/>
          <w:color w:val="auto"/>
        </w:rPr>
      </w:pPr>
      <w:r>
        <w:rPr>
          <w:rFonts w:ascii="Arial" w:cs="Arial" w:eastAsia="Arial" w:hAnsi="Arial"/>
          <w:sz w:val="20"/>
          <w:szCs w:val="20"/>
          <w:color w:val="074A75"/>
        </w:rPr>
        <w:t>Charter</w:t>
      </w:r>
    </w:p>
    <w:p>
      <w:pPr>
        <w:spacing w:after="0" w:line="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Audit Committee operates under a written charter adopted by the Board, which is available on our website at jpmorganchase.com/about/governance/board-committees/audit-committee, under the heading “Audit Committee” located under Board Committees, which is in the Governance section of the Who We Are tab. We annually review our charter and our practices. We have determined that our charter and practices are consistent with the listing standards of the NYSE and the provisions of the Sarbanes-Oxley Act of 2002. The purpose of the Audit Committee is to assist the Board in its oversight of:</w:t>
      </w:r>
    </w:p>
    <w:p>
      <w:pPr>
        <w:spacing w:after="0" w:line="77" w:lineRule="exact"/>
        <w:rPr>
          <w:sz w:val="20"/>
          <w:szCs w:val="20"/>
          <w:color w:val="auto"/>
        </w:rPr>
      </w:pPr>
    </w:p>
    <w:p>
      <w:pPr>
        <w:ind w:left="200" w:right="20" w:hanging="192"/>
        <w:spacing w:after="0" w:line="287" w:lineRule="auto"/>
        <w:tabs>
          <w:tab w:leader="none" w:pos="197" w:val="left"/>
        </w:tabs>
        <w:numPr>
          <w:ilvl w:val="0"/>
          <w:numId w:val="272"/>
        </w:numPr>
        <w:rPr>
          <w:rFonts w:ascii="Arial" w:cs="Arial" w:eastAsia="Arial" w:hAnsi="Arial"/>
          <w:sz w:val="16"/>
          <w:szCs w:val="16"/>
          <w:color w:val="074A75"/>
        </w:rPr>
      </w:pPr>
      <w:r>
        <w:rPr>
          <w:rFonts w:ascii="Arial" w:cs="Arial" w:eastAsia="Arial" w:hAnsi="Arial"/>
          <w:sz w:val="18"/>
          <w:szCs w:val="18"/>
          <w:color w:val="auto"/>
        </w:rPr>
        <w:t>the independent registered public accounting firm’s qualifications and independence,</w:t>
      </w:r>
    </w:p>
    <w:p>
      <w:pPr>
        <w:spacing w:after="0" w:line="4" w:lineRule="exact"/>
        <w:rPr>
          <w:rFonts w:ascii="Arial" w:cs="Arial" w:eastAsia="Arial" w:hAnsi="Arial"/>
          <w:sz w:val="16"/>
          <w:szCs w:val="16"/>
          <w:color w:val="074A75"/>
        </w:rPr>
      </w:pPr>
    </w:p>
    <w:p>
      <w:pPr>
        <w:ind w:left="200" w:right="400" w:hanging="192"/>
        <w:spacing w:after="0" w:line="287" w:lineRule="auto"/>
        <w:tabs>
          <w:tab w:leader="none" w:pos="197" w:val="left"/>
        </w:tabs>
        <w:numPr>
          <w:ilvl w:val="0"/>
          <w:numId w:val="272"/>
        </w:numPr>
        <w:rPr>
          <w:rFonts w:ascii="Arial" w:cs="Arial" w:eastAsia="Arial" w:hAnsi="Arial"/>
          <w:sz w:val="16"/>
          <w:szCs w:val="16"/>
          <w:color w:val="074A75"/>
        </w:rPr>
      </w:pPr>
      <w:r>
        <w:rPr>
          <w:rFonts w:ascii="Arial" w:cs="Arial" w:eastAsia="Arial" w:hAnsi="Arial"/>
          <w:sz w:val="18"/>
          <w:szCs w:val="18"/>
          <w:color w:val="auto"/>
        </w:rPr>
        <w:t>the performance of the Firm's internal audit function and the independent registered public accounting firm, and</w:t>
      </w:r>
    </w:p>
    <w:p>
      <w:pPr>
        <w:spacing w:after="0" w:line="4" w:lineRule="exact"/>
        <w:rPr>
          <w:rFonts w:ascii="Arial" w:cs="Arial" w:eastAsia="Arial" w:hAnsi="Arial"/>
          <w:sz w:val="16"/>
          <w:szCs w:val="16"/>
          <w:color w:val="074A75"/>
        </w:rPr>
      </w:pPr>
    </w:p>
    <w:p>
      <w:pPr>
        <w:ind w:left="200" w:right="60" w:hanging="192"/>
        <w:spacing w:after="0" w:line="257" w:lineRule="auto"/>
        <w:tabs>
          <w:tab w:leader="none" w:pos="197" w:val="left"/>
        </w:tabs>
        <w:numPr>
          <w:ilvl w:val="0"/>
          <w:numId w:val="272"/>
        </w:numPr>
        <w:rPr>
          <w:rFonts w:ascii="Arial" w:cs="Arial" w:eastAsia="Arial" w:hAnsi="Arial"/>
          <w:sz w:val="16"/>
          <w:szCs w:val="16"/>
          <w:color w:val="074A75"/>
        </w:rPr>
      </w:pPr>
      <w:r>
        <w:rPr>
          <w:rFonts w:ascii="Arial" w:cs="Arial" w:eastAsia="Arial" w:hAnsi="Arial"/>
          <w:sz w:val="18"/>
          <w:szCs w:val="18"/>
          <w:color w:val="auto"/>
        </w:rPr>
        <w:t>management’s responsibilities to assure that there is in place an effective system of controls reasonably designed to safeguard the assets and income of the Firm; assure the integrity of the Firm’s financial statements; and maintain compliance with the Firm’s ethical standards, policies, plans and procedures, and with laws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074A75"/>
        </w:rPr>
        <w:t>Audit communications and fees</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discussed with PwC the matters required to be discussed by Public Company Accounting Oversight Board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including PwC’s overall audit scope and audit approach as set forth in the terms of their engagement letter; PwC’s overall audit strategy for significant audit risks identified by them; and the nature and extent of the specialized skills necessary to perform the planned audit. We have established procedures to receive and track the handling of issues regarding accounting and reporting, internal control and auditing matters. In addition, we monitor the audit, audit-related and tax services provided by PwC. The Audit Committee has also evaluated and concluded that audit-related and tax services provided by PwC do not impair PwC’s independence.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196" w:right="360" w:hanging="196"/>
        <w:spacing w:after="0" w:line="268" w:lineRule="auto"/>
        <w:tabs>
          <w:tab w:leader="none" w:pos="200" w:val="left"/>
        </w:tabs>
        <w:numPr>
          <w:ilvl w:val="0"/>
          <w:numId w:val="273"/>
        </w:numPr>
        <w:rPr>
          <w:rFonts w:ascii="Arial" w:cs="Arial" w:eastAsia="Arial" w:hAnsi="Arial"/>
          <w:sz w:val="18"/>
          <w:szCs w:val="18"/>
          <w:color w:val="074A75"/>
        </w:rPr>
      </w:pPr>
      <w:r>
        <w:rPr>
          <w:rFonts w:ascii="Arial" w:cs="Arial" w:eastAsia="Arial" w:hAnsi="Arial"/>
          <w:sz w:val="18"/>
          <w:szCs w:val="18"/>
          <w:color w:val="auto"/>
        </w:rPr>
        <w:t>PwC’s current and historical performance on the Firm’s audit, including the extent and quality of its communications with the Audit Committee and the Firm’s management;</w:t>
      </w:r>
    </w:p>
    <w:p>
      <w:pPr>
        <w:spacing w:after="0" w:line="22" w:lineRule="exact"/>
        <w:rPr>
          <w:rFonts w:ascii="Arial" w:cs="Arial" w:eastAsia="Arial" w:hAnsi="Arial"/>
          <w:sz w:val="18"/>
          <w:szCs w:val="18"/>
          <w:color w:val="074A75"/>
        </w:rPr>
      </w:pPr>
    </w:p>
    <w:p>
      <w:pPr>
        <w:ind w:left="196" w:right="160" w:hanging="196"/>
        <w:spacing w:after="0" w:line="259" w:lineRule="auto"/>
        <w:tabs>
          <w:tab w:leader="none" w:pos="200" w:val="left"/>
        </w:tabs>
        <w:numPr>
          <w:ilvl w:val="0"/>
          <w:numId w:val="273"/>
        </w:numPr>
        <w:rPr>
          <w:rFonts w:ascii="Arial" w:cs="Arial" w:eastAsia="Arial" w:hAnsi="Arial"/>
          <w:sz w:val="18"/>
          <w:szCs w:val="18"/>
          <w:color w:val="074A75"/>
        </w:rPr>
      </w:pPr>
      <w:r>
        <w:rPr>
          <w:rFonts w:ascii="Arial" w:cs="Arial" w:eastAsia="Arial" w:hAnsi="Arial"/>
          <w:sz w:val="18"/>
          <w:szCs w:val="18"/>
          <w:color w:val="auto"/>
        </w:rPr>
        <w:t>PwC’s demonstrated professional skepticism and objectivity, including fresh perspectives brought through the required periodic rotation of the lead audit partner, the quality review partner and other partners who play a significant role in the audit engagement;</w:t>
      </w:r>
    </w:p>
    <w:p>
      <w:pPr>
        <w:spacing w:after="0" w:line="44" w:lineRule="exact"/>
        <w:rPr>
          <w:rFonts w:ascii="Arial" w:cs="Arial" w:eastAsia="Arial" w:hAnsi="Arial"/>
          <w:sz w:val="18"/>
          <w:szCs w:val="18"/>
          <w:color w:val="074A75"/>
        </w:rPr>
      </w:pPr>
    </w:p>
    <w:p>
      <w:pPr>
        <w:ind w:left="196" w:right="160" w:hanging="196"/>
        <w:spacing w:after="0" w:line="262" w:lineRule="auto"/>
        <w:tabs>
          <w:tab w:leader="none" w:pos="200" w:val="left"/>
        </w:tabs>
        <w:numPr>
          <w:ilvl w:val="0"/>
          <w:numId w:val="273"/>
        </w:numPr>
        <w:rPr>
          <w:rFonts w:ascii="Arial" w:cs="Arial" w:eastAsia="Arial" w:hAnsi="Arial"/>
          <w:sz w:val="18"/>
          <w:szCs w:val="18"/>
          <w:color w:val="074A75"/>
        </w:rPr>
      </w:pPr>
      <w:r>
        <w:rPr>
          <w:rFonts w:ascii="Arial" w:cs="Arial" w:eastAsia="Arial" w:hAnsi="Arial"/>
          <w:sz w:val="18"/>
          <w:szCs w:val="18"/>
          <w:color w:val="auto"/>
        </w:rPr>
        <w:t>PwC’s demonstrated capability, expertise and efficiency in which it handles the breadth and complexity of the Firm’s global operations, including the use of technology, specialists, and subject matter experts;</w:t>
      </w:r>
    </w:p>
    <w:p>
      <w:pPr>
        <w:spacing w:after="0" w:line="27" w:lineRule="exact"/>
        <w:rPr>
          <w:rFonts w:ascii="Arial" w:cs="Arial" w:eastAsia="Arial" w:hAnsi="Arial"/>
          <w:sz w:val="18"/>
          <w:szCs w:val="18"/>
          <w:color w:val="074A75"/>
        </w:rPr>
      </w:pPr>
    </w:p>
    <w:p>
      <w:pPr>
        <w:ind w:left="196" w:right="140" w:hanging="196"/>
        <w:spacing w:after="0" w:line="256" w:lineRule="auto"/>
        <w:tabs>
          <w:tab w:leader="none" w:pos="200" w:val="left"/>
        </w:tabs>
        <w:numPr>
          <w:ilvl w:val="0"/>
          <w:numId w:val="273"/>
        </w:numPr>
        <w:rPr>
          <w:rFonts w:ascii="Arial" w:cs="Arial" w:eastAsia="Arial" w:hAnsi="Arial"/>
          <w:sz w:val="18"/>
          <w:szCs w:val="18"/>
          <w:color w:val="074A75"/>
        </w:rPr>
      </w:pPr>
      <w:r>
        <w:rPr>
          <w:rFonts w:ascii="Arial" w:cs="Arial" w:eastAsia="Arial" w:hAnsi="Arial"/>
          <w:sz w:val="18"/>
          <w:szCs w:val="18"/>
          <w:color w:val="auto"/>
        </w:rPr>
        <w:t>PwC’s depth of institutional knowledge and understanding of the Firm’s global businesses, operations and systems, the financial services industry, including the global regulatory environment, U.S. and international accounting standards, the potential effect on the financial statements of the significant risks and exposures facing the Firm, and the Firm’s internal control over financial reporting;</w:t>
      </w:r>
    </w:p>
    <w:p>
      <w:pPr>
        <w:spacing w:after="0" w:line="34" w:lineRule="exact"/>
        <w:rPr>
          <w:rFonts w:ascii="Arial" w:cs="Arial" w:eastAsia="Arial" w:hAnsi="Arial"/>
          <w:sz w:val="18"/>
          <w:szCs w:val="18"/>
          <w:color w:val="074A75"/>
        </w:rPr>
      </w:pPr>
    </w:p>
    <w:p>
      <w:pPr>
        <w:ind w:left="196" w:right="240" w:hanging="196"/>
        <w:spacing w:after="0" w:line="262" w:lineRule="auto"/>
        <w:tabs>
          <w:tab w:leader="none" w:pos="200" w:val="left"/>
        </w:tabs>
        <w:numPr>
          <w:ilvl w:val="0"/>
          <w:numId w:val="273"/>
        </w:numPr>
        <w:rPr>
          <w:rFonts w:ascii="Arial" w:cs="Arial" w:eastAsia="Arial" w:hAnsi="Arial"/>
          <w:sz w:val="18"/>
          <w:szCs w:val="18"/>
          <w:color w:val="074A75"/>
        </w:rPr>
      </w:pPr>
      <w:r>
        <w:rPr>
          <w:rFonts w:ascii="Arial" w:cs="Arial" w:eastAsia="Arial" w:hAnsi="Arial"/>
          <w:sz w:val="18"/>
          <w:szCs w:val="18"/>
          <w:color w:val="auto"/>
        </w:rPr>
        <w:t>external data relating to PwC’s audit quality and performance, including recent PCAOB reports on PwC (including its global network of firms), and the results of peer review and self-review examinations;</w:t>
      </w:r>
    </w:p>
    <w:p>
      <w:pPr>
        <w:spacing w:after="0" w:line="41" w:lineRule="exact"/>
        <w:rPr>
          <w:rFonts w:ascii="Arial" w:cs="Arial" w:eastAsia="Arial" w:hAnsi="Arial"/>
          <w:sz w:val="18"/>
          <w:szCs w:val="18"/>
          <w:color w:val="074A75"/>
        </w:rPr>
      </w:pPr>
    </w:p>
    <w:p>
      <w:pPr>
        <w:ind w:left="196" w:right="160" w:hanging="196"/>
        <w:spacing w:after="0" w:line="268" w:lineRule="auto"/>
        <w:tabs>
          <w:tab w:leader="none" w:pos="200" w:val="left"/>
        </w:tabs>
        <w:numPr>
          <w:ilvl w:val="0"/>
          <w:numId w:val="273"/>
        </w:numPr>
        <w:rPr>
          <w:rFonts w:ascii="Arial" w:cs="Arial" w:eastAsia="Arial" w:hAnsi="Arial"/>
          <w:sz w:val="18"/>
          <w:szCs w:val="18"/>
          <w:color w:val="074A75"/>
        </w:rPr>
      </w:pPr>
      <w:r>
        <w:rPr>
          <w:rFonts w:ascii="Arial" w:cs="Arial" w:eastAsia="Arial" w:hAnsi="Arial"/>
          <w:sz w:val="18"/>
          <w:szCs w:val="18"/>
          <w:color w:val="auto"/>
        </w:rPr>
        <w:t>an analysis of PwC’s known legal risks and significant proceedings that could impair PwC’s ability to perform the Firm’s annual audit;</w:t>
      </w:r>
    </w:p>
    <w:p>
      <w:pPr>
        <w:spacing w:after="0" w:line="22" w:lineRule="exact"/>
        <w:rPr>
          <w:rFonts w:ascii="Arial" w:cs="Arial" w:eastAsia="Arial" w:hAnsi="Arial"/>
          <w:sz w:val="18"/>
          <w:szCs w:val="18"/>
          <w:color w:val="074A75"/>
        </w:rPr>
      </w:pPr>
    </w:p>
    <w:p>
      <w:pPr>
        <w:ind w:left="196" w:hanging="196"/>
        <w:spacing w:after="0"/>
        <w:tabs>
          <w:tab w:leader="none" w:pos="196" w:val="left"/>
        </w:tabs>
        <w:numPr>
          <w:ilvl w:val="0"/>
          <w:numId w:val="273"/>
        </w:numPr>
        <w:rPr>
          <w:rFonts w:ascii="Arial" w:cs="Arial" w:eastAsia="Arial" w:hAnsi="Arial"/>
          <w:sz w:val="18"/>
          <w:szCs w:val="18"/>
          <w:color w:val="074A75"/>
        </w:rPr>
      </w:pPr>
      <w:r>
        <w:rPr>
          <w:rFonts w:ascii="Arial" w:cs="Arial" w:eastAsia="Arial" w:hAnsi="Arial"/>
          <w:sz w:val="18"/>
          <w:szCs w:val="18"/>
          <w:color w:val="auto"/>
        </w:rPr>
        <w:t>PwC’s tenure as the Firm’s independent auditor;</w:t>
      </w:r>
    </w:p>
    <w:p>
      <w:pPr>
        <w:spacing w:after="0" w:line="76" w:lineRule="exact"/>
        <w:rPr>
          <w:rFonts w:ascii="Arial" w:cs="Arial" w:eastAsia="Arial" w:hAnsi="Arial"/>
          <w:sz w:val="18"/>
          <w:szCs w:val="18"/>
          <w:color w:val="074A75"/>
        </w:rPr>
      </w:pPr>
    </w:p>
    <w:p>
      <w:pPr>
        <w:jc w:val="both"/>
        <w:ind w:left="196" w:right="340" w:hanging="196"/>
        <w:spacing w:after="0" w:line="268" w:lineRule="auto"/>
        <w:tabs>
          <w:tab w:leader="none" w:pos="200" w:val="left"/>
        </w:tabs>
        <w:numPr>
          <w:ilvl w:val="0"/>
          <w:numId w:val="273"/>
        </w:numPr>
        <w:rPr>
          <w:rFonts w:ascii="Arial" w:cs="Arial" w:eastAsia="Arial" w:hAnsi="Arial"/>
          <w:sz w:val="18"/>
          <w:szCs w:val="18"/>
          <w:color w:val="074A75"/>
        </w:rPr>
      </w:pPr>
      <w:r>
        <w:rPr>
          <w:rFonts w:ascii="Arial" w:cs="Arial" w:eastAsia="Arial" w:hAnsi="Arial"/>
          <w:sz w:val="18"/>
          <w:szCs w:val="18"/>
          <w:color w:val="auto"/>
        </w:rPr>
        <w:t>the appropriateness of PwC’s fees, both on an absolute basis and as compared with fees paid by certain peer banking firms; and</w:t>
      </w:r>
    </w:p>
    <w:p>
      <w:pPr>
        <w:spacing w:after="0" w:line="35" w:lineRule="exact"/>
        <w:rPr>
          <w:rFonts w:ascii="Arial" w:cs="Arial" w:eastAsia="Arial" w:hAnsi="Arial"/>
          <w:sz w:val="18"/>
          <w:szCs w:val="18"/>
          <w:color w:val="074A75"/>
        </w:rPr>
      </w:pPr>
    </w:p>
    <w:p>
      <w:pPr>
        <w:ind w:left="196" w:right="320" w:hanging="196"/>
        <w:spacing w:after="0" w:line="262" w:lineRule="auto"/>
        <w:tabs>
          <w:tab w:leader="none" w:pos="200" w:val="left"/>
        </w:tabs>
        <w:numPr>
          <w:ilvl w:val="0"/>
          <w:numId w:val="273"/>
        </w:numPr>
        <w:rPr>
          <w:rFonts w:ascii="Arial" w:cs="Arial" w:eastAsia="Arial" w:hAnsi="Arial"/>
          <w:sz w:val="18"/>
          <w:szCs w:val="18"/>
          <w:color w:val="074A75"/>
        </w:rPr>
      </w:pPr>
      <w:r>
        <w:rPr>
          <w:rFonts w:ascii="Arial" w:cs="Arial" w:eastAsia="Arial" w:hAnsi="Arial"/>
          <w:sz w:val="18"/>
          <w:szCs w:val="18"/>
          <w:color w:val="auto"/>
        </w:rPr>
        <w:t>the advisability and potential impact of selecting a different independent registered public accounting firm, including the additional costs and inefficiencies associated with hiring a new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483870</wp:posOffset>
            </wp:positionV>
            <wp:extent cx="27432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5360" w:space="384"/>
            <w:col w:w="5476"/>
          </w:cols>
          <w:pgMar w:left="320" w:top="157" w:right="359" w:bottom="1440" w:gutter="0" w:footer="0" w:header="0"/>
          <w:type w:val="continuous"/>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89  </w:t>
      </w:r>
      <w:r>
        <w:rPr>
          <w:sz w:val="1"/>
          <w:szCs w:val="1"/>
          <w:color w:val="auto"/>
        </w:rPr>
        <w:drawing>
          <wp:inline distT="0" distB="0" distL="0" distR="0">
            <wp:extent cx="2203450" cy="154305"/>
            <wp:effectExtent l="0" t="0" r="0" b="0"/>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AUDIT COMMITTEE REPORT </w:t>
      </w:r>
      <w:r>
        <w:rPr>
          <w:rFonts w:ascii="Arial" w:cs="Arial" w:eastAsia="Arial" w:hAnsi="Arial"/>
          <w:sz w:val="16"/>
          <w:szCs w:val="16"/>
          <w:b w:val="1"/>
          <w:bCs w:val="1"/>
          <w:color w:val="074A75"/>
        </w:rPr>
        <w:t>|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9"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 xml:space="preserve">PwC provided us the written disclosures and the letter required by PCAOB’s Ethics and Independence Rule 3526,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Audit Committees Concerning Independence, </w:t>
      </w:r>
      <w:r>
        <w:rPr>
          <w:rFonts w:ascii="Arial" w:cs="Arial" w:eastAsia="Arial" w:hAnsi="Arial"/>
          <w:sz w:val="17"/>
          <w:szCs w:val="17"/>
          <w:color w:val="auto"/>
        </w:rPr>
        <w:t>and we</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and confirmed with PwC their independence.</w:t>
      </w:r>
    </w:p>
    <w:p>
      <w:pPr>
        <w:spacing w:after="0" w:line="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result of this evaluation, we believe PwC has the capability to provide the necessary expertise, independence and professional skepticism to continue to audit the Firm’s businesses on a global basis, and we approved the appointment of PwC as JPMorgan Chase’s independent registered public accounting firm for 2022, subject to shareholder ratification.</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is responsible for the Firm’s internal control over financial reporting, the financial reporting process and JPMorgan Chase’s Consolidated Financial Statements. PwC is responsible for performing an independent audit of JPMorgan Chase’s Consolidated Financial Statements and of the effectiveness of internal control over financial reporting in accordance with auditing standards promulgated by the PCAOB. The Firm’s Internal Audit function, under the direction of the General Auditor, is independent of the Firm’s businesses and the Independent Risk Management function. Internal Audit reports directly to the Audit Committee (and administratively to the Firm’s CEO) and is responsible for preparing an annual audit plan and conducting internal audits intended to independently test and evaluate the Firm’s governance, risk management and internal controls. The members of the Audit Committee are not professionally engaged in the practice of accounting or auditing; as noted above, the Audit Committee’s responsibility is to monitor and oversee these processes.</w:t>
      </w:r>
    </w:p>
    <w:p>
      <w:pPr>
        <w:spacing w:after="0" w:line="8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Audit Committee regularly meets and holds discussions with the Firm’s management, internal auditors and with PwC, and also holds private sessions with the General Auditor and with PwC without members of</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management present. These discussions include issues encountered during the audit, the Firm’s quarterly earnings materials, and Quarterly and Annual Reports on Form 10-Q and Form 10-K, respectively, prior to filing with the SEC; as well as actions the Audit Committee has taken during the prior year.</w:t>
      </w:r>
    </w:p>
    <w:p>
      <w:pPr>
        <w:spacing w:after="0" w:line="7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Management represented to us that JPMorgan Chase’s Consolidated Financial Statements were prepared in accordance with accounting principles generally accepted in the United States of America (“U.S. GAAP”). We reviewed and discussed JPMorgan Chase’s Consolidated Financial Statements with management, the General Auditor and PwC. We also reviewed and discussed with PwC the quality of the Firm’s significant accounting principles, the reasonableness of critical accounting estimates and judgments, critical audit matters PwC identified during the audit, and the disclosures in JPMorgan Chase’s Consolidated Financial Statements, including disclosures relating to significant accounting policies. We relied, without independent verification, on the information provided to us and on the representations made by management, internal auditors and the independent auditor. Based on our review of the reports given to us by PwC and our discussions with the Firm’s management, internal auditors and PwC, as well as their respective representations to us, we recommended to the Board, and the Board approved, inclusion of the audited Consolidated Financial Statements in the 2021 Annual Report on Form 10-K, as filed with the SEC.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14,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Timothy P. Flynn (Chair)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Michael A. Neal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Phebe N. Novakovic</w:t>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43"/>
          <w:szCs w:val="43"/>
          <w:color w:val="074A75"/>
        </w:rPr>
        <w:t>Shareholder proposals</w:t>
      </w:r>
      <w:r>
        <w:rPr>
          <w:rFonts w:ascii="Arial" w:cs="Arial" w:eastAsia="Arial" w:hAnsi="Arial"/>
          <w:sz w:val="56"/>
          <w:szCs w:val="56"/>
          <w:color w:val="074A75"/>
          <w:vertAlign w:val="superscript"/>
        </w:rPr>
        <w:t>1</w:t>
      </w:r>
      <w:r>
        <w:rPr>
          <w:rFonts w:ascii="Arial" w:cs="Arial" w:eastAsia="Arial" w:hAnsi="Arial"/>
          <w:sz w:val="43"/>
          <w:szCs w:val="43"/>
          <w:color w:val="074A7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294640</wp:posOffset>
            </wp:positionV>
            <wp:extent cx="34118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5740" w:type="dxa"/>
        <w:tblCellMar>
          <w:top w:w="0" w:type="dxa"/>
          <w:left w:w="0" w:type="dxa"/>
          <w:bottom w:w="0" w:type="dxa"/>
          <w:right w:w="0" w:type="dxa"/>
        </w:tblCellMar>
      </w:tblPr>
      <w:tr>
        <w:trPr>
          <w:trHeight w:val="257"/>
        </w:trPr>
        <w:tc>
          <w:tcPr>
            <w:tcW w:w="4680" w:type="dxa"/>
            <w:vAlign w:val="bottom"/>
          </w:tcPr>
          <w:p>
            <w:pPr>
              <w:ind w:left="20"/>
              <w:spacing w:after="0"/>
              <w:rPr>
                <w:rFonts w:ascii="Arial" w:cs="Arial" w:eastAsia="Arial" w:hAnsi="Arial"/>
                <w:sz w:val="22"/>
                <w:szCs w:val="22"/>
                <w:color w:val="074A75"/>
              </w:rPr>
            </w:pPr>
            <w:hyperlink w:anchor="page97">
              <w:r>
                <w:rPr>
                  <w:rFonts w:ascii="Arial" w:cs="Arial" w:eastAsia="Arial" w:hAnsi="Arial"/>
                  <w:sz w:val="22"/>
                  <w:szCs w:val="22"/>
                  <w:color w:val="074A75"/>
                </w:rPr>
                <w:t>PROPOSAL 4:</w:t>
              </w:r>
            </w:hyperlink>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680" w:type="dxa"/>
            <w:vAlign w:val="bottom"/>
          </w:tcPr>
          <w:p>
            <w:pPr>
              <w:ind w:left="20"/>
              <w:spacing w:after="0"/>
              <w:rPr>
                <w:rFonts w:ascii="Arial" w:cs="Arial" w:eastAsia="Arial" w:hAnsi="Arial"/>
                <w:sz w:val="22"/>
                <w:szCs w:val="22"/>
                <w:color w:val="074A75"/>
              </w:rPr>
            </w:pPr>
            <w:hyperlink w:anchor="page97">
              <w:r>
                <w:rPr>
                  <w:rFonts w:ascii="Arial" w:cs="Arial" w:eastAsia="Arial" w:hAnsi="Arial"/>
                  <w:sz w:val="22"/>
                  <w:szCs w:val="22"/>
                  <w:color w:val="074A75"/>
                </w:rPr>
                <w:t>Fossil fuel financing</w:t>
              </w:r>
            </w:hyperlink>
          </w:p>
        </w:tc>
        <w:tc>
          <w:tcPr>
            <w:tcW w:w="700" w:type="dxa"/>
            <w:vAlign w:val="bottom"/>
          </w:tcPr>
          <w:p>
            <w:pPr>
              <w:jc w:val="right"/>
              <w:spacing w:after="0"/>
              <w:rPr>
                <w:rFonts w:ascii="Arial" w:cs="Arial" w:eastAsia="Arial" w:hAnsi="Arial"/>
                <w:sz w:val="22"/>
                <w:szCs w:val="22"/>
                <w:color w:val="00497F"/>
              </w:rPr>
            </w:pPr>
            <w:hyperlink w:anchor="page97">
              <w:r>
                <w:rPr>
                  <w:rFonts w:ascii="Arial" w:cs="Arial" w:eastAsia="Arial" w:hAnsi="Arial"/>
                  <w:sz w:val="22"/>
                  <w:szCs w:val="22"/>
                  <w:color w:val="00497F"/>
                </w:rPr>
                <w:t>92</w:t>
              </w:r>
            </w:hyperlink>
          </w:p>
        </w:tc>
        <w:tc>
          <w:tcPr>
            <w:tcW w:w="0" w:type="dxa"/>
            <w:vAlign w:val="bottom"/>
          </w:tcPr>
          <w:p>
            <w:pPr>
              <w:spacing w:after="0"/>
              <w:rPr>
                <w:sz w:val="1"/>
                <w:szCs w:val="1"/>
                <w:color w:val="auto"/>
              </w:rPr>
            </w:pPr>
          </w:p>
        </w:tc>
      </w:tr>
      <w:tr>
        <w:trPr>
          <w:trHeight w:val="67"/>
        </w:trPr>
        <w:tc>
          <w:tcPr>
            <w:tcW w:w="4680" w:type="dxa"/>
            <w:vAlign w:val="bottom"/>
            <w:tcBorders>
              <w:bottom w:val="single" w:sz="8" w:color="074A75"/>
            </w:tcBorders>
          </w:tcPr>
          <w:p>
            <w:pPr>
              <w:spacing w:after="0"/>
              <w:rPr>
                <w:sz w:val="5"/>
                <w:szCs w:val="5"/>
                <w:color w:val="auto"/>
              </w:rPr>
            </w:pPr>
          </w:p>
        </w:tc>
        <w:tc>
          <w:tcPr>
            <w:tcW w:w="700" w:type="dxa"/>
            <w:vAlign w:val="bottom"/>
            <w:tcBorders>
              <w:bottom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80" w:type="dxa"/>
            <w:vAlign w:val="bottom"/>
          </w:tcPr>
          <w:p>
            <w:pPr>
              <w:ind w:left="20"/>
              <w:spacing w:after="0"/>
              <w:rPr>
                <w:rFonts w:ascii="Arial" w:cs="Arial" w:eastAsia="Arial" w:hAnsi="Arial"/>
                <w:sz w:val="22"/>
                <w:szCs w:val="22"/>
                <w:color w:val="074A75"/>
              </w:rPr>
            </w:pPr>
            <w:hyperlink w:anchor="page99">
              <w:r>
                <w:rPr>
                  <w:rFonts w:ascii="Arial" w:cs="Arial" w:eastAsia="Arial" w:hAnsi="Arial"/>
                  <w:sz w:val="22"/>
                  <w:szCs w:val="22"/>
                  <w:color w:val="074A75"/>
                </w:rPr>
                <w:t>PROPOSAL 5:</w:t>
              </w:r>
            </w:hyperlink>
          </w:p>
        </w:tc>
        <w:tc>
          <w:tcPr>
            <w:tcW w:w="700" w:type="dxa"/>
            <w:vAlign w:val="bottom"/>
            <w:vMerge w:val="restart"/>
          </w:tcPr>
          <w:p>
            <w:pPr>
              <w:jc w:val="right"/>
              <w:spacing w:after="0"/>
              <w:rPr>
                <w:rFonts w:ascii="Arial" w:cs="Arial" w:eastAsia="Arial" w:hAnsi="Arial"/>
                <w:sz w:val="22"/>
                <w:szCs w:val="22"/>
                <w:color w:val="074A75"/>
              </w:rPr>
            </w:pPr>
            <w:hyperlink w:anchor="page99">
              <w:r>
                <w:rPr>
                  <w:rFonts w:ascii="Arial" w:cs="Arial" w:eastAsia="Arial" w:hAnsi="Arial"/>
                  <w:sz w:val="22"/>
                  <w:szCs w:val="22"/>
                  <w:color w:val="074A75"/>
                </w:rPr>
                <w:t>94</w:t>
              </w:r>
            </w:hyperlink>
          </w:p>
        </w:tc>
        <w:tc>
          <w:tcPr>
            <w:tcW w:w="0" w:type="dxa"/>
            <w:vAlign w:val="bottom"/>
          </w:tcPr>
          <w:p>
            <w:pPr>
              <w:spacing w:after="0"/>
              <w:rPr>
                <w:sz w:val="1"/>
                <w:szCs w:val="1"/>
                <w:color w:val="auto"/>
              </w:rPr>
            </w:pPr>
          </w:p>
        </w:tc>
      </w:tr>
      <w:tr>
        <w:trPr>
          <w:trHeight w:val="175"/>
        </w:trPr>
        <w:tc>
          <w:tcPr>
            <w:tcW w:w="4680" w:type="dxa"/>
            <w:vAlign w:val="bottom"/>
            <w:vMerge w:val="restart"/>
          </w:tcPr>
          <w:p>
            <w:pPr>
              <w:ind w:left="20"/>
              <w:spacing w:after="0"/>
              <w:rPr>
                <w:rFonts w:ascii="Arial" w:cs="Arial" w:eastAsia="Arial" w:hAnsi="Arial"/>
                <w:sz w:val="22"/>
                <w:szCs w:val="22"/>
                <w:color w:val="00497F"/>
              </w:rPr>
            </w:pPr>
            <w:hyperlink w:anchor="page99">
              <w:r>
                <w:rPr>
                  <w:rFonts w:ascii="Arial" w:cs="Arial" w:eastAsia="Arial" w:hAnsi="Arial"/>
                  <w:sz w:val="22"/>
                  <w:szCs w:val="22"/>
                  <w:color w:val="00497F"/>
                </w:rPr>
                <w:t>Special shareholder meeting improvement</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680" w:type="dxa"/>
            <w:vAlign w:val="bottom"/>
            <w:tcBorders>
              <w:bottom w:val="single" w:sz="8" w:color="074A75"/>
            </w:tcBorders>
          </w:tcPr>
          <w:p>
            <w:pPr>
              <w:spacing w:after="0"/>
              <w:rPr>
                <w:sz w:val="5"/>
                <w:szCs w:val="5"/>
                <w:color w:val="auto"/>
              </w:rPr>
            </w:pPr>
          </w:p>
        </w:tc>
        <w:tc>
          <w:tcPr>
            <w:tcW w:w="700" w:type="dxa"/>
            <w:vAlign w:val="bottom"/>
            <w:tcBorders>
              <w:bottom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80" w:type="dxa"/>
            <w:vAlign w:val="bottom"/>
          </w:tcPr>
          <w:p>
            <w:pPr>
              <w:ind w:left="20"/>
              <w:spacing w:after="0"/>
              <w:rPr>
                <w:rFonts w:ascii="Arial" w:cs="Arial" w:eastAsia="Arial" w:hAnsi="Arial"/>
                <w:sz w:val="22"/>
                <w:szCs w:val="22"/>
                <w:color w:val="00497F"/>
              </w:rPr>
            </w:pPr>
            <w:hyperlink w:anchor="page101">
              <w:r>
                <w:rPr>
                  <w:rFonts w:ascii="Arial" w:cs="Arial" w:eastAsia="Arial" w:hAnsi="Arial"/>
                  <w:sz w:val="22"/>
                  <w:szCs w:val="22"/>
                  <w:color w:val="00497F"/>
                </w:rPr>
                <w:t>PROPOSAL 6:</w:t>
              </w:r>
            </w:hyperlink>
          </w:p>
        </w:tc>
        <w:tc>
          <w:tcPr>
            <w:tcW w:w="700" w:type="dxa"/>
            <w:vAlign w:val="bottom"/>
            <w:vMerge w:val="restart"/>
          </w:tcPr>
          <w:p>
            <w:pPr>
              <w:jc w:val="right"/>
              <w:spacing w:after="0"/>
              <w:rPr>
                <w:rFonts w:ascii="Arial" w:cs="Arial" w:eastAsia="Arial" w:hAnsi="Arial"/>
                <w:sz w:val="22"/>
                <w:szCs w:val="22"/>
                <w:color w:val="074A75"/>
              </w:rPr>
            </w:pPr>
            <w:hyperlink w:anchor="page101">
              <w:r>
                <w:rPr>
                  <w:rFonts w:ascii="Arial" w:cs="Arial" w:eastAsia="Arial" w:hAnsi="Arial"/>
                  <w:sz w:val="22"/>
                  <w:szCs w:val="22"/>
                  <w:color w:val="074A75"/>
                </w:rPr>
                <w:t>96</w:t>
              </w:r>
            </w:hyperlink>
          </w:p>
        </w:tc>
        <w:tc>
          <w:tcPr>
            <w:tcW w:w="0" w:type="dxa"/>
            <w:vAlign w:val="bottom"/>
          </w:tcPr>
          <w:p>
            <w:pPr>
              <w:spacing w:after="0"/>
              <w:rPr>
                <w:sz w:val="1"/>
                <w:szCs w:val="1"/>
                <w:color w:val="auto"/>
              </w:rPr>
            </w:pPr>
          </w:p>
        </w:tc>
      </w:tr>
      <w:tr>
        <w:trPr>
          <w:trHeight w:val="175"/>
        </w:trPr>
        <w:tc>
          <w:tcPr>
            <w:tcW w:w="4680" w:type="dxa"/>
            <w:vAlign w:val="bottom"/>
            <w:vMerge w:val="restart"/>
          </w:tcPr>
          <w:p>
            <w:pPr>
              <w:ind w:left="20"/>
              <w:spacing w:after="0"/>
              <w:rPr>
                <w:rFonts w:ascii="Arial" w:cs="Arial" w:eastAsia="Arial" w:hAnsi="Arial"/>
                <w:sz w:val="22"/>
                <w:szCs w:val="22"/>
                <w:color w:val="00497F"/>
              </w:rPr>
            </w:pPr>
            <w:hyperlink w:anchor="page101">
              <w:r>
                <w:rPr>
                  <w:rFonts w:ascii="Arial" w:cs="Arial" w:eastAsia="Arial" w:hAnsi="Arial"/>
                  <w:sz w:val="22"/>
                  <w:szCs w:val="22"/>
                  <w:color w:val="00497F"/>
                </w:rPr>
                <w:t>Independent board chairman</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680" w:type="dxa"/>
            <w:vAlign w:val="bottom"/>
            <w:tcBorders>
              <w:bottom w:val="single" w:sz="8" w:color="074A75"/>
            </w:tcBorders>
          </w:tcPr>
          <w:p>
            <w:pPr>
              <w:spacing w:after="0"/>
              <w:rPr>
                <w:sz w:val="5"/>
                <w:szCs w:val="5"/>
                <w:color w:val="auto"/>
              </w:rPr>
            </w:pPr>
          </w:p>
        </w:tc>
        <w:tc>
          <w:tcPr>
            <w:tcW w:w="700" w:type="dxa"/>
            <w:vAlign w:val="bottom"/>
            <w:tcBorders>
              <w:bottom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80" w:type="dxa"/>
            <w:vAlign w:val="bottom"/>
          </w:tcPr>
          <w:p>
            <w:pPr>
              <w:ind w:left="20"/>
              <w:spacing w:after="0"/>
              <w:rPr>
                <w:rFonts w:ascii="Arial" w:cs="Arial" w:eastAsia="Arial" w:hAnsi="Arial"/>
                <w:sz w:val="22"/>
                <w:szCs w:val="22"/>
                <w:color w:val="00497F"/>
              </w:rPr>
            </w:pPr>
            <w:hyperlink w:anchor="page103">
              <w:r>
                <w:rPr>
                  <w:rFonts w:ascii="Arial" w:cs="Arial" w:eastAsia="Arial" w:hAnsi="Arial"/>
                  <w:sz w:val="22"/>
                  <w:szCs w:val="22"/>
                  <w:color w:val="00497F"/>
                </w:rPr>
                <w:t>PROPOSAL 7:</w:t>
              </w:r>
            </w:hyperlink>
          </w:p>
        </w:tc>
        <w:tc>
          <w:tcPr>
            <w:tcW w:w="700" w:type="dxa"/>
            <w:vAlign w:val="bottom"/>
            <w:vMerge w:val="restart"/>
          </w:tcPr>
          <w:p>
            <w:pPr>
              <w:jc w:val="right"/>
              <w:spacing w:after="0"/>
              <w:rPr>
                <w:rFonts w:ascii="Arial" w:cs="Arial" w:eastAsia="Arial" w:hAnsi="Arial"/>
                <w:sz w:val="22"/>
                <w:szCs w:val="22"/>
                <w:color w:val="074A75"/>
              </w:rPr>
            </w:pPr>
            <w:hyperlink w:anchor="page103">
              <w:r>
                <w:rPr>
                  <w:rFonts w:ascii="Arial" w:cs="Arial" w:eastAsia="Arial" w:hAnsi="Arial"/>
                  <w:sz w:val="22"/>
                  <w:szCs w:val="22"/>
                  <w:color w:val="074A75"/>
                </w:rPr>
                <w:t>98</w:t>
              </w:r>
            </w:hyperlink>
          </w:p>
        </w:tc>
        <w:tc>
          <w:tcPr>
            <w:tcW w:w="0" w:type="dxa"/>
            <w:vAlign w:val="bottom"/>
          </w:tcPr>
          <w:p>
            <w:pPr>
              <w:spacing w:after="0"/>
              <w:rPr>
                <w:sz w:val="1"/>
                <w:szCs w:val="1"/>
                <w:color w:val="auto"/>
              </w:rPr>
            </w:pPr>
          </w:p>
        </w:tc>
      </w:tr>
      <w:tr>
        <w:trPr>
          <w:trHeight w:val="175"/>
        </w:trPr>
        <w:tc>
          <w:tcPr>
            <w:tcW w:w="4680" w:type="dxa"/>
            <w:vAlign w:val="bottom"/>
            <w:vMerge w:val="restart"/>
          </w:tcPr>
          <w:p>
            <w:pPr>
              <w:ind w:left="20"/>
              <w:spacing w:after="0"/>
              <w:rPr>
                <w:rFonts w:ascii="Arial" w:cs="Arial" w:eastAsia="Arial" w:hAnsi="Arial"/>
                <w:sz w:val="22"/>
                <w:szCs w:val="22"/>
                <w:color w:val="00497F"/>
              </w:rPr>
            </w:pPr>
            <w:hyperlink w:anchor="page103">
              <w:r>
                <w:rPr>
                  <w:rFonts w:ascii="Arial" w:cs="Arial" w:eastAsia="Arial" w:hAnsi="Arial"/>
                  <w:sz w:val="22"/>
                  <w:szCs w:val="22"/>
                  <w:color w:val="00497F"/>
                </w:rPr>
                <w:t>Board diversity resolution</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680" w:type="dxa"/>
            <w:vAlign w:val="bottom"/>
            <w:tcBorders>
              <w:bottom w:val="single" w:sz="8" w:color="074A75"/>
            </w:tcBorders>
          </w:tcPr>
          <w:p>
            <w:pPr>
              <w:spacing w:after="0"/>
              <w:rPr>
                <w:sz w:val="5"/>
                <w:szCs w:val="5"/>
                <w:color w:val="auto"/>
              </w:rPr>
            </w:pPr>
          </w:p>
        </w:tc>
        <w:tc>
          <w:tcPr>
            <w:tcW w:w="700" w:type="dxa"/>
            <w:vAlign w:val="bottom"/>
            <w:tcBorders>
              <w:bottom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80" w:type="dxa"/>
            <w:vAlign w:val="bottom"/>
          </w:tcPr>
          <w:p>
            <w:pPr>
              <w:ind w:left="20"/>
              <w:spacing w:after="0"/>
              <w:rPr>
                <w:rFonts w:ascii="Arial" w:cs="Arial" w:eastAsia="Arial" w:hAnsi="Arial"/>
                <w:sz w:val="22"/>
                <w:szCs w:val="22"/>
                <w:color w:val="00497F"/>
              </w:rPr>
            </w:pPr>
            <w:hyperlink w:anchor="page105">
              <w:r>
                <w:rPr>
                  <w:rFonts w:ascii="Arial" w:cs="Arial" w:eastAsia="Arial" w:hAnsi="Arial"/>
                  <w:sz w:val="22"/>
                  <w:szCs w:val="22"/>
                  <w:color w:val="00497F"/>
                </w:rPr>
                <w:t>PROPOSAL 8:</w:t>
              </w:r>
            </w:hyperlink>
          </w:p>
        </w:tc>
        <w:tc>
          <w:tcPr>
            <w:tcW w:w="700" w:type="dxa"/>
            <w:vAlign w:val="bottom"/>
            <w:vMerge w:val="restart"/>
          </w:tcPr>
          <w:p>
            <w:pPr>
              <w:jc w:val="right"/>
              <w:spacing w:after="0"/>
              <w:rPr>
                <w:rFonts w:ascii="Arial" w:cs="Arial" w:eastAsia="Arial" w:hAnsi="Arial"/>
                <w:sz w:val="22"/>
                <w:szCs w:val="22"/>
                <w:color w:val="00497F"/>
              </w:rPr>
            </w:pPr>
            <w:hyperlink w:anchor="page105">
              <w:r>
                <w:rPr>
                  <w:rFonts w:ascii="Arial" w:cs="Arial" w:eastAsia="Arial" w:hAnsi="Arial"/>
                  <w:sz w:val="22"/>
                  <w:szCs w:val="22"/>
                  <w:color w:val="00497F"/>
                </w:rPr>
                <w:t>100</w:t>
              </w:r>
            </w:hyperlink>
          </w:p>
        </w:tc>
        <w:tc>
          <w:tcPr>
            <w:tcW w:w="0" w:type="dxa"/>
            <w:vAlign w:val="bottom"/>
          </w:tcPr>
          <w:p>
            <w:pPr>
              <w:spacing w:after="0"/>
              <w:rPr>
                <w:sz w:val="1"/>
                <w:szCs w:val="1"/>
                <w:color w:val="auto"/>
              </w:rPr>
            </w:pPr>
          </w:p>
        </w:tc>
      </w:tr>
      <w:tr>
        <w:trPr>
          <w:trHeight w:val="175"/>
        </w:trPr>
        <w:tc>
          <w:tcPr>
            <w:tcW w:w="4680" w:type="dxa"/>
            <w:vAlign w:val="bottom"/>
            <w:vMerge w:val="restart"/>
          </w:tcPr>
          <w:p>
            <w:pPr>
              <w:ind w:left="20"/>
              <w:spacing w:after="0"/>
              <w:rPr>
                <w:rFonts w:ascii="Arial" w:cs="Arial" w:eastAsia="Arial" w:hAnsi="Arial"/>
                <w:sz w:val="22"/>
                <w:szCs w:val="22"/>
                <w:color w:val="00497F"/>
              </w:rPr>
            </w:pPr>
            <w:hyperlink w:anchor="page105">
              <w:r>
                <w:rPr>
                  <w:rFonts w:ascii="Arial" w:cs="Arial" w:eastAsia="Arial" w:hAnsi="Arial"/>
                  <w:sz w:val="22"/>
                  <w:szCs w:val="22"/>
                  <w:color w:val="00497F"/>
                </w:rPr>
                <w:t>Conversion to public benefit corporation</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680" w:type="dxa"/>
            <w:vAlign w:val="bottom"/>
            <w:tcBorders>
              <w:bottom w:val="single" w:sz="8" w:color="074A75"/>
            </w:tcBorders>
          </w:tcPr>
          <w:p>
            <w:pPr>
              <w:spacing w:after="0"/>
              <w:rPr>
                <w:sz w:val="5"/>
                <w:szCs w:val="5"/>
                <w:color w:val="auto"/>
              </w:rPr>
            </w:pPr>
          </w:p>
        </w:tc>
        <w:tc>
          <w:tcPr>
            <w:tcW w:w="700" w:type="dxa"/>
            <w:vAlign w:val="bottom"/>
            <w:tcBorders>
              <w:bottom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680" w:type="dxa"/>
            <w:vAlign w:val="bottom"/>
          </w:tcPr>
          <w:p>
            <w:pPr>
              <w:ind w:left="20"/>
              <w:spacing w:after="0"/>
              <w:rPr>
                <w:rFonts w:ascii="Arial" w:cs="Arial" w:eastAsia="Arial" w:hAnsi="Arial"/>
                <w:sz w:val="22"/>
                <w:szCs w:val="22"/>
                <w:color w:val="00497F"/>
              </w:rPr>
            </w:pPr>
            <w:hyperlink w:anchor="page107">
              <w:r>
                <w:rPr>
                  <w:rFonts w:ascii="Arial" w:cs="Arial" w:eastAsia="Arial" w:hAnsi="Arial"/>
                  <w:sz w:val="22"/>
                  <w:szCs w:val="22"/>
                  <w:color w:val="00497F"/>
                </w:rPr>
                <w:t>PROPOSAL 9:</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80" w:type="dxa"/>
            <w:vAlign w:val="bottom"/>
          </w:tcPr>
          <w:p>
            <w:pPr>
              <w:ind w:left="20"/>
              <w:spacing w:after="0"/>
              <w:rPr>
                <w:rFonts w:ascii="Arial" w:cs="Arial" w:eastAsia="Arial" w:hAnsi="Arial"/>
                <w:sz w:val="22"/>
                <w:szCs w:val="22"/>
                <w:color w:val="00497F"/>
              </w:rPr>
            </w:pPr>
            <w:hyperlink w:anchor="page107">
              <w:r>
                <w:rPr>
                  <w:rFonts w:ascii="Arial" w:cs="Arial" w:eastAsia="Arial" w:hAnsi="Arial"/>
                  <w:sz w:val="22"/>
                  <w:szCs w:val="22"/>
                  <w:color w:val="00497F"/>
                </w:rPr>
                <w:t>Report on setting absolute contraction targets</w:t>
              </w:r>
            </w:hyperlink>
          </w:p>
        </w:tc>
        <w:tc>
          <w:tcPr>
            <w:tcW w:w="700" w:type="dxa"/>
            <w:vAlign w:val="bottom"/>
          </w:tcPr>
          <w:p>
            <w:pPr>
              <w:jc w:val="right"/>
              <w:spacing w:after="0"/>
              <w:rPr>
                <w:rFonts w:ascii="Arial" w:cs="Arial" w:eastAsia="Arial" w:hAnsi="Arial"/>
                <w:sz w:val="22"/>
                <w:szCs w:val="22"/>
                <w:color w:val="00497F"/>
              </w:rPr>
            </w:pPr>
            <w:hyperlink w:anchor="page107">
              <w:r>
                <w:rPr>
                  <w:rFonts w:ascii="Arial" w:cs="Arial" w:eastAsia="Arial" w:hAnsi="Arial"/>
                  <w:sz w:val="22"/>
                  <w:szCs w:val="22"/>
                  <w:color w:val="00497F"/>
                </w:rPr>
                <w:t>102</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2374265</wp:posOffset>
            </wp:positionV>
            <wp:extent cx="3402965" cy="642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40296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FFFFFF"/>
        </w:rPr>
        <w:t>RECOMMENDATION:</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FFFFFF"/>
        </w:rPr>
        <w:t>Vote AGAINST shareholder proposals, if presented</w:t>
      </w:r>
    </w:p>
    <w:p>
      <w:pPr>
        <w:spacing w:after="0" w:line="200" w:lineRule="exact"/>
        <w:rPr>
          <w:sz w:val="20"/>
          <w:szCs w:val="20"/>
          <w:color w:val="auto"/>
        </w:rPr>
      </w:pPr>
    </w:p>
    <w:p>
      <w:pPr>
        <w:spacing w:after="0" w:line="246" w:lineRule="exact"/>
        <w:rPr>
          <w:sz w:val="20"/>
          <w:szCs w:val="20"/>
          <w:color w:val="auto"/>
        </w:rPr>
      </w:pPr>
    </w:p>
    <w:p>
      <w:pPr>
        <w:ind w:left="200" w:right="5960" w:hanging="192"/>
        <w:spacing w:after="0" w:line="230" w:lineRule="auto"/>
        <w:tabs>
          <w:tab w:leader="none" w:pos="200" w:val="left"/>
        </w:tabs>
        <w:numPr>
          <w:ilvl w:val="0"/>
          <w:numId w:val="274"/>
        </w:numPr>
        <w:rPr>
          <w:rFonts w:ascii="Arial" w:cs="Arial" w:eastAsia="Arial" w:hAnsi="Arial"/>
          <w:sz w:val="16"/>
          <w:szCs w:val="16"/>
          <w:color w:val="auto"/>
          <w:vertAlign w:val="superscript"/>
        </w:rPr>
      </w:pPr>
      <w:r>
        <w:rPr>
          <w:rFonts w:ascii="Arial" w:cs="Arial" w:eastAsia="Arial" w:hAnsi="Arial"/>
          <w:sz w:val="13"/>
          <w:szCs w:val="13"/>
          <w:color w:val="auto"/>
        </w:rPr>
        <w:t>The names, addresses and beneficial holdings of the proponents and any co-sponsors to a proposal are available to shareholders upon request by writing to the Secretary at the address listed on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197485</wp:posOffset>
            </wp:positionV>
            <wp:extent cx="27432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91  </w:t>
      </w:r>
      <w:r>
        <w:rPr>
          <w:sz w:val="1"/>
          <w:szCs w:val="1"/>
          <w:color w:val="auto"/>
        </w:rPr>
        <w:drawing>
          <wp:inline distT="0" distB="0" distL="0" distR="0">
            <wp:extent cx="2203450" cy="154305"/>
            <wp:effectExtent l="0" t="0" r="0" b="0"/>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Proposal 4 — Fossil fuel financing</w:t>
      </w:r>
    </w:p>
    <w:p>
      <w:pPr>
        <w:sectPr>
          <w:pgSz w:w="11900" w:h="16838" w:orient="portrait"/>
          <w:cols w:equalWidth="0" w:num="1">
            <w:col w:w="11220"/>
          </w:cols>
          <w:pgMar w:left="320" w:top="157" w:right="359" w:bottom="1440" w:gutter="0" w:footer="0" w:header="0"/>
        </w:sectPr>
      </w:pP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Mercy Investments Services, Inc. has advised us that they intend to introduce the following resolution:</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JPMorgan Chase (JPMC)</w:t>
      </w:r>
      <w:r>
        <w:rPr>
          <w:rFonts w:ascii="Arial" w:cs="Arial" w:eastAsia="Arial" w:hAnsi="Arial"/>
          <w:sz w:val="18"/>
          <w:szCs w:val="18"/>
          <w:b w:val="1"/>
          <w:bCs w:val="1"/>
          <w:color w:val="auto"/>
        </w:rPr>
        <w:t xml:space="preserve"> </w:t>
      </w:r>
      <w:r>
        <w:rPr>
          <w:rFonts w:ascii="Arial" w:cs="Arial" w:eastAsia="Arial" w:hAnsi="Arial"/>
          <w:sz w:val="18"/>
          <w:szCs w:val="18"/>
          <w:color w:val="auto"/>
        </w:rPr>
        <w:t>adopt a policy by the end of 2022 in which the company takes available actions to help ensure that its financing does not contribute to new fossil fuel supplies that would be inconsistent with the IEA's Net Zero Emissions by 2050 Scenario.</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Supporting Statement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Public calls for an end to fossil fuel finance have grown and threaten JPMC's reputation. For example, in September 2021, JPMC and other large banks were named in an op-ed by youth climate activists calling on the banks to stop financing expansion of fossil fuels.</w:t>
      </w:r>
      <w:r>
        <w:rPr>
          <w:rFonts w:ascii="Arial" w:cs="Arial" w:eastAsia="Arial" w:hAnsi="Arial"/>
          <w:sz w:val="23"/>
          <w:szCs w:val="23"/>
          <w:color w:val="auto"/>
          <w:vertAlign w:val="superscript"/>
        </w:rPr>
        <w:t>7</w:t>
      </w:r>
    </w:p>
    <w:p>
      <w:pPr>
        <w:spacing w:after="0" w:line="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urge shareholders to vote in favor of this proposal, to encourage JPMorgan Chase align with global efforts to contain climate change.</w:t>
      </w:r>
    </w:p>
    <w:p>
      <w:pPr>
        <w:spacing w:after="0" w:line="77"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9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While JPMC has asserted that it is taking "comprehensive steps"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to align with the climate goals of the Paris Agreement", the company's position as a leading financier of fossil fuel conflicts with a scenario in which global warming does not exceed 1.5°C.</w:t>
      </w:r>
    </w:p>
    <w:p>
      <w:pPr>
        <w:spacing w:after="0" w:line="8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For instance, in May 2021, the International Energy Agency (IEA) found that for the world to limit warming to 1.5 degrees Celsius by 2050, effective immediately "there is no need for investment in new fossil fuel supply."</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IEA's 1.5 degree scenario does not contemplate new fossil fuel development, but the Company continues to finance it.</w:t>
      </w:r>
    </w:p>
    <w:p>
      <w:pPr>
        <w:spacing w:after="0" w:line="8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Exceeding a 1.5° scenario jeopardizes the global economy. Under current emission trajectories, 10% of total global economic value has been estimated to be lost by 2050.</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Limiting warming to 1.5 versus 2 degrees could save $20 trillion globally by 2100; exceeding 2 degrees could lead to climate damages in the hundreds of trillions.</w:t>
      </w:r>
    </w:p>
    <w:p>
      <w:pPr>
        <w:spacing w:after="0" w:line="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To diversified investors, continued support for fossil fuel development threatens long-term portfolio value; for banks, it means increased credit, market, and operational risks.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Even short-term fossil fuel financing contributes to long-term risk: the IPCC's 2021 report confirmed that historic and current emissions have locked in warming for the next two decades.</w:t>
      </w:r>
      <w:r>
        <w:rPr>
          <w:rFonts w:ascii="Arial" w:cs="Arial" w:eastAsia="Arial" w:hAnsi="Arial"/>
          <w:sz w:val="23"/>
          <w:szCs w:val="23"/>
          <w:color w:val="auto"/>
          <w:vertAlign w:val="superscript"/>
        </w:rPr>
        <w:t>5</w:t>
      </w:r>
    </w:p>
    <w:p>
      <w:pPr>
        <w:spacing w:after="0" w:line="1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May 2021, JPMC released 2030 targets for oil and gas, electric power and autos as part of its "Paris-aligned financing commitment". The bank's 2030 targets specify reductions in carbon intensity — that is, greenhouse gas emissions per unit of output.</w:t>
      </w:r>
    </w:p>
    <w:p>
      <w:pPr>
        <w:spacing w:after="0" w:line="6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 xml:space="preserve">These targets are compatible with </w:t>
      </w:r>
      <w:r>
        <w:rPr>
          <w:rFonts w:ascii="Arial" w:cs="Arial" w:eastAsia="Arial" w:hAnsi="Arial"/>
          <w:sz w:val="18"/>
          <w:szCs w:val="18"/>
          <w:i w:val="1"/>
          <w:iCs w:val="1"/>
          <w:color w:val="auto"/>
        </w:rPr>
        <w:t>expansion</w:t>
      </w:r>
      <w:r>
        <w:rPr>
          <w:rFonts w:ascii="Arial" w:cs="Arial" w:eastAsia="Arial" w:hAnsi="Arial"/>
          <w:sz w:val="18"/>
          <w:szCs w:val="18"/>
          <w:color w:val="auto"/>
        </w:rPr>
        <w:t xml:space="preserve"> of fossil fuels. The intensity targets do not meet the identified need, over the next decade, to cut global </w:t>
      </w:r>
      <w:r>
        <w:rPr>
          <w:rFonts w:ascii="Arial" w:cs="Arial" w:eastAsia="Arial" w:hAnsi="Arial"/>
          <w:sz w:val="18"/>
          <w:szCs w:val="18"/>
          <w:i w:val="1"/>
          <w:iCs w:val="1"/>
          <w:color w:val="auto"/>
        </w:rPr>
        <w:t>absolute</w:t>
      </w:r>
      <w:r>
        <w:rPr>
          <w:rFonts w:ascii="Arial" w:cs="Arial" w:eastAsia="Arial" w:hAnsi="Arial"/>
          <w:sz w:val="18"/>
          <w:szCs w:val="18"/>
          <w:color w:val="auto"/>
        </w:rPr>
        <w:t xml:space="preserve"> emissions by 45%. JPMC has been identified as the largest funder of companies expanding oil and gas production.</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Some of these oil and gas companies have set intensity reduction targets meeting or exceeding what JPMC is calling for, even as they plan continued oil and gas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71450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074A75"/>
        </w:rPr>
        <w:t>Board Response to Proposal 4</w:t>
      </w:r>
    </w:p>
    <w:p>
      <w:pPr>
        <w:spacing w:after="0" w:line="92" w:lineRule="exact"/>
        <w:rPr>
          <w:sz w:val="20"/>
          <w:szCs w:val="20"/>
          <w:color w:val="auto"/>
        </w:rPr>
      </w:pPr>
    </w:p>
    <w:p>
      <w:pPr>
        <w:jc w:val="both"/>
        <w:ind w:right="11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426021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411855" cy="4260215"/>
                    </a:xfrm>
                    <a:prstGeom prst="rect">
                      <a:avLst/>
                    </a:prstGeom>
                    <a:noFill/>
                  </pic:spPr>
                </pic:pic>
              </a:graphicData>
            </a:graphic>
          </wp:anchor>
        </w:drawing>
      </w:r>
    </w:p>
    <w:p>
      <w:pPr>
        <w:spacing w:after="0" w:line="161" w:lineRule="exact"/>
        <w:rPr>
          <w:sz w:val="20"/>
          <w:szCs w:val="20"/>
          <w:color w:val="auto"/>
        </w:rPr>
      </w:pPr>
    </w:p>
    <w:p>
      <w:pPr>
        <w:ind w:left="300" w:right="160" w:hanging="201"/>
        <w:spacing w:after="0" w:line="257" w:lineRule="auto"/>
        <w:tabs>
          <w:tab w:leader="none" w:pos="304" w:val="left"/>
        </w:tabs>
        <w:numPr>
          <w:ilvl w:val="0"/>
          <w:numId w:val="275"/>
        </w:numPr>
        <w:rPr>
          <w:rFonts w:ascii="Arial" w:cs="Arial" w:eastAsia="Arial" w:hAnsi="Arial"/>
          <w:sz w:val="18"/>
          <w:szCs w:val="18"/>
          <w:color w:val="074A75"/>
        </w:rPr>
      </w:pPr>
      <w:r>
        <w:rPr>
          <w:rFonts w:ascii="Arial" w:cs="Arial" w:eastAsia="Arial" w:hAnsi="Arial"/>
          <w:sz w:val="18"/>
          <w:szCs w:val="18"/>
          <w:color w:val="auto"/>
        </w:rPr>
        <w:t>JPMorgan Chase is actively addressing climate change-related risks and opportunities, including by operationalizing Paris-aligned targets for financed emissions in the Oil &amp; Gas, Electric Power and Automotive Manufacturing sectors and targeting $2.5 trillion for sustainable development including $1 trillion in financing and facilitating climate action.</w:t>
      </w:r>
    </w:p>
    <w:p>
      <w:pPr>
        <w:spacing w:after="0" w:line="47" w:lineRule="exact"/>
        <w:rPr>
          <w:rFonts w:ascii="Arial" w:cs="Arial" w:eastAsia="Arial" w:hAnsi="Arial"/>
          <w:sz w:val="18"/>
          <w:szCs w:val="18"/>
          <w:color w:val="074A75"/>
        </w:rPr>
      </w:pPr>
    </w:p>
    <w:p>
      <w:pPr>
        <w:jc w:val="both"/>
        <w:ind w:left="300" w:right="320" w:hanging="201"/>
        <w:spacing w:after="0" w:line="291" w:lineRule="auto"/>
        <w:tabs>
          <w:tab w:leader="none" w:pos="304" w:val="left"/>
        </w:tabs>
        <w:numPr>
          <w:ilvl w:val="0"/>
          <w:numId w:val="275"/>
        </w:numPr>
        <w:rPr>
          <w:rFonts w:ascii="Arial" w:cs="Arial" w:eastAsia="Arial" w:hAnsi="Arial"/>
          <w:sz w:val="17"/>
          <w:szCs w:val="17"/>
          <w:color w:val="064A75"/>
        </w:rPr>
      </w:pPr>
      <w:r>
        <w:rPr>
          <w:rFonts w:ascii="Arial" w:cs="Arial" w:eastAsia="Arial" w:hAnsi="Arial"/>
          <w:sz w:val="17"/>
          <w:szCs w:val="17"/>
          <w:color w:val="auto"/>
        </w:rPr>
        <w:t>The Firm's targets for both emission reductions and financing encompass both energy supply and demand, consistent with the challenges and opportunities of the low carbon transition.</w:t>
      </w:r>
    </w:p>
    <w:p>
      <w:pPr>
        <w:spacing w:after="0" w:line="4" w:lineRule="exact"/>
        <w:rPr>
          <w:rFonts w:ascii="Arial" w:cs="Arial" w:eastAsia="Arial" w:hAnsi="Arial"/>
          <w:sz w:val="17"/>
          <w:szCs w:val="17"/>
          <w:color w:val="064A75"/>
        </w:rPr>
      </w:pPr>
    </w:p>
    <w:p>
      <w:pPr>
        <w:ind w:left="300" w:right="320" w:hanging="201"/>
        <w:spacing w:after="0" w:line="268" w:lineRule="auto"/>
        <w:tabs>
          <w:tab w:leader="none" w:pos="304" w:val="left"/>
        </w:tabs>
        <w:numPr>
          <w:ilvl w:val="0"/>
          <w:numId w:val="275"/>
        </w:numPr>
        <w:rPr>
          <w:rFonts w:ascii="Arial" w:cs="Arial" w:eastAsia="Arial" w:hAnsi="Arial"/>
          <w:sz w:val="18"/>
          <w:szCs w:val="18"/>
          <w:color w:val="064A75"/>
        </w:rPr>
      </w:pPr>
      <w:r>
        <w:rPr>
          <w:rFonts w:ascii="Arial" w:cs="Arial" w:eastAsia="Arial" w:hAnsi="Arial"/>
          <w:sz w:val="18"/>
          <w:szCs w:val="18"/>
          <w:color w:val="auto"/>
        </w:rPr>
        <w:t>The Firm works with traditional energy clients to help develop their long-term business strategies to improve their carbon disclosures and reduce their carbon emissions.</w:t>
      </w:r>
    </w:p>
    <w:p>
      <w:pPr>
        <w:spacing w:after="0" w:line="22" w:lineRule="exact"/>
        <w:rPr>
          <w:rFonts w:ascii="Arial" w:cs="Arial" w:eastAsia="Arial" w:hAnsi="Arial"/>
          <w:sz w:val="18"/>
          <w:szCs w:val="18"/>
          <w:color w:val="064A75"/>
        </w:rPr>
      </w:pPr>
    </w:p>
    <w:p>
      <w:pPr>
        <w:ind w:left="300" w:right="240" w:hanging="201"/>
        <w:spacing w:after="0" w:line="274" w:lineRule="auto"/>
        <w:tabs>
          <w:tab w:leader="none" w:pos="304" w:val="left"/>
        </w:tabs>
        <w:numPr>
          <w:ilvl w:val="0"/>
          <w:numId w:val="275"/>
        </w:numPr>
        <w:rPr>
          <w:rFonts w:ascii="Arial" w:cs="Arial" w:eastAsia="Arial" w:hAnsi="Arial"/>
          <w:sz w:val="17"/>
          <w:szCs w:val="17"/>
          <w:color w:val="074A75"/>
        </w:rPr>
      </w:pPr>
      <w:r>
        <w:rPr>
          <w:rFonts w:ascii="Arial" w:cs="Arial" w:eastAsia="Arial" w:hAnsi="Arial"/>
          <w:sz w:val="17"/>
          <w:szCs w:val="17"/>
          <w:color w:val="auto"/>
        </w:rPr>
        <w:t>An abrupt withdrawal from financing new oil and natural gas projects could trigger unintended, negative consequences, including increasing energy price volatility without decarbonizing demand which is important to address climate change. Energy insecurity exacerbated by geopolitical turmoil further underscores the need for pragmatic efforts to support energy producers on decarbonizing reliable sources of supply.</w:t>
      </w:r>
    </w:p>
    <w:p>
      <w:pPr>
        <w:spacing w:after="0" w:line="30" w:lineRule="exact"/>
        <w:rPr>
          <w:rFonts w:ascii="Arial" w:cs="Arial" w:eastAsia="Arial" w:hAnsi="Arial"/>
          <w:sz w:val="17"/>
          <w:szCs w:val="17"/>
          <w:color w:val="074A75"/>
        </w:rPr>
      </w:pPr>
    </w:p>
    <w:p>
      <w:pPr>
        <w:ind w:left="300" w:right="200" w:hanging="201"/>
        <w:spacing w:after="0" w:line="259" w:lineRule="auto"/>
        <w:tabs>
          <w:tab w:leader="none" w:pos="304" w:val="left"/>
        </w:tabs>
        <w:numPr>
          <w:ilvl w:val="0"/>
          <w:numId w:val="275"/>
        </w:numPr>
        <w:rPr>
          <w:rFonts w:ascii="Arial" w:cs="Arial" w:eastAsia="Arial" w:hAnsi="Arial"/>
          <w:sz w:val="18"/>
          <w:szCs w:val="18"/>
          <w:color w:val="064A75"/>
        </w:rPr>
      </w:pPr>
      <w:r>
        <w:rPr>
          <w:rFonts w:ascii="Arial" w:cs="Arial" w:eastAsia="Arial" w:hAnsi="Arial"/>
          <w:sz w:val="18"/>
          <w:szCs w:val="18"/>
          <w:color w:val="auto"/>
        </w:rPr>
        <w:t>We have engaged extensively with our shareholders regarding the Firm's approach to climate change-related risks and opportunities, and shareholders have been largely supportive, including with respect to our use of Paris-aligned emission intensity targets.</w:t>
      </w:r>
    </w:p>
    <w:p>
      <w:pPr>
        <w:spacing w:after="0" w:line="30" w:lineRule="exact"/>
        <w:rPr>
          <w:rFonts w:ascii="Arial" w:cs="Arial" w:eastAsia="Arial" w:hAnsi="Arial"/>
          <w:sz w:val="18"/>
          <w:szCs w:val="18"/>
          <w:color w:val="064A75"/>
        </w:rPr>
      </w:pPr>
    </w:p>
    <w:p>
      <w:pPr>
        <w:ind w:left="300" w:right="260" w:hanging="201"/>
        <w:spacing w:after="0" w:line="262" w:lineRule="auto"/>
        <w:tabs>
          <w:tab w:leader="none" w:pos="304" w:val="left"/>
        </w:tabs>
        <w:numPr>
          <w:ilvl w:val="0"/>
          <w:numId w:val="275"/>
        </w:numPr>
        <w:rPr>
          <w:rFonts w:ascii="Arial" w:cs="Arial" w:eastAsia="Arial" w:hAnsi="Arial"/>
          <w:sz w:val="18"/>
          <w:szCs w:val="18"/>
          <w:color w:val="074A75"/>
        </w:rPr>
      </w:pPr>
      <w:r>
        <w:rPr>
          <w:rFonts w:ascii="Arial" w:cs="Arial" w:eastAsia="Arial" w:hAnsi="Arial"/>
          <w:sz w:val="18"/>
          <w:szCs w:val="18"/>
          <w:color w:val="auto"/>
        </w:rPr>
        <w:t>Management is best positioned to make decisions on which types of economic activity to finance, as a fundamental part of day-to-day operations of our core business in the interests of our shareholders and stakeholders.</w:t>
      </w:r>
    </w:p>
    <w:p>
      <w:pPr>
        <w:spacing w:after="0" w:line="496" w:lineRule="exact"/>
        <w:rPr>
          <w:sz w:val="20"/>
          <w:szCs w:val="20"/>
          <w:color w:val="auto"/>
        </w:rPr>
      </w:pPr>
    </w:p>
    <w:p>
      <w:pPr>
        <w:sectPr>
          <w:pgSz w:w="11900" w:h="16838" w:orient="portrait"/>
          <w:cols w:equalWidth="0" w:num="2">
            <w:col w:w="5360" w:space="380"/>
            <w:col w:w="5480"/>
          </w:cols>
          <w:pgMar w:left="320" w:top="157" w:right="359" w:bottom="1440" w:gutter="0" w:footer="0" w:header="0"/>
          <w:type w:val="continuous"/>
        </w:sectPr>
      </w:pPr>
    </w:p>
    <w:p>
      <w:pPr>
        <w:spacing w:after="0" w:line="176" w:lineRule="exact"/>
        <w:rPr>
          <w:sz w:val="20"/>
          <w:szCs w:val="20"/>
          <w:color w:val="auto"/>
        </w:rPr>
      </w:pPr>
    </w:p>
    <w:p>
      <w:pPr>
        <w:ind w:left="220" w:hanging="212"/>
        <w:spacing w:after="0"/>
        <w:tabs>
          <w:tab w:leader="none" w:pos="220" w:val="left"/>
        </w:tabs>
        <w:numPr>
          <w:ilvl w:val="0"/>
          <w:numId w:val="276"/>
        </w:numPr>
        <w:rPr>
          <w:rFonts w:ascii="Arial" w:cs="Arial" w:eastAsia="Arial" w:hAnsi="Arial"/>
          <w:sz w:val="16"/>
          <w:szCs w:val="16"/>
          <w:color w:val="auto"/>
          <w:vertAlign w:val="superscript"/>
        </w:rPr>
      </w:pPr>
      <w:r>
        <w:rPr>
          <w:rFonts w:ascii="Arial" w:cs="Arial" w:eastAsia="Arial" w:hAnsi="Arial"/>
          <w:sz w:val="13"/>
          <w:szCs w:val="13"/>
          <w:color w:val="auto"/>
        </w:rPr>
        <w:t>https://www.businesswire.com/news/home/20210213005492/en/JPMorgan-Chase-Releases-Carbon-Reduction-Targets-for-Paris-Aligned-Financing-Commitment</w:t>
      </w:r>
    </w:p>
    <w:p>
      <w:pPr>
        <w:spacing w:after="0" w:line="73" w:lineRule="exact"/>
        <w:rPr>
          <w:sz w:val="20"/>
          <w:szCs w:val="20"/>
          <w:color w:val="auto"/>
        </w:rPr>
      </w:pPr>
    </w:p>
    <w:p>
      <w:pPr>
        <w:ind w:left="220" w:hanging="212"/>
        <w:spacing w:after="0"/>
        <w:tabs>
          <w:tab w:leader="none" w:pos="220" w:val="left"/>
        </w:tabs>
        <w:numPr>
          <w:ilvl w:val="0"/>
          <w:numId w:val="277"/>
        </w:numPr>
        <w:rPr>
          <w:rFonts w:ascii="Arial" w:cs="Arial" w:eastAsia="Arial" w:hAnsi="Arial"/>
          <w:sz w:val="16"/>
          <w:szCs w:val="16"/>
          <w:color w:val="auto"/>
          <w:vertAlign w:val="superscript"/>
        </w:rPr>
      </w:pPr>
      <w:r>
        <w:rPr>
          <w:rFonts w:ascii="Arial" w:cs="Arial" w:eastAsia="Arial" w:hAnsi="Arial"/>
          <w:sz w:val="13"/>
          <w:szCs w:val="13"/>
          <w:color w:val="auto"/>
        </w:rPr>
        <w:t>https://www.iea.org/reports/net-zero-by-2050 p 21</w:t>
      </w:r>
    </w:p>
    <w:p>
      <w:pPr>
        <w:spacing w:after="0" w:line="73" w:lineRule="exact"/>
        <w:rPr>
          <w:sz w:val="20"/>
          <w:szCs w:val="20"/>
          <w:color w:val="auto"/>
        </w:rPr>
      </w:pPr>
    </w:p>
    <w:p>
      <w:pPr>
        <w:ind w:left="220" w:hanging="212"/>
        <w:spacing w:after="0"/>
        <w:tabs>
          <w:tab w:leader="none" w:pos="220" w:val="left"/>
        </w:tabs>
        <w:numPr>
          <w:ilvl w:val="0"/>
          <w:numId w:val="278"/>
        </w:numPr>
        <w:rPr>
          <w:rFonts w:ascii="Arial" w:cs="Arial" w:eastAsia="Arial" w:hAnsi="Arial"/>
          <w:sz w:val="16"/>
          <w:szCs w:val="16"/>
          <w:color w:val="auto"/>
          <w:vertAlign w:val="superscript"/>
        </w:rPr>
      </w:pPr>
      <w:r>
        <w:rPr>
          <w:rFonts w:ascii="Arial" w:cs="Arial" w:eastAsia="Arial" w:hAnsi="Arial"/>
          <w:sz w:val="13"/>
          <w:szCs w:val="13"/>
          <w:color w:val="auto"/>
        </w:rPr>
        <w:t>https://www.swissre.com/institute/research/topics-and-risk-dialogues/climate-and-natural-catastrophe-risk/expertise-publication-economics-of-climate-change.html</w:t>
      </w:r>
    </w:p>
    <w:p>
      <w:pPr>
        <w:spacing w:after="0" w:line="73" w:lineRule="exact"/>
        <w:rPr>
          <w:sz w:val="20"/>
          <w:szCs w:val="20"/>
          <w:color w:val="auto"/>
        </w:rPr>
      </w:pPr>
    </w:p>
    <w:p>
      <w:pPr>
        <w:ind w:left="220" w:hanging="212"/>
        <w:spacing w:after="0"/>
        <w:tabs>
          <w:tab w:leader="none" w:pos="220" w:val="left"/>
        </w:tabs>
        <w:numPr>
          <w:ilvl w:val="0"/>
          <w:numId w:val="279"/>
        </w:numPr>
        <w:rPr>
          <w:rFonts w:ascii="Arial" w:cs="Arial" w:eastAsia="Arial" w:hAnsi="Arial"/>
          <w:sz w:val="16"/>
          <w:szCs w:val="16"/>
          <w:color w:val="auto"/>
          <w:vertAlign w:val="superscript"/>
        </w:rPr>
      </w:pPr>
      <w:r>
        <w:rPr>
          <w:rFonts w:ascii="Arial" w:cs="Arial" w:eastAsia="Arial" w:hAnsi="Arial"/>
          <w:sz w:val="13"/>
          <w:szCs w:val="13"/>
          <w:color w:val="auto"/>
        </w:rPr>
        <w:t>https://www.accenture.com/us-en/insights/banking/climate-change-risk-banks</w:t>
      </w:r>
    </w:p>
    <w:p>
      <w:pPr>
        <w:spacing w:after="0" w:line="73" w:lineRule="exact"/>
        <w:rPr>
          <w:sz w:val="20"/>
          <w:szCs w:val="20"/>
          <w:color w:val="auto"/>
        </w:rPr>
      </w:pPr>
    </w:p>
    <w:p>
      <w:pPr>
        <w:ind w:left="220" w:hanging="212"/>
        <w:spacing w:after="0"/>
        <w:tabs>
          <w:tab w:leader="none" w:pos="220" w:val="left"/>
        </w:tabs>
        <w:numPr>
          <w:ilvl w:val="0"/>
          <w:numId w:val="280"/>
        </w:numPr>
        <w:rPr>
          <w:rFonts w:ascii="Arial" w:cs="Arial" w:eastAsia="Arial" w:hAnsi="Arial"/>
          <w:sz w:val="16"/>
          <w:szCs w:val="16"/>
          <w:color w:val="auto"/>
          <w:vertAlign w:val="superscript"/>
        </w:rPr>
      </w:pPr>
      <w:r>
        <w:rPr>
          <w:rFonts w:ascii="Arial" w:cs="Arial" w:eastAsia="Arial" w:hAnsi="Arial"/>
          <w:sz w:val="13"/>
          <w:szCs w:val="13"/>
          <w:color w:val="auto"/>
        </w:rPr>
        <w:t>https://nytimes.com/2021/08/09/climate/climate-change-report-ipcc-un.html</w:t>
      </w:r>
    </w:p>
    <w:p>
      <w:pPr>
        <w:spacing w:after="0" w:line="73" w:lineRule="exact"/>
        <w:rPr>
          <w:sz w:val="20"/>
          <w:szCs w:val="20"/>
          <w:color w:val="auto"/>
        </w:rPr>
      </w:pPr>
    </w:p>
    <w:p>
      <w:pPr>
        <w:ind w:left="220" w:hanging="212"/>
        <w:spacing w:after="0"/>
        <w:tabs>
          <w:tab w:leader="none" w:pos="220" w:val="left"/>
        </w:tabs>
        <w:numPr>
          <w:ilvl w:val="0"/>
          <w:numId w:val="281"/>
        </w:numPr>
        <w:rPr>
          <w:rFonts w:ascii="Arial" w:cs="Arial" w:eastAsia="Arial" w:hAnsi="Arial"/>
          <w:sz w:val="16"/>
          <w:szCs w:val="16"/>
          <w:color w:val="auto"/>
          <w:vertAlign w:val="superscript"/>
        </w:rPr>
      </w:pPr>
      <w:r>
        <w:rPr>
          <w:rFonts w:ascii="Arial" w:cs="Arial" w:eastAsia="Arial" w:hAnsi="Arial"/>
          <w:sz w:val="13"/>
          <w:szCs w:val="13"/>
          <w:color w:val="auto"/>
        </w:rPr>
        <w:t>https://www.bankingonclimatechaos.org/</w:t>
      </w:r>
    </w:p>
    <w:p>
      <w:pPr>
        <w:spacing w:after="0" w:line="73" w:lineRule="exact"/>
        <w:rPr>
          <w:sz w:val="20"/>
          <w:szCs w:val="20"/>
          <w:color w:val="auto"/>
        </w:rPr>
      </w:pPr>
    </w:p>
    <w:p>
      <w:pPr>
        <w:ind w:left="220" w:hanging="212"/>
        <w:spacing w:after="0"/>
        <w:tabs>
          <w:tab w:leader="none" w:pos="220" w:val="left"/>
        </w:tabs>
        <w:numPr>
          <w:ilvl w:val="0"/>
          <w:numId w:val="282"/>
        </w:numPr>
        <w:rPr>
          <w:rFonts w:ascii="Arial" w:cs="Arial" w:eastAsia="Arial" w:hAnsi="Arial"/>
          <w:sz w:val="16"/>
          <w:szCs w:val="16"/>
          <w:color w:val="auto"/>
          <w:vertAlign w:val="superscript"/>
        </w:rPr>
      </w:pPr>
      <w:r>
        <w:rPr>
          <w:rFonts w:ascii="Arial" w:cs="Arial" w:eastAsia="Arial" w:hAnsi="Arial"/>
          <w:sz w:val="13"/>
          <w:szCs w:val="13"/>
          <w:color w:val="auto"/>
        </w:rPr>
        <w:t>https://www.teenvogue.com/story/banks-fund-fossil-fuels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2021, JPMorgan Chase announced our approach to align key sectors of our financing portfolio with the goals of the Paris Agreement and later in the year announced our support for the goals of the Net Zero Banking Alliance. We have initially developed intermediate Paris-aligned targets to reduce the carbon intensity in our Oil &amp; Gas, Electric Power and Automotive Manufacturing portfolios by 2030, pursuing Paris-aligned emission targets on a sector-by-sector basis. We are beginning to operationalize these targets across the Firm and have announced that we will provide details of our progress in our next climate report, which we plan to publish in fall 2022. A core principle of our strategy is to work with traditional energy clients to help develop their long-term business strategies to reduce their carbon emissions and improve their carbon disclosures. Our Center for Carbon Transition, founded in 2020, provides clients with financing, research and advisory solutions to support them in their transition to a low-carbon future.</w:t>
      </w:r>
    </w:p>
    <w:p>
      <w:pPr>
        <w:spacing w:after="0" w:line="7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Moreover, as part of a $2.5 trillion sustainable development target, we are targeting $1 trillion through 2030 to finance and facilitate climate action, and are increasingly advancing net zero solutions such as renewable energy, energy efficiency and vehicle electrification. We will share information on our progress in our ESG Report this spring.</w:t>
      </w:r>
    </w:p>
    <w:p>
      <w:pPr>
        <w:spacing w:after="0" w:line="7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International Energy Agency's (IEA) net zero scenario, which is cited by the proposal, is in fact based on "an unwavering policy focus on climate change" driving a decline in fossil fuel demand that is supported by "huge leaps in clean energy innovation" and resulting in a "complete transformation" of the energy system.</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JPMorgan Chase's approach to helping to address climate change is consistent with this holistic view of the changes required. There must be a wide range of simultaneous decarbonization policies and actions across the supply and demand sides of the energy system. However, a number of requirements for this systemic transformation are not currently in place, and abrupt financing shocks on the supply side are not the solution.</w:t>
      </w:r>
    </w:p>
    <w:p>
      <w:pPr>
        <w:spacing w:after="0" w:line="8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contrast to this holistic approach, the proposal requests that the Firm adopt a policy in 2022 to cease financing of new fossil fuel supplies. The proposal fails to consider the significant risks associated with such a policy. According to IEA, "if the supply side moves away from oil and gas before the world's consumers do, then the world could face periods of market tightness and volatility."</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Energy insecurity exacerbated by geopolitical turmoil further underscores the need for pragmatic efforts to support energy producers on decarbonizing reliable sources of supply.</w:t>
      </w:r>
    </w:p>
    <w:p>
      <w:pPr>
        <w:spacing w:after="0" w:line="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even as the world transitions away from fossil fuels in the coming decades, there will continue to be hydrocarbon demand. Currently there are not adequate, commercially available low carbon energy solutions for all of the world's needs, such as in harder-to-abate sectors such as industrial, manufacturing and heavy transportation. We believe that decarbonizing demand is important 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7145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climate objectives must be pursued alongside social and economic ones to facilitate a just transition.</w:t>
      </w:r>
    </w:p>
    <w:p>
      <w:pPr>
        <w:spacing w:after="0" w:line="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Firm received feedback on its approach to addressing climate change-related risks and opportunities in extensive engagements with shareholders, which in 2021, included reaching out to more than 150 shareholders, together representing over 50% of the Firm's outstanding common stock. The Firm's approach was largely supported by shareholders in these engagements, including with respect to our use of Paris-aligned emission intensity targets. We also share information about our approach to and performance on ESG topics, including climate change, on the Sustainability page of our website which includes the Firm's annual ESG Report.</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 diversified financial institution, JPMorgan Chase conducts many business activities, and it is management's responsibility to determine whether and how to provide financing to specific sectors, companies and projects. These decisions are fundamental to the Firm's day-to-day operations and require complex business judgments that the Firm's management is best positioned to make, with the oversight of the Board.</w:t>
      </w:r>
    </w:p>
    <w:p>
      <w:pPr>
        <w:spacing w:after="0" w:line="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Board opposes this proposal given the Firm's existing efforts to help address climate change and the significant market and energy insecurity risks associated with a complete and imminent withdrawal from financing for new fossil fuel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72390</wp:posOffset>
            </wp:positionV>
            <wp:extent cx="3060065" cy="47180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060065" cy="471805"/>
                    </a:xfrm>
                    <a:prstGeom prst="rect">
                      <a:avLst/>
                    </a:prstGeom>
                    <a:noFill/>
                  </pic:spPr>
                </pic:pic>
              </a:graphicData>
            </a:graphic>
          </wp:anchor>
        </w:drawing>
      </w:r>
    </w:p>
    <w:p>
      <w:pPr>
        <w:spacing w:after="0" w:line="237" w:lineRule="exact"/>
        <w:rPr>
          <w:sz w:val="20"/>
          <w:szCs w:val="20"/>
          <w:color w:val="auto"/>
        </w:rPr>
      </w:pPr>
    </w:p>
    <w:p>
      <w:pPr>
        <w:ind w:left="660" w:right="520"/>
        <w:spacing w:after="0" w:line="287" w:lineRule="auto"/>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AGAINST</w:t>
      </w:r>
      <w:r>
        <w:rPr>
          <w:rFonts w:ascii="Arial" w:cs="Arial" w:eastAsia="Arial" w:hAnsi="Arial"/>
          <w:sz w:val="18"/>
          <w:szCs w:val="18"/>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5381"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68" w:lineRule="exact"/>
        <w:rPr>
          <w:sz w:val="20"/>
          <w:szCs w:val="20"/>
          <w:color w:val="auto"/>
        </w:rPr>
      </w:pPr>
    </w:p>
    <w:p>
      <w:pPr>
        <w:ind w:left="80" w:hanging="72"/>
        <w:spacing w:after="0"/>
        <w:tabs>
          <w:tab w:leader="none" w:pos="80" w:val="left"/>
        </w:tabs>
        <w:numPr>
          <w:ilvl w:val="0"/>
          <w:numId w:val="283"/>
        </w:numPr>
        <w:rPr>
          <w:rFonts w:ascii="Arial" w:cs="Arial" w:eastAsia="Arial" w:hAnsi="Arial"/>
          <w:sz w:val="16"/>
          <w:szCs w:val="16"/>
          <w:color w:val="auto"/>
          <w:vertAlign w:val="superscript"/>
        </w:rPr>
      </w:pPr>
      <w:r>
        <w:rPr>
          <w:rFonts w:ascii="Arial" w:cs="Arial" w:eastAsia="Arial" w:hAnsi="Arial"/>
          <w:sz w:val="13"/>
          <w:szCs w:val="13"/>
          <w:color w:val="auto"/>
        </w:rPr>
        <w:t xml:space="preserve">IEA (2021), </w:t>
      </w:r>
      <w:r>
        <w:rPr>
          <w:rFonts w:ascii="Arial" w:cs="Arial" w:eastAsia="Arial" w:hAnsi="Arial"/>
          <w:sz w:val="13"/>
          <w:szCs w:val="13"/>
          <w:i w:val="1"/>
          <w:iCs w:val="1"/>
          <w:color w:val="auto"/>
        </w:rPr>
        <w:t>Net Zero by 2050</w:t>
      </w:r>
      <w:r>
        <w:rPr>
          <w:rFonts w:ascii="Arial" w:cs="Arial" w:eastAsia="Arial" w:hAnsi="Arial"/>
          <w:sz w:val="13"/>
          <w:szCs w:val="13"/>
          <w:color w:val="auto"/>
        </w:rPr>
        <w:t>, IEA, Paris, https://www.iea.org/reports/net-zero-by-2050</w:t>
      </w:r>
    </w:p>
    <w:p>
      <w:pPr>
        <w:spacing w:after="0" w:line="73" w:lineRule="exact"/>
        <w:rPr>
          <w:sz w:val="20"/>
          <w:szCs w:val="20"/>
          <w:color w:val="auto"/>
        </w:rPr>
      </w:pPr>
    </w:p>
    <w:p>
      <w:pPr>
        <w:ind w:left="200" w:hanging="192"/>
        <w:spacing w:after="0"/>
        <w:tabs>
          <w:tab w:leader="none" w:pos="200" w:val="left"/>
        </w:tabs>
        <w:numPr>
          <w:ilvl w:val="0"/>
          <w:numId w:val="284"/>
        </w:numPr>
        <w:rPr>
          <w:rFonts w:ascii="Arial" w:cs="Arial" w:eastAsia="Arial" w:hAnsi="Arial"/>
          <w:sz w:val="16"/>
          <w:szCs w:val="16"/>
          <w:color w:val="auto"/>
          <w:vertAlign w:val="superscript"/>
        </w:rPr>
      </w:pPr>
      <w:r>
        <w:rPr>
          <w:rFonts w:ascii="Arial" w:cs="Arial" w:eastAsia="Arial" w:hAnsi="Arial"/>
          <w:sz w:val="13"/>
          <w:szCs w:val="13"/>
          <w:color w:val="auto"/>
        </w:rPr>
        <w:t xml:space="preserve">IEA (2021), </w:t>
      </w:r>
      <w:r>
        <w:rPr>
          <w:rFonts w:ascii="Arial" w:cs="Arial" w:eastAsia="Arial" w:hAnsi="Arial"/>
          <w:sz w:val="13"/>
          <w:szCs w:val="13"/>
          <w:i w:val="1"/>
          <w:iCs w:val="1"/>
          <w:color w:val="auto"/>
        </w:rPr>
        <w:t>World Energy Outlook 202</w:t>
      </w:r>
      <w:r>
        <w:rPr>
          <w:rFonts w:ascii="Arial" w:cs="Arial" w:eastAsia="Arial" w:hAnsi="Arial"/>
          <w:sz w:val="13"/>
          <w:szCs w:val="13"/>
          <w:color w:val="auto"/>
        </w:rPr>
        <w:t>1, IEA, Paris, https://www.iea.org/reports/world-energy-outlook-2021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189230</wp:posOffset>
            </wp:positionV>
            <wp:extent cx="27432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93  </w:t>
      </w:r>
      <w:r>
        <w:rPr>
          <w:sz w:val="1"/>
          <w:szCs w:val="1"/>
          <w:color w:val="auto"/>
        </w:rPr>
        <w:drawing>
          <wp:inline distT="0" distB="0" distL="0" distR="0">
            <wp:extent cx="2203450" cy="154305"/>
            <wp:effectExtent l="0" t="0" r="0" b="0"/>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74A75"/>
        </w:rPr>
        <w:t>Proposal 5 — 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854325" cy="3511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8543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John Chevedden has advised us that he intends to introduce the following resolution:</w:t>
      </w:r>
    </w:p>
    <w:p>
      <w:pPr>
        <w:spacing w:after="0" w:line="4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Shareholders ask our board to take the steps necessary to amend the appropriate company governing documents to give the owners of a combined 10% of our outstanding common stock the power to call a special shareholder meeting.</w:t>
      </w:r>
    </w:p>
    <w:p>
      <w:pPr>
        <w:spacing w:after="0" w:line="6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Currently there is a face value of 20% of shares that can call a special shareholder meeting and it then goes downhill. 20% of shares equal 26% of shares that vote at the annual meeting. It would be hopeless to think that the shares that do not have the time to votes at the annual meeting would have the time to take the special procedural steps to call for a special shareholder meeting.</w:t>
      </w:r>
    </w:p>
    <w:p>
      <w:pPr>
        <w:spacing w:after="0" w:line="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Then all shares are owned, but not owned long, are 100% excluded. Thus the shareholders who own 20% of stock could determine that they own 26% of the shares that vote and more than 30% of shares when their shares not owned long are included.</w:t>
      </w:r>
    </w:p>
    <w:p>
      <w:pPr>
        <w:spacing w:after="0" w:line="6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A realistic 30% stock ownership threshold to call a special shareholder meeting is not much for management to brag about especially when we have a useless right to act by written consent.</w:t>
      </w:r>
    </w:p>
    <w:p>
      <w:pPr>
        <w:spacing w:after="0" w:line="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Management made a rule that it is mandatory to have the backing of 20% of all shares in existence to do so little as to ask for record date for written consent. Why would any group of shareholders, who own 20% of our company, find it attractive to do so little as to obtain a date on a calendar from management when these same owners of 20% of our company could compel management to hold a special shareholder meeting.</w:t>
      </w:r>
    </w:p>
    <w:p>
      <w:pPr>
        <w:spacing w:after="0" w:line="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JPM shareholders gave 47%-support to a 2021 shareholder proposal to reform our useless right to act by written consent in spite of over-zealous JPM management opposition. This 47%-support likely well-exceeded 51%-support from the share that have access to independent proxy voting advice and are not forced to rely on the biased opinion of management.</w:t>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need a more useful right to call a special shareholder meeting due to the recent onslaught of online annual meeting which gives management more control. The vast majority of 2021 online shareholder meetings dictated that no shareholders could speak.</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reasonable shareholder right to call for a special shareholder meeting to elect a new director can make shareholder engagement meaningful. If management tends to lack good faith in its shareholder engagement, a right for shareholders to call for a special meeting in our bylaws can make management think twice. We have no protection in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bylaws that any sort of shareholder engagement will be continued.</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 make up for our lack of a real right to act by written consent we need the right of 10% of shares to call for a special shareholder meeting.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Please vote yes: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Shareholder Meeting Improvement — Proposal 5</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5</w:t>
      </w:r>
    </w:p>
    <w:p>
      <w:pPr>
        <w:spacing w:after="0" w:line="110" w:lineRule="exact"/>
        <w:rPr>
          <w:sz w:val="20"/>
          <w:szCs w:val="20"/>
          <w:color w:val="auto"/>
        </w:rPr>
      </w:pPr>
    </w:p>
    <w:p>
      <w:pPr>
        <w:jc w:val="both"/>
        <w:ind w:right="11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294005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411855" cy="2940050"/>
                    </a:xfrm>
                    <a:prstGeom prst="rect">
                      <a:avLst/>
                    </a:prstGeom>
                    <a:noFill/>
                  </pic:spPr>
                </pic:pic>
              </a:graphicData>
            </a:graphic>
          </wp:anchor>
        </w:drawing>
      </w:r>
    </w:p>
    <w:p>
      <w:pPr>
        <w:spacing w:after="0" w:line="161" w:lineRule="exact"/>
        <w:rPr>
          <w:sz w:val="20"/>
          <w:szCs w:val="20"/>
          <w:color w:val="auto"/>
        </w:rPr>
      </w:pPr>
    </w:p>
    <w:p>
      <w:pPr>
        <w:ind w:left="300" w:right="340" w:hanging="201"/>
        <w:spacing w:after="0" w:line="287" w:lineRule="auto"/>
        <w:tabs>
          <w:tab w:leader="none" w:pos="304" w:val="left"/>
        </w:tabs>
        <w:numPr>
          <w:ilvl w:val="0"/>
          <w:numId w:val="285"/>
        </w:numPr>
        <w:rPr>
          <w:rFonts w:ascii="Arial" w:cs="Arial" w:eastAsia="Arial" w:hAnsi="Arial"/>
          <w:sz w:val="18"/>
          <w:szCs w:val="18"/>
          <w:color w:val="074A75"/>
        </w:rPr>
      </w:pPr>
      <w:r>
        <w:rPr>
          <w:rFonts w:ascii="Arial" w:cs="Arial" w:eastAsia="Arial" w:hAnsi="Arial"/>
          <w:sz w:val="18"/>
          <w:szCs w:val="18"/>
          <w:color w:val="auto"/>
        </w:rPr>
        <w:t>JPMorgan Chase already provides for shareholders’ rights to call a special meeting and to act by written consent.</w:t>
      </w:r>
    </w:p>
    <w:p>
      <w:pPr>
        <w:spacing w:after="0" w:line="17" w:lineRule="exact"/>
        <w:rPr>
          <w:rFonts w:ascii="Arial" w:cs="Arial" w:eastAsia="Arial" w:hAnsi="Arial"/>
          <w:sz w:val="18"/>
          <w:szCs w:val="18"/>
          <w:color w:val="074A75"/>
        </w:rPr>
      </w:pPr>
    </w:p>
    <w:p>
      <w:pPr>
        <w:ind w:left="300" w:right="300" w:hanging="201"/>
        <w:spacing w:after="0" w:line="259" w:lineRule="auto"/>
        <w:tabs>
          <w:tab w:leader="none" w:pos="304" w:val="left"/>
        </w:tabs>
        <w:numPr>
          <w:ilvl w:val="0"/>
          <w:numId w:val="285"/>
        </w:numPr>
        <w:rPr>
          <w:rFonts w:ascii="Arial" w:cs="Arial" w:eastAsia="Arial" w:hAnsi="Arial"/>
          <w:sz w:val="18"/>
          <w:szCs w:val="18"/>
          <w:color w:val="074A75"/>
        </w:rPr>
      </w:pPr>
      <w:r>
        <w:rPr>
          <w:rFonts w:ascii="Arial" w:cs="Arial" w:eastAsia="Arial" w:hAnsi="Arial"/>
          <w:sz w:val="18"/>
          <w:szCs w:val="18"/>
          <w:color w:val="auto"/>
        </w:rPr>
        <w:t>The provisions governing these rights strike a thoughtful balance between protecting the interests of all of our shareholders and avoiding a waste of resources to address narrowly supported interests, and are consistent with industry best practices.</w:t>
      </w:r>
    </w:p>
    <w:p>
      <w:pPr>
        <w:spacing w:after="0" w:line="30" w:lineRule="exact"/>
        <w:rPr>
          <w:rFonts w:ascii="Arial" w:cs="Arial" w:eastAsia="Arial" w:hAnsi="Arial"/>
          <w:sz w:val="18"/>
          <w:szCs w:val="18"/>
          <w:color w:val="074A75"/>
        </w:rPr>
      </w:pPr>
    </w:p>
    <w:p>
      <w:pPr>
        <w:ind w:left="300" w:right="120" w:hanging="201"/>
        <w:spacing w:after="0" w:line="255" w:lineRule="auto"/>
        <w:tabs>
          <w:tab w:leader="none" w:pos="304" w:val="left"/>
        </w:tabs>
        <w:numPr>
          <w:ilvl w:val="0"/>
          <w:numId w:val="285"/>
        </w:numPr>
        <w:rPr>
          <w:rFonts w:ascii="Arial" w:cs="Arial" w:eastAsia="Arial" w:hAnsi="Arial"/>
          <w:sz w:val="18"/>
          <w:szCs w:val="18"/>
          <w:color w:val="074A75"/>
        </w:rPr>
      </w:pPr>
      <w:r>
        <w:rPr>
          <w:rFonts w:ascii="Arial" w:cs="Arial" w:eastAsia="Arial" w:hAnsi="Arial"/>
          <w:sz w:val="18"/>
          <w:szCs w:val="18"/>
          <w:color w:val="auto"/>
        </w:rPr>
        <w:t>The Firm's current 20% ownership threshold required to call a special meeting, which the proposal seeks to significantly destabilize, provides important protections for the benefit of all shareholders. The current ownership threshold mitigates the risk of the right being monopolized by a few large shareholders and provides smaller shareholders with aligned interests an opportunity to join in the call for a special meeting on topics that are important to them.</w:t>
      </w:r>
    </w:p>
    <w:p>
      <w:pPr>
        <w:spacing w:after="0" w:line="36" w:lineRule="exact"/>
        <w:rPr>
          <w:rFonts w:ascii="Arial" w:cs="Arial" w:eastAsia="Arial" w:hAnsi="Arial"/>
          <w:sz w:val="18"/>
          <w:szCs w:val="18"/>
          <w:color w:val="074A75"/>
        </w:rPr>
      </w:pPr>
    </w:p>
    <w:p>
      <w:pPr>
        <w:ind w:left="300" w:right="160" w:hanging="201"/>
        <w:spacing w:after="0" w:line="262" w:lineRule="auto"/>
        <w:tabs>
          <w:tab w:leader="none" w:pos="304" w:val="left"/>
        </w:tabs>
        <w:numPr>
          <w:ilvl w:val="0"/>
          <w:numId w:val="285"/>
        </w:numPr>
        <w:rPr>
          <w:rFonts w:ascii="Arial" w:cs="Arial" w:eastAsia="Arial" w:hAnsi="Arial"/>
          <w:sz w:val="18"/>
          <w:szCs w:val="18"/>
          <w:color w:val="074A75"/>
        </w:rPr>
      </w:pPr>
      <w:r>
        <w:rPr>
          <w:rFonts w:ascii="Arial" w:cs="Arial" w:eastAsia="Arial" w:hAnsi="Arial"/>
          <w:sz w:val="18"/>
          <w:szCs w:val="18"/>
          <w:color w:val="auto"/>
        </w:rPr>
        <w:t>Our approach to these important shareholder rights is part of the Firm's strong corporate governance practices which include providing shareholders with opportunities to engage with the Board.</w:t>
      </w:r>
    </w:p>
    <w:p>
      <w:pPr>
        <w:spacing w:after="0" w:line="3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JPMorgan Chase has strong corporate governance practices for the benefit of all shareholders, large and small. Shareholders already have opportunities to engage with the Board, as described below in more detail. The Firm's current right to call a special meeting provides one such opportunity while thoughtfully balancing the protection of the interests of all of our shareholders and avoiding actions intended to address only narrowly supported interests.</w:t>
      </w:r>
    </w:p>
    <w:p>
      <w:pPr>
        <w:spacing w:after="0" w:line="7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JPMorgan Chase already provides shareholders with the right to call special meetings, whereas 40% of S&amp;P 500 companies do not. Of the S&amp;P 500 companies that provide for this right at all, more than 60% require a higher ownership threshold than JPMorgan Chase. Said differently, by allowing shareholders that hold in the aggregate 20% or more of our outstanding shares of common stock to call a special meeting, the Firm already provides shareholders with a special meeting right that is consistent with industry best practices. In addition, JPMorgan Chase shareholders holding the same 20% also have the right to act by written consent, and the</w:t>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Firm is one of less than a quarter of S&amp;P 500 companies that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provide shareholders with both special meeting and written consent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Firm's current threshold provides shareholders with 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opportunity to join in the call for a special meeting on topics that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important to them, enhancing their ability to drive corporate 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the special meeting right. However, by maintaining the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ownership threshold, we also provide important protections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 of all shareholders by mitigating the risk of the special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 right being monopolized by a very small number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that together meet a lower ownership threshold.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Firm's approach strikes the right balance between enabling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protecting against the unnecessary expense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disruption that can be associated with a special meeting that is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relevant to a relatively narrow constituency.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Importantly, shareholders’ right to call a special meeting is just 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aspect of the Firm's ongoing commitment to strong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that promotes long-term shareholder value.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 practices include the shareholder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available under the Firm’s Certificate of Incorporation and By-Laws,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the right to act by written consent, proxy access and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annually elect directors by majority vote. More information about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 rights can be found on page 34.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Firm’s corporate governance practices also allow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engage directly with our Board and hold the Board accountable.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Firm actively engages with shareholders on a wide variety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topics throughout the year. Each year, the Firm conducts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formal shareholder outreach program. In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this program, we reached out to more than 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together representing over 50% of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common stock, with the Lead Independent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participating in calls with shareholders representing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The information gained from these engagements was shared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Firm’s senior management and the Board and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considered in setting the strategic direction of the Firm. Also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senior management engaged with investors across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25 investor meetings and approximately 15 investor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conferences. More information about our shareholder engagement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efforts can be found on page 30.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Firm's existing special meeting provisions provide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meaningful right to shareholders with appropriate safeguards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 of the Firm's ongoing commitment to strong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practices that promote long-term shareholder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believes this proposal will not further shareholder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92075</wp:posOffset>
            </wp:positionV>
            <wp:extent cx="3060065" cy="419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060065" cy="419735"/>
                    </a:xfrm>
                    <a:prstGeom prst="rect">
                      <a:avLst/>
                    </a:prstGeom>
                    <a:noFill/>
                  </pic:spPr>
                </pic:pic>
              </a:graphicData>
            </a:graphic>
          </wp:anchor>
        </w:drawing>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-101600</wp:posOffset>
            </wp:positionV>
            <wp:extent cx="171450" cy="1714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FFFFFF"/>
        </w:rPr>
        <w:t>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400685</wp:posOffset>
            </wp:positionV>
            <wp:extent cx="27432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95  </w:t>
      </w:r>
      <w:r>
        <w:rPr>
          <w:sz w:val="1"/>
          <w:szCs w:val="1"/>
          <w:color w:val="auto"/>
        </w:rPr>
        <w:drawing>
          <wp:inline distT="0" distB="0" distL="0" distR="0">
            <wp:extent cx="2203450" cy="15430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74A75"/>
        </w:rPr>
        <w:t>Proposal 6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854325" cy="3511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8543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Kenneth Steiner has advised us that he intends to introduce the following resolution:</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shareholders request that the Board of Directors adopt an enduring policy, and amend the governing documents as necessary in order that 2 separate people hold the office of the Chairman and the office of the CEO as follows:</w:t>
      </w:r>
    </w:p>
    <w:p>
      <w:pPr>
        <w:spacing w:after="0" w:line="68"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Selection of the Chairman of the Board The Board requires the separation of the offices of the Chairman of the Board and the Chief Executive Officer.</w:t>
      </w:r>
    </w:p>
    <w:p>
      <w:pPr>
        <w:spacing w:after="0" w:line="63"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Whenever possible, the Chairman of the Board shall be an Independent Director.</w:t>
      </w:r>
    </w:p>
    <w:p>
      <w:pPr>
        <w:spacing w:after="0" w:line="4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Board has the discretion to select a Temporary Chairman of the Board who is not an Independent Director to serve while the Board is seeking an Independent Chairman of the Board.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Chairman shall not be a former CEO of the company.</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This policy could be phased in when there is a contract renewal for our current CEO or for the next CEO transition.</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proposal topic won 52% support at Boeing and 54% support at Baxter International in 2020. Boeing then adopted this proposal topic in 2020. The roles of Chairman and CEO are fundamentally different and should be held by 2 directors, a CEO and a Chairman who is completely independent of the CEO and our company.</w:t>
      </w:r>
    </w:p>
    <w:p>
      <w:pPr>
        <w:spacing w:after="0" w:line="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proposal topic won our 47% support at the 2021 JPM annual meeting. There are at least 2 ways this can be considered a majority vote.</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47% support likely represented a majority vote from the shares that have access to independent proxy voting advice and are not forced to rely too much on the biased management voting recommendations.</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47% support likely represented a majority vote had JPM management not gone to the corporate war chest and distributed red letter messages shortly before the annual meeting against shareholder proposals — drilling into shareholders the message to vote the according to the management party lines in every instance.</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With the current CEO serving as Chair this means giving up a substantial check and balance safeguard that can only occur with an independent Board Chairman.</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lead director is no substitute for an independent board chairman. A lead director cannot call a special shareholder meeting and cannot even call a special meeting of the board. A lead director can delegate most of the lead director duties to the CEO office and then simply rubber-stamp it. There is no way shareholders can be sure of what goes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lack of an independent Board Chairman is an unfortunate way to discourage new outside ideas and an unfortunate way to encourage the CEO to pursue pet projects that would not stand up to the effective oversight.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Please vote yes: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6 — Independent Board Chairman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6</w:t>
      </w:r>
    </w:p>
    <w:p>
      <w:pPr>
        <w:spacing w:after="0" w:line="110" w:lineRule="exact"/>
        <w:rPr>
          <w:sz w:val="20"/>
          <w:szCs w:val="20"/>
          <w:color w:val="auto"/>
        </w:rPr>
      </w:pPr>
    </w:p>
    <w:p>
      <w:pPr>
        <w:jc w:val="both"/>
        <w:ind w:right="11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302577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411855" cy="3025775"/>
                    </a:xfrm>
                    <a:prstGeom prst="rect">
                      <a:avLst/>
                    </a:prstGeom>
                    <a:noFill/>
                  </pic:spPr>
                </pic:pic>
              </a:graphicData>
            </a:graphic>
          </wp:anchor>
        </w:drawing>
      </w:r>
    </w:p>
    <w:p>
      <w:pPr>
        <w:spacing w:after="0" w:line="94" w:lineRule="exact"/>
        <w:rPr>
          <w:sz w:val="20"/>
          <w:szCs w:val="20"/>
          <w:color w:val="auto"/>
        </w:rPr>
      </w:pPr>
    </w:p>
    <w:p>
      <w:pPr>
        <w:ind w:left="300" w:right="140" w:hanging="201"/>
        <w:spacing w:after="0" w:line="257" w:lineRule="auto"/>
        <w:tabs>
          <w:tab w:leader="none" w:pos="304" w:val="left"/>
        </w:tabs>
        <w:numPr>
          <w:ilvl w:val="0"/>
          <w:numId w:val="286"/>
        </w:numPr>
        <w:rPr>
          <w:rFonts w:ascii="Arial" w:cs="Arial" w:eastAsia="Arial" w:hAnsi="Arial"/>
          <w:sz w:val="18"/>
          <w:szCs w:val="18"/>
          <w:color w:val="064A75"/>
        </w:rPr>
      </w:pPr>
      <w:r>
        <w:rPr>
          <w:rFonts w:ascii="Arial" w:cs="Arial" w:eastAsia="Arial" w:hAnsi="Arial"/>
          <w:sz w:val="18"/>
          <w:szCs w:val="18"/>
          <w:color w:val="auto"/>
        </w:rPr>
        <w:t>The Board has adopted a new general policy, upon the next CEO transition, that the Chair and CEO positions shall be separate, subject to the Board’s determination of the leadership structure that best serves the Firm and its shareholders at the time. This policy was adopted this year with consideration of shareholder input.</w:t>
      </w:r>
    </w:p>
    <w:p>
      <w:pPr>
        <w:spacing w:after="0" w:line="33" w:lineRule="exact"/>
        <w:rPr>
          <w:rFonts w:ascii="Arial" w:cs="Arial" w:eastAsia="Arial" w:hAnsi="Arial"/>
          <w:sz w:val="18"/>
          <w:szCs w:val="18"/>
          <w:color w:val="064A75"/>
        </w:rPr>
      </w:pPr>
    </w:p>
    <w:p>
      <w:pPr>
        <w:ind w:left="300" w:right="280" w:hanging="201"/>
        <w:spacing w:after="0" w:line="259" w:lineRule="auto"/>
        <w:tabs>
          <w:tab w:leader="none" w:pos="304" w:val="left"/>
        </w:tabs>
        <w:numPr>
          <w:ilvl w:val="0"/>
          <w:numId w:val="286"/>
        </w:numPr>
        <w:rPr>
          <w:rFonts w:ascii="Arial" w:cs="Arial" w:eastAsia="Arial" w:hAnsi="Arial"/>
          <w:sz w:val="18"/>
          <w:szCs w:val="18"/>
          <w:color w:val="064A75"/>
        </w:rPr>
      </w:pPr>
      <w:r>
        <w:rPr>
          <w:rFonts w:ascii="Arial" w:cs="Arial" w:eastAsia="Arial" w:hAnsi="Arial"/>
          <w:sz w:val="18"/>
          <w:szCs w:val="18"/>
          <w:color w:val="auto"/>
        </w:rPr>
        <w:t>The Board believes that the determination of its leadership structure is a core Board function and a key part of fulfilling its fiduciary duty to shareholders. Thus, it is important that the Board retain the ability to determine the leadership structure that best serves the Firm’s shareholders.</w:t>
      </w:r>
    </w:p>
    <w:p>
      <w:pPr>
        <w:spacing w:after="0" w:line="44" w:lineRule="exact"/>
        <w:rPr>
          <w:rFonts w:ascii="Arial" w:cs="Arial" w:eastAsia="Arial" w:hAnsi="Arial"/>
          <w:sz w:val="18"/>
          <w:szCs w:val="18"/>
          <w:color w:val="064A75"/>
        </w:rPr>
      </w:pPr>
    </w:p>
    <w:p>
      <w:pPr>
        <w:ind w:left="300" w:right="160" w:hanging="201"/>
        <w:spacing w:after="0" w:line="259" w:lineRule="auto"/>
        <w:tabs>
          <w:tab w:leader="none" w:pos="304" w:val="left"/>
        </w:tabs>
        <w:numPr>
          <w:ilvl w:val="0"/>
          <w:numId w:val="286"/>
        </w:numPr>
        <w:rPr>
          <w:rFonts w:ascii="Arial" w:cs="Arial" w:eastAsia="Arial" w:hAnsi="Arial"/>
          <w:sz w:val="18"/>
          <w:szCs w:val="18"/>
          <w:color w:val="074A75"/>
        </w:rPr>
      </w:pPr>
      <w:r>
        <w:rPr>
          <w:rFonts w:ascii="Arial" w:cs="Arial" w:eastAsia="Arial" w:hAnsi="Arial"/>
          <w:sz w:val="18"/>
          <w:szCs w:val="18"/>
          <w:color w:val="auto"/>
        </w:rPr>
        <w:t>The new policy is reflected in the Firm’s Corporate Governance Principles and provides for the Board’s independent oversight of management while also maintaining the Board’s ability to fulfill its fiduciary duty to determine the leadership structure that best serves shareholders.</w:t>
      </w:r>
    </w:p>
    <w:p>
      <w:pPr>
        <w:spacing w:after="0" w:line="30" w:lineRule="exact"/>
        <w:rPr>
          <w:rFonts w:ascii="Arial" w:cs="Arial" w:eastAsia="Arial" w:hAnsi="Arial"/>
          <w:sz w:val="18"/>
          <w:szCs w:val="18"/>
          <w:color w:val="074A75"/>
        </w:rPr>
      </w:pPr>
    </w:p>
    <w:p>
      <w:pPr>
        <w:ind w:left="300" w:right="180" w:hanging="201"/>
        <w:spacing w:after="0" w:line="262" w:lineRule="auto"/>
        <w:tabs>
          <w:tab w:leader="none" w:pos="304" w:val="left"/>
        </w:tabs>
        <w:numPr>
          <w:ilvl w:val="0"/>
          <w:numId w:val="286"/>
        </w:numPr>
        <w:rPr>
          <w:rFonts w:ascii="Arial" w:cs="Arial" w:eastAsia="Arial" w:hAnsi="Arial"/>
          <w:sz w:val="18"/>
          <w:szCs w:val="18"/>
          <w:color w:val="064A75"/>
        </w:rPr>
      </w:pPr>
      <w:r>
        <w:rPr>
          <w:rFonts w:ascii="Arial" w:cs="Arial" w:eastAsia="Arial" w:hAnsi="Arial"/>
          <w:sz w:val="18"/>
          <w:szCs w:val="18"/>
          <w:color w:val="auto"/>
        </w:rPr>
        <w:t>The proposal’s criticisms of the Lead Independent Director role are not applicable to JPMorgan Chase as the Lead Independent Director has the power to call special shareholder meetings and special meetings of the Board.</w:t>
      </w:r>
    </w:p>
    <w:p>
      <w:pPr>
        <w:spacing w:after="0" w:line="3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Each year, our Board of Directors gives careful consideration to the Firm’s leadership structure. The Board assesses what is in the best interests of the Firm and its shareholders given the facts and circumstances. Our Board does not have a restrictive policy pre-determining the outcome of its assessment. Rather, the Board determines the appropriate leadership structure for the current circumstance, which may include separating the roles of Chair and CEO as it did during the last CEO transition. We believe that shareholders, customers, communities and others benefit most when our Board has the ability to determine what is in the best interests of the Firm.</w:t>
      </w:r>
    </w:p>
    <w:p>
      <w:pPr>
        <w:spacing w:after="0" w:line="1887"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Currently, the Board has determined that the Firm is best served by a combined CEO and Chair, and a strong Lead Independent Director with clearly defined duties, as described on pages 22-23. The Board believes that based on current circumstances, its current structure with a combined Chair and CEO counterbalanced by a Lead Independent Director allows for the most effective execution on strategic priorities and the most effective form of independent oversight. This is evidenced by the Firm’s sustained outstanding financial performance and significant progress on key initiatives, as described on pages 53-64, under the leadership of the current Chair and CEO.</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Corporate Governance Principles provide that when the position of Chair is not filled by an independent director, the independent directors annually appoint an independent director to serve as Lead Independent Director. The authority of the Lead Independent Director role and structural committee and meeting requirements facilitate the Board’s strong independent oversight of the Firm and its management. The Lead Independent Director role includes the authority to call Board and independent director meetings and to approve Board agendas. The Lead Independent Director also guides discussions regarding the CEO’s performance and compensation and CEO succession.</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each of the Committees of the Board are chaired and constituted by independent directors. Committee chairs shape the agenda and information presented to their committees. Our independent directors meet regularly. An executive session of the Board, chaired by the Lead Independent Director, is held as part of each regularly scheduled Board meeting and allows additional time for the independent directors to fulfill their duty to provide oversight of the Firm and its management.</w:t>
      </w:r>
    </w:p>
    <w:p>
      <w:pPr>
        <w:spacing w:after="0" w:line="7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part of the annual review of its leadership structure, this year, the Board again considered how shareholders may best be served upon the next management transition. The Board recognizes the support received by a shareholder proposal at the Firm’s 2021 Annual Meeting requesting separation of the Chair and CEO roles at the next change in leadership. Following that meeting, the Board asked the Firm to broaden its usual scope of shareholder outreach, with a heightened focus on obtaining feedback on the potential separation of the Chair and CEO roles in the context of CEO succession planning. Ultimately, the Firm received feedback from shareholders across more than 50 engagements, representing approximately half of the Firm’s outstanding common stock, and presented the results of the engagements to the Board. While our shareholders recognized the importance of the Board’s ability to determine its leadership structure in the context of the current structure, many expressed a general preference for separate Chair and CEO positions. Notably, a substantial majority of those with whom we engaged, including most of our top holders, indicated support for a policy that would enable our current CEO to serve as non-executive Chair at the next leadership transition.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consideration of this feedback, the Board has adopted a new policy reflected in its Corporate Governance Principles that, upon the next CEO transition, the Chair and CEO positions will be separate, subject to the Board's determination of the leadership structure that best serves the Firm and its shareholders at that time. This policy is reflected in the Firm’s Corporate Governance Principles, providing important recognition that the best interests of the Firm and its shareholders may be best served at that time by separating the roles, while allowing the Board the discretion to respond to the circumstances at the time if required. Most important, this allows the Board the discretion to determine at the next CEO succession that the interests of the Firm and its shareholders may be best served by retaining the current Chair, along with a Lead Independent Director, in order to provide continuity of experience while also providing appropriate independent oversight of management. This policy reinforces the Board's longstanding commitment to independent oversight and maintaining governance best practices.</w:t>
      </w:r>
    </w:p>
    <w:p>
      <w:pPr>
        <w:spacing w:after="0" w:line="8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Contrary to the claims in the shareholder proposal, and as explained in more detail on page 23, the Lead Independent Director has the power to call special shareholder meetings and special meetings of the Board. The proposal's criticisms of the lead independent director role are not applicable to JPMorgan Chase, which maintains best practices for facilitating effective, independent oversight. Moreover, the proposal's broad claim that only an independent chair can meaningfully counterbalance a CEO is only true where the independent chair has a robust role and is effective in that role, lending further support to the Board's belief that its leadership structure should be determined by context, not by rule. Recent studies have not factually demonstrated a significant relationship between having separate Chair and CEO roles and company performance.</w:t>
      </w:r>
    </w:p>
    <w:p>
      <w:pPr>
        <w:spacing w:after="0" w:line="7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Board recommends a vote against this proposal because it is unnecessarily rigid and not in the best interest of the Firm or its shareholders. The policy requested by the shareholder proposal would restrict the Board’s discretion to use its experience, judgment, boardroom insight and ongoing shareholder feedback to make the best-informed decision on its leadership structure and in some cases may prevent the Board from naming a Chair who is best suited for the role. The Board believes that its new policy on the separation of the Chair and CEO roles upon the next CEO transition, and its strong governance practices in connection with the determination of its leadership structure and the role of the Lead Independent Director, best serve the Firm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302260</wp:posOffset>
            </wp:positionV>
            <wp:extent cx="3060065" cy="419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3060065" cy="41973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660" w:right="520"/>
        <w:spacing w:after="0" w:line="287" w:lineRule="auto"/>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AGAINST</w:t>
      </w:r>
      <w:r>
        <w:rPr>
          <w:rFonts w:ascii="Arial" w:cs="Arial" w:eastAsia="Arial" w:hAnsi="Arial"/>
          <w:sz w:val="18"/>
          <w:szCs w:val="18"/>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366395</wp:posOffset>
            </wp:positionV>
            <wp:extent cx="27432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5360" w:space="380"/>
            <w:col w:w="5480"/>
          </w:cols>
          <w:pgMar w:left="320" w:top="157" w:right="359" w:bottom="1440" w:gutter="0" w:footer="0" w:header="0"/>
          <w:type w:val="continuous"/>
        </w:sect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97  </w:t>
      </w:r>
      <w:r>
        <w:rPr>
          <w:sz w:val="1"/>
          <w:szCs w:val="1"/>
          <w:color w:val="auto"/>
        </w:rPr>
        <w:drawing>
          <wp:inline distT="0" distB="0" distL="0" distR="0">
            <wp:extent cx="2203450" cy="154305"/>
            <wp:effectExtent l="0" t="0" r="0" b="0"/>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74A75"/>
        </w:rPr>
        <w:t>Proposal 7 — Board diversity resolution</w:t>
      </w:r>
    </w:p>
    <w:p>
      <w:pPr>
        <w:spacing w:after="0" w:line="21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National Legal and Policy Center has advised us that it intends to introduce the following resolution: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RESOLVED: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shareholders request the Board of JPMorgan Chase &amp; Co. (the "Company") to adopt a policy (the "Policy") to encourage greater diversity for the Board of Directors. This would be accomplished by requiring that the initial lists of candidates from which new management-supported director nominees, recruited from outside the company, that are chosen by the board or relevant committee (each, an "Initial List"), should include qualified diverse candidates. The Policy should provide that any third-party consultant asked to furnish an Initial List will be requested to include such candidates.</w:t>
      </w:r>
    </w:p>
    <w:p>
      <w:pPr>
        <w:spacing w:after="0" w:line="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Each nominee's skills, experience and intellectual strengths shall be presented in a chart or matrix form, and shall be presented to the shareholders through the annual proxy statement and on the Company's website within six months of the date of the annual meeting and updated on an annual basis.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believe boards that incorporate diverse perspectives can think more critically and oversee corporate managers more effectively.</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While the Board currently boasts strong representation with experience from the upper echelons of corporate and financial decision-making, it could additionally benefit from individuals whose life experience and perspectives are diverse.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urge shareholders to vote FOR this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7</w:t>
      </w:r>
    </w:p>
    <w:p>
      <w:pPr>
        <w:spacing w:after="0" w:line="110" w:lineRule="exact"/>
        <w:rPr>
          <w:sz w:val="20"/>
          <w:szCs w:val="20"/>
          <w:color w:val="auto"/>
        </w:rPr>
      </w:pPr>
    </w:p>
    <w:p>
      <w:pPr>
        <w:jc w:val="both"/>
        <w:ind w:right="11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48088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411855" cy="4808855"/>
                    </a:xfrm>
                    <a:prstGeom prst="rect">
                      <a:avLst/>
                    </a:prstGeom>
                    <a:noFill/>
                  </pic:spPr>
                </pic:pic>
              </a:graphicData>
            </a:graphic>
          </wp:anchor>
        </w:drawing>
      </w:r>
    </w:p>
    <w:p>
      <w:pPr>
        <w:spacing w:after="0" w:line="161" w:lineRule="exact"/>
        <w:rPr>
          <w:sz w:val="20"/>
          <w:szCs w:val="20"/>
          <w:color w:val="auto"/>
        </w:rPr>
      </w:pPr>
    </w:p>
    <w:p>
      <w:pPr>
        <w:ind w:left="300" w:right="740" w:hanging="201"/>
        <w:spacing w:after="0" w:line="262" w:lineRule="auto"/>
        <w:tabs>
          <w:tab w:leader="none" w:pos="304" w:val="left"/>
        </w:tabs>
        <w:numPr>
          <w:ilvl w:val="0"/>
          <w:numId w:val="287"/>
        </w:numPr>
        <w:rPr>
          <w:rFonts w:ascii="Arial" w:cs="Arial" w:eastAsia="Arial" w:hAnsi="Arial"/>
          <w:sz w:val="18"/>
          <w:szCs w:val="18"/>
          <w:color w:val="074A75"/>
        </w:rPr>
      </w:pPr>
      <w:r>
        <w:rPr>
          <w:rFonts w:ascii="Arial" w:cs="Arial" w:eastAsia="Arial" w:hAnsi="Arial"/>
          <w:sz w:val="18"/>
          <w:szCs w:val="18"/>
          <w:color w:val="auto"/>
        </w:rPr>
        <w:t>The Board of Directors has a robust director recruitment process in place that provides for ongoing evaluation of candidates for Board membership and the candidate nomination process.</w:t>
      </w:r>
    </w:p>
    <w:p>
      <w:pPr>
        <w:spacing w:after="0" w:line="41" w:lineRule="exact"/>
        <w:rPr>
          <w:rFonts w:ascii="Arial" w:cs="Arial" w:eastAsia="Arial" w:hAnsi="Arial"/>
          <w:sz w:val="18"/>
          <w:szCs w:val="18"/>
          <w:color w:val="074A75"/>
        </w:rPr>
      </w:pPr>
    </w:p>
    <w:p>
      <w:pPr>
        <w:ind w:left="300" w:right="160" w:hanging="201"/>
        <w:spacing w:after="0" w:line="255" w:lineRule="auto"/>
        <w:tabs>
          <w:tab w:leader="none" w:pos="304" w:val="left"/>
        </w:tabs>
        <w:numPr>
          <w:ilvl w:val="0"/>
          <w:numId w:val="287"/>
        </w:numPr>
        <w:rPr>
          <w:rFonts w:ascii="Arial" w:cs="Arial" w:eastAsia="Arial" w:hAnsi="Arial"/>
          <w:sz w:val="18"/>
          <w:szCs w:val="18"/>
          <w:color w:val="074A75"/>
        </w:rPr>
      </w:pPr>
      <w:r>
        <w:rPr>
          <w:rFonts w:ascii="Arial" w:cs="Arial" w:eastAsia="Arial" w:hAnsi="Arial"/>
          <w:sz w:val="18"/>
          <w:szCs w:val="18"/>
          <w:color w:val="auto"/>
        </w:rPr>
        <w:t>In evaluating prospective directors, among other items, the Corporate Governance &amp; Nominating Committee ("Governance Committee") considers: the Firm’s Corporate Governance Principles, the Firm’s strategy and risk profile, current Board composition, candidates’ specific skills and experiences based on the needs of the Firm, and candidate diversity, including diversity with respect to gender, race, ethnicity, nationality, perspectives and viewpoints.</w:t>
      </w:r>
    </w:p>
    <w:p>
      <w:pPr>
        <w:spacing w:after="0" w:line="36" w:lineRule="exact"/>
        <w:rPr>
          <w:rFonts w:ascii="Arial" w:cs="Arial" w:eastAsia="Arial" w:hAnsi="Arial"/>
          <w:sz w:val="18"/>
          <w:szCs w:val="18"/>
          <w:color w:val="074A75"/>
        </w:rPr>
      </w:pPr>
    </w:p>
    <w:p>
      <w:pPr>
        <w:ind w:left="300" w:right="420" w:hanging="201"/>
        <w:spacing w:after="0" w:line="262" w:lineRule="auto"/>
        <w:tabs>
          <w:tab w:leader="none" w:pos="304" w:val="left"/>
        </w:tabs>
        <w:numPr>
          <w:ilvl w:val="0"/>
          <w:numId w:val="287"/>
        </w:numPr>
        <w:rPr>
          <w:rFonts w:ascii="Arial" w:cs="Arial" w:eastAsia="Arial" w:hAnsi="Arial"/>
          <w:sz w:val="18"/>
          <w:szCs w:val="18"/>
          <w:color w:val="074A75"/>
        </w:rPr>
      </w:pPr>
      <w:r>
        <w:rPr>
          <w:rFonts w:ascii="Arial" w:cs="Arial" w:eastAsia="Arial" w:hAnsi="Arial"/>
          <w:sz w:val="18"/>
          <w:szCs w:val="18"/>
          <w:color w:val="auto"/>
        </w:rPr>
        <w:t>The Board recruitment process, including its commitment to diversity, is transparent, as it is described on page 20 and in the Firm’s Corporate Governance Principles and the Governance Committee charter.</w:t>
      </w:r>
    </w:p>
    <w:p>
      <w:pPr>
        <w:spacing w:after="0" w:line="27" w:lineRule="exact"/>
        <w:rPr>
          <w:rFonts w:ascii="Arial" w:cs="Arial" w:eastAsia="Arial" w:hAnsi="Arial"/>
          <w:sz w:val="18"/>
          <w:szCs w:val="18"/>
          <w:color w:val="074A75"/>
        </w:rPr>
      </w:pPr>
    </w:p>
    <w:p>
      <w:pPr>
        <w:ind w:left="300" w:right="200" w:hanging="201"/>
        <w:spacing w:after="0" w:line="259" w:lineRule="auto"/>
        <w:tabs>
          <w:tab w:leader="none" w:pos="304" w:val="left"/>
        </w:tabs>
        <w:numPr>
          <w:ilvl w:val="0"/>
          <w:numId w:val="287"/>
        </w:numPr>
        <w:rPr>
          <w:rFonts w:ascii="Arial" w:cs="Arial" w:eastAsia="Arial" w:hAnsi="Arial"/>
          <w:sz w:val="18"/>
          <w:szCs w:val="18"/>
          <w:color w:val="074A75"/>
        </w:rPr>
      </w:pPr>
      <w:r>
        <w:rPr>
          <w:rFonts w:ascii="Arial" w:cs="Arial" w:eastAsia="Arial" w:hAnsi="Arial"/>
          <w:sz w:val="18"/>
          <w:szCs w:val="18"/>
          <w:color w:val="auto"/>
        </w:rPr>
        <w:t>The Board's recruitment process has resulted in the election of three women directors in the past four years, one of whom is a person of color. Our Board is comprised of individuals with diverse experiences, skills and backgrounds, as described on page 13.</w:t>
      </w:r>
    </w:p>
    <w:p>
      <w:pPr>
        <w:spacing w:after="0" w:line="44" w:lineRule="exact"/>
        <w:rPr>
          <w:rFonts w:ascii="Arial" w:cs="Arial" w:eastAsia="Arial" w:hAnsi="Arial"/>
          <w:sz w:val="18"/>
          <w:szCs w:val="18"/>
          <w:color w:val="074A75"/>
        </w:rPr>
      </w:pPr>
    </w:p>
    <w:p>
      <w:pPr>
        <w:ind w:left="300" w:right="120" w:hanging="201"/>
        <w:spacing w:after="0" w:line="259" w:lineRule="auto"/>
        <w:tabs>
          <w:tab w:leader="none" w:pos="304" w:val="left"/>
        </w:tabs>
        <w:numPr>
          <w:ilvl w:val="0"/>
          <w:numId w:val="287"/>
        </w:numPr>
        <w:rPr>
          <w:rFonts w:ascii="Arial" w:cs="Arial" w:eastAsia="Arial" w:hAnsi="Arial"/>
          <w:sz w:val="18"/>
          <w:szCs w:val="18"/>
          <w:color w:val="064A75"/>
        </w:rPr>
      </w:pPr>
      <w:r>
        <w:rPr>
          <w:rFonts w:ascii="Arial" w:cs="Arial" w:eastAsia="Arial" w:hAnsi="Arial"/>
          <w:sz w:val="18"/>
          <w:szCs w:val="18"/>
          <w:color w:val="auto"/>
        </w:rPr>
        <w:t>Candidates are nominated based on the skills, experience, personal attributes and tenure needed to guide the Firm's strategy, and to effectively oversee the Firm's risk management and internal control framework, and management's execution of its responsibilities.</w:t>
      </w:r>
    </w:p>
    <w:p>
      <w:pPr>
        <w:spacing w:after="0" w:line="30" w:lineRule="exact"/>
        <w:rPr>
          <w:rFonts w:ascii="Arial" w:cs="Arial" w:eastAsia="Arial" w:hAnsi="Arial"/>
          <w:sz w:val="18"/>
          <w:szCs w:val="18"/>
          <w:color w:val="064A75"/>
        </w:rPr>
      </w:pPr>
    </w:p>
    <w:p>
      <w:pPr>
        <w:ind w:left="300" w:right="140" w:hanging="201"/>
        <w:spacing w:after="0" w:line="257" w:lineRule="auto"/>
        <w:tabs>
          <w:tab w:leader="none" w:pos="304" w:val="left"/>
        </w:tabs>
        <w:numPr>
          <w:ilvl w:val="0"/>
          <w:numId w:val="287"/>
        </w:numPr>
        <w:rPr>
          <w:rFonts w:ascii="Arial" w:cs="Arial" w:eastAsia="Arial" w:hAnsi="Arial"/>
          <w:sz w:val="18"/>
          <w:szCs w:val="18"/>
          <w:color w:val="074A75"/>
        </w:rPr>
      </w:pPr>
      <w:r>
        <w:rPr>
          <w:rFonts w:ascii="Arial" w:cs="Arial" w:eastAsia="Arial" w:hAnsi="Arial"/>
          <w:sz w:val="18"/>
          <w:szCs w:val="18"/>
          <w:color w:val="auto"/>
        </w:rPr>
        <w:t>In addition, this proxy statement includes expanded disclosures for each director nominee in a matrix format, which lists the experience of each director, along with gender, race, ethnicity and other characteristics, enabling investors to further evaluate the skills, experience, intellectual strengths and perspectives of each director nominee.</w:t>
      </w:r>
    </w:p>
    <w:p>
      <w:pPr>
        <w:spacing w:after="0" w:line="31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Board of Directors has in place a robust director recruitment process that provides for ongoing evaluation of candidates for Board membership and the candidate nomination process. The Governance Committee solicits candidate recommendations from shareholders, directors, and management, and from time to time, has been assisted by a third-party advisor in identifying qualified candidates. In addition, the Firm’s By-Laws provide for proxy access, by which a group of up to 20 shareholders who have continuously owned at least 3% of the Firm’s outstanding shares for at least three years may nominate up to 20% of the Board (but in any event at least two directors).</w:t>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evaluating prospective directors, among other items, the Governance Committee considers: the Firm’s Corporate Governance Principles, the Firm’s strategy and risk profile, current Board composition, candidates’ specific skills and experiences based on the needs of the Firm, and candidate diversity, including diversity with respect to gender, race, ethnicity, nationality, perspectives and viewpoints. The Firm’s Corporate Governance Principles provide that the Board considers diversity in evaluating nominees. Specifically, the Board aims “to balance the needs for professional knowledge, business expertise, varied industry knowledge, financial expertise, and CEO-level business management experience, while striving to ensure diversity of representation among its members, including diversity with respect to gender, race, ethnicity and nationality. Following these principles, the Board seeks to select nominees who combine leadership and business management experience, experience in disciplines relevant to the Firm and its businesses, and personal qualities reflecting integrity, judgment, achievement, effectiveness and willingness to appropriately challenge management.”</w:t>
      </w:r>
    </w:p>
    <w:p>
      <w:pPr>
        <w:spacing w:after="0" w:line="8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Candidates are nominated based on the skills, experience, personal attributes and tenure needed to guide the Firm’s strategy, and to effectively oversee the Firm’s risk management and internal control framework, and management’s execution of its responsibilities. As a result, the Board represents a diverse mix of viewpoints and maintains fresh perspectives. The Board's recruitment process has resulted in the election of three female directors in the past four years, one of whom is a person of color, and two of whom have experience in technology, which is an important component of the Firm’s business strategy. Overall, our Board is comprised of people with diverse experiences, skills and backgrounds that collectively facilitate effective oversight.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Board recruitment process, including its commitment to diversity, is transparent, and is described on page 20, in the Firm’s Corporate Governance Principles and the Governance Committee charter. Our director nominees reflect diversity across age, tenure, gender and race, as well as skills, experience, perspectives and viewpoints. In addition, this proxy statement includes expanded disclosures for each director nominee in a matrix format, which lists the experience and skills of each director, along with gender, race, ethnicity and other characteristics, enabling shareholders to further evaluate the skills, experience, intellectual strengths and perspectives of each director nominee.</w:t>
      </w:r>
    </w:p>
    <w:p>
      <w:pPr>
        <w:spacing w:after="0" w:line="7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The Board already has a robust director recruitment process that is transparent and considers diversity. In addition, we provide detailed disclosure of our director nominees’ experience and diversity. The Board believes this proposal will not further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62865</wp:posOffset>
            </wp:positionV>
            <wp:extent cx="3060065" cy="42037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060065" cy="420370"/>
                    </a:xfrm>
                    <a:prstGeom prst="rect">
                      <a:avLst/>
                    </a:prstGeom>
                    <a:noFill/>
                  </pic:spPr>
                </pic:pic>
              </a:graphicData>
            </a:graphic>
          </wp:anchor>
        </w:drawing>
      </w:r>
    </w:p>
    <w:p>
      <w:pPr>
        <w:spacing w:after="0" w:line="182" w:lineRule="exact"/>
        <w:rPr>
          <w:sz w:val="20"/>
          <w:szCs w:val="20"/>
          <w:color w:val="auto"/>
        </w:rPr>
      </w:pPr>
    </w:p>
    <w:p>
      <w:pPr>
        <w:ind w:left="660" w:right="520"/>
        <w:spacing w:after="0" w:line="287" w:lineRule="auto"/>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AGAINST</w:t>
      </w:r>
      <w:r>
        <w:rPr>
          <w:rFonts w:ascii="Arial" w:cs="Arial" w:eastAsia="Arial" w:hAnsi="Arial"/>
          <w:sz w:val="18"/>
          <w:szCs w:val="18"/>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2218055</wp:posOffset>
            </wp:positionV>
            <wp:extent cx="27432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93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99  </w:t>
      </w:r>
      <w:r>
        <w:rPr>
          <w:sz w:val="1"/>
          <w:szCs w:val="1"/>
          <w:color w:val="auto"/>
        </w:rPr>
        <w:drawing>
          <wp:inline distT="0" distB="0" distL="0" distR="0">
            <wp:extent cx="2203450" cy="154305"/>
            <wp:effectExtent l="0" t="0" r="0" b="0"/>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74A75"/>
        </w:rPr>
        <w:t>Proposal 8 — Conversion to public benefit corporation</w:t>
      </w:r>
    </w:p>
    <w:p>
      <w:pPr>
        <w:spacing w:after="0" w:line="21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National Center for Public Policy Research has advised us that it intends to introduce the following resolution:</w:t>
      </w:r>
    </w:p>
    <w:p>
      <w:pPr>
        <w:spacing w:after="0" w:line="4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RESOLVED: JP Morgan Chase &amp; Co. ('Company') shareholders request that our Board of Directors take the steps necessary to amend our certificate of incorporation and, if necessary, bylaws (including presenting such amendments to the shareholders for approval) to become a public benefit corporation (a "PBC") in light of its adoption of the Business Roundtable Statement of the Purpose of a Corporation (the "Statement").</w:t>
      </w:r>
      <w:r>
        <w:rPr>
          <w:rFonts w:ascii="Arial" w:cs="Arial" w:eastAsia="Arial" w:hAnsi="Arial"/>
          <w:sz w:val="23"/>
          <w:szCs w:val="23"/>
          <w:color w:val="auto"/>
          <w:vertAlign w:val="superscript"/>
        </w:rPr>
        <w:t>10</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SUPPORTING STATEMENT: The Company signed the Statement, which proclaims that "we share a fundamental commitment to all of our stakeholders… . We commit to deliver value to all of them, for the future success of our companies, our communities and our country."</w:t>
      </w:r>
      <w:r>
        <w:rPr>
          <w:rFonts w:ascii="Arial" w:cs="Arial" w:eastAsia="Arial" w:hAnsi="Arial"/>
          <w:sz w:val="23"/>
          <w:szCs w:val="23"/>
          <w:color w:val="auto"/>
          <w:vertAlign w:val="superscript"/>
        </w:rPr>
        <w:t>11</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However, the Company is a conventional Delaware corporation, so that directors' fiduciary duties emphasize the company and its shareholders, but not stakeholders (except to the extent that stakeholder-regarding decisions create value for shareholders over time). Accordingly, when the interests of shareholders and stakeholders such as workers or customers clash, the Company's legal duty runs to shareholders. As one Delaware law firm reported to another signatory considering conversion, directors may consider stakeholder interests only if "any decisions made with respect to such stakeholders are in the best interests of the corporation and its stockholders."</w:t>
      </w:r>
      <w:r>
        <w:rPr>
          <w:rFonts w:ascii="Arial" w:cs="Arial" w:eastAsia="Arial" w:hAnsi="Arial"/>
          <w:sz w:val="23"/>
          <w:szCs w:val="23"/>
          <w:color w:val="auto"/>
          <w:vertAlign w:val="superscript"/>
        </w:rPr>
        <w:t>12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That contradicts the commitment made in the Statement.</w:t>
      </w:r>
    </w:p>
    <w:p>
      <w:pPr>
        <w:spacing w:after="0" w:line="117"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contrast, directors of a PBC must "balance" the interests of shareholders, stakeholders and a specified public benefit,</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giving legal status to the Statement's otherwise empty promise. A company required to balance stakeholder interests could prioritize stakeholder interests, even if doing so sacrificed higher returns for shareholders.</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 company that opposes conversion to the public-benefit corporation form, on the other hand, thereby recognizes that the Statement is simply a recital of well-understood old principles that changed nothing, and that leaves the overriding duty to shareholders fully in place. Such a company would reduce reputational and legal risks by withdrawing from a Statement that was aggressively sold to the public as making significant new commitments that cannot be achieved under the Delaware business-corporation form.</w:t>
      </w:r>
      <w:r>
        <w:rPr>
          <w:rFonts w:ascii="Arial" w:cs="Arial" w:eastAsia="Arial" w:hAnsi="Arial"/>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17145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8</w:t>
      </w:r>
    </w:p>
    <w:p>
      <w:pPr>
        <w:spacing w:after="0" w:line="110" w:lineRule="exact"/>
        <w:rPr>
          <w:sz w:val="20"/>
          <w:szCs w:val="20"/>
          <w:color w:val="auto"/>
        </w:rPr>
      </w:pPr>
    </w:p>
    <w:p>
      <w:pPr>
        <w:jc w:val="both"/>
        <w:ind w:right="1140"/>
        <w:spacing w:after="0" w:line="328"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411855" cy="184340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411855" cy="1843405"/>
                    </a:xfrm>
                    <a:prstGeom prst="rect">
                      <a:avLst/>
                    </a:prstGeom>
                    <a:noFill/>
                  </pic:spPr>
                </pic:pic>
              </a:graphicData>
            </a:graphic>
          </wp:anchor>
        </w:drawing>
      </w:r>
    </w:p>
    <w:p>
      <w:pPr>
        <w:spacing w:after="0" w:line="94" w:lineRule="exact"/>
        <w:rPr>
          <w:sz w:val="20"/>
          <w:szCs w:val="20"/>
          <w:color w:val="auto"/>
        </w:rPr>
      </w:pPr>
    </w:p>
    <w:p>
      <w:pPr>
        <w:jc w:val="both"/>
        <w:ind w:left="300" w:right="200" w:hanging="201"/>
        <w:spacing w:after="0" w:line="272" w:lineRule="auto"/>
        <w:tabs>
          <w:tab w:leader="none" w:pos="304" w:val="left"/>
        </w:tabs>
        <w:numPr>
          <w:ilvl w:val="0"/>
          <w:numId w:val="288"/>
        </w:numPr>
        <w:rPr>
          <w:rFonts w:ascii="Arial" w:cs="Arial" w:eastAsia="Arial" w:hAnsi="Arial"/>
          <w:sz w:val="17"/>
          <w:szCs w:val="17"/>
          <w:color w:val="074A75"/>
        </w:rPr>
      </w:pPr>
      <w:r>
        <w:rPr>
          <w:rFonts w:ascii="Arial" w:cs="Arial" w:eastAsia="Arial" w:hAnsi="Arial"/>
          <w:sz w:val="17"/>
          <w:szCs w:val="17"/>
          <w:color w:val="auto"/>
        </w:rPr>
        <w:t>JPMorgan Chase is committed to putting our business to work for the benefit of our customers, employees, suppliers, and the communities in which we work, as well as our shareholders.</w:t>
      </w:r>
    </w:p>
    <w:p>
      <w:pPr>
        <w:spacing w:after="0" w:line="1" w:lineRule="exact"/>
        <w:rPr>
          <w:rFonts w:ascii="Arial" w:cs="Arial" w:eastAsia="Arial" w:hAnsi="Arial"/>
          <w:sz w:val="17"/>
          <w:szCs w:val="17"/>
          <w:color w:val="074A75"/>
        </w:rPr>
      </w:pPr>
    </w:p>
    <w:p>
      <w:pPr>
        <w:ind w:left="300" w:right="360"/>
        <w:spacing w:after="0" w:line="255" w:lineRule="auto"/>
        <w:rPr>
          <w:rFonts w:ascii="Arial" w:cs="Arial" w:eastAsia="Arial" w:hAnsi="Arial"/>
          <w:sz w:val="17"/>
          <w:szCs w:val="17"/>
          <w:color w:val="074A75"/>
        </w:rPr>
      </w:pPr>
      <w:r>
        <w:rPr>
          <w:rFonts w:ascii="Arial" w:cs="Arial" w:eastAsia="Arial" w:hAnsi="Arial"/>
          <w:sz w:val="18"/>
          <w:szCs w:val="18"/>
          <w:color w:val="auto"/>
        </w:rPr>
        <w:t>We already are engaged in a number of initiatives that are designed to benefit our stakeholders in areas including racial equity, career development, community development, and climate and sustainability.</w:t>
      </w:r>
    </w:p>
    <w:p>
      <w:pPr>
        <w:spacing w:after="0" w:line="33" w:lineRule="exact"/>
        <w:rPr>
          <w:rFonts w:ascii="Arial" w:cs="Arial" w:eastAsia="Arial" w:hAnsi="Arial"/>
          <w:sz w:val="17"/>
          <w:szCs w:val="17"/>
          <w:color w:val="074A75"/>
        </w:rPr>
      </w:pPr>
    </w:p>
    <w:p>
      <w:pPr>
        <w:ind w:left="300" w:right="300" w:hanging="201"/>
        <w:spacing w:after="0" w:line="259" w:lineRule="auto"/>
        <w:tabs>
          <w:tab w:leader="none" w:pos="304" w:val="left"/>
        </w:tabs>
        <w:numPr>
          <w:ilvl w:val="0"/>
          <w:numId w:val="288"/>
        </w:numPr>
        <w:rPr>
          <w:rFonts w:ascii="Arial" w:cs="Arial" w:eastAsia="Arial" w:hAnsi="Arial"/>
          <w:sz w:val="18"/>
          <w:szCs w:val="18"/>
          <w:color w:val="074A75"/>
        </w:rPr>
      </w:pPr>
      <w:r>
        <w:rPr>
          <w:rFonts w:ascii="Arial" w:cs="Arial" w:eastAsia="Arial" w:hAnsi="Arial"/>
          <w:sz w:val="18"/>
          <w:szCs w:val="18"/>
          <w:color w:val="auto"/>
        </w:rPr>
        <w:t>In 2021, the Board reviewed a third party report regarding the Firm’s potential conversion to a Delaware public benefit corporation (“PBC”), and concluded that such a conversion would not be in the best interests of our shareholders and stakeholders.</w:t>
      </w:r>
    </w:p>
    <w:p>
      <w:pPr>
        <w:spacing w:after="0" w:line="32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signing the Business Roundtable Statement of the Purpose of a Corporation, our Chairman and CEO affirmed JPMorgan Chase’s existing commitment to delivering value to customers, investing in employees, dealing fairly and ethically with suppliers, supporting the communities in which we work, and generating long-term value for shareholders. Tangible evidence of our commitment includes: our $30 billion Racial Equity Commitment; expansion of our commitment to the Second Chance program which provides individuals with criminal backgrounds a second chance by supporting their reentry into the workforce, community and local economies; and our commitment to align key sectors of our financing portfolio with the goals of the Paris Agreement.</w:t>
      </w:r>
    </w:p>
    <w:p>
      <w:pPr>
        <w:spacing w:after="0" w:line="8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communicate regularly about these commitments and our progress on them through a number of channels including our Annual Report, Proxy Statement, annual ESG Report, and direct engagement with stakeholders. Our website features a dedicated ESG Information page, as well as an “Our Impact” page that contains information on our approach to an equitable and inclusive economy.</w:t>
      </w:r>
    </w:p>
    <w:p>
      <w:pPr>
        <w:spacing w:after="0" w:line="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2021, the Board engaged a third party to conduct an assessment and publish a report (the “Report”) on issues associated with the Firm’s potential conversion to a PBC. The Report and the Board’s determination regarding a potential conversion are published on the Governance page of our website. As explained in the Report, converting to a PBC would require the Board to determine that such a conversion would be more beneficial to the Firm and our shareholders in the long run than continuing to operate as a conventional corporation. Following a review of the Report, the Board determined that it would not be in the Firm’s best interest to convert to a PBC. The risks, costs, and other concerns that the</w:t>
      </w:r>
    </w:p>
    <w:p>
      <w:pPr>
        <w:spacing w:after="0" w:line="200" w:lineRule="exact"/>
        <w:rPr>
          <w:sz w:val="20"/>
          <w:szCs w:val="20"/>
          <w:color w:val="auto"/>
        </w:rPr>
      </w:pPr>
    </w:p>
    <w:p>
      <w:pPr>
        <w:sectPr>
          <w:pgSz w:w="11900" w:h="16838" w:orient="portrait"/>
          <w:cols w:equalWidth="0" w:num="2">
            <w:col w:w="5340" w:space="400"/>
            <w:col w:w="5480"/>
          </w:cols>
          <w:pgMar w:left="320" w:top="157" w:right="359" w:bottom="1440" w:gutter="0" w:footer="0" w:header="0"/>
          <w:type w:val="continuous"/>
        </w:sectPr>
      </w:pPr>
    </w:p>
    <w:p>
      <w:pPr>
        <w:spacing w:after="0" w:line="135" w:lineRule="exact"/>
        <w:rPr>
          <w:sz w:val="20"/>
          <w:szCs w:val="20"/>
          <w:color w:val="auto"/>
        </w:rPr>
      </w:pPr>
    </w:p>
    <w:p>
      <w:pPr>
        <w:ind w:left="240" w:hanging="232"/>
        <w:spacing w:after="0"/>
        <w:tabs>
          <w:tab w:leader="none" w:pos="240" w:val="left"/>
        </w:tabs>
        <w:numPr>
          <w:ilvl w:val="0"/>
          <w:numId w:val="289"/>
        </w:numPr>
        <w:rPr>
          <w:rFonts w:ascii="Arial" w:cs="Arial" w:eastAsia="Arial" w:hAnsi="Arial"/>
          <w:sz w:val="16"/>
          <w:szCs w:val="16"/>
          <w:color w:val="auto"/>
          <w:vertAlign w:val="superscript"/>
        </w:rPr>
      </w:pPr>
      <w:r>
        <w:rPr>
          <w:rFonts w:ascii="Arial" w:cs="Arial" w:eastAsia="Arial" w:hAnsi="Arial"/>
          <w:sz w:val="13"/>
          <w:szCs w:val="13"/>
          <w:color w:val="auto"/>
        </w:rPr>
        <w:t>https://opportunity.businessroundtable.org/ourcommitment/</w:t>
      </w:r>
    </w:p>
    <w:p>
      <w:pPr>
        <w:ind w:left="240" w:hanging="232"/>
        <w:spacing w:after="0" w:line="194" w:lineRule="auto"/>
        <w:tabs>
          <w:tab w:leader="none" w:pos="240" w:val="left"/>
        </w:tabs>
        <w:numPr>
          <w:ilvl w:val="0"/>
          <w:numId w:val="289"/>
        </w:numPr>
        <w:rPr>
          <w:rFonts w:ascii="Arial" w:cs="Arial" w:eastAsia="Arial" w:hAnsi="Arial"/>
          <w:sz w:val="16"/>
          <w:szCs w:val="16"/>
          <w:color w:val="auto"/>
          <w:vertAlign w:val="superscript"/>
        </w:rPr>
      </w:pPr>
      <w:r>
        <w:rPr>
          <w:rFonts w:ascii="Arial" w:cs="Arial" w:eastAsia="Arial" w:hAnsi="Arial"/>
          <w:sz w:val="13"/>
          <w:szCs w:val="13"/>
          <w:i w:val="1"/>
          <w:iCs w:val="1"/>
          <w:color w:val="auto"/>
        </w:rPr>
        <w:t>Id.</w:t>
      </w:r>
    </w:p>
    <w:p>
      <w:pPr>
        <w:ind w:left="240" w:hanging="232"/>
        <w:spacing w:after="0" w:line="193" w:lineRule="auto"/>
        <w:tabs>
          <w:tab w:leader="none" w:pos="240" w:val="left"/>
        </w:tabs>
        <w:numPr>
          <w:ilvl w:val="0"/>
          <w:numId w:val="289"/>
        </w:numPr>
        <w:rPr>
          <w:rFonts w:ascii="Arial" w:cs="Arial" w:eastAsia="Arial" w:hAnsi="Arial"/>
          <w:sz w:val="16"/>
          <w:szCs w:val="16"/>
          <w:color w:val="auto"/>
          <w:vertAlign w:val="superscript"/>
        </w:rPr>
      </w:pPr>
      <w:r>
        <w:rPr>
          <w:rFonts w:ascii="Arial" w:cs="Arial" w:eastAsia="Arial" w:hAnsi="Arial"/>
          <w:sz w:val="13"/>
          <w:szCs w:val="13"/>
          <w:color w:val="auto"/>
        </w:rPr>
        <w:t>https://www.sec.gov/divisions/corpfin/cf-noaction/14a-8/2020/harringtonwellsfargo021220-14a8.pdf</w:t>
      </w:r>
    </w:p>
    <w:p>
      <w:pPr>
        <w:ind w:left="240" w:hanging="232"/>
        <w:spacing w:after="0" w:line="193" w:lineRule="auto"/>
        <w:tabs>
          <w:tab w:leader="none" w:pos="240" w:val="left"/>
        </w:tabs>
        <w:numPr>
          <w:ilvl w:val="0"/>
          <w:numId w:val="289"/>
        </w:numPr>
        <w:rPr>
          <w:rFonts w:ascii="Arial" w:cs="Arial" w:eastAsia="Arial" w:hAnsi="Arial"/>
          <w:sz w:val="16"/>
          <w:szCs w:val="16"/>
          <w:color w:val="auto"/>
          <w:vertAlign w:val="superscript"/>
        </w:rPr>
      </w:pPr>
      <w:r>
        <w:rPr>
          <w:rFonts w:ascii="Arial" w:cs="Arial" w:eastAsia="Arial" w:hAnsi="Arial"/>
          <w:sz w:val="13"/>
          <w:szCs w:val="13"/>
          <w:color w:val="auto"/>
        </w:rPr>
        <w:t>8 Del. Code §365</w:t>
      </w:r>
    </w:p>
    <w:p>
      <w:pPr>
        <w:ind w:left="240" w:hanging="232"/>
        <w:spacing w:after="0" w:line="200" w:lineRule="auto"/>
        <w:tabs>
          <w:tab w:leader="none" w:pos="240" w:val="left"/>
        </w:tabs>
        <w:numPr>
          <w:ilvl w:val="0"/>
          <w:numId w:val="289"/>
        </w:numPr>
        <w:rPr>
          <w:rFonts w:ascii="Arial" w:cs="Arial" w:eastAsia="Arial" w:hAnsi="Arial"/>
          <w:sz w:val="16"/>
          <w:szCs w:val="16"/>
          <w:color w:val="auto"/>
          <w:vertAlign w:val="superscript"/>
        </w:rPr>
      </w:pPr>
      <w:r>
        <w:rPr>
          <w:rFonts w:ascii="Arial" w:cs="Arial" w:eastAsia="Arial" w:hAnsi="Arial"/>
          <w:sz w:val="13"/>
          <w:szCs w:val="13"/>
          <w:color w:val="auto"/>
        </w:rPr>
        <w:t>https://opportunity.businessroundtable.org/ourcommitment/</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Board considered are detailed in the Report and include, but are not limited to, the following:</w:t>
      </w:r>
    </w:p>
    <w:p>
      <w:pPr>
        <w:spacing w:after="0" w:line="45" w:lineRule="exact"/>
        <w:rPr>
          <w:sz w:val="20"/>
          <w:szCs w:val="20"/>
          <w:color w:val="auto"/>
        </w:rPr>
      </w:pPr>
    </w:p>
    <w:p>
      <w:pPr>
        <w:ind w:left="200" w:hanging="192"/>
        <w:spacing w:after="0" w:line="253" w:lineRule="auto"/>
        <w:tabs>
          <w:tab w:leader="none" w:pos="204" w:val="left"/>
        </w:tabs>
        <w:numPr>
          <w:ilvl w:val="0"/>
          <w:numId w:val="290"/>
        </w:numPr>
        <w:rPr>
          <w:rFonts w:ascii="Arial" w:cs="Arial" w:eastAsia="Arial" w:hAnsi="Arial"/>
          <w:sz w:val="18"/>
          <w:szCs w:val="18"/>
          <w:color w:val="074A75"/>
        </w:rPr>
      </w:pPr>
      <w:r>
        <w:rPr>
          <w:rFonts w:ascii="Arial" w:cs="Arial" w:eastAsia="Arial" w:hAnsi="Arial"/>
          <w:sz w:val="18"/>
          <w:szCs w:val="18"/>
          <w:color w:val="auto"/>
        </w:rPr>
        <w:t>Regulatory uncertainty: As a large financial institution, JPMorgan Chase is subject to review and examination by a number of regulatory agencies. In the U.S. alone, this includes, among others, the Board of Governors of the Federal Reserve System, the Office of the Comptroller of the Currency, the Federal Deposit Insurance Corporation, the Consumer Financial Protection Bureau, the Securities and Exchange Commission, and the Commodity Futures Trading Commission. Compliance with the rules and regulations of these authorities allows the Firm to continue to do business as a financial institution. The views of such authorities, as well as the Firm’s ability to comply with the applicable rules and regulations of such authorities, could impact the Firm’s ability to convert to a PBC and, following conversion, its ability to take certain actions needed to achieve its purpose as a PBC.</w:t>
      </w:r>
    </w:p>
    <w:p>
      <w:pPr>
        <w:spacing w:after="0" w:line="34" w:lineRule="exact"/>
        <w:rPr>
          <w:rFonts w:ascii="Arial" w:cs="Arial" w:eastAsia="Arial" w:hAnsi="Arial"/>
          <w:sz w:val="18"/>
          <w:szCs w:val="18"/>
          <w:color w:val="074A75"/>
        </w:rPr>
      </w:pPr>
    </w:p>
    <w:p>
      <w:pPr>
        <w:ind w:left="200" w:hanging="192"/>
        <w:spacing w:after="0" w:line="253" w:lineRule="auto"/>
        <w:tabs>
          <w:tab w:leader="none" w:pos="204" w:val="left"/>
        </w:tabs>
        <w:numPr>
          <w:ilvl w:val="0"/>
          <w:numId w:val="290"/>
        </w:numPr>
        <w:rPr>
          <w:rFonts w:ascii="Arial" w:cs="Arial" w:eastAsia="Arial" w:hAnsi="Arial"/>
          <w:sz w:val="18"/>
          <w:szCs w:val="18"/>
          <w:color w:val="074A75"/>
        </w:rPr>
      </w:pPr>
      <w:r>
        <w:rPr>
          <w:rFonts w:ascii="Arial" w:cs="Arial" w:eastAsia="Arial" w:hAnsi="Arial"/>
          <w:sz w:val="18"/>
          <w:szCs w:val="18"/>
          <w:color w:val="auto"/>
        </w:rPr>
        <w:t>Operational and market uncertainty: Due to the limited precedent for a publicly traded company converting to a PBC, it is difficult to predict the impact such a conversion would have on the Firm’s stock price, market capitalization and overall operational and financial performance. Any negative impacts may in turn make it difficult for the Firm to attract, retain, and compete for employees. The lack of precedent and uncertainty regarding decision-making for a PBC may also impede the Firm’s ability to attract experienced and qualified directors. Additionally, the Firm operates in more than 60 jurisdictions outside of the U.S. The impact of converting to a PBC in each of these jurisdictions is uncertain.</w:t>
      </w:r>
    </w:p>
    <w:p>
      <w:pPr>
        <w:spacing w:after="0" w:line="54" w:lineRule="exact"/>
        <w:rPr>
          <w:rFonts w:ascii="Arial" w:cs="Arial" w:eastAsia="Arial" w:hAnsi="Arial"/>
          <w:sz w:val="18"/>
          <w:szCs w:val="18"/>
          <w:color w:val="074A75"/>
        </w:rPr>
      </w:pPr>
    </w:p>
    <w:p>
      <w:pPr>
        <w:ind w:left="200" w:right="120" w:hanging="192"/>
        <w:spacing w:after="0" w:line="257" w:lineRule="auto"/>
        <w:tabs>
          <w:tab w:leader="none" w:pos="204" w:val="left"/>
        </w:tabs>
        <w:numPr>
          <w:ilvl w:val="0"/>
          <w:numId w:val="290"/>
        </w:numPr>
        <w:rPr>
          <w:rFonts w:ascii="Arial" w:cs="Arial" w:eastAsia="Arial" w:hAnsi="Arial"/>
          <w:sz w:val="18"/>
          <w:szCs w:val="18"/>
          <w:color w:val="074A75"/>
        </w:rPr>
      </w:pPr>
      <w:r>
        <w:rPr>
          <w:rFonts w:ascii="Arial" w:cs="Arial" w:eastAsia="Arial" w:hAnsi="Arial"/>
          <w:sz w:val="18"/>
          <w:szCs w:val="18"/>
          <w:color w:val="auto"/>
        </w:rPr>
        <w:t>Costly and uncertain implementation: Fees and costs, including those related to soliciting shareholder approval for the conversion (which approval is uncertain), satisfying filing requirements, potential shareholder litigation, and preparing the biennial statement to shareholders required of Delaware PBCs, may be significant.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Board continues to believe these factors pose significant and unnecessary risks and cost to the Firm while delivering, at best, minimal benefit to its shareholders or other stakeholders. A conversion to a PBC could distract the Board and management from executing the Firm’s strategy including the many initiatives the Firm is already supporting.</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Board already considers the interests of not only shareholders, but also employees, customers, suppliers and communities in which we work, consistent with our belief that long-term shareholder value is best achieved by putting our business to work for all our stakeholders.</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 to demonstrate a deep commitment to our shareholders, employees, customers, clients and communities. We believe conversion to a PBC would be an unnecessary, costly process that would introduce risk and uncertainty, without providing meaningful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74295</wp:posOffset>
            </wp:positionV>
            <wp:extent cx="3060065" cy="419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060065" cy="419735"/>
                    </a:xfrm>
                    <a:prstGeom prst="rect">
                      <a:avLst/>
                    </a:prstGeom>
                    <a:noFill/>
                  </pic:spPr>
                </pic:pic>
              </a:graphicData>
            </a:graphic>
          </wp:anchor>
        </w:drawing>
      </w:r>
    </w:p>
    <w:p>
      <w:pPr>
        <w:spacing w:after="0" w:line="200"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color w:val="FFFFFF"/>
        </w:rPr>
        <w:t>The Board of Directors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2654935</wp:posOffset>
            </wp:positionV>
            <wp:extent cx="27432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26"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101 </w:t>
      </w:r>
      <w:r>
        <w:rPr>
          <w:sz w:val="1"/>
          <w:szCs w:val="1"/>
          <w:color w:val="auto"/>
        </w:rPr>
        <w:drawing>
          <wp:inline distT="0" distB="0" distL="0" distR="0">
            <wp:extent cx="2203450" cy="154305"/>
            <wp:effectExtent l="0" t="0" r="0" b="0"/>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7" w:name="page108"/>
    <w:bookmarkEnd w:id="10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074A75"/>
        </w:rPr>
        <w:t>Proposal 9 – Report on setting absolute contraction targets</w:t>
      </w:r>
    </w:p>
    <w:p>
      <w:pPr>
        <w:sectPr>
          <w:pgSz w:w="11900" w:h="16838" w:orient="portrait"/>
          <w:cols w:equalWidth="0" w:num="1">
            <w:col w:w="11220"/>
          </w:cols>
          <w:pgMar w:left="320" w:top="157" w:right="359" w:bottom="1440" w:gutter="0" w:footer="0" w:header="0"/>
        </w:sectPr>
      </w:pPr>
    </w:p>
    <w:p>
      <w:pPr>
        <w:spacing w:after="0" w:line="21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Sierra Club Foundation has advised us that it intends to introduce the following resolution:</w:t>
      </w:r>
    </w:p>
    <w:p>
      <w:pPr>
        <w:spacing w:after="0" w:line="4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RESOLVED: Shareholders request that the Board of Directors issue a report that sets absolute contraction targets for the Company's financed greenhouse gas emissions, in accordance with United Nations Environmental Program Finance Initiative (UNEP FI) recommendations to the G20 Sustainable Finance Working Group, for credible net zero commitments.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Proponents request that, in the discretion of board and management, the report address the lack of need for new fossil fuel development beyond projects already committed as of 2021, as set forth in the UNEP FI recommendations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SUPPORTING STATEMENT</w:t>
      </w:r>
    </w:p>
    <w:p>
      <w:pPr>
        <w:spacing w:after="0" w:line="117"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Our company notes that "[c]limate change manifesting as physical or transition risks could have a material adverse impact on JPMorgan Chase's business operations, clients and customers."</w:t>
      </w:r>
      <w:r>
        <w:rPr>
          <w:rFonts w:ascii="Arial" w:cs="Arial" w:eastAsia="Arial" w:hAnsi="Arial"/>
          <w:sz w:val="22"/>
          <w:szCs w:val="22"/>
          <w:color w:val="auto"/>
          <w:vertAlign w:val="superscript"/>
        </w:rPr>
        <w:t>15</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JPMorgan is a member of the Net Zero Banking Alliance (NZBA). It has committed to align with pathways consistent with a maximum temperature rise of 1.5 degrees Celsius above pre-industrial levels and to use decarbonization scenarios from "credible and well-recognized sources."</w:t>
      </w:r>
      <w:r>
        <w:rPr>
          <w:rFonts w:ascii="Arial" w:cs="Arial" w:eastAsia="Arial" w:hAnsi="Arial"/>
          <w:sz w:val="23"/>
          <w:szCs w:val="23"/>
          <w:color w:val="auto"/>
          <w:vertAlign w:val="superscript"/>
        </w:rPr>
        <w:t>16</w:t>
      </w:r>
    </w:p>
    <w:p>
      <w:pPr>
        <w:spacing w:after="0" w:line="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However, JPMorgan's current decarbonization plan is not aligned with a credible net zero pathway. The UNEP FI, which convenes the NZBA, published an Input Paper to the G20 Sustainable Finance Working Group which defines credible net zero commitments of financial institutions.</w:t>
      </w:r>
      <w:r>
        <w:rPr>
          <w:rFonts w:ascii="Arial" w:cs="Arial" w:eastAsia="Arial" w:hAnsi="Arial"/>
          <w:sz w:val="23"/>
          <w:szCs w:val="23"/>
          <w:color w:val="auto"/>
          <w:vertAlign w:val="superscript"/>
        </w:rPr>
        <w:t>17</w:t>
      </w:r>
      <w:r>
        <w:rPr>
          <w:rFonts w:ascii="Arial" w:cs="Arial" w:eastAsia="Arial" w:hAnsi="Arial"/>
          <w:sz w:val="18"/>
          <w:szCs w:val="18"/>
          <w:color w:val="auto"/>
        </w:rPr>
        <w:t xml:space="preserve"> UNEP FI contrasts two decarbonization approaches: "absolute contraction," or "[r]educing the absolute amount of carbon in the portfolio," versus an " [e]conomic intensity-based" approach, or "[a]chieving a greater carbon efficiency per dollar invested." While JPMorgan publishes decarbonization targets based on carbon efficiency, UNEP FI emphasizes "</w:t>
      </w:r>
      <w:r>
        <w:rPr>
          <w:rFonts w:ascii="Arial" w:cs="Arial" w:eastAsia="Arial" w:hAnsi="Arial"/>
          <w:sz w:val="18"/>
          <w:szCs w:val="18"/>
          <w:b w:val="1"/>
          <w:bCs w:val="1"/>
          <w:color w:val="auto"/>
        </w:rPr>
        <w:t>it is most convincing for investors to use an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absolute contraction approach </w:t>
      </w:r>
      <w:r>
        <w:rPr>
          <w:rFonts w:ascii="Arial" w:cs="Arial" w:eastAsia="Arial" w:hAnsi="Arial"/>
          <w:sz w:val="18"/>
          <w:szCs w:val="18"/>
          <w:color w:val="auto"/>
        </w:rPr>
        <w:t>(original emphasis)..."</w:t>
      </w:r>
      <w:r>
        <w:rPr>
          <w:rFonts w:ascii="Arial" w:cs="Arial" w:eastAsia="Arial" w:hAnsi="Arial"/>
          <w:sz w:val="23"/>
          <w:szCs w:val="23"/>
          <w:color w:val="auto"/>
          <w:vertAlign w:val="superscript"/>
        </w:rPr>
        <w:t>18</w:t>
      </w:r>
      <w:r>
        <w:rPr>
          <w:rFonts w:ascii="Arial" w:cs="Arial" w:eastAsia="Arial" w:hAnsi="Arial"/>
          <w:sz w:val="18"/>
          <w:szCs w:val="18"/>
          <w:b w:val="1"/>
          <w:bCs w:val="1"/>
          <w:color w:val="auto"/>
        </w:rPr>
        <w:t xml:space="preserve"> </w:t>
      </w:r>
      <w:r>
        <w:rPr>
          <w:rFonts w:ascii="Arial" w:cs="Arial" w:eastAsia="Arial" w:hAnsi="Arial"/>
          <w:sz w:val="18"/>
          <w:szCs w:val="18"/>
          <w:color w:val="auto"/>
        </w:rPr>
        <w:t>Targeting</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carbon efficiency by itself, without adopting absolute greenhouse gas emission reduction standards for its financing, allows for an increase in the Company's total fossil fuel financing. For example, focusing on only lower carbon intensity fuels, such as fracked gas, decreases overall portfolio intensity while potentially increasing its overall financed emissions.</w:t>
      </w:r>
    </w:p>
    <w:p>
      <w:pPr>
        <w:spacing w:after="0" w:line="9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This is a red flag for JPMorgan, the world's top financier of companies expanding fossil fuels.</w:t>
      </w:r>
      <w:r>
        <w:rPr>
          <w:rFonts w:ascii="Arial" w:cs="Arial" w:eastAsia="Arial" w:hAnsi="Arial"/>
          <w:sz w:val="23"/>
          <w:szCs w:val="23"/>
          <w:color w:val="auto"/>
          <w:vertAlign w:val="superscript"/>
        </w:rPr>
        <w:t>19</w:t>
      </w:r>
      <w:r>
        <w:rPr>
          <w:rFonts w:ascii="Arial" w:cs="Arial" w:eastAsia="Arial" w:hAnsi="Arial"/>
          <w:sz w:val="18"/>
          <w:szCs w:val="18"/>
          <w:color w:val="auto"/>
        </w:rPr>
        <w:t xml:space="preserve"> The UNEP FI recommendations also admonish: "A financial institution establishing a net-zero commitment should begin aligning with the required assumptions and implications of IPCC 1.5°C no/low overshoot pathways as soon as possible....All no/low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71450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overshoot scenarios indicate an immediate reduction in fossil fuels, signaling that investment in new fossil fuel development is not aligned with 1.5°C."</w:t>
      </w:r>
      <w:r>
        <w:rPr>
          <w:rFonts w:ascii="Arial" w:cs="Arial" w:eastAsia="Arial" w:hAnsi="Arial"/>
          <w:sz w:val="23"/>
          <w:szCs w:val="23"/>
          <w:color w:val="auto"/>
          <w:vertAlign w:val="superscript"/>
        </w:rPr>
        <w:t>20</w:t>
      </w:r>
      <w:r>
        <w:rPr>
          <w:rFonts w:ascii="Arial" w:cs="Arial" w:eastAsia="Arial" w:hAnsi="Arial"/>
          <w:sz w:val="18"/>
          <w:szCs w:val="18"/>
          <w:color w:val="auto"/>
        </w:rPr>
        <w:t xml:space="preserve"> JPMorgan has no policy to halt financing new oil and gas exploration and development.</w:t>
      </w:r>
    </w:p>
    <w:p>
      <w:pPr>
        <w:spacing w:after="0" w:line="8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JPMorgan's assertions of climate leadership fly in the face of its actions, creating reputational risk from greenwashing accusations. By underwriting or lending to projects which are unneeded under the UNEP FI recommendations, JPMorgan is also knowingly loading potentially stranded assets onto its clients' balance sheets, or its own, creating financial and litigation risk.</w:t>
      </w:r>
      <w:r>
        <w:rPr>
          <w:rFonts w:ascii="Arial" w:cs="Arial" w:eastAsia="Arial" w:hAnsi="Arial"/>
          <w:sz w:val="23"/>
          <w:szCs w:val="23"/>
          <w:color w:val="auto"/>
          <w:vertAlign w:val="superscript"/>
        </w:rPr>
        <w:t>21</w:t>
      </w:r>
      <w:r>
        <w:rPr>
          <w:rFonts w:ascii="Arial" w:cs="Arial" w:eastAsia="Arial" w:hAnsi="Arial"/>
          <w:sz w:val="18"/>
          <w:szCs w:val="18"/>
          <w:color w:val="auto"/>
        </w:rPr>
        <w:t xml:space="preserve"> In this regard, investors need to know that JPMorgan's emissions reduction targets, and its lending and underwriting policies, are consistent with its own net zero commitment.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9E3124"/>
        </w:rPr>
        <w:t>AGAINST</w:t>
      </w:r>
      <w:r>
        <w:rPr>
          <w:rFonts w:ascii="Arial" w:cs="Arial" w:eastAsia="Arial" w:hAnsi="Arial"/>
          <w:sz w:val="18"/>
          <w:szCs w:val="18"/>
          <w:b w:val="1"/>
          <w:bCs w:val="1"/>
          <w:color w:val="9E3124"/>
        </w:rPr>
        <w:t xml:space="preserve"> </w:t>
      </w:r>
      <w:r>
        <w:rPr>
          <w:rFonts w:ascii="Arial" w:cs="Arial" w:eastAsia="Arial" w:hAnsi="Arial"/>
          <w:sz w:val="18"/>
          <w:szCs w:val="18"/>
          <w:color w:val="000000"/>
        </w:rPr>
        <w:t>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3411855" cy="34290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3411855" cy="3429000"/>
                    </a:xfrm>
                    <a:prstGeom prst="rect">
                      <a:avLst/>
                    </a:prstGeom>
                    <a:noFill/>
                  </pic:spPr>
                </pic:pic>
              </a:graphicData>
            </a:graphic>
          </wp:anchor>
        </w:drawing>
      </w:r>
    </w:p>
    <w:p>
      <w:pPr>
        <w:spacing w:after="0" w:line="309" w:lineRule="exact"/>
        <w:rPr>
          <w:sz w:val="20"/>
          <w:szCs w:val="20"/>
          <w:color w:val="auto"/>
        </w:rPr>
      </w:pPr>
    </w:p>
    <w:p>
      <w:pPr>
        <w:ind w:left="300" w:right="220" w:hanging="201"/>
        <w:spacing w:after="0" w:line="257" w:lineRule="auto"/>
        <w:tabs>
          <w:tab w:leader="none" w:pos="304" w:val="left"/>
        </w:tabs>
        <w:numPr>
          <w:ilvl w:val="0"/>
          <w:numId w:val="291"/>
        </w:numPr>
        <w:rPr>
          <w:rFonts w:ascii="Arial" w:cs="Arial" w:eastAsia="Arial" w:hAnsi="Arial"/>
          <w:sz w:val="18"/>
          <w:szCs w:val="18"/>
          <w:color w:val="074A75"/>
        </w:rPr>
      </w:pPr>
      <w:r>
        <w:rPr>
          <w:rFonts w:ascii="Arial" w:cs="Arial" w:eastAsia="Arial" w:hAnsi="Arial"/>
          <w:sz w:val="18"/>
          <w:szCs w:val="18"/>
          <w:color w:val="auto"/>
        </w:rPr>
        <w:t>JPMorgan Chase is actively addressing climate change-related risks and opportunities, including by operationalizing Paris-aligned targets for financed emissions in the Oil &amp; Gas, Electric Power and Automotive Manufacturing sectors, and pursuing a $1 trillion target for financing and facilitating climate action through 2030.</w:t>
      </w:r>
    </w:p>
    <w:p>
      <w:pPr>
        <w:spacing w:after="0" w:line="47" w:lineRule="exact"/>
        <w:rPr>
          <w:rFonts w:ascii="Arial" w:cs="Arial" w:eastAsia="Arial" w:hAnsi="Arial"/>
          <w:sz w:val="18"/>
          <w:szCs w:val="18"/>
          <w:color w:val="074A75"/>
        </w:rPr>
      </w:pPr>
    </w:p>
    <w:p>
      <w:pPr>
        <w:jc w:val="both"/>
        <w:ind w:left="300" w:right="320" w:hanging="201"/>
        <w:spacing w:after="0" w:line="291" w:lineRule="auto"/>
        <w:tabs>
          <w:tab w:leader="none" w:pos="304" w:val="left"/>
        </w:tabs>
        <w:numPr>
          <w:ilvl w:val="0"/>
          <w:numId w:val="291"/>
        </w:numPr>
        <w:rPr>
          <w:rFonts w:ascii="Arial" w:cs="Arial" w:eastAsia="Arial" w:hAnsi="Arial"/>
          <w:sz w:val="17"/>
          <w:szCs w:val="17"/>
          <w:color w:val="064A75"/>
        </w:rPr>
      </w:pPr>
      <w:r>
        <w:rPr>
          <w:rFonts w:ascii="Arial" w:cs="Arial" w:eastAsia="Arial" w:hAnsi="Arial"/>
          <w:sz w:val="17"/>
          <w:szCs w:val="17"/>
          <w:color w:val="auto"/>
        </w:rPr>
        <w:t>The Firm's targets for both emission reductions and financing encompass both energy supply and demand, consistent with the challenges and opportunities of the low carbon transition.</w:t>
      </w:r>
    </w:p>
    <w:p>
      <w:pPr>
        <w:spacing w:after="0" w:line="4" w:lineRule="exact"/>
        <w:rPr>
          <w:rFonts w:ascii="Arial" w:cs="Arial" w:eastAsia="Arial" w:hAnsi="Arial"/>
          <w:sz w:val="17"/>
          <w:szCs w:val="17"/>
          <w:color w:val="064A75"/>
        </w:rPr>
      </w:pPr>
    </w:p>
    <w:p>
      <w:pPr>
        <w:ind w:left="300" w:right="340" w:hanging="201"/>
        <w:spacing w:after="0" w:line="262" w:lineRule="auto"/>
        <w:tabs>
          <w:tab w:leader="none" w:pos="304" w:val="left"/>
        </w:tabs>
        <w:numPr>
          <w:ilvl w:val="0"/>
          <w:numId w:val="291"/>
        </w:numPr>
        <w:rPr>
          <w:rFonts w:ascii="Arial" w:cs="Arial" w:eastAsia="Arial" w:hAnsi="Arial"/>
          <w:sz w:val="18"/>
          <w:szCs w:val="18"/>
          <w:color w:val="074A75"/>
        </w:rPr>
      </w:pPr>
      <w:r>
        <w:rPr>
          <w:rFonts w:ascii="Arial" w:cs="Arial" w:eastAsia="Arial" w:hAnsi="Arial"/>
          <w:sz w:val="18"/>
          <w:szCs w:val="18"/>
          <w:color w:val="auto"/>
        </w:rPr>
        <w:t>JPMorgan Chase uses carbon intensity targets for the Firm's Paris-aligned approach to financing activities in key sectors, based on a thoughtful consideration of strategic and practical benefits.</w:t>
      </w:r>
    </w:p>
    <w:p>
      <w:pPr>
        <w:spacing w:after="0" w:line="27" w:lineRule="exact"/>
        <w:rPr>
          <w:rFonts w:ascii="Arial" w:cs="Arial" w:eastAsia="Arial" w:hAnsi="Arial"/>
          <w:sz w:val="18"/>
          <w:szCs w:val="18"/>
          <w:color w:val="074A75"/>
        </w:rPr>
      </w:pPr>
    </w:p>
    <w:p>
      <w:pPr>
        <w:ind w:left="300" w:right="200" w:hanging="201"/>
        <w:spacing w:after="0" w:line="282" w:lineRule="auto"/>
        <w:tabs>
          <w:tab w:leader="none" w:pos="304" w:val="left"/>
        </w:tabs>
        <w:numPr>
          <w:ilvl w:val="0"/>
          <w:numId w:val="291"/>
        </w:numPr>
        <w:rPr>
          <w:rFonts w:ascii="Arial" w:cs="Arial" w:eastAsia="Arial" w:hAnsi="Arial"/>
          <w:sz w:val="17"/>
          <w:szCs w:val="17"/>
          <w:color w:val="064A75"/>
        </w:rPr>
      </w:pPr>
      <w:r>
        <w:rPr>
          <w:rFonts w:ascii="Arial" w:cs="Arial" w:eastAsia="Arial" w:hAnsi="Arial"/>
          <w:sz w:val="17"/>
          <w:szCs w:val="17"/>
          <w:color w:val="auto"/>
        </w:rPr>
        <w:t>We have engaged extensively with our shareholders regarding the Firm's approach to climate change-related risks and opportunities, and shareholders have been largely supportive, including with respect to our use of emission intensity.</w:t>
      </w:r>
    </w:p>
    <w:p>
      <w:pPr>
        <w:spacing w:after="0" w:line="26" w:lineRule="exact"/>
        <w:rPr>
          <w:rFonts w:ascii="Arial" w:cs="Arial" w:eastAsia="Arial" w:hAnsi="Arial"/>
          <w:sz w:val="17"/>
          <w:szCs w:val="17"/>
          <w:color w:val="064A75"/>
        </w:rPr>
      </w:pPr>
    </w:p>
    <w:p>
      <w:pPr>
        <w:ind w:left="300" w:right="400" w:hanging="201"/>
        <w:spacing w:after="0" w:line="259" w:lineRule="auto"/>
        <w:tabs>
          <w:tab w:leader="none" w:pos="304" w:val="left"/>
        </w:tabs>
        <w:numPr>
          <w:ilvl w:val="0"/>
          <w:numId w:val="291"/>
        </w:numPr>
        <w:rPr>
          <w:rFonts w:ascii="Arial" w:cs="Arial" w:eastAsia="Arial" w:hAnsi="Arial"/>
          <w:sz w:val="18"/>
          <w:szCs w:val="18"/>
          <w:color w:val="074A75"/>
        </w:rPr>
      </w:pPr>
      <w:r>
        <w:rPr>
          <w:rFonts w:ascii="Arial" w:cs="Arial" w:eastAsia="Arial" w:hAnsi="Arial"/>
          <w:sz w:val="18"/>
          <w:szCs w:val="18"/>
          <w:color w:val="auto"/>
        </w:rPr>
        <w:t>Management is best positioned to decide the details of the Firm's Paris-aligned initiatives, such as the optimal format of emission reduction targets, as a fundamental part of conducting our core business in the interests of our shareholders and stakeholders.</w:t>
      </w:r>
    </w:p>
    <w:p>
      <w:pPr>
        <w:spacing w:after="0" w:line="1484"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76" w:lineRule="exact"/>
        <w:rPr>
          <w:sz w:val="20"/>
          <w:szCs w:val="20"/>
          <w:color w:val="auto"/>
        </w:rPr>
      </w:pPr>
    </w:p>
    <w:p>
      <w:pPr>
        <w:ind w:left="240" w:hanging="232"/>
        <w:spacing w:after="0"/>
        <w:tabs>
          <w:tab w:leader="none" w:pos="240" w:val="left"/>
        </w:tabs>
        <w:numPr>
          <w:ilvl w:val="0"/>
          <w:numId w:val="292"/>
        </w:numPr>
        <w:rPr>
          <w:rFonts w:ascii="Arial" w:cs="Arial" w:eastAsia="Arial" w:hAnsi="Arial"/>
          <w:sz w:val="16"/>
          <w:szCs w:val="16"/>
          <w:color w:val="auto"/>
          <w:vertAlign w:val="superscript"/>
        </w:rPr>
      </w:pPr>
      <w:r>
        <w:rPr>
          <w:rFonts w:ascii="Arial" w:cs="Arial" w:eastAsia="Arial" w:hAnsi="Arial"/>
          <w:sz w:val="13"/>
          <w:szCs w:val="13"/>
          <w:color w:val="auto"/>
        </w:rPr>
        <w:t>JPMorgan Chase 2020 Form 10-K, at 28</w:t>
      </w:r>
    </w:p>
    <w:p>
      <w:pPr>
        <w:spacing w:after="0" w:line="72" w:lineRule="exact"/>
        <w:rPr>
          <w:rFonts w:ascii="Arial" w:cs="Arial" w:eastAsia="Arial" w:hAnsi="Arial"/>
          <w:sz w:val="16"/>
          <w:szCs w:val="16"/>
          <w:color w:val="auto"/>
          <w:vertAlign w:val="superscript"/>
        </w:rPr>
      </w:pPr>
    </w:p>
    <w:p>
      <w:pPr>
        <w:ind w:left="240" w:hanging="232"/>
        <w:spacing w:after="0"/>
        <w:tabs>
          <w:tab w:leader="none" w:pos="240" w:val="left"/>
        </w:tabs>
        <w:numPr>
          <w:ilvl w:val="0"/>
          <w:numId w:val="292"/>
        </w:numPr>
        <w:rPr>
          <w:rFonts w:ascii="Arial" w:cs="Arial" w:eastAsia="Arial" w:hAnsi="Arial"/>
          <w:sz w:val="16"/>
          <w:szCs w:val="16"/>
          <w:color w:val="auto"/>
          <w:vertAlign w:val="superscript"/>
        </w:rPr>
      </w:pPr>
      <w:r>
        <w:rPr>
          <w:rFonts w:ascii="Arial" w:cs="Arial" w:eastAsia="Arial" w:hAnsi="Arial"/>
          <w:sz w:val="13"/>
          <w:szCs w:val="13"/>
          <w:color w:val="auto"/>
        </w:rPr>
        <w:t>https://www.unepfi.org/wordpress/wp-content/uploads/2021/04/UNEP-FI-NZBA-Commitment-Statement.pdf</w:t>
      </w:r>
    </w:p>
    <w:p>
      <w:pPr>
        <w:spacing w:after="0" w:line="72" w:lineRule="exact"/>
        <w:rPr>
          <w:rFonts w:ascii="Arial" w:cs="Arial" w:eastAsia="Arial" w:hAnsi="Arial"/>
          <w:sz w:val="16"/>
          <w:szCs w:val="16"/>
          <w:color w:val="auto"/>
          <w:vertAlign w:val="superscript"/>
        </w:rPr>
      </w:pPr>
    </w:p>
    <w:p>
      <w:pPr>
        <w:ind w:left="240" w:hanging="232"/>
        <w:spacing w:after="0"/>
        <w:tabs>
          <w:tab w:leader="none" w:pos="240" w:val="left"/>
        </w:tabs>
        <w:numPr>
          <w:ilvl w:val="0"/>
          <w:numId w:val="292"/>
        </w:numPr>
        <w:rPr>
          <w:rFonts w:ascii="Arial" w:cs="Arial" w:eastAsia="Arial" w:hAnsi="Arial"/>
          <w:sz w:val="16"/>
          <w:szCs w:val="16"/>
          <w:color w:val="auto"/>
          <w:vertAlign w:val="superscript"/>
        </w:rPr>
      </w:pPr>
      <w:r>
        <w:rPr>
          <w:rFonts w:ascii="Arial" w:cs="Arial" w:eastAsia="Arial" w:hAnsi="Arial"/>
          <w:sz w:val="13"/>
          <w:szCs w:val="13"/>
          <w:color w:val="auto"/>
        </w:rPr>
        <w:t>https://g20sfwg.org/wp-content/uploads/2021/10/2021-UNEP-FL-Recommendations-for-Credible-Net-Zero-Commitments.pdf</w:t>
      </w:r>
    </w:p>
    <w:p>
      <w:pPr>
        <w:spacing w:after="0" w:line="72" w:lineRule="exact"/>
        <w:rPr>
          <w:rFonts w:ascii="Arial" w:cs="Arial" w:eastAsia="Arial" w:hAnsi="Arial"/>
          <w:sz w:val="16"/>
          <w:szCs w:val="16"/>
          <w:color w:val="auto"/>
          <w:vertAlign w:val="superscript"/>
        </w:rPr>
      </w:pPr>
    </w:p>
    <w:p>
      <w:pPr>
        <w:ind w:left="240" w:hanging="232"/>
        <w:spacing w:after="0"/>
        <w:tabs>
          <w:tab w:leader="none" w:pos="240" w:val="left"/>
        </w:tabs>
        <w:numPr>
          <w:ilvl w:val="0"/>
          <w:numId w:val="292"/>
        </w:numPr>
        <w:rPr>
          <w:rFonts w:ascii="Arial" w:cs="Arial" w:eastAsia="Arial" w:hAnsi="Arial"/>
          <w:sz w:val="16"/>
          <w:szCs w:val="16"/>
          <w:color w:val="auto"/>
          <w:vertAlign w:val="superscript"/>
        </w:rPr>
      </w:pPr>
      <w:r>
        <w:rPr>
          <w:rFonts w:ascii="Arial" w:cs="Arial" w:eastAsia="Arial" w:hAnsi="Arial"/>
          <w:sz w:val="13"/>
          <w:szCs w:val="13"/>
          <w:i w:val="1"/>
          <w:iCs w:val="1"/>
          <w:color w:val="auto"/>
        </w:rPr>
        <w:t xml:space="preserve">Id. </w:t>
      </w:r>
      <w:r>
        <w:rPr>
          <w:rFonts w:ascii="Arial" w:cs="Arial" w:eastAsia="Arial" w:hAnsi="Arial"/>
          <w:sz w:val="13"/>
          <w:szCs w:val="13"/>
          <w:color w:val="auto"/>
        </w:rPr>
        <w:t>At 14.</w:t>
      </w:r>
    </w:p>
    <w:p>
      <w:pPr>
        <w:spacing w:after="0" w:line="72" w:lineRule="exact"/>
        <w:rPr>
          <w:rFonts w:ascii="Arial" w:cs="Arial" w:eastAsia="Arial" w:hAnsi="Arial"/>
          <w:sz w:val="16"/>
          <w:szCs w:val="16"/>
          <w:color w:val="auto"/>
          <w:vertAlign w:val="superscript"/>
        </w:rPr>
      </w:pPr>
    </w:p>
    <w:p>
      <w:pPr>
        <w:ind w:left="240" w:hanging="232"/>
        <w:spacing w:after="0"/>
        <w:tabs>
          <w:tab w:leader="none" w:pos="240" w:val="left"/>
        </w:tabs>
        <w:numPr>
          <w:ilvl w:val="0"/>
          <w:numId w:val="292"/>
        </w:numPr>
        <w:rPr>
          <w:rFonts w:ascii="Arial" w:cs="Arial" w:eastAsia="Arial" w:hAnsi="Arial"/>
          <w:sz w:val="16"/>
          <w:szCs w:val="16"/>
          <w:color w:val="auto"/>
          <w:vertAlign w:val="superscript"/>
        </w:rPr>
      </w:pPr>
      <w:r>
        <w:rPr>
          <w:rFonts w:ascii="Arial" w:cs="Arial" w:eastAsia="Arial" w:hAnsi="Arial"/>
          <w:sz w:val="13"/>
          <w:szCs w:val="13"/>
          <w:color w:val="auto"/>
        </w:rPr>
        <w:t>https://www.ran.org/wp-content/uploads/2021/03/Banking-on-Climate-Chaos-2021.pdf, at 38.</w:t>
      </w:r>
    </w:p>
    <w:p>
      <w:pPr>
        <w:spacing w:after="0" w:line="72" w:lineRule="exact"/>
        <w:rPr>
          <w:rFonts w:ascii="Arial" w:cs="Arial" w:eastAsia="Arial" w:hAnsi="Arial"/>
          <w:sz w:val="16"/>
          <w:szCs w:val="16"/>
          <w:color w:val="auto"/>
          <w:vertAlign w:val="superscript"/>
        </w:rPr>
      </w:pPr>
    </w:p>
    <w:p>
      <w:pPr>
        <w:ind w:left="240" w:hanging="232"/>
        <w:spacing w:after="0"/>
        <w:tabs>
          <w:tab w:leader="none" w:pos="240" w:val="left"/>
        </w:tabs>
        <w:numPr>
          <w:ilvl w:val="0"/>
          <w:numId w:val="292"/>
        </w:numPr>
        <w:rPr>
          <w:rFonts w:ascii="Arial" w:cs="Arial" w:eastAsia="Arial" w:hAnsi="Arial"/>
          <w:sz w:val="16"/>
          <w:szCs w:val="16"/>
          <w:color w:val="auto"/>
          <w:vertAlign w:val="superscript"/>
        </w:rPr>
      </w:pPr>
      <w:r>
        <w:rPr>
          <w:rFonts w:ascii="Arial" w:cs="Arial" w:eastAsia="Arial" w:hAnsi="Arial"/>
          <w:sz w:val="13"/>
          <w:szCs w:val="13"/>
          <w:color w:val="auto"/>
        </w:rPr>
        <w:t>https://g20sfwg.org/wp-content/uploads 2021/10/2021-UNEP-FI.- Recommendations-for-Credible-Net-Zero-Commitments.pdf, at 15.</w:t>
      </w:r>
    </w:p>
    <w:p>
      <w:pPr>
        <w:spacing w:after="0" w:line="72" w:lineRule="exact"/>
        <w:rPr>
          <w:rFonts w:ascii="Arial" w:cs="Arial" w:eastAsia="Arial" w:hAnsi="Arial"/>
          <w:sz w:val="16"/>
          <w:szCs w:val="16"/>
          <w:color w:val="auto"/>
          <w:vertAlign w:val="superscript"/>
        </w:rPr>
      </w:pPr>
    </w:p>
    <w:p>
      <w:pPr>
        <w:ind w:left="240" w:hanging="232"/>
        <w:spacing w:after="0"/>
        <w:tabs>
          <w:tab w:leader="none" w:pos="240" w:val="left"/>
        </w:tabs>
        <w:numPr>
          <w:ilvl w:val="0"/>
          <w:numId w:val="292"/>
        </w:numPr>
        <w:rPr>
          <w:rFonts w:ascii="Arial" w:cs="Arial" w:eastAsia="Arial" w:hAnsi="Arial"/>
          <w:sz w:val="16"/>
          <w:szCs w:val="16"/>
          <w:color w:val="auto"/>
          <w:vertAlign w:val="superscript"/>
        </w:rPr>
      </w:pPr>
      <w:r>
        <w:rPr>
          <w:rFonts w:ascii="Arial" w:cs="Arial" w:eastAsia="Arial" w:hAnsi="Arial"/>
          <w:sz w:val="13"/>
          <w:szCs w:val="13"/>
          <w:color w:val="auto"/>
        </w:rPr>
        <w:t>https://www.justice.gov/opa/pr/goldman-sachs-agrees-pay-more-5-billion-connection-its-sale-residential-mortgage-backed</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108" w:name="page109"/>
    <w:bookmarkEnd w:id="10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2021, JPMorgan Chase announced our approach to align key sectors of our financing portfolio with the goals of the Paris Agreement. Later in the year, we announced our support for the goals of the Net Zero Banking Alliance and shared our intent to begin reporting absolute emissions. We have initially developed intermediate Paris-aligned targets to reduce the carbon intensity in our Oil &amp; Gas, Electric Power and Automotive Manufacturing portfolios by 2030. We are beginning to operationalize these targets across the Firm and have announced that we will provide details on our progress in our next climate report, which we plan to publish in fall 2022. A core principle of our strategy is to work with traditional energy clients to help develop their long-term business strategies to reduce their carbon emissions and improve their carbon disclosures. Our Center for Carbon Transition, founded in 2020, provides financing, research and advisory solutions to support clients in their transition to a low-carbon future.</w:t>
      </w:r>
    </w:p>
    <w:p>
      <w:pPr>
        <w:spacing w:after="0" w:line="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Moreover, as part of a $2.5 trillion sustainable development target, we are targeting $1 trillion through 2030 to finance and facilitate climate action, and are increasingly advancing net zero solutions such as renewable energy, energy efficiency and vehicle electrification. We will share information on our progress in our ESG Report this spring.</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setting greenhouse gas emission targets for financed emissions, JPMorgan Chase management considered a broad range of possibilities and selected carbon intensity targets for important strategic and practical reasons. Carbon intensity targets enable us to meaningfully engage with clients and provide capital to transition solutions, while reflecting progress that high-emitting companies and sectors are making in transitioning to lower carbon production and products. In contrast, selecting absolute targets could create incentives to reduce or eliminate relationships which may have a disproportionate impact on reported financed emissions, while simply transferring emissions elsewhere, rather than reducing them in the real economy.</w:t>
      </w:r>
    </w:p>
    <w:p>
      <w:pPr>
        <w:spacing w:after="0" w:line="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addition, carbon intensity is less affected by year-to-year emissions volatility than absolute emissions, enabling the Firm to make easier comparisons across a portfolio of companies within a sector and between companies of different sizes.</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light of the benefits of carbon intensity targets, their use has become commonplace among companies setting voluntary goals for greenhouse gas emission reductions. The United Nations Environment Programme Finance Initiative (UNEP FI) -- in a paper cited repeatedly in the proposal -- recognized the prominence of intensity-based approaches, noting that such targets support "achieving a greater carbon efficiency per dollar invested." UNEP FI also observes that "there is not clear evidence that this [absolute contraction approach] — as a standalone approach — contributes to financing the global economic transition as well as others might."</w:t>
      </w:r>
      <w:r>
        <w:rPr>
          <w:rFonts w:ascii="Arial" w:cs="Arial" w:eastAsia="Arial" w:hAnsi="Arial"/>
          <w:sz w:val="23"/>
          <w:szCs w:val="23"/>
          <w:color w:val="auto"/>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145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Firm received feedback on its approach to addressing climate change-related risks and opportunities in extensive engagements with shareholders, which in 2021, included reaching out to more than 150 shareholders, together representing over 50% of the Firm’s outstanding common stock. The Firm’s approach, including with respect to our use of emissions intensity, was largely supported by shareholders in these engagements. We also share information about our approach to and performance on ESG topics, including climate change, on the Sustainability page of our website which includes the Firm's annual ESG Report.</w:t>
      </w:r>
    </w:p>
    <w:p>
      <w:pPr>
        <w:spacing w:after="0" w:line="77"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As a diversified financial institution, JPMorgan Chase conducts many business activities, and it is management's responsibility to determine the optimal approach to voluntary greenhouse gas reduction targets, a complex and evolving topic. These detailed decisions are fundamental to the Firm's day-to -day operations and require complex business judgements that the Firm's management is best positioned to make, with the oversight of the Board.</w:t>
      </w:r>
    </w:p>
    <w:p>
      <w:pPr>
        <w:spacing w:after="0" w:line="5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Board opposes this proposal given the Firm's existing efforts to help address climate change and the strategic decision, based on management's judgment, to use carbon intensity targets in our pursuit of net zero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72390</wp:posOffset>
            </wp:positionV>
            <wp:extent cx="3060065" cy="419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060065" cy="419735"/>
                    </a:xfrm>
                    <a:prstGeom prst="rect">
                      <a:avLst/>
                    </a:prstGeom>
                    <a:noFill/>
                  </pic:spPr>
                </pic:pic>
              </a:graphicData>
            </a:graphic>
          </wp:anchor>
        </w:drawing>
      </w:r>
    </w:p>
    <w:p>
      <w:pPr>
        <w:spacing w:after="0" w:line="197" w:lineRule="exact"/>
        <w:rPr>
          <w:sz w:val="20"/>
          <w:szCs w:val="20"/>
          <w:color w:val="auto"/>
        </w:rPr>
      </w:pPr>
    </w:p>
    <w:p>
      <w:pPr>
        <w:ind w:left="660" w:right="520"/>
        <w:spacing w:after="0" w:line="287" w:lineRule="auto"/>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AGAINST</w:t>
      </w:r>
      <w:r>
        <w:rPr>
          <w:rFonts w:ascii="Arial" w:cs="Arial" w:eastAsia="Arial" w:hAnsi="Arial"/>
          <w:sz w:val="18"/>
          <w:szCs w:val="18"/>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171450" cy="17145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5816" w:lineRule="exact"/>
        <w:rPr>
          <w:sz w:val="20"/>
          <w:szCs w:val="20"/>
          <w:color w:val="auto"/>
        </w:rPr>
      </w:pPr>
    </w:p>
    <w:p>
      <w:pPr>
        <w:sectPr>
          <w:pgSz w:w="11900" w:h="16838" w:orient="portrait"/>
          <w:cols w:equalWidth="0" w:num="2">
            <w:col w:w="5360" w:space="380"/>
            <w:col w:w="5480"/>
          </w:cols>
          <w:pgMar w:left="320" w:top="157" w:right="359" w:bottom="1440" w:gutter="0" w:footer="0" w:header="0"/>
          <w:type w:val="continuous"/>
        </w:sectPr>
      </w:pPr>
    </w:p>
    <w:p>
      <w:pPr>
        <w:spacing w:after="0" w:line="97" w:lineRule="exact"/>
        <w:rPr>
          <w:sz w:val="20"/>
          <w:szCs w:val="20"/>
          <w:color w:val="auto"/>
        </w:rPr>
      </w:pPr>
    </w:p>
    <w:p>
      <w:pPr>
        <w:ind w:left="240" w:hanging="232"/>
        <w:spacing w:after="0"/>
        <w:tabs>
          <w:tab w:leader="none" w:pos="240" w:val="left"/>
        </w:tabs>
        <w:numPr>
          <w:ilvl w:val="0"/>
          <w:numId w:val="293"/>
        </w:numPr>
        <w:rPr>
          <w:rFonts w:ascii="Arial" w:cs="Arial" w:eastAsia="Arial" w:hAnsi="Arial"/>
          <w:sz w:val="16"/>
          <w:szCs w:val="16"/>
          <w:color w:val="auto"/>
          <w:vertAlign w:val="superscript"/>
        </w:rPr>
      </w:pPr>
      <w:r>
        <w:rPr>
          <w:rFonts w:ascii="Arial" w:cs="Arial" w:eastAsia="Arial" w:hAnsi="Arial"/>
          <w:sz w:val="13"/>
          <w:szCs w:val="13"/>
          <w:color w:val="auto"/>
        </w:rPr>
        <w:t>UNEP FI, High-Level Recommendations for Credible Net-Zero Commitments from Financial Institutions, at p.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266065</wp:posOffset>
            </wp:positionV>
            <wp:extent cx="27432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103 </w:t>
      </w:r>
      <w:r>
        <w:rPr>
          <w:sz w:val="1"/>
          <w:szCs w:val="1"/>
          <w:color w:val="auto"/>
        </w:rPr>
        <w:drawing>
          <wp:inline distT="0" distB="0" distL="0" distR="0">
            <wp:extent cx="2203450" cy="154305"/>
            <wp:effectExtent l="0" t="0" r="0" b="0"/>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43"/>
          <w:szCs w:val="43"/>
          <w:color w:val="074A75"/>
        </w:rPr>
        <w:t>Information about the annual shareholder meeting</w:t>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74A75"/>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074A75"/>
        </w:rPr>
        <w:t>Why am I receiving these materials?</w:t>
      </w:r>
    </w:p>
    <w:p>
      <w:pPr>
        <w:spacing w:after="0" w:line="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You are invited to attend JPMorgan Chase’s Annual Meeting of Shareholders and vote on the proposals described in this proxy statement because you were a JPMorgan Chase shareholder on March 18, 2022 (the “Record Date”). JPMorgan Chase is soliciting proxies for use at the annual meeting, including any postponements or adjournments.</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Even if you plan on attending the annual meeting through our virtual meeting site, we encourage you to vote your shares in advance using one of the methods described in this proxy statement to ensure that your vote will be represented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Secretary by sending an email to corporate.secretary@jpmchase.com or calling (212) 270-6000 by May 13, 2022.</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If you encounter any technical difficulties with the virtual meeting during the log in or meeting time, please call the technical support number that will be posted on the virtual meeting log in page.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vote your shares prior to the annual meeting.</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What is included in our proxy materials?</w:t>
      </w:r>
    </w:p>
    <w:p>
      <w:pPr>
        <w:spacing w:after="0" w:line="20" w:lineRule="exact"/>
        <w:rPr>
          <w:sz w:val="20"/>
          <w:szCs w:val="20"/>
          <w:color w:val="auto"/>
        </w:rPr>
      </w:pPr>
    </w:p>
    <w:p>
      <w:pPr>
        <w:ind w:right="860"/>
        <w:spacing w:after="0" w:line="266" w:lineRule="auto"/>
        <w:rPr>
          <w:sz w:val="20"/>
          <w:szCs w:val="20"/>
          <w:color w:val="auto"/>
        </w:rPr>
      </w:pPr>
      <w:r>
        <w:rPr>
          <w:rFonts w:ascii="Arial" w:cs="Arial" w:eastAsia="Arial" w:hAnsi="Arial"/>
          <w:sz w:val="18"/>
          <w:szCs w:val="18"/>
          <w:color w:val="auto"/>
        </w:rPr>
        <w:t>Our proxy materials, which are available on our website at jpmorganchase.com/ir/annual-report, include:</w:t>
      </w:r>
    </w:p>
    <w:p>
      <w:pPr>
        <w:spacing w:after="0" w:line="63" w:lineRule="exact"/>
        <w:rPr>
          <w:sz w:val="20"/>
          <w:szCs w:val="20"/>
          <w:color w:val="auto"/>
        </w:rPr>
      </w:pPr>
    </w:p>
    <w:p>
      <w:pPr>
        <w:ind w:left="200" w:hanging="196"/>
        <w:spacing w:after="0"/>
        <w:tabs>
          <w:tab w:leader="none" w:pos="200" w:val="left"/>
        </w:tabs>
        <w:numPr>
          <w:ilvl w:val="0"/>
          <w:numId w:val="294"/>
        </w:numPr>
        <w:rPr>
          <w:rFonts w:ascii="Arial" w:cs="Arial" w:eastAsia="Arial" w:hAnsi="Arial"/>
          <w:sz w:val="18"/>
          <w:szCs w:val="18"/>
          <w:color w:val="074A75"/>
        </w:rPr>
      </w:pPr>
      <w:r>
        <w:rPr>
          <w:rFonts w:ascii="Arial" w:cs="Arial" w:eastAsia="Arial" w:hAnsi="Arial"/>
          <w:sz w:val="18"/>
          <w:szCs w:val="18"/>
          <w:color w:val="auto"/>
        </w:rPr>
        <w:t>Our Notice of 2022 Annual Meeting of Shareholders;</w:t>
      </w:r>
    </w:p>
    <w:p>
      <w:pPr>
        <w:spacing w:after="0" w:line="24" w:lineRule="exact"/>
        <w:rPr>
          <w:sz w:val="20"/>
          <w:szCs w:val="20"/>
          <w:color w:val="auto"/>
        </w:rPr>
      </w:pPr>
    </w:p>
    <w:p>
      <w:pPr>
        <w:sectPr>
          <w:pgSz w:w="11900" w:h="16838" w:orient="portrait"/>
          <w:cols w:equalWidth="0" w:num="2">
            <w:col w:w="5280" w:space="460"/>
            <w:col w:w="5480"/>
          </w:cols>
          <w:pgMar w:left="320" w:top="157" w:right="359" w:bottom="1440" w:gutter="0" w:footer="0" w:header="0"/>
          <w:type w:val="continuous"/>
        </w:sectPr>
      </w:pPr>
    </w:p>
    <w:p>
      <w:pPr>
        <w:spacing w:after="0"/>
        <w:rPr>
          <w:sz w:val="20"/>
          <w:szCs w:val="20"/>
          <w:color w:val="auto"/>
        </w:rPr>
      </w:pPr>
      <w:r>
        <w:rPr>
          <w:rFonts w:ascii="Arial" w:cs="Arial" w:eastAsia="Arial" w:hAnsi="Arial"/>
          <w:sz w:val="20"/>
          <w:szCs w:val="20"/>
          <w:color w:val="074A75"/>
        </w:rPr>
        <w:t>When and where is our annual meeting?</w:t>
      </w:r>
    </w:p>
    <w:p>
      <w:pPr>
        <w:spacing w:after="0" w:line="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We will hold our annual meeting on Tuesday, May 17, 2022, at 10:00 a.m. Eastern Time.</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annual meeting will be held in a virtual meeting format only. To participate in the virtual meeting, visit www.virtualshareholdermeeting.com/JPM2022 and enter the 16-digit control number included on your proxy card, voting instruction form or Notice you previously received.</w:t>
      </w:r>
    </w:p>
    <w:p>
      <w:pPr>
        <w:spacing w:after="0" w:line="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you have any questions about accessing the virtual meeting website for the annual meeting, please contact the Office of</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200" w:hanging="196"/>
        <w:spacing w:after="0"/>
        <w:tabs>
          <w:tab w:leader="none" w:pos="200" w:val="left"/>
        </w:tabs>
        <w:numPr>
          <w:ilvl w:val="0"/>
          <w:numId w:val="295"/>
        </w:numPr>
        <w:rPr>
          <w:rFonts w:ascii="Arial" w:cs="Arial" w:eastAsia="Arial" w:hAnsi="Arial"/>
          <w:sz w:val="18"/>
          <w:szCs w:val="18"/>
          <w:color w:val="074A75"/>
        </w:rPr>
      </w:pPr>
      <w:r>
        <w:rPr>
          <w:rFonts w:ascii="Arial" w:cs="Arial" w:eastAsia="Arial" w:hAnsi="Arial"/>
          <w:sz w:val="18"/>
          <w:szCs w:val="18"/>
          <w:color w:val="auto"/>
        </w:rPr>
        <w:t>Our Proxy Statement; and</w:t>
      </w:r>
    </w:p>
    <w:p>
      <w:pPr>
        <w:spacing w:after="0" w:line="90" w:lineRule="exact"/>
        <w:rPr>
          <w:rFonts w:ascii="Arial" w:cs="Arial" w:eastAsia="Arial" w:hAnsi="Arial"/>
          <w:sz w:val="18"/>
          <w:szCs w:val="18"/>
          <w:color w:val="074A75"/>
        </w:rPr>
      </w:pPr>
    </w:p>
    <w:p>
      <w:pPr>
        <w:ind w:left="200" w:hanging="196"/>
        <w:spacing w:after="0"/>
        <w:tabs>
          <w:tab w:leader="none" w:pos="200" w:val="left"/>
        </w:tabs>
        <w:numPr>
          <w:ilvl w:val="0"/>
          <w:numId w:val="295"/>
        </w:numPr>
        <w:rPr>
          <w:rFonts w:ascii="Arial" w:cs="Arial" w:eastAsia="Arial" w:hAnsi="Arial"/>
          <w:sz w:val="18"/>
          <w:szCs w:val="18"/>
          <w:color w:val="074A75"/>
        </w:rPr>
      </w:pPr>
      <w:r>
        <w:rPr>
          <w:rFonts w:ascii="Arial" w:cs="Arial" w:eastAsia="Arial" w:hAnsi="Arial"/>
          <w:sz w:val="18"/>
          <w:szCs w:val="18"/>
          <w:color w:val="auto"/>
        </w:rPr>
        <w:t>Our 2021 Annual Report to Shareholders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you received printed versions of these materials by mail (rather than through electronic delivery), the materials also included a proxy card or voting instruction form. For further information, see “Information about paper and electronic delivery of proxy materials” on pages 107-108.</w:t>
      </w:r>
    </w:p>
    <w:p>
      <w:pPr>
        <w:spacing w:after="0" w:line="887" w:lineRule="exact"/>
        <w:rPr>
          <w:sz w:val="20"/>
          <w:szCs w:val="20"/>
          <w:color w:val="auto"/>
        </w:rPr>
      </w:pPr>
    </w:p>
    <w:p>
      <w:pPr>
        <w:sectPr>
          <w:pgSz w:w="11900" w:h="16838" w:orient="portrait"/>
          <w:cols w:equalWidth="0" w:num="2">
            <w:col w:w="5320" w:space="420"/>
            <w:col w:w="5480"/>
          </w:cols>
          <w:pgMar w:left="320" w:top="157" w:right="3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28"/>
          <w:szCs w:val="28"/>
          <w:color w:val="074A75"/>
        </w:rPr>
        <w:t>Attending and voting at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074A75"/>
        </w:rPr>
        <w:t>Can I attend our annual meeting?</w:t>
      </w:r>
    </w:p>
    <w:p>
      <w:pPr>
        <w:spacing w:after="0" w:line="2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Shareholders as of the close of business on the Record Date and/or their authorized representatives are permitted to attend our annual meeting virtually by following the procedures in this proxy statement.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074A75"/>
        </w:rPr>
        <w:t>How can I ask questions pertinent to meeting matters?</w:t>
      </w:r>
    </w:p>
    <w:p>
      <w:pPr>
        <w:spacing w:after="0" w:line="2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Shareholders may submit questions either before the meeting, from May 2 to May 13, 2022, or during a portion of the meeting. If you wish to submit a question before the meeting, you may log into www.proxyvote.com using your 16-digit control number and follow the instructions to submit a question. Alternatively, if you wish to submit a question during the meeting, log into the virtual meeting platform at www.virtualshareholdermeeting.com/JPM2022 using the 16-digit control number and follow the instructions to submit a question.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Questions pertinent to meeting matters will be answered during the meeting, subject to time limitations. Rules of Conduct including procedures for shareholder questions will be posted on the virtual meeting platform.</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Who can vote at our annual meeting?</w:t>
      </w:r>
    </w:p>
    <w:p>
      <w:pPr>
        <w:spacing w:after="0" w:line="2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You can vote your shares of common stock at our annual meeting if you were a shareholder at the close of business on the Record Date.</w:t>
      </w:r>
    </w:p>
    <w:p>
      <w:pPr>
        <w:spacing w:after="0" w:line="7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At the close of business on the Record Date, there were 2,939,770,246 shares of common stock outstanding, each of which entitles the holder to one vote for each matter to be voted on at our annual meeting.</w:t>
      </w:r>
    </w:p>
    <w:p>
      <w:pPr>
        <w:spacing w:after="0" w:line="743" w:lineRule="exact"/>
        <w:rPr>
          <w:sz w:val="20"/>
          <w:szCs w:val="20"/>
          <w:color w:val="auto"/>
        </w:rPr>
      </w:pPr>
    </w:p>
    <w:p>
      <w:pPr>
        <w:sectPr>
          <w:pgSz w:w="11900" w:h="16838" w:orient="portrait"/>
          <w:cols w:equalWidth="0" w:num="2">
            <w:col w:w="5480" w:space="260"/>
            <w:col w:w="5480"/>
          </w:cols>
          <w:pgMar w:left="320" w:top="157" w:right="359" w:bottom="1440" w:gutter="0" w:footer="0" w:header="0"/>
          <w:type w:val="continuous"/>
        </w:sect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110" w:name="page111"/>
    <w:bookmarkEnd w:id="11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074A75"/>
        </w:rPr>
        <w:t>How do I vote?</w:t>
      </w:r>
    </w:p>
    <w:p>
      <w:pPr>
        <w:spacing w:after="0" w:line="20"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To be valid, your vote by Internet, telephone or mail must be received by the deadline specified on the proxy card or voting instruction form, as applicable.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4020" w:type="dxa"/>
            <w:vAlign w:val="bottom"/>
          </w:tcPr>
          <w:p>
            <w:pPr>
              <w:ind w:left="1580"/>
              <w:spacing w:after="0"/>
              <w:rPr>
                <w:sz w:val="20"/>
                <w:szCs w:val="20"/>
                <w:color w:val="auto"/>
              </w:rPr>
            </w:pPr>
            <w:r>
              <w:rPr>
                <w:rFonts w:ascii="Arial" w:cs="Arial" w:eastAsia="Arial" w:hAnsi="Arial"/>
                <w:sz w:val="16"/>
                <w:szCs w:val="16"/>
                <w:color w:val="074A75"/>
              </w:rPr>
              <w:t>If you are a</w:t>
            </w:r>
          </w:p>
        </w:tc>
        <w:tc>
          <w:tcPr>
            <w:tcW w:w="3860" w:type="dxa"/>
            <w:vAlign w:val="bottom"/>
          </w:tcPr>
          <w:p>
            <w:pPr>
              <w:ind w:left="820"/>
              <w:spacing w:after="0"/>
              <w:rPr>
                <w:sz w:val="20"/>
                <w:szCs w:val="20"/>
                <w:color w:val="auto"/>
              </w:rPr>
            </w:pPr>
            <w:r>
              <w:rPr>
                <w:rFonts w:ascii="Arial" w:cs="Arial" w:eastAsia="Arial" w:hAnsi="Arial"/>
                <w:sz w:val="16"/>
                <w:szCs w:val="16"/>
                <w:color w:val="074A75"/>
              </w:rPr>
              <w:t>If you are a beneficial owner of</w:t>
            </w:r>
          </w:p>
        </w:tc>
      </w:tr>
      <w:tr>
        <w:trPr>
          <w:trHeight w:val="224"/>
        </w:trPr>
        <w:tc>
          <w:tcPr>
            <w:tcW w:w="3360" w:type="dxa"/>
            <w:vAlign w:val="bottom"/>
            <w:tcBorders>
              <w:bottom w:val="single" w:sz="8" w:color="454545"/>
            </w:tcBorders>
          </w:tcPr>
          <w:p>
            <w:pPr>
              <w:spacing w:after="0"/>
              <w:rPr>
                <w:sz w:val="19"/>
                <w:szCs w:val="19"/>
                <w:color w:val="auto"/>
              </w:rPr>
            </w:pPr>
          </w:p>
        </w:tc>
        <w:tc>
          <w:tcPr>
            <w:tcW w:w="4020" w:type="dxa"/>
            <w:vAlign w:val="bottom"/>
            <w:tcBorders>
              <w:bottom w:val="single" w:sz="8" w:color="454545"/>
            </w:tcBorders>
          </w:tcPr>
          <w:p>
            <w:pPr>
              <w:ind w:left="1220"/>
              <w:spacing w:after="0"/>
              <w:rPr>
                <w:sz w:val="20"/>
                <w:szCs w:val="20"/>
                <w:color w:val="auto"/>
              </w:rPr>
            </w:pPr>
            <w:r>
              <w:rPr>
                <w:rFonts w:ascii="Arial" w:cs="Arial" w:eastAsia="Arial" w:hAnsi="Arial"/>
                <w:sz w:val="16"/>
                <w:szCs w:val="16"/>
                <w:color w:val="074A75"/>
              </w:rPr>
              <w:t>shareholder of record</w:t>
            </w:r>
          </w:p>
        </w:tc>
        <w:tc>
          <w:tcPr>
            <w:tcW w:w="3860" w:type="dxa"/>
            <w:vAlign w:val="bottom"/>
            <w:tcBorders>
              <w:bottom w:val="single" w:sz="8" w:color="454545"/>
            </w:tcBorders>
          </w:tcPr>
          <w:p>
            <w:pPr>
              <w:ind w:left="960"/>
              <w:spacing w:after="0"/>
              <w:rPr>
                <w:sz w:val="20"/>
                <w:szCs w:val="20"/>
                <w:color w:val="auto"/>
              </w:rPr>
            </w:pPr>
            <w:r>
              <w:rPr>
                <w:rFonts w:ascii="Arial" w:cs="Arial" w:eastAsia="Arial" w:hAnsi="Arial"/>
                <w:sz w:val="16"/>
                <w:szCs w:val="16"/>
                <w:color w:val="074A75"/>
              </w:rPr>
              <w:t>shares held in street name</w:t>
            </w:r>
          </w:p>
        </w:tc>
      </w:tr>
      <w:tr>
        <w:trPr>
          <w:trHeight w:val="224"/>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Through the virtual meeting site during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Complete and submit a ballot online during the</w:t>
            </w:r>
          </w:p>
        </w:tc>
        <w:tc>
          <w:tcPr>
            <w:tcW w:w="3860" w:type="dxa"/>
            <w:vAlign w:val="bottom"/>
          </w:tcPr>
          <w:p>
            <w:pPr>
              <w:spacing w:after="0"/>
              <w:rPr>
                <w:sz w:val="20"/>
                <w:szCs w:val="20"/>
                <w:color w:val="auto"/>
              </w:rPr>
            </w:pPr>
            <w:r>
              <w:rPr>
                <w:rFonts w:ascii="Arial" w:cs="Arial" w:eastAsia="Arial" w:hAnsi="Arial"/>
                <w:sz w:val="18"/>
                <w:szCs w:val="18"/>
                <w:color w:val="auto"/>
              </w:rPr>
              <w:t>Complete and submit a ballot online during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the meeting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meeting at www.virtualshareholdermeeting.com/</w:t>
            </w:r>
          </w:p>
        </w:tc>
        <w:tc>
          <w:tcPr>
            <w:tcW w:w="3860" w:type="dxa"/>
            <w:vAlign w:val="bottom"/>
          </w:tcPr>
          <w:p>
            <w:pPr>
              <w:spacing w:after="0"/>
              <w:rPr>
                <w:sz w:val="20"/>
                <w:szCs w:val="20"/>
                <w:color w:val="auto"/>
              </w:rPr>
            </w:pPr>
            <w:r>
              <w:rPr>
                <w:rFonts w:ascii="Arial" w:cs="Arial" w:eastAsia="Arial" w:hAnsi="Arial"/>
                <w:sz w:val="18"/>
                <w:szCs w:val="18"/>
                <w:color w:val="auto"/>
                <w:w w:val="99"/>
              </w:rPr>
              <w:t>meeting at www.virtualshareholdermeeting.com/</w:t>
            </w:r>
          </w:p>
        </w:tc>
      </w:tr>
      <w:tr>
        <w:trPr>
          <w:trHeight w:val="239"/>
        </w:trPr>
        <w:tc>
          <w:tcPr>
            <w:tcW w:w="3360" w:type="dxa"/>
            <w:vAlign w:val="bottom"/>
            <w:tcBorders>
              <w:right w:val="single" w:sz="8" w:color="454545"/>
            </w:tcBorders>
          </w:tcPr>
          <w:p>
            <w:pPr>
              <w:spacing w:after="0"/>
              <w:rPr>
                <w:sz w:val="20"/>
                <w:szCs w:val="20"/>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JPM2022.</w:t>
            </w:r>
          </w:p>
        </w:tc>
        <w:tc>
          <w:tcPr>
            <w:tcW w:w="3860" w:type="dxa"/>
            <w:vAlign w:val="bottom"/>
          </w:tcPr>
          <w:p>
            <w:pPr>
              <w:spacing w:after="0"/>
              <w:rPr>
                <w:sz w:val="20"/>
                <w:szCs w:val="20"/>
                <w:color w:val="auto"/>
              </w:rPr>
            </w:pPr>
            <w:r>
              <w:rPr>
                <w:rFonts w:ascii="Arial" w:cs="Arial" w:eastAsia="Arial" w:hAnsi="Arial"/>
                <w:sz w:val="18"/>
                <w:szCs w:val="18"/>
                <w:color w:val="auto"/>
              </w:rPr>
              <w:t>JPM2022.</w:t>
            </w: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Online (24 hours a day) — Use the</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Go to www.proxyvote.com and follow the</w:t>
            </w:r>
          </w:p>
        </w:tc>
        <w:tc>
          <w:tcPr>
            <w:tcW w:w="3860" w:type="dxa"/>
            <w:vAlign w:val="bottom"/>
          </w:tcPr>
          <w:p>
            <w:pPr>
              <w:spacing w:after="0"/>
              <w:rPr>
                <w:sz w:val="20"/>
                <w:szCs w:val="20"/>
                <w:color w:val="auto"/>
              </w:rPr>
            </w:pPr>
            <w:r>
              <w:rPr>
                <w:rFonts w:ascii="Arial" w:cs="Arial" w:eastAsia="Arial" w:hAnsi="Arial"/>
                <w:sz w:val="18"/>
                <w:szCs w:val="18"/>
                <w:color w:val="auto"/>
              </w:rPr>
              <w:t>Go to www.proxyvote.com and follow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Internet to transmit your voting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instructions.</w:t>
            </w:r>
          </w:p>
        </w:tc>
        <w:tc>
          <w:tcPr>
            <w:tcW w:w="3860" w:type="dxa"/>
            <w:vAlign w:val="bottom"/>
          </w:tcPr>
          <w:p>
            <w:pPr>
              <w:spacing w:after="0"/>
              <w:rPr>
                <w:sz w:val="20"/>
                <w:szCs w:val="20"/>
                <w:color w:val="auto"/>
              </w:rPr>
            </w:pPr>
            <w:r>
              <w:rPr>
                <w:rFonts w:ascii="Arial" w:cs="Arial" w:eastAsia="Arial" w:hAnsi="Arial"/>
                <w:sz w:val="18"/>
                <w:szCs w:val="18"/>
                <w:color w:val="auto"/>
              </w:rPr>
              <w:t>instructions.</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instructions up until 11:59 P.M. Eastern</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18"/>
                <w:szCs w:val="18"/>
                <w:color w:val="auto"/>
              </w:rPr>
            </w:pPr>
          </w:p>
        </w:tc>
      </w:tr>
      <w:tr>
        <w:trPr>
          <w:trHeight w:val="239"/>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Time the day before the meeting date.</w:t>
            </w:r>
          </w:p>
        </w:tc>
        <w:tc>
          <w:tcPr>
            <w:tcW w:w="4020" w:type="dxa"/>
            <w:vAlign w:val="bottom"/>
            <w:tcBorders>
              <w:right w:val="single" w:sz="8" w:color="454545"/>
            </w:tcBorders>
          </w:tcPr>
          <w:p>
            <w:pPr>
              <w:spacing w:after="0"/>
              <w:rPr>
                <w:sz w:val="20"/>
                <w:szCs w:val="20"/>
                <w:color w:val="auto"/>
              </w:rPr>
            </w:pPr>
          </w:p>
        </w:tc>
        <w:tc>
          <w:tcPr>
            <w:tcW w:w="3860" w:type="dxa"/>
            <w:vAlign w:val="bottom"/>
          </w:tcPr>
          <w:p>
            <w:pPr>
              <w:spacing w:after="0"/>
              <w:rPr>
                <w:sz w:val="20"/>
                <w:szCs w:val="20"/>
                <w:color w:val="auto"/>
              </w:rPr>
            </w:pP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By Telephone (24 hours a day) — Use</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1-800-690-6903</w:t>
            </w:r>
          </w:p>
        </w:tc>
        <w:tc>
          <w:tcPr>
            <w:tcW w:w="3860" w:type="dxa"/>
            <w:vAlign w:val="bottom"/>
          </w:tcPr>
          <w:p>
            <w:pPr>
              <w:spacing w:after="0"/>
              <w:rPr>
                <w:sz w:val="20"/>
                <w:szCs w:val="20"/>
                <w:color w:val="auto"/>
              </w:rPr>
            </w:pPr>
            <w:r>
              <w:rPr>
                <w:rFonts w:ascii="Arial" w:cs="Arial" w:eastAsia="Arial" w:hAnsi="Arial"/>
                <w:sz w:val="18"/>
                <w:szCs w:val="18"/>
                <w:color w:val="auto"/>
              </w:rPr>
              <w:t>1-800-454-8683</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any touch-tone telephone to transmit</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The availability of voting by telephone may</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your voting instructions up until 11:59</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depend on the voting process of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P.M. Eastern Time the day before the</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organization that holds your shares.</w:t>
            </w:r>
          </w:p>
        </w:tc>
      </w:tr>
      <w:tr>
        <w:trPr>
          <w:trHeight w:val="239"/>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meeting date.</w:t>
            </w:r>
          </w:p>
        </w:tc>
        <w:tc>
          <w:tcPr>
            <w:tcW w:w="4020" w:type="dxa"/>
            <w:vAlign w:val="bottom"/>
            <w:tcBorders>
              <w:right w:val="single" w:sz="8" w:color="454545"/>
            </w:tcBorders>
          </w:tcPr>
          <w:p>
            <w:pPr>
              <w:spacing w:after="0"/>
              <w:rPr>
                <w:sz w:val="20"/>
                <w:szCs w:val="20"/>
                <w:color w:val="auto"/>
              </w:rPr>
            </w:pPr>
          </w:p>
        </w:tc>
        <w:tc>
          <w:tcPr>
            <w:tcW w:w="3860" w:type="dxa"/>
            <w:vAlign w:val="bottom"/>
          </w:tcPr>
          <w:p>
            <w:pPr>
              <w:spacing w:after="0"/>
              <w:rPr>
                <w:sz w:val="20"/>
                <w:szCs w:val="20"/>
                <w:color w:val="auto"/>
              </w:rPr>
            </w:pP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18"/>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By Mail</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Return a properly executed and dated proxy card</w:t>
            </w:r>
          </w:p>
        </w:tc>
        <w:tc>
          <w:tcPr>
            <w:tcW w:w="3860" w:type="dxa"/>
            <w:vAlign w:val="bottom"/>
          </w:tcPr>
          <w:p>
            <w:pPr>
              <w:spacing w:after="0"/>
              <w:rPr>
                <w:sz w:val="20"/>
                <w:szCs w:val="20"/>
                <w:color w:val="auto"/>
              </w:rPr>
            </w:pPr>
            <w:r>
              <w:rPr>
                <w:rFonts w:ascii="Arial" w:cs="Arial" w:eastAsia="Arial" w:hAnsi="Arial"/>
                <w:sz w:val="18"/>
                <w:szCs w:val="18"/>
                <w:color w:val="auto"/>
              </w:rPr>
              <w:t>Return a properly executed and dated voting</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 the pre-paid envelope we have provided or</w:t>
            </w:r>
          </w:p>
        </w:tc>
        <w:tc>
          <w:tcPr>
            <w:tcW w:w="3860" w:type="dxa"/>
            <w:vAlign w:val="bottom"/>
          </w:tcPr>
          <w:p>
            <w:pPr>
              <w:spacing w:after="0"/>
              <w:rPr>
                <w:sz w:val="20"/>
                <w:szCs w:val="20"/>
                <w:color w:val="auto"/>
              </w:rPr>
            </w:pPr>
            <w:r>
              <w:rPr>
                <w:rFonts w:ascii="Arial" w:cs="Arial" w:eastAsia="Arial" w:hAnsi="Arial"/>
                <w:sz w:val="18"/>
                <w:szCs w:val="18"/>
                <w:color w:val="auto"/>
              </w:rPr>
              <w:t>instruction form using the method(s) your bank,</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return it to JPMorgan Chase &amp; Co., c/o</w:t>
            </w:r>
          </w:p>
        </w:tc>
        <w:tc>
          <w:tcPr>
            <w:tcW w:w="3860" w:type="dxa"/>
            <w:vAlign w:val="bottom"/>
          </w:tcPr>
          <w:p>
            <w:pPr>
              <w:spacing w:after="0"/>
              <w:rPr>
                <w:sz w:val="20"/>
                <w:szCs w:val="20"/>
                <w:color w:val="auto"/>
              </w:rPr>
            </w:pPr>
            <w:r>
              <w:rPr>
                <w:rFonts w:ascii="Arial" w:cs="Arial" w:eastAsia="Arial" w:hAnsi="Arial"/>
                <w:sz w:val="18"/>
                <w:szCs w:val="18"/>
                <w:color w:val="auto"/>
              </w:rPr>
              <w:t>brokerage firm, broker-dealer or other similar</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Broadridge, 51 Mercedes Way, Edgewood, NY</w:t>
            </w:r>
          </w:p>
        </w:tc>
        <w:tc>
          <w:tcPr>
            <w:tcW w:w="3860" w:type="dxa"/>
            <w:vAlign w:val="bottom"/>
          </w:tcPr>
          <w:p>
            <w:pPr>
              <w:spacing w:after="0"/>
              <w:rPr>
                <w:sz w:val="20"/>
                <w:szCs w:val="20"/>
                <w:color w:val="auto"/>
              </w:rPr>
            </w:pPr>
            <w:r>
              <w:rPr>
                <w:rFonts w:ascii="Arial" w:cs="Arial" w:eastAsia="Arial" w:hAnsi="Arial"/>
                <w:sz w:val="18"/>
                <w:szCs w:val="18"/>
                <w:color w:val="auto"/>
              </w:rPr>
              <w:t>organizations make available.</w:t>
            </w:r>
          </w:p>
        </w:tc>
      </w:tr>
      <w:tr>
        <w:trPr>
          <w:trHeight w:val="239"/>
        </w:trPr>
        <w:tc>
          <w:tcPr>
            <w:tcW w:w="3360" w:type="dxa"/>
            <w:vAlign w:val="bottom"/>
            <w:tcBorders>
              <w:right w:val="single" w:sz="8" w:color="454545"/>
            </w:tcBorders>
          </w:tcPr>
          <w:p>
            <w:pPr>
              <w:spacing w:after="0"/>
              <w:rPr>
                <w:sz w:val="20"/>
                <w:szCs w:val="20"/>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11717</w:t>
            </w:r>
          </w:p>
        </w:tc>
        <w:tc>
          <w:tcPr>
            <w:tcW w:w="3860" w:type="dxa"/>
            <w:vAlign w:val="bottom"/>
          </w:tcPr>
          <w:p>
            <w:pPr>
              <w:spacing w:after="0"/>
              <w:rPr>
                <w:sz w:val="20"/>
                <w:szCs w:val="20"/>
                <w:color w:val="auto"/>
              </w:rPr>
            </w:pPr>
          </w:p>
        </w:tc>
      </w:tr>
      <w:tr>
        <w:trPr>
          <w:trHeight w:val="23"/>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bl>
    <w:p>
      <w:pPr>
        <w:spacing w:after="0" w:line="181" w:lineRule="exact"/>
        <w:rPr>
          <w:sz w:val="20"/>
          <w:szCs w:val="20"/>
          <w:color w:val="auto"/>
        </w:rPr>
      </w:pPr>
    </w:p>
    <w:p>
      <w:pPr>
        <w:sectPr>
          <w:pgSz w:w="11900" w:h="16838" w:orient="portrait"/>
          <w:cols w:equalWidth="0" w:num="1">
            <w:col w:w="11240"/>
          </w:cols>
          <w:pgMar w:left="320" w:top="157" w:right="339" w:bottom="1440" w:gutter="0" w:footer="0" w:header="0"/>
        </w:sectPr>
      </w:pPr>
    </w:p>
    <w:p>
      <w:pPr>
        <w:spacing w:after="0"/>
        <w:rPr>
          <w:sz w:val="20"/>
          <w:szCs w:val="20"/>
          <w:color w:val="auto"/>
        </w:rPr>
      </w:pPr>
      <w:r>
        <w:rPr>
          <w:rFonts w:ascii="Arial" w:cs="Arial" w:eastAsia="Arial" w:hAnsi="Arial"/>
          <w:sz w:val="20"/>
          <w:szCs w:val="20"/>
          <w:color w:val="074A75"/>
        </w:rPr>
        <w:t>Can I change my vote after I have voted?</w:t>
      </w:r>
    </w:p>
    <w:p>
      <w:pPr>
        <w:spacing w:after="0" w:line="2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You can revoke your proxy and change your vote at any time before the closing of the polls at our annual meeting, subject to the voting deadlines that are described on the proxy card or voting instruction form, as applicable.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You can revoke your vote:</w:t>
      </w:r>
    </w:p>
    <w:p>
      <w:pPr>
        <w:spacing w:after="0" w:line="104" w:lineRule="exact"/>
        <w:rPr>
          <w:sz w:val="20"/>
          <w:szCs w:val="20"/>
          <w:color w:val="auto"/>
        </w:rPr>
      </w:pPr>
    </w:p>
    <w:p>
      <w:pPr>
        <w:ind w:left="200" w:right="60" w:hanging="192"/>
        <w:spacing w:after="0" w:line="242" w:lineRule="auto"/>
        <w:tabs>
          <w:tab w:leader="none" w:pos="204" w:val="left"/>
        </w:tabs>
        <w:numPr>
          <w:ilvl w:val="0"/>
          <w:numId w:val="296"/>
        </w:numPr>
        <w:rPr>
          <w:rFonts w:ascii="Arial" w:cs="Arial" w:eastAsia="Arial" w:hAnsi="Arial"/>
          <w:sz w:val="18"/>
          <w:szCs w:val="18"/>
          <w:color w:val="074A75"/>
        </w:rPr>
      </w:pPr>
      <w:r>
        <w:rPr>
          <w:rFonts w:ascii="Arial" w:cs="Arial" w:eastAsia="Arial" w:hAnsi="Arial"/>
          <w:sz w:val="18"/>
          <w:szCs w:val="18"/>
          <w:color w:val="auto"/>
        </w:rPr>
        <w:t>During the virtual meeting. If you attend the annual meeting at www.virtualshareholdermeeting.com/ JPM2022, you may revoke your proxy and change your vote by voting online during the meeting. Your attendance at the annual meeting will not automatically revoke your proxy unless you properly vote at the annual meeting.</w:t>
      </w:r>
    </w:p>
    <w:p>
      <w:pPr>
        <w:spacing w:after="0" w:line="70" w:lineRule="exact"/>
        <w:rPr>
          <w:rFonts w:ascii="Arial" w:cs="Arial" w:eastAsia="Arial" w:hAnsi="Arial"/>
          <w:sz w:val="18"/>
          <w:szCs w:val="18"/>
          <w:color w:val="074A75"/>
        </w:rPr>
      </w:pPr>
    </w:p>
    <w:p>
      <w:pPr>
        <w:ind w:left="200" w:right="100" w:hanging="192"/>
        <w:spacing w:after="0" w:line="244" w:lineRule="auto"/>
        <w:tabs>
          <w:tab w:leader="none" w:pos="204" w:val="left"/>
        </w:tabs>
        <w:numPr>
          <w:ilvl w:val="0"/>
          <w:numId w:val="296"/>
        </w:numPr>
        <w:rPr>
          <w:rFonts w:ascii="Arial" w:cs="Arial" w:eastAsia="Arial" w:hAnsi="Arial"/>
          <w:sz w:val="18"/>
          <w:szCs w:val="18"/>
          <w:color w:val="064A75"/>
        </w:rPr>
      </w:pPr>
      <w:r>
        <w:rPr>
          <w:rFonts w:ascii="Arial" w:cs="Arial" w:eastAsia="Arial" w:hAnsi="Arial"/>
          <w:sz w:val="18"/>
          <w:szCs w:val="18"/>
          <w:color w:val="auto"/>
        </w:rPr>
        <w:t>In writing. You may request that your prior proxy be revoked by delivering a written notice of revocation prior to the annual meeting via email to corporate.secretary@jpmchase.com or to the Office of the Secretary, JPMorgan Chase &amp; Co., 4 New York Plaza, New York, NY 10004-2413.</w:t>
      </w:r>
    </w:p>
    <w:p>
      <w:pPr>
        <w:spacing w:after="0" w:line="68" w:lineRule="exact"/>
        <w:rPr>
          <w:rFonts w:ascii="Arial" w:cs="Arial" w:eastAsia="Arial" w:hAnsi="Arial"/>
          <w:sz w:val="18"/>
          <w:szCs w:val="18"/>
          <w:color w:val="064A75"/>
        </w:rPr>
      </w:pPr>
    </w:p>
    <w:p>
      <w:pPr>
        <w:ind w:left="200" w:hanging="192"/>
        <w:spacing w:after="0" w:line="247" w:lineRule="auto"/>
        <w:tabs>
          <w:tab w:leader="none" w:pos="204" w:val="left"/>
        </w:tabs>
        <w:numPr>
          <w:ilvl w:val="0"/>
          <w:numId w:val="296"/>
        </w:numPr>
        <w:rPr>
          <w:rFonts w:ascii="Arial" w:cs="Arial" w:eastAsia="Arial" w:hAnsi="Arial"/>
          <w:sz w:val="18"/>
          <w:szCs w:val="18"/>
          <w:color w:val="074A75"/>
        </w:rPr>
      </w:pPr>
      <w:r>
        <w:rPr>
          <w:rFonts w:ascii="Arial" w:cs="Arial" w:eastAsia="Arial" w:hAnsi="Arial"/>
          <w:sz w:val="18"/>
          <w:szCs w:val="18"/>
          <w:color w:val="auto"/>
        </w:rPr>
        <w:t>Online at www.proxyvote.com. You may change your vote at www.proxyvote.com until 11:59 P.M. Eastern Time the day before the meeting date, in which case only your latest Internet proxy submitted prior to the annual meeting will be counted.</w:t>
      </w:r>
    </w:p>
    <w:p>
      <w:pPr>
        <w:spacing w:after="0" w:line="65" w:lineRule="exact"/>
        <w:rPr>
          <w:rFonts w:ascii="Arial" w:cs="Arial" w:eastAsia="Arial" w:hAnsi="Arial"/>
          <w:sz w:val="18"/>
          <w:szCs w:val="18"/>
          <w:color w:val="074A75"/>
        </w:rPr>
      </w:pPr>
    </w:p>
    <w:p>
      <w:pPr>
        <w:ind w:left="200" w:right="260" w:hanging="192"/>
        <w:spacing w:after="0" w:line="247" w:lineRule="auto"/>
        <w:tabs>
          <w:tab w:leader="none" w:pos="204" w:val="left"/>
        </w:tabs>
        <w:numPr>
          <w:ilvl w:val="0"/>
          <w:numId w:val="296"/>
        </w:numPr>
        <w:rPr>
          <w:rFonts w:ascii="Arial" w:cs="Arial" w:eastAsia="Arial" w:hAnsi="Arial"/>
          <w:sz w:val="18"/>
          <w:szCs w:val="18"/>
          <w:color w:val="074A75"/>
        </w:rPr>
      </w:pPr>
      <w:r>
        <w:rPr>
          <w:rFonts w:ascii="Arial" w:cs="Arial" w:eastAsia="Arial" w:hAnsi="Arial"/>
          <w:sz w:val="18"/>
          <w:szCs w:val="18"/>
          <w:color w:val="auto"/>
        </w:rPr>
        <w:t>Telephone. You may change your vote using the phone voting method described above, in which case only your latest telephone proxy submitted prior to the annual meeting will be counted.</w:t>
      </w:r>
    </w:p>
    <w:p>
      <w:pPr>
        <w:spacing w:after="0" w:line="20" w:lineRule="exact"/>
        <w:rPr>
          <w:sz w:val="20"/>
          <w:szCs w:val="20"/>
          <w:color w:val="auto"/>
        </w:rPr>
      </w:pPr>
      <w:r>
        <w:rPr>
          <w:sz w:val="20"/>
          <w:szCs w:val="20"/>
          <w:color w:val="auto"/>
        </w:rPr>
        <w:br w:type="column"/>
      </w:r>
    </w:p>
    <w:p>
      <w:pPr>
        <w:ind w:left="200" w:right="140" w:hanging="196"/>
        <w:spacing w:after="0" w:line="244" w:lineRule="auto"/>
        <w:tabs>
          <w:tab w:leader="none" w:pos="204" w:val="left"/>
        </w:tabs>
        <w:numPr>
          <w:ilvl w:val="0"/>
          <w:numId w:val="297"/>
        </w:numPr>
        <w:rPr>
          <w:rFonts w:ascii="Arial" w:cs="Arial" w:eastAsia="Arial" w:hAnsi="Arial"/>
          <w:sz w:val="18"/>
          <w:szCs w:val="18"/>
          <w:color w:val="064A75"/>
        </w:rPr>
      </w:pPr>
      <w:r>
        <w:rPr>
          <w:rFonts w:ascii="Arial" w:cs="Arial" w:eastAsia="Arial" w:hAnsi="Arial"/>
          <w:sz w:val="18"/>
          <w:szCs w:val="18"/>
          <w:color w:val="auto"/>
        </w:rPr>
        <w:t>Mail. You may revoke your proxy and change your vote by signing and returning a new proxy card or voting instruction form dated as of a later date, in which case only your latest proxy card or voting instruction form received prior to the annual meeting will be counted.</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074A75"/>
        </w:rPr>
        <w:t>How are shares voted?</w:t>
      </w:r>
    </w:p>
    <w:p>
      <w:pPr>
        <w:spacing w:after="0" w:line="2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All shares represented by valid ballots or valid proxies received prior to the taking of the vote at the annual meeting will be voted. If you do not vote at the annual meeting, the persons named as proxies on the proxy card, will vote your shares as you have instructed.</w:t>
      </w:r>
    </w:p>
    <w:p>
      <w:pPr>
        <w:spacing w:after="0" w:line="69"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074A75"/>
        </w:rPr>
        <w:t>How will my shares be voted if I do not give specific voting instructions?</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 are a shareholder of record and do</w:t>
      </w:r>
      <w:r>
        <w:rPr>
          <w:rFonts w:ascii="Arial" w:cs="Arial" w:eastAsia="Arial" w:hAnsi="Arial"/>
          <w:sz w:val="18"/>
          <w:szCs w:val="18"/>
          <w:i w:val="1"/>
          <w:iCs w:val="1"/>
          <w:color w:val="auto"/>
        </w:rPr>
        <w:t xml:space="preserve"> </w:t>
      </w:r>
      <w:r>
        <w:rPr>
          <w:rFonts w:ascii="Arial" w:cs="Arial" w:eastAsia="Arial" w:hAnsi="Arial"/>
          <w:sz w:val="18"/>
          <w:szCs w:val="18"/>
          <w:color w:val="auto"/>
        </w:rPr>
        <w:t>not return a proxy card, or if you sign, date and return a proxy card but do not give specific voting instructions, then the persons named as proxies on the proxy card will vote your shares in the manner recommended by our Board on all matters presented in this proxy statement. In addition, the proxies may determine in their discretion how to vote your shares regarding any other matters properly presented for a vote at our annual meeting.</w:t>
      </w:r>
    </w:p>
    <w:p>
      <w:pPr>
        <w:spacing w:after="0" w:line="7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Although our Board does not anticipate that any of the director nominees will be unable to stand for election as a director nominee at our annual meeting, if this occurs, the persons named as proxies on the proxy card will vote your shares in favor of such other person or persons as may be recommended by our Governance Committee and designated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254000</wp:posOffset>
            </wp:positionV>
            <wp:extent cx="27432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500"/>
          </w:cols>
          <w:pgMar w:left="320" w:top="157" w:right="339" w:bottom="1440" w:gutter="0" w:footer="0" w:header="0"/>
          <w:type w:val="continuous"/>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105 </w:t>
      </w:r>
      <w:r>
        <w:rPr>
          <w:sz w:val="1"/>
          <w:szCs w:val="1"/>
          <w:color w:val="auto"/>
        </w:rPr>
        <w:drawing>
          <wp:inline distT="0" distB="0" distL="0" distR="0">
            <wp:extent cx="2203450" cy="154305"/>
            <wp:effectExtent l="0" t="0" r="0" b="0"/>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11" w:name="page112"/>
    <w:bookmarkEnd w:id="11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97"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 are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organization holding your shares does not receive specific voting instructions from you, how your shares may be voted will depend on whether the proposal is considered “routine” or “non-routine”, as described below.</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Participants in the 401(k) Savings Plan: </w:t>
      </w:r>
      <w:r>
        <w:rPr>
          <w:rFonts w:ascii="Arial" w:cs="Arial" w:eastAsia="Arial" w:hAnsi="Arial"/>
          <w:sz w:val="18"/>
          <w:szCs w:val="18"/>
          <w:color w:val="auto"/>
        </w:rPr>
        <w:t>The trustee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JPMorgan Chase 401(k) Savings Plan (“Plan”) will vote the shares held in the Common Stock Fund as of the Record Date. If you have an interest in the JPMorgan Chase Common Stock Fund through the Plan, your vote will provide voting instructions to the trustee. If no voting instructions are given, the trustee will vote uninstructed shares in the same proportion as voted shares.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074A75"/>
        </w:rPr>
        <w:t>Which proposals are considered “routine” or “non-routine”?</w:t>
      </w:r>
    </w:p>
    <w:p>
      <w:pPr>
        <w:spacing w:after="0" w:line="2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ratification of the appointment of the independent registered public accounting firm is considered to be a “routine” matter under NYSE rules. A bank, brokerage firm, broker-dealer or other similar organization may generally vote in their discretion on routine matters, if specific voting instructions are not received from a beneficial owner.</w:t>
      </w:r>
    </w:p>
    <w:p>
      <w:pPr>
        <w:spacing w:after="0" w:line="7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All other proposals are considered “non-routine” under NYSE rules and are therefore “non-discretionary” matters. This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means your bank, brokerage firm, broker-dealer or other similar organization may not vote your shares without instructions from you. If the organization that holds your shares does not receive instructions from you on how to vote on one of these non-routine matters, it will so inform the inspector of election. This is generally referred to as a “broker non-vote.”</w:t>
      </w:r>
    </w:p>
    <w:p>
      <w:pPr>
        <w:spacing w:after="0" w:line="71"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074A75"/>
        </w:rPr>
        <w:t>What is the difference between holding shares as a shareholder of record and as a beneficial owner of shares held in street name?</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of JPMorgan Chase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registered directly in your name with our transfer agent, Computershare, you are considered a “shareholder of record” of those shares.</w:t>
      </w:r>
    </w:p>
    <w:p>
      <w:pPr>
        <w:spacing w:after="0" w:line="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an account at a bank, brokerage firm, broker-dealer or other similar organization, you are a beneficial owner of shares held in street name. In that case, you will have received these proxy materials, as well as a voting instruction form, from the organization holding your shares and, as a beneficial owner, you have the right to direct the organization as to how to vote them. Most individual shareholders are beneficial owners of shares held in street name.</w:t>
      </w:r>
    </w:p>
    <w:p>
      <w:pPr>
        <w:spacing w:after="0" w:line="289" w:lineRule="exact"/>
        <w:rPr>
          <w:sz w:val="20"/>
          <w:szCs w:val="20"/>
          <w:color w:val="auto"/>
        </w:rPr>
      </w:pPr>
    </w:p>
    <w:p>
      <w:pPr>
        <w:sectPr>
          <w:pgSz w:w="11900" w:h="16838" w:orient="portrait"/>
          <w:cols w:equalWidth="0" w:num="2">
            <w:col w:w="5360" w:space="380"/>
            <w:col w:w="5500"/>
          </w:cols>
          <w:pgMar w:left="320" w:top="157"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What is the voting requirement to approve each of the proposals?</w:t>
      </w:r>
    </w:p>
    <w:p>
      <w:pPr>
        <w:spacing w:after="0" w:line="20"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b w:val="1"/>
          <w:bCs w:val="1"/>
          <w:i w:val="1"/>
          <w:iCs w:val="1"/>
          <w:color w:val="auto"/>
        </w:rPr>
        <w:t xml:space="preserve">Quorum Requirement: </w:t>
      </w:r>
      <w:r>
        <w:rPr>
          <w:rFonts w:ascii="Arial" w:cs="Arial" w:eastAsia="Arial" w:hAnsi="Arial"/>
          <w:sz w:val="18"/>
          <w:szCs w:val="18"/>
          <w:color w:val="auto"/>
        </w:rPr>
        <w:t>Before any business can be transacted at our annual meeting, a quorum must be present. Holders of a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entitled to vote at the annual meeting, present at the meeting or represented by proxy, will constitute a quorum. Abstentions and broker non-votes are treated as present for quorum purposes.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Requirements for each proposal: </w:t>
      </w:r>
      <w:r>
        <w:rPr>
          <w:rFonts w:ascii="Arial" w:cs="Arial" w:eastAsia="Arial" w:hAnsi="Arial"/>
          <w:sz w:val="18"/>
          <w:szCs w:val="18"/>
          <w:color w:val="auto"/>
        </w:rPr>
        <w:t>What is the voting requirement for each proposal?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074A75"/>
              </w:rPr>
              <w:t>Effect of</w:t>
            </w:r>
          </w:p>
        </w:tc>
        <w:tc>
          <w:tcPr>
            <w:tcW w:w="2160" w:type="dxa"/>
            <w:vAlign w:val="bottom"/>
          </w:tcPr>
          <w:p>
            <w:pPr>
              <w:jc w:val="center"/>
              <w:ind w:left="19"/>
              <w:spacing w:after="0"/>
              <w:rPr>
                <w:sz w:val="20"/>
                <w:szCs w:val="20"/>
                <w:color w:val="auto"/>
              </w:rPr>
            </w:pPr>
            <w:r>
              <w:rPr>
                <w:rFonts w:ascii="Arial" w:cs="Arial" w:eastAsia="Arial" w:hAnsi="Arial"/>
                <w:sz w:val="16"/>
                <w:szCs w:val="16"/>
                <w:color w:val="074A75"/>
              </w:rPr>
              <w:t>Effect of broker</w:t>
            </w:r>
          </w:p>
        </w:tc>
      </w:tr>
      <w:tr>
        <w:trPr>
          <w:trHeight w:val="230"/>
        </w:trPr>
        <w:tc>
          <w:tcPr>
            <w:tcW w:w="2360" w:type="dxa"/>
            <w:vAlign w:val="bottom"/>
          </w:tcPr>
          <w:p>
            <w:pPr>
              <w:ind w:left="20"/>
              <w:spacing w:after="0"/>
              <w:rPr>
                <w:sz w:val="20"/>
                <w:szCs w:val="20"/>
                <w:color w:val="auto"/>
              </w:rPr>
            </w:pPr>
            <w:r>
              <w:rPr>
                <w:rFonts w:ascii="Arial" w:cs="Arial" w:eastAsia="Arial" w:hAnsi="Arial"/>
                <w:sz w:val="16"/>
                <w:szCs w:val="16"/>
                <w:color w:val="074A75"/>
              </w:rPr>
              <w:t>Proposal</w:t>
            </w:r>
          </w:p>
        </w:tc>
        <w:tc>
          <w:tcPr>
            <w:tcW w:w="2340" w:type="dxa"/>
            <w:vAlign w:val="bottom"/>
          </w:tcPr>
          <w:p>
            <w:pPr>
              <w:ind w:left="820"/>
              <w:spacing w:after="0"/>
              <w:rPr>
                <w:sz w:val="20"/>
                <w:szCs w:val="20"/>
                <w:color w:val="auto"/>
              </w:rPr>
            </w:pPr>
            <w:r>
              <w:rPr>
                <w:rFonts w:ascii="Arial" w:cs="Arial" w:eastAsia="Arial" w:hAnsi="Arial"/>
                <w:sz w:val="16"/>
                <w:szCs w:val="16"/>
                <w:color w:val="074A75"/>
              </w:rPr>
              <w:t>Voting options</w:t>
            </w:r>
          </w:p>
        </w:tc>
        <w:tc>
          <w:tcPr>
            <w:tcW w:w="2340" w:type="dxa"/>
            <w:vAlign w:val="bottom"/>
          </w:tcPr>
          <w:p>
            <w:pPr>
              <w:ind w:left="520"/>
              <w:spacing w:after="0"/>
              <w:rPr>
                <w:sz w:val="20"/>
                <w:szCs w:val="20"/>
                <w:color w:val="auto"/>
              </w:rPr>
            </w:pPr>
            <w:r>
              <w:rPr>
                <w:rFonts w:ascii="Arial" w:cs="Arial" w:eastAsia="Arial" w:hAnsi="Arial"/>
                <w:sz w:val="16"/>
                <w:szCs w:val="16"/>
                <w:color w:val="074A75"/>
              </w:rPr>
              <w:t>Vote requirement</w:t>
            </w:r>
          </w:p>
        </w:tc>
        <w:tc>
          <w:tcPr>
            <w:tcW w:w="2040" w:type="dxa"/>
            <w:vAlign w:val="bottom"/>
          </w:tcPr>
          <w:p>
            <w:pPr>
              <w:jc w:val="center"/>
              <w:spacing w:after="0" w:line="230" w:lineRule="exact"/>
              <w:rPr>
                <w:sz w:val="20"/>
                <w:szCs w:val="20"/>
                <w:color w:val="auto"/>
              </w:rPr>
            </w:pPr>
            <w:r>
              <w:rPr>
                <w:rFonts w:ascii="Arial" w:cs="Arial" w:eastAsia="Arial" w:hAnsi="Arial"/>
                <w:sz w:val="16"/>
                <w:szCs w:val="16"/>
                <w:color w:val="074A75"/>
                <w:w w:val="98"/>
              </w:rPr>
              <w:t>abstentions</w:t>
            </w:r>
            <w:r>
              <w:rPr>
                <w:rFonts w:ascii="Arial" w:cs="Arial" w:eastAsia="Arial" w:hAnsi="Arial"/>
                <w:sz w:val="21"/>
                <w:szCs w:val="21"/>
                <w:color w:val="074A75"/>
                <w:w w:val="98"/>
                <w:vertAlign w:val="superscript"/>
              </w:rPr>
              <w:t>1</w:t>
            </w:r>
          </w:p>
        </w:tc>
        <w:tc>
          <w:tcPr>
            <w:tcW w:w="2160" w:type="dxa"/>
            <w:vAlign w:val="bottom"/>
          </w:tcPr>
          <w:p>
            <w:pPr>
              <w:jc w:val="center"/>
              <w:ind w:left="19"/>
              <w:spacing w:after="0" w:line="230" w:lineRule="exact"/>
              <w:rPr>
                <w:sz w:val="20"/>
                <w:szCs w:val="20"/>
                <w:color w:val="auto"/>
              </w:rPr>
            </w:pPr>
            <w:r>
              <w:rPr>
                <w:rFonts w:ascii="Arial" w:cs="Arial" w:eastAsia="Arial" w:hAnsi="Arial"/>
                <w:sz w:val="16"/>
                <w:szCs w:val="16"/>
                <w:color w:val="074A75"/>
                <w:w w:val="99"/>
              </w:rPr>
              <w:t>non-votes</w:t>
            </w:r>
            <w:r>
              <w:rPr>
                <w:rFonts w:ascii="Arial" w:cs="Arial" w:eastAsia="Arial" w:hAnsi="Arial"/>
                <w:sz w:val="21"/>
                <w:szCs w:val="21"/>
                <w:color w:val="074A75"/>
                <w:w w:val="99"/>
                <w:vertAlign w:val="superscript"/>
              </w:rPr>
              <w:t>2</w:t>
            </w:r>
          </w:p>
        </w:tc>
      </w:tr>
      <w:tr>
        <w:trPr>
          <w:trHeight w:val="216"/>
        </w:trPr>
        <w:tc>
          <w:tcPr>
            <w:tcW w:w="2360" w:type="dxa"/>
            <w:vAlign w:val="bottom"/>
            <w:shd w:val="clear" w:color="auto" w:fill="074A75"/>
          </w:tcPr>
          <w:p>
            <w:pPr>
              <w:ind w:left="20"/>
              <w:spacing w:after="0"/>
              <w:rPr>
                <w:sz w:val="20"/>
                <w:szCs w:val="20"/>
                <w:color w:val="auto"/>
              </w:rPr>
            </w:pPr>
            <w:r>
              <w:rPr>
                <w:rFonts w:ascii="Arial" w:cs="Arial" w:eastAsia="Arial" w:hAnsi="Arial"/>
                <w:sz w:val="14"/>
                <w:szCs w:val="14"/>
                <w:color w:val="FFFFFF"/>
              </w:rPr>
              <w:t>Corporate Governance:</w:t>
            </w:r>
          </w:p>
        </w:tc>
        <w:tc>
          <w:tcPr>
            <w:tcW w:w="2340" w:type="dxa"/>
            <w:vAlign w:val="bottom"/>
            <w:shd w:val="clear" w:color="auto" w:fill="074A75"/>
          </w:tcPr>
          <w:p>
            <w:pPr>
              <w:spacing w:after="0"/>
              <w:rPr>
                <w:sz w:val="18"/>
                <w:szCs w:val="18"/>
                <w:color w:val="auto"/>
              </w:rPr>
            </w:pPr>
          </w:p>
        </w:tc>
        <w:tc>
          <w:tcPr>
            <w:tcW w:w="2340" w:type="dxa"/>
            <w:vAlign w:val="bottom"/>
            <w:shd w:val="clear" w:color="auto" w:fill="074A75"/>
          </w:tcPr>
          <w:p>
            <w:pPr>
              <w:spacing w:after="0"/>
              <w:rPr>
                <w:sz w:val="18"/>
                <w:szCs w:val="18"/>
                <w:color w:val="auto"/>
              </w:rPr>
            </w:pPr>
          </w:p>
        </w:tc>
        <w:tc>
          <w:tcPr>
            <w:tcW w:w="2040" w:type="dxa"/>
            <w:vAlign w:val="bottom"/>
            <w:shd w:val="clear" w:color="auto" w:fill="074A75"/>
          </w:tcPr>
          <w:p>
            <w:pPr>
              <w:spacing w:after="0"/>
              <w:rPr>
                <w:sz w:val="18"/>
                <w:szCs w:val="18"/>
                <w:color w:val="auto"/>
              </w:rPr>
            </w:pPr>
          </w:p>
        </w:tc>
        <w:tc>
          <w:tcPr>
            <w:tcW w:w="2160" w:type="dxa"/>
            <w:vAlign w:val="bottom"/>
            <w:shd w:val="clear" w:color="auto" w:fill="074A75"/>
          </w:tcPr>
          <w:p>
            <w:pPr>
              <w:spacing w:after="0"/>
              <w:rPr>
                <w:sz w:val="18"/>
                <w:szCs w:val="18"/>
                <w:color w:val="auto"/>
              </w:rPr>
            </w:pPr>
          </w:p>
        </w:tc>
      </w:tr>
    </w:tbl>
    <w:p>
      <w:pPr>
        <w:spacing w:after="0" w:line="19" w:lineRule="exact"/>
        <w:rPr>
          <w:sz w:val="20"/>
          <w:szCs w:val="20"/>
          <w:color w:val="auto"/>
        </w:rPr>
      </w:pPr>
    </w:p>
    <w:p>
      <w:pPr>
        <w:sectPr>
          <w:pgSz w:w="11900" w:h="16838" w:orient="portrait"/>
          <w:cols w:equalWidth="0" w:num="1">
            <w:col w:w="11240"/>
          </w:cols>
          <w:pgMar w:left="320" w:top="157" w:right="339" w:bottom="1440" w:gutter="0" w:footer="0" w:header="0"/>
          <w:type w:val="continuous"/>
        </w:sectPr>
      </w:pP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Election of Directors</w:t>
      </w:r>
      <w:r>
        <w:rPr>
          <w:rFonts w:ascii="Arial" w:cs="Arial" w:eastAsia="Arial" w:hAnsi="Arial"/>
          <w:sz w:val="9"/>
          <w:szCs w:val="9"/>
          <w:color w:val="auto"/>
        </w:rPr>
        <w:t>3</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Executive Compensation: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Advisory Vote on Compensation</w:t>
      </w:r>
      <w:r>
        <w:rPr>
          <w:rFonts w:ascii="Arial" w:cs="Arial" w:eastAsia="Arial" w:hAnsi="Arial"/>
          <w:sz w:val="9"/>
          <w:szCs w:val="9"/>
          <w:color w:val="auto"/>
        </w:rPr>
        <w:t>4</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Audit Matters: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Ratification of Independent Auditor</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Shareholder Proposals:</w:t>
      </w:r>
    </w:p>
    <w:p>
      <w:pPr>
        <w:spacing w:after="0" w:line="55" w:lineRule="exact"/>
        <w:rPr>
          <w:sz w:val="20"/>
          <w:szCs w:val="20"/>
          <w:color w:val="auto"/>
        </w:rPr>
      </w:pPr>
    </w:p>
    <w:p>
      <w:pPr>
        <w:ind w:left="20"/>
        <w:spacing w:after="0" w:line="285" w:lineRule="auto"/>
        <w:rPr>
          <w:sz w:val="20"/>
          <w:szCs w:val="20"/>
          <w:color w:val="auto"/>
        </w:rPr>
      </w:pPr>
      <w:r>
        <w:rPr>
          <w:rFonts w:ascii="Arial" w:cs="Arial" w:eastAsia="Arial" w:hAnsi="Arial"/>
          <w:sz w:val="14"/>
          <w:szCs w:val="14"/>
          <w:color w:val="auto"/>
        </w:rPr>
        <w:t>Voting requirements for each proposal are the same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454545"/>
          </w:tcPr>
          <w:p>
            <w:pPr>
              <w:spacing w:after="0"/>
              <w:rPr>
                <w:sz w:val="14"/>
                <w:szCs w:val="14"/>
                <w:color w:val="auto"/>
              </w:rPr>
            </w:pPr>
          </w:p>
        </w:tc>
        <w:tc>
          <w:tcPr>
            <w:tcW w:w="2100" w:type="dxa"/>
            <w:vAlign w:val="bottom"/>
          </w:tcPr>
          <w:p>
            <w:pPr>
              <w:ind w:left="20"/>
              <w:spacing w:after="0"/>
              <w:rPr>
                <w:sz w:val="20"/>
                <w:szCs w:val="20"/>
                <w:color w:val="auto"/>
              </w:rPr>
            </w:pPr>
            <w:r>
              <w:rPr>
                <w:rFonts w:ascii="Arial" w:cs="Arial" w:eastAsia="Arial" w:hAnsi="Arial"/>
                <w:sz w:val="14"/>
                <w:szCs w:val="14"/>
                <w:color w:val="auto"/>
              </w:rPr>
              <w:t>FOR, AGAINST or ABSTAIN</w:t>
            </w:r>
          </w:p>
        </w:tc>
        <w:tc>
          <w:tcPr>
            <w:tcW w:w="20" w:type="dxa"/>
            <w:vAlign w:val="bottom"/>
            <w:shd w:val="clear" w:color="auto" w:fill="454545"/>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Majority of the votes cast FOR or</w:t>
            </w:r>
          </w:p>
        </w:tc>
        <w:tc>
          <w:tcPr>
            <w:tcW w:w="20" w:type="dxa"/>
            <w:vAlign w:val="bottom"/>
            <w:shd w:val="clear" w:color="auto" w:fill="454545"/>
          </w:tcPr>
          <w:p>
            <w:pPr>
              <w:spacing w:after="0"/>
              <w:rPr>
                <w:sz w:val="14"/>
                <w:szCs w:val="14"/>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No effect — not counted as a vote</w:t>
            </w:r>
          </w:p>
        </w:tc>
        <w:tc>
          <w:tcPr>
            <w:tcW w:w="20" w:type="dxa"/>
            <w:vAlign w:val="bottom"/>
            <w:shd w:val="clear" w:color="auto" w:fill="454545"/>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No effect — broker non-votes</w:t>
            </w:r>
          </w:p>
        </w:tc>
        <w:tc>
          <w:tcPr>
            <w:tcW w:w="0" w:type="dxa"/>
            <w:vAlign w:val="bottom"/>
          </w:tcPr>
          <w:p>
            <w:pPr>
              <w:spacing w:after="0"/>
              <w:rPr>
                <w:sz w:val="1"/>
                <w:szCs w:val="1"/>
                <w:color w:val="auto"/>
              </w:rPr>
            </w:pPr>
          </w:p>
        </w:tc>
      </w:tr>
      <w:tr>
        <w:trPr>
          <w:trHeight w:val="162"/>
        </w:trPr>
        <w:tc>
          <w:tcPr>
            <w:tcW w:w="20" w:type="dxa"/>
            <w:vAlign w:val="bottom"/>
            <w:shd w:val="clear" w:color="auto" w:fill="454545"/>
          </w:tcPr>
          <w:p>
            <w:pPr>
              <w:spacing w:after="0"/>
              <w:rPr>
                <w:sz w:val="14"/>
                <w:szCs w:val="14"/>
                <w:color w:val="auto"/>
              </w:rPr>
            </w:pPr>
          </w:p>
        </w:tc>
        <w:tc>
          <w:tcPr>
            <w:tcW w:w="2100" w:type="dxa"/>
            <w:vAlign w:val="bottom"/>
          </w:tcPr>
          <w:p>
            <w:pPr>
              <w:ind w:left="20"/>
              <w:spacing w:after="0"/>
              <w:rPr>
                <w:sz w:val="20"/>
                <w:szCs w:val="20"/>
                <w:color w:val="auto"/>
              </w:rPr>
            </w:pPr>
            <w:r>
              <w:rPr>
                <w:rFonts w:ascii="Arial" w:cs="Arial" w:eastAsia="Arial" w:hAnsi="Arial"/>
                <w:sz w:val="14"/>
                <w:szCs w:val="14"/>
                <w:color w:val="auto"/>
              </w:rPr>
              <w:t>(for each director nominee)</w:t>
            </w:r>
          </w:p>
        </w:tc>
        <w:tc>
          <w:tcPr>
            <w:tcW w:w="20" w:type="dxa"/>
            <w:vAlign w:val="bottom"/>
            <w:shd w:val="clear" w:color="auto" w:fill="454545"/>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AGAINST (for each director</w:t>
            </w:r>
          </w:p>
        </w:tc>
        <w:tc>
          <w:tcPr>
            <w:tcW w:w="20" w:type="dxa"/>
            <w:vAlign w:val="bottom"/>
            <w:shd w:val="clear" w:color="auto" w:fill="454545"/>
          </w:tcPr>
          <w:p>
            <w:pPr>
              <w:spacing w:after="0"/>
              <w:rPr>
                <w:sz w:val="14"/>
                <w:szCs w:val="14"/>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cast</w:t>
            </w:r>
          </w:p>
        </w:tc>
        <w:tc>
          <w:tcPr>
            <w:tcW w:w="20" w:type="dxa"/>
            <w:vAlign w:val="bottom"/>
            <w:shd w:val="clear" w:color="auto" w:fill="454545"/>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are not permitted</w:t>
            </w:r>
          </w:p>
        </w:tc>
        <w:tc>
          <w:tcPr>
            <w:tcW w:w="0" w:type="dxa"/>
            <w:vAlign w:val="bottom"/>
          </w:tcPr>
          <w:p>
            <w:pPr>
              <w:spacing w:after="0"/>
              <w:rPr>
                <w:sz w:val="1"/>
                <w:szCs w:val="1"/>
                <w:color w:val="auto"/>
              </w:rPr>
            </w:pPr>
          </w:p>
        </w:tc>
      </w:tr>
      <w:tr>
        <w:trPr>
          <w:trHeight w:val="198"/>
        </w:trPr>
        <w:tc>
          <w:tcPr>
            <w:tcW w:w="20" w:type="dxa"/>
            <w:vAlign w:val="bottom"/>
            <w:shd w:val="clear" w:color="auto" w:fill="454545"/>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shd w:val="clear" w:color="auto" w:fill="454545"/>
          </w:tcPr>
          <w:p>
            <w:pPr>
              <w:spacing w:after="0"/>
              <w:rPr>
                <w:sz w:val="17"/>
                <w:szCs w:val="17"/>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nominee)</w:t>
            </w:r>
          </w:p>
        </w:tc>
        <w:tc>
          <w:tcPr>
            <w:tcW w:w="20" w:type="dxa"/>
            <w:vAlign w:val="bottom"/>
            <w:shd w:val="clear" w:color="auto" w:fill="454545"/>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shd w:val="clear" w:color="auto" w:fill="454545"/>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vMerge w:val="restart"/>
          </w:tcPr>
          <w:p>
            <w:pPr>
              <w:ind w:left="20"/>
              <w:spacing w:after="0"/>
              <w:rPr>
                <w:sz w:val="20"/>
                <w:szCs w:val="20"/>
                <w:color w:val="auto"/>
              </w:rPr>
            </w:pPr>
            <w:r>
              <w:rPr>
                <w:rFonts w:ascii="Arial" w:cs="Arial" w:eastAsia="Arial" w:hAnsi="Arial"/>
                <w:sz w:val="14"/>
                <w:szCs w:val="14"/>
                <w:color w:val="auto"/>
              </w:rPr>
              <w:t>FOR, AGAINST or ABSTAIN</w:t>
            </w:r>
          </w:p>
        </w:tc>
        <w:tc>
          <w:tcPr>
            <w:tcW w:w="20" w:type="dxa"/>
            <w:vAlign w:val="bottom"/>
          </w:tcPr>
          <w:p>
            <w:pPr>
              <w:spacing w:after="0"/>
              <w:rPr>
                <w:sz w:val="18"/>
                <w:szCs w:val="18"/>
                <w:color w:val="auto"/>
              </w:rPr>
            </w:pPr>
          </w:p>
        </w:tc>
        <w:tc>
          <w:tcPr>
            <w:tcW w:w="2180" w:type="dxa"/>
            <w:vAlign w:val="bottom"/>
            <w:vMerge w:val="restart"/>
          </w:tcPr>
          <w:p>
            <w:pPr>
              <w:ind w:left="20"/>
              <w:spacing w:after="0"/>
              <w:rPr>
                <w:sz w:val="20"/>
                <w:szCs w:val="20"/>
                <w:color w:val="auto"/>
              </w:rPr>
            </w:pPr>
            <w:r>
              <w:rPr>
                <w:rFonts w:ascii="Arial" w:cs="Arial" w:eastAsia="Arial" w:hAnsi="Arial"/>
                <w:sz w:val="14"/>
                <w:szCs w:val="14"/>
                <w:color w:val="auto"/>
              </w:rPr>
              <w:t>Majority of the shares present or</w:t>
            </w:r>
          </w:p>
        </w:tc>
        <w:tc>
          <w:tcPr>
            <w:tcW w:w="20" w:type="dxa"/>
            <w:vAlign w:val="bottom"/>
          </w:tcPr>
          <w:p>
            <w:pPr>
              <w:spacing w:after="0"/>
              <w:rPr>
                <w:sz w:val="18"/>
                <w:szCs w:val="18"/>
                <w:color w:val="auto"/>
              </w:rPr>
            </w:pPr>
          </w:p>
        </w:tc>
        <w:tc>
          <w:tcPr>
            <w:tcW w:w="2220" w:type="dxa"/>
            <w:vAlign w:val="bottom"/>
            <w:vMerge w:val="restart"/>
          </w:tcPr>
          <w:p>
            <w:pPr>
              <w:spacing w:after="0"/>
              <w:rPr>
                <w:sz w:val="20"/>
                <w:szCs w:val="20"/>
                <w:color w:val="auto"/>
              </w:rPr>
            </w:pPr>
            <w:r>
              <w:rPr>
                <w:rFonts w:ascii="Arial" w:cs="Arial" w:eastAsia="Arial" w:hAnsi="Arial"/>
                <w:sz w:val="14"/>
                <w:szCs w:val="14"/>
                <w:color w:val="auto"/>
              </w:rPr>
              <w:t>Counts as a vote AGAINST</w:t>
            </w:r>
          </w:p>
        </w:tc>
        <w:tc>
          <w:tcPr>
            <w:tcW w:w="20" w:type="dxa"/>
            <w:vAlign w:val="bottom"/>
          </w:tcPr>
          <w:p>
            <w:pPr>
              <w:spacing w:after="0"/>
              <w:rPr>
                <w:sz w:val="18"/>
                <w:szCs w:val="18"/>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No effect — broker non-votes</w:t>
            </w:r>
          </w:p>
        </w:tc>
        <w:tc>
          <w:tcPr>
            <w:tcW w:w="0" w:type="dxa"/>
            <w:vAlign w:val="bottom"/>
          </w:tcPr>
          <w:p>
            <w:pPr>
              <w:spacing w:after="0"/>
              <w:rPr>
                <w:sz w:val="1"/>
                <w:szCs w:val="1"/>
                <w:color w:val="auto"/>
              </w:rPr>
            </w:pPr>
          </w:p>
        </w:tc>
      </w:tr>
      <w:tr>
        <w:trPr>
          <w:trHeight w:val="180"/>
        </w:trPr>
        <w:tc>
          <w:tcPr>
            <w:tcW w:w="20" w:type="dxa"/>
            <w:vAlign w:val="bottom"/>
            <w:shd w:val="clear" w:color="auto" w:fill="454545"/>
          </w:tcPr>
          <w:p>
            <w:pPr>
              <w:spacing w:after="0"/>
              <w:rPr>
                <w:sz w:val="15"/>
                <w:szCs w:val="15"/>
                <w:color w:val="auto"/>
              </w:rPr>
            </w:pPr>
          </w:p>
        </w:tc>
        <w:tc>
          <w:tcPr>
            <w:tcW w:w="210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218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222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454545"/>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shd w:val="clear" w:color="auto" w:fill="454545"/>
          </w:tcPr>
          <w:p>
            <w:pPr>
              <w:spacing w:after="0"/>
              <w:rPr>
                <w:sz w:val="17"/>
                <w:szCs w:val="17"/>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represented by proxy</w:t>
            </w:r>
          </w:p>
        </w:tc>
        <w:tc>
          <w:tcPr>
            <w:tcW w:w="20" w:type="dxa"/>
            <w:vAlign w:val="bottom"/>
            <w:shd w:val="clear" w:color="auto" w:fill="454545"/>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shd w:val="clear" w:color="auto" w:fill="454545"/>
          </w:tcPr>
          <w:p>
            <w:pPr>
              <w:spacing w:after="0"/>
              <w:rPr>
                <w:sz w:val="17"/>
                <w:szCs w:val="17"/>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are not permitted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vMerge w:val="restart"/>
          </w:tcPr>
          <w:p>
            <w:pPr>
              <w:ind w:left="20"/>
              <w:spacing w:after="0"/>
              <w:rPr>
                <w:sz w:val="20"/>
                <w:szCs w:val="20"/>
                <w:color w:val="auto"/>
              </w:rPr>
            </w:pPr>
            <w:r>
              <w:rPr>
                <w:rFonts w:ascii="Arial" w:cs="Arial" w:eastAsia="Arial" w:hAnsi="Arial"/>
                <w:sz w:val="14"/>
                <w:szCs w:val="14"/>
                <w:color w:val="auto"/>
              </w:rPr>
              <w:t>FOR, AGAINST or ABSTAIN</w:t>
            </w:r>
          </w:p>
        </w:tc>
        <w:tc>
          <w:tcPr>
            <w:tcW w:w="20" w:type="dxa"/>
            <w:vAlign w:val="bottom"/>
          </w:tcPr>
          <w:p>
            <w:pPr>
              <w:spacing w:after="0"/>
              <w:rPr>
                <w:sz w:val="18"/>
                <w:szCs w:val="18"/>
                <w:color w:val="auto"/>
              </w:rPr>
            </w:pPr>
          </w:p>
        </w:tc>
        <w:tc>
          <w:tcPr>
            <w:tcW w:w="2180" w:type="dxa"/>
            <w:vAlign w:val="bottom"/>
            <w:vMerge w:val="restart"/>
          </w:tcPr>
          <w:p>
            <w:pPr>
              <w:ind w:left="20"/>
              <w:spacing w:after="0"/>
              <w:rPr>
                <w:sz w:val="20"/>
                <w:szCs w:val="20"/>
                <w:color w:val="auto"/>
              </w:rPr>
            </w:pPr>
            <w:r>
              <w:rPr>
                <w:rFonts w:ascii="Arial" w:cs="Arial" w:eastAsia="Arial" w:hAnsi="Arial"/>
                <w:sz w:val="14"/>
                <w:szCs w:val="14"/>
                <w:color w:val="auto"/>
              </w:rPr>
              <w:t>Majority of the shares present or</w:t>
            </w:r>
          </w:p>
        </w:tc>
        <w:tc>
          <w:tcPr>
            <w:tcW w:w="20" w:type="dxa"/>
            <w:vAlign w:val="bottom"/>
          </w:tcPr>
          <w:p>
            <w:pPr>
              <w:spacing w:after="0"/>
              <w:rPr>
                <w:sz w:val="18"/>
                <w:szCs w:val="18"/>
                <w:color w:val="auto"/>
              </w:rPr>
            </w:pPr>
          </w:p>
        </w:tc>
        <w:tc>
          <w:tcPr>
            <w:tcW w:w="2220" w:type="dxa"/>
            <w:vAlign w:val="bottom"/>
            <w:vMerge w:val="restart"/>
          </w:tcPr>
          <w:p>
            <w:pPr>
              <w:spacing w:after="0"/>
              <w:rPr>
                <w:sz w:val="20"/>
                <w:szCs w:val="20"/>
                <w:color w:val="auto"/>
              </w:rPr>
            </w:pPr>
            <w:r>
              <w:rPr>
                <w:rFonts w:ascii="Arial" w:cs="Arial" w:eastAsia="Arial" w:hAnsi="Arial"/>
                <w:sz w:val="14"/>
                <w:szCs w:val="14"/>
                <w:color w:val="auto"/>
              </w:rPr>
              <w:t>Counts as a vote AGAINST</w:t>
            </w:r>
          </w:p>
        </w:tc>
        <w:tc>
          <w:tcPr>
            <w:tcW w:w="20" w:type="dxa"/>
            <w:vAlign w:val="bottom"/>
          </w:tcPr>
          <w:p>
            <w:pPr>
              <w:spacing w:after="0"/>
              <w:rPr>
                <w:sz w:val="18"/>
                <w:szCs w:val="18"/>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N/A — the organization that</w:t>
            </w:r>
          </w:p>
        </w:tc>
        <w:tc>
          <w:tcPr>
            <w:tcW w:w="0" w:type="dxa"/>
            <w:vAlign w:val="bottom"/>
          </w:tcPr>
          <w:p>
            <w:pPr>
              <w:spacing w:after="0"/>
              <w:rPr>
                <w:sz w:val="1"/>
                <w:szCs w:val="1"/>
                <w:color w:val="auto"/>
              </w:rPr>
            </w:pPr>
          </w:p>
        </w:tc>
      </w:tr>
      <w:tr>
        <w:trPr>
          <w:trHeight w:val="180"/>
        </w:trPr>
        <w:tc>
          <w:tcPr>
            <w:tcW w:w="20" w:type="dxa"/>
            <w:vAlign w:val="bottom"/>
            <w:shd w:val="clear" w:color="auto" w:fill="454545"/>
          </w:tcPr>
          <w:p>
            <w:pPr>
              <w:spacing w:after="0"/>
              <w:rPr>
                <w:sz w:val="15"/>
                <w:szCs w:val="15"/>
                <w:color w:val="auto"/>
              </w:rPr>
            </w:pPr>
          </w:p>
        </w:tc>
        <w:tc>
          <w:tcPr>
            <w:tcW w:w="210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218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222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454545"/>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represented by proxy</w:t>
            </w:r>
          </w:p>
        </w:tc>
        <w:tc>
          <w:tcPr>
            <w:tcW w:w="20" w:type="dxa"/>
            <w:vAlign w:val="bottom"/>
            <w:shd w:val="clear" w:color="auto" w:fill="454545"/>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holds shares of beneficial</w:t>
            </w:r>
          </w:p>
        </w:tc>
        <w:tc>
          <w:tcPr>
            <w:tcW w:w="0" w:type="dxa"/>
            <w:vAlign w:val="bottom"/>
          </w:tcPr>
          <w:p>
            <w:pPr>
              <w:spacing w:after="0"/>
              <w:rPr>
                <w:sz w:val="1"/>
                <w:szCs w:val="1"/>
                <w:color w:val="auto"/>
              </w:rPr>
            </w:pPr>
          </w:p>
        </w:tc>
      </w:tr>
      <w:tr>
        <w:trPr>
          <w:trHeight w:val="162"/>
        </w:trPr>
        <w:tc>
          <w:tcPr>
            <w:tcW w:w="20" w:type="dxa"/>
            <w:vAlign w:val="bottom"/>
            <w:shd w:val="clear" w:color="auto" w:fill="454545"/>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owners may vote in their</w:t>
            </w:r>
          </w:p>
        </w:tc>
        <w:tc>
          <w:tcPr>
            <w:tcW w:w="0" w:type="dxa"/>
            <w:vAlign w:val="bottom"/>
          </w:tcPr>
          <w:p>
            <w:pPr>
              <w:spacing w:after="0"/>
              <w:rPr>
                <w:sz w:val="1"/>
                <w:szCs w:val="1"/>
                <w:color w:val="auto"/>
              </w:rPr>
            </w:pPr>
          </w:p>
        </w:tc>
      </w:tr>
      <w:tr>
        <w:trPr>
          <w:trHeight w:val="198"/>
        </w:trPr>
        <w:tc>
          <w:tcPr>
            <w:tcW w:w="20" w:type="dxa"/>
            <w:vAlign w:val="bottom"/>
            <w:shd w:val="clear" w:color="auto" w:fill="454545"/>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shd w:val="clear" w:color="auto" w:fill="454545"/>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shd w:val="clear" w:color="auto" w:fill="454545"/>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shd w:val="clear" w:color="auto" w:fill="454545"/>
          </w:tcPr>
          <w:p>
            <w:pPr>
              <w:spacing w:after="0"/>
              <w:rPr>
                <w:sz w:val="17"/>
                <w:szCs w:val="17"/>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discretion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vMerge w:val="restart"/>
          </w:tcPr>
          <w:p>
            <w:pPr>
              <w:ind w:left="20"/>
              <w:spacing w:after="0"/>
              <w:rPr>
                <w:sz w:val="20"/>
                <w:szCs w:val="20"/>
                <w:color w:val="auto"/>
              </w:rPr>
            </w:pPr>
            <w:r>
              <w:rPr>
                <w:rFonts w:ascii="Arial" w:cs="Arial" w:eastAsia="Arial" w:hAnsi="Arial"/>
                <w:sz w:val="14"/>
                <w:szCs w:val="14"/>
                <w:color w:val="auto"/>
              </w:rPr>
              <w:t>FOR, AGAINST or ABSTAIN</w:t>
            </w:r>
          </w:p>
        </w:tc>
        <w:tc>
          <w:tcPr>
            <w:tcW w:w="20" w:type="dxa"/>
            <w:vAlign w:val="bottom"/>
          </w:tcPr>
          <w:p>
            <w:pPr>
              <w:spacing w:after="0"/>
              <w:rPr>
                <w:sz w:val="18"/>
                <w:szCs w:val="18"/>
                <w:color w:val="auto"/>
              </w:rPr>
            </w:pPr>
          </w:p>
        </w:tc>
        <w:tc>
          <w:tcPr>
            <w:tcW w:w="2180" w:type="dxa"/>
            <w:vAlign w:val="bottom"/>
            <w:vMerge w:val="restart"/>
          </w:tcPr>
          <w:p>
            <w:pPr>
              <w:ind w:left="20"/>
              <w:spacing w:after="0"/>
              <w:rPr>
                <w:sz w:val="20"/>
                <w:szCs w:val="20"/>
                <w:color w:val="auto"/>
              </w:rPr>
            </w:pPr>
            <w:r>
              <w:rPr>
                <w:rFonts w:ascii="Arial" w:cs="Arial" w:eastAsia="Arial" w:hAnsi="Arial"/>
                <w:sz w:val="14"/>
                <w:szCs w:val="14"/>
                <w:color w:val="auto"/>
              </w:rPr>
              <w:t>Majority of the shares present or</w:t>
            </w:r>
          </w:p>
        </w:tc>
        <w:tc>
          <w:tcPr>
            <w:tcW w:w="20" w:type="dxa"/>
            <w:vAlign w:val="bottom"/>
          </w:tcPr>
          <w:p>
            <w:pPr>
              <w:spacing w:after="0"/>
              <w:rPr>
                <w:sz w:val="18"/>
                <w:szCs w:val="18"/>
                <w:color w:val="auto"/>
              </w:rPr>
            </w:pPr>
          </w:p>
        </w:tc>
        <w:tc>
          <w:tcPr>
            <w:tcW w:w="2220" w:type="dxa"/>
            <w:vAlign w:val="bottom"/>
            <w:vMerge w:val="restart"/>
          </w:tcPr>
          <w:p>
            <w:pPr>
              <w:spacing w:after="0"/>
              <w:rPr>
                <w:sz w:val="20"/>
                <w:szCs w:val="20"/>
                <w:color w:val="auto"/>
              </w:rPr>
            </w:pPr>
            <w:r>
              <w:rPr>
                <w:rFonts w:ascii="Arial" w:cs="Arial" w:eastAsia="Arial" w:hAnsi="Arial"/>
                <w:sz w:val="14"/>
                <w:szCs w:val="14"/>
                <w:color w:val="auto"/>
              </w:rPr>
              <w:t>Counts as a vote AGAINST</w:t>
            </w:r>
          </w:p>
        </w:tc>
        <w:tc>
          <w:tcPr>
            <w:tcW w:w="20" w:type="dxa"/>
            <w:vAlign w:val="bottom"/>
          </w:tcPr>
          <w:p>
            <w:pPr>
              <w:spacing w:after="0"/>
              <w:rPr>
                <w:sz w:val="18"/>
                <w:szCs w:val="18"/>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No effect — broker non-votes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218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2220" w:type="dxa"/>
            <w:vAlign w:val="bottom"/>
            <w:vMerge w:val="continue"/>
          </w:tcPr>
          <w:p>
            <w:pPr>
              <w:spacing w:after="0"/>
              <w:rPr>
                <w:sz w:val="15"/>
                <w:szCs w:val="15"/>
                <w:color w:val="auto"/>
              </w:rPr>
            </w:pPr>
          </w:p>
        </w:tc>
        <w:tc>
          <w:tcPr>
            <w:tcW w:w="20" w:type="dxa"/>
            <w:vAlign w:val="bottom"/>
            <w:shd w:val="clear" w:color="auto" w:fill="454545"/>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represented by proxy</w:t>
            </w:r>
          </w:p>
        </w:tc>
        <w:tc>
          <w:tcPr>
            <w:tcW w:w="20" w:type="dxa"/>
            <w:vAlign w:val="bottom"/>
            <w:shd w:val="clear" w:color="auto" w:fill="454545"/>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are not permitted</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shd w:val="clear" w:color="auto" w:fill="454545"/>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shd w:val="clear" w:color="auto" w:fill="45454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shd w:val="clear" w:color="auto" w:fill="45454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-1345565</wp:posOffset>
            </wp:positionV>
            <wp:extent cx="7132320" cy="13716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-967740</wp:posOffset>
            </wp:positionV>
            <wp:extent cx="7132320" cy="13716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-385445</wp:posOffset>
            </wp:positionV>
            <wp:extent cx="7132320" cy="38608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2460" w:space="160"/>
            <w:col w:w="8620"/>
          </w:cols>
          <w:pgMar w:left="320" w:top="157" w:right="339" w:bottom="1440" w:gutter="0" w:footer="0" w:header="0"/>
          <w:type w:val="continuous"/>
        </w:sectPr>
      </w:pPr>
    </w:p>
    <w:p>
      <w:pPr>
        <w:ind w:left="200" w:hanging="192"/>
        <w:spacing w:after="0"/>
        <w:tabs>
          <w:tab w:leader="none" w:pos="200" w:val="left"/>
        </w:tabs>
        <w:numPr>
          <w:ilvl w:val="0"/>
          <w:numId w:val="298"/>
        </w:numPr>
        <w:rPr>
          <w:rFonts w:ascii="Arial" w:cs="Arial" w:eastAsia="Arial" w:hAnsi="Arial"/>
          <w:sz w:val="15"/>
          <w:szCs w:val="15"/>
          <w:color w:val="auto"/>
          <w:vertAlign w:val="superscript"/>
        </w:rPr>
      </w:pPr>
      <w:r>
        <w:rPr>
          <w:rFonts w:ascii="Arial" w:cs="Arial" w:eastAsia="Arial" w:hAnsi="Arial"/>
          <w:sz w:val="12"/>
          <w:szCs w:val="12"/>
          <w:color w:val="auto"/>
        </w:rPr>
        <w:t>For election of directors, abstentions have no effect because the required vote is determined as follows: votes FOR divided by the sum of votes FOR plus votes AGAINST. For all other proposals</w:t>
      </w:r>
    </w:p>
    <w:p>
      <w:pPr>
        <w:ind w:left="200" w:right="320"/>
        <w:spacing w:after="0" w:line="237" w:lineRule="auto"/>
        <w:rPr>
          <w:sz w:val="20"/>
          <w:szCs w:val="20"/>
          <w:color w:val="auto"/>
        </w:rPr>
      </w:pPr>
      <w:r>
        <w:rPr>
          <w:rFonts w:ascii="Arial" w:cs="Arial" w:eastAsia="Arial" w:hAnsi="Arial"/>
          <w:sz w:val="13"/>
          <w:szCs w:val="13"/>
          <w:color w:val="auto"/>
        </w:rPr>
        <w:t>(management and shareholder), abstentions are counted as a vote AGAINST the proposal because the required vote is determined as follows: votes FOR divided by the sum of votes FOR plus votes AGAINST plus votes ABSTAINING.</w:t>
      </w:r>
    </w:p>
    <w:p>
      <w:pPr>
        <w:ind w:left="200" w:hanging="192"/>
        <w:spacing w:after="0" w:line="209" w:lineRule="auto"/>
        <w:tabs>
          <w:tab w:leader="none" w:pos="200" w:val="left"/>
        </w:tabs>
        <w:numPr>
          <w:ilvl w:val="0"/>
          <w:numId w:val="299"/>
        </w:numPr>
        <w:rPr>
          <w:rFonts w:ascii="Arial" w:cs="Arial" w:eastAsia="Arial" w:hAnsi="Arial"/>
          <w:sz w:val="15"/>
          <w:szCs w:val="15"/>
          <w:color w:val="auto"/>
          <w:vertAlign w:val="superscript"/>
        </w:rPr>
      </w:pPr>
      <w:r>
        <w:rPr>
          <w:rFonts w:ascii="Arial" w:cs="Arial" w:eastAsia="Arial" w:hAnsi="Arial"/>
          <w:sz w:val="12"/>
          <w:szCs w:val="12"/>
          <w:color w:val="auto"/>
        </w:rPr>
        <w:t>For all proposals (management and shareholder) other than ratification of the independent auditor, broker non-votes have no effect because they are not considered shares entitled to vote on the</w:t>
      </w:r>
    </w:p>
    <w:p>
      <w:pPr>
        <w:ind w:left="200"/>
        <w:spacing w:after="0" w:line="237" w:lineRule="auto"/>
        <w:rPr>
          <w:sz w:val="20"/>
          <w:szCs w:val="20"/>
          <w:color w:val="auto"/>
        </w:rPr>
      </w:pPr>
      <w:r>
        <w:rPr>
          <w:rFonts w:ascii="Arial" w:cs="Arial" w:eastAsia="Arial" w:hAnsi="Arial"/>
          <w:sz w:val="13"/>
          <w:szCs w:val="13"/>
          <w:color w:val="auto"/>
        </w:rPr>
        <w:t>proposal.</w:t>
      </w:r>
    </w:p>
    <w:p>
      <w:pPr>
        <w:ind w:left="200" w:right="160" w:hanging="192"/>
        <w:spacing w:after="0" w:line="230" w:lineRule="auto"/>
        <w:tabs>
          <w:tab w:leader="none" w:pos="200" w:val="left"/>
        </w:tabs>
        <w:numPr>
          <w:ilvl w:val="0"/>
          <w:numId w:val="300"/>
        </w:numPr>
        <w:rPr>
          <w:rFonts w:ascii="Arial" w:cs="Arial" w:eastAsia="Arial" w:hAnsi="Arial"/>
          <w:sz w:val="15"/>
          <w:szCs w:val="15"/>
          <w:color w:val="auto"/>
          <w:vertAlign w:val="superscript"/>
        </w:rPr>
      </w:pPr>
      <w:r>
        <w:rPr>
          <w:rFonts w:ascii="Arial" w:cs="Arial" w:eastAsia="Arial" w:hAnsi="Arial"/>
          <w:sz w:val="12"/>
          <w:szCs w:val="12"/>
          <w:color w:val="auto"/>
        </w:rPr>
        <w:t>If, in a non-contested election of directors, an incumbent nominee for director is not re-elected by a majority of votes cast, such nominee must tender their resignation, and the Board of Directors, through a process managed by the Governance Committee, will decide whether to accept the resignation at its next regular meeting. Unless the Board decides to reject the offer or to postpone the</w:t>
      </w:r>
    </w:p>
    <w:p>
      <w:pPr>
        <w:ind w:left="200"/>
        <w:spacing w:after="0" w:line="237" w:lineRule="auto"/>
        <w:rPr>
          <w:sz w:val="20"/>
          <w:szCs w:val="20"/>
          <w:color w:val="auto"/>
        </w:rPr>
      </w:pPr>
      <w:r>
        <w:rPr>
          <w:rFonts w:ascii="Arial" w:cs="Arial" w:eastAsia="Arial" w:hAnsi="Arial"/>
          <w:sz w:val="13"/>
          <w:szCs w:val="13"/>
          <w:color w:val="auto"/>
        </w:rPr>
        <w:t>effective date, the resignation shall become effective 45 days after the date of the election.</w:t>
      </w:r>
    </w:p>
    <w:p>
      <w:pPr>
        <w:ind w:left="200" w:hanging="192"/>
        <w:spacing w:after="0" w:line="202" w:lineRule="auto"/>
        <w:tabs>
          <w:tab w:leader="none" w:pos="200" w:val="left"/>
        </w:tabs>
        <w:numPr>
          <w:ilvl w:val="0"/>
          <w:numId w:val="301"/>
        </w:numPr>
        <w:rPr>
          <w:rFonts w:ascii="Arial" w:cs="Arial" w:eastAsia="Arial" w:hAnsi="Arial"/>
          <w:sz w:val="16"/>
          <w:szCs w:val="16"/>
          <w:color w:val="auto"/>
          <w:vertAlign w:val="superscript"/>
        </w:rPr>
      </w:pPr>
      <w:r>
        <w:rPr>
          <w:rFonts w:ascii="Arial" w:cs="Arial" w:eastAsia="Arial" w:hAnsi="Arial"/>
          <w:sz w:val="13"/>
          <w:szCs w:val="13"/>
          <w:color w:val="auto"/>
        </w:rPr>
        <w:t>The result of the advisory vote on compensation is not binding on the Board, whether or not the resolution is passed under the standard described above.</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type w:val="continuous"/>
        </w:sectPr>
      </w:pPr>
    </w:p>
    <w:bookmarkStart w:id="112" w:name="page113"/>
    <w:bookmarkEnd w:id="11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74A75"/>
        </w:rPr>
        <w:t>Is my vote confidential?</w:t>
      </w:r>
    </w:p>
    <w:p>
      <w:pPr>
        <w:spacing w:after="0" w:line="2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JPMorgan Chase will not disclose the proxy instructions or ballots of individual shareholders except to those recording the vote, or as may be required in accordance with appropriate legal process, or as authorized by the shareholder.</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074A75"/>
        </w:rPr>
        <w:t>Could other matters be decided at the 2022 annual meeting?</w:t>
      </w:r>
    </w:p>
    <w:p>
      <w:pPr>
        <w:spacing w:after="0" w:line="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do not know of any matters that will be considered at the annual meeting other than those described above. If a shareholder proposal that was properly excluded from this proxy statement or is otherwise not properly presented at the meeting is nevertheless brought before the meeting, the Chair will declare such a proposal out of order, and it will be disregarded. If any other matters arise at the annual meeting that are properly presented at the meeting, the proxies will be voted at the discretion of the proxy holders.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074A75"/>
        </w:rPr>
        <w:t>What happens if the meeting is postponed or adjourned?</w:t>
      </w:r>
    </w:p>
    <w:p>
      <w:pPr>
        <w:spacing w:after="0" w:line="20"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Your proxy will still be good and may be voted at the postponed or adjourned meeting. You will still be able to change or revoke your proxy until it is voted.</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74A75"/>
        </w:rPr>
        <w:t>Who counts the votes cast at our annual meeting?</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Representatives of Broadridge Financial Solutions, Inc. will tabulate the votes cast at our annual meeting, and American Election Services, LLC will act as the independent inspector of election.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74A75"/>
        </w:rPr>
        <w:t>Where can I find the voting results of our annual meeting?</w:t>
      </w:r>
    </w:p>
    <w:p>
      <w:pPr>
        <w:spacing w:after="0" w:line="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expect to announce the preliminary voting results at our annual meeting. The final voting results will be reported on a Current Report on Form 8-K that will be filed with the SEC and be available on our website.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074A75"/>
        </w:rPr>
        <w:t>Who is paying the costs of this proxy solicitation?</w:t>
      </w:r>
    </w:p>
    <w:p>
      <w:pPr>
        <w:spacing w:after="0" w:line="2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JPMorgan Chase is paying the costs of the solicitation of proxies. JPMorgan Chase has retained MacKenzie Partners, Inc. to assist in the distribution of proxy materials and the solicitation of proxies from brokerage firms, banks, broker-dealers and other similar organizations representing beneficial owners of shares. We have agreed to pay MacKenzie Partners a fee of approximately $50,000 plus reimbursement of certain out-of-pocket expenses.</w:t>
      </w:r>
    </w:p>
    <w:p>
      <w:pPr>
        <w:spacing w:after="0" w:line="7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JPMorgan Chase must also pay brokerage firms, banks, broker-dealers and other similar organizations representing beneficial owners certain fees associated with:</w:t>
      </w:r>
    </w:p>
    <w:p>
      <w:pPr>
        <w:spacing w:after="0" w:line="63" w:lineRule="exact"/>
        <w:rPr>
          <w:sz w:val="20"/>
          <w:szCs w:val="20"/>
          <w:color w:val="auto"/>
        </w:rPr>
      </w:pPr>
    </w:p>
    <w:p>
      <w:pPr>
        <w:ind w:left="200" w:right="760" w:hanging="196"/>
        <w:spacing w:after="0" w:line="287" w:lineRule="auto"/>
        <w:tabs>
          <w:tab w:leader="none" w:pos="204" w:val="left"/>
        </w:tabs>
        <w:numPr>
          <w:ilvl w:val="0"/>
          <w:numId w:val="302"/>
        </w:numPr>
        <w:rPr>
          <w:rFonts w:ascii="Arial" w:cs="Arial" w:eastAsia="Arial" w:hAnsi="Arial"/>
          <w:sz w:val="18"/>
          <w:szCs w:val="18"/>
          <w:color w:val="074A75"/>
        </w:rPr>
      </w:pPr>
      <w:r>
        <w:rPr>
          <w:rFonts w:ascii="Arial" w:cs="Arial" w:eastAsia="Arial" w:hAnsi="Arial"/>
          <w:sz w:val="18"/>
          <w:szCs w:val="18"/>
          <w:color w:val="auto"/>
        </w:rPr>
        <w:t>Forwarding the Notice of Internet Availability to beneficial owners;</w:t>
      </w:r>
    </w:p>
    <w:p>
      <w:pPr>
        <w:spacing w:after="0" w:line="44" w:lineRule="exact"/>
        <w:rPr>
          <w:rFonts w:ascii="Arial" w:cs="Arial" w:eastAsia="Arial" w:hAnsi="Arial"/>
          <w:sz w:val="18"/>
          <w:szCs w:val="18"/>
          <w:color w:val="074A75"/>
        </w:rPr>
      </w:pPr>
    </w:p>
    <w:p>
      <w:pPr>
        <w:ind w:left="200" w:right="240" w:hanging="196"/>
        <w:spacing w:after="0" w:line="287" w:lineRule="auto"/>
        <w:tabs>
          <w:tab w:leader="none" w:pos="204" w:val="left"/>
        </w:tabs>
        <w:numPr>
          <w:ilvl w:val="0"/>
          <w:numId w:val="302"/>
        </w:numPr>
        <w:rPr>
          <w:rFonts w:ascii="Arial" w:cs="Arial" w:eastAsia="Arial" w:hAnsi="Arial"/>
          <w:sz w:val="18"/>
          <w:szCs w:val="18"/>
          <w:color w:val="074A75"/>
        </w:rPr>
      </w:pPr>
      <w:r>
        <w:rPr>
          <w:rFonts w:ascii="Arial" w:cs="Arial" w:eastAsia="Arial" w:hAnsi="Arial"/>
          <w:sz w:val="18"/>
          <w:szCs w:val="18"/>
          <w:color w:val="auto"/>
        </w:rPr>
        <w:t>Forwarding printed proxy materials by mail to beneficial owners who specifically request them; and</w:t>
      </w:r>
    </w:p>
    <w:p>
      <w:pPr>
        <w:spacing w:after="0" w:line="44" w:lineRule="exact"/>
        <w:rPr>
          <w:rFonts w:ascii="Arial" w:cs="Arial" w:eastAsia="Arial" w:hAnsi="Arial"/>
          <w:sz w:val="18"/>
          <w:szCs w:val="18"/>
          <w:color w:val="074A75"/>
        </w:rPr>
      </w:pPr>
    </w:p>
    <w:p>
      <w:pPr>
        <w:ind w:left="200" w:hanging="196"/>
        <w:spacing w:after="0"/>
        <w:tabs>
          <w:tab w:leader="none" w:pos="200" w:val="left"/>
        </w:tabs>
        <w:numPr>
          <w:ilvl w:val="0"/>
          <w:numId w:val="302"/>
        </w:numPr>
        <w:rPr>
          <w:rFonts w:ascii="Arial" w:cs="Arial" w:eastAsia="Arial" w:hAnsi="Arial"/>
          <w:sz w:val="18"/>
          <w:szCs w:val="18"/>
          <w:color w:val="074A75"/>
        </w:rPr>
      </w:pPr>
      <w:r>
        <w:rPr>
          <w:rFonts w:ascii="Arial" w:cs="Arial" w:eastAsia="Arial" w:hAnsi="Arial"/>
          <w:sz w:val="18"/>
          <w:szCs w:val="18"/>
          <w:color w:val="auto"/>
        </w:rPr>
        <w:t>Obtaining beneficial owners’ voting instructions.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solicitations by mail, the persons who will be serving as the proxies and JPMorgan Chase’s directors, officers and employees may solicit, without additional compensation, proxies on JPMorgan Chase’s behalf in person, by phone or by electronic communication.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74A75"/>
        </w:rPr>
        <w:t>How do I inspect the list of shareholders of record?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 list of shareholders of record as of March 18, 2022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available for inspection during ordinary business hours at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offices at 383 Madison Avenue, New York, NY 10017-0001,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2022, to May 16, 2022. Please contact the Office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by sending an email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corporate.secretary@jpmchase.com if you wish to inspect the list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the annual meeting. To access the list during the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 please visit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www.virtualshareholdermeeting.com/JPM2022.</w:t>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28"/>
          <w:szCs w:val="28"/>
          <w:color w:val="074A75"/>
        </w:rPr>
        <w:t>Information about paper and electronic delivery of proxy materials</w:t>
      </w:r>
    </w:p>
    <w:p>
      <w:pPr>
        <w:sectPr>
          <w:pgSz w:w="11900" w:h="16838" w:orient="portrait"/>
          <w:cols w:equalWidth="0" w:num="1">
            <w:col w:w="11220"/>
          </w:cols>
          <w:pgMar w:left="320" w:top="157" w:right="359" w:bottom="1440" w:gutter="0" w:footer="0" w:header="0"/>
          <w:type w:val="continuous"/>
        </w:sect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JPMorgan Chase uses the SEC rule commonly known as “Notice and Access” that permits companies to furnish proxy materials to our shareholders over the Internet. This process enables us to expedite delivery of materials to our shareholders and reduces the costs to us of printing and mailing paper proxy materials.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the Notice and Access rules, on or about April 4, 2022, we sent those current shareholders of record on March 18, 2022, the Record Date for the annual meeting, a Notice. The Notice contains instructions on how to access our proxy statement and annual report online. If you received a Notice, you will not receive a printed copy of the proxy materials in the mail.</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you received a Notice, and would like to receive copies of our proxy materials in print by mail, or electronically by email, please follow the instructions in the Notice.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Shareholders who do not receive the Notice will receive either by mail a paper, or by email an electronic, copy of our proxy statement and 2021 Annual Report to Shareholders, which will be sent on or about April 4, 2022.</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How can I obtain an additional proxy card?</w:t>
      </w:r>
    </w:p>
    <w:p>
      <w:pPr>
        <w:spacing w:after="0" w:line="20"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Shareholders of record can contact the Office of the Secretary by sending an email to corporate.secretary@jpmchase.com or calling (212) 270-6000.</w:t>
      </w:r>
    </w:p>
    <w:p>
      <w:pPr>
        <w:spacing w:after="0" w:line="7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you hold your shares of common stock in street name, contact your account representative at the bank, brokerage firm, broker-dealer or similar organization through which you hold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660400</wp:posOffset>
            </wp:positionV>
            <wp:extent cx="27432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34" w:lineRule="exact"/>
        <w:rPr>
          <w:sz w:val="20"/>
          <w:szCs w:val="20"/>
          <w:color w:val="auto"/>
        </w:rPr>
      </w:pPr>
    </w:p>
    <w:p>
      <w:pPr>
        <w:sectPr>
          <w:pgSz w:w="11900" w:h="16838" w:orient="portrait"/>
          <w:cols w:equalWidth="0" w:num="2">
            <w:col w:w="5320" w:space="420"/>
            <w:col w:w="5480"/>
          </w:cols>
          <w:pgMar w:left="320" w:top="157" w:right="359" w:bottom="1440" w:gutter="0" w:footer="0" w:header="0"/>
          <w:type w:val="continuous"/>
        </w:sectPr>
      </w:pP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107 </w:t>
      </w:r>
      <w:r>
        <w:rPr>
          <w:sz w:val="1"/>
          <w:szCs w:val="1"/>
          <w:color w:val="auto"/>
        </w:rPr>
        <w:drawing>
          <wp:inline distT="0" distB="0" distL="0" distR="0">
            <wp:extent cx="2203450" cy="154305"/>
            <wp:effectExtent l="0" t="0" r="0" b="0"/>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3" w:name="page114"/>
    <w:bookmarkEnd w:id="11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074A75"/>
        </w:rPr>
        <w:t>How do I sign up for electronic delivery of proxy materials?</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and our 2021 Annual Report to Shareholders are available on our website at: jpmorganchase.com. If you would like to help reduce the environmental impact of our annual meetings and our costs of printing and mailing future materials, you can agree to access these documents in the future over the Internet rather than receiving printed copies in the mail. For your convenience, you may find links to sign up for electronic delivery for both shareholders of record and beneficial owners who hold shares in street name at https://enroll. icsdelivery.com/jpm.</w:t>
      </w:r>
    </w:p>
    <w:p>
      <w:pPr>
        <w:spacing w:after="0" w:line="7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Once you sign up, you will continue to receive proxy materials electronically until you revoke this preference.</w:t>
      </w:r>
    </w:p>
    <w:p>
      <w:pPr>
        <w:spacing w:after="0" w:line="42" w:lineRule="exact"/>
        <w:rPr>
          <w:sz w:val="20"/>
          <w:szCs w:val="20"/>
          <w:color w:val="auto"/>
        </w:rPr>
      </w:pPr>
    </w:p>
    <w:p>
      <w:pPr>
        <w:ind w:right="340"/>
        <w:spacing w:after="0" w:line="259" w:lineRule="auto"/>
        <w:rPr>
          <w:sz w:val="20"/>
          <w:szCs w:val="20"/>
          <w:color w:val="auto"/>
        </w:rPr>
      </w:pPr>
      <w:r>
        <w:rPr>
          <w:rFonts w:ascii="Arial" w:cs="Arial" w:eastAsia="Arial" w:hAnsi="Arial"/>
          <w:sz w:val="19"/>
          <w:szCs w:val="19"/>
          <w:color w:val="074A75"/>
        </w:rPr>
        <w:t>I share an address with another shareholder, and we received only one paper copy of the proxy materials. How can I obtain an additional copy of the proxy materials?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JPMorgan Chase has adopted a procedure called “householding.” Under this procedure, JPMorgan Chase may deliver a single copy of the proxy statement and annual report to multiple shareholders who share the same address, unless we have received contrary instructions from one or more of the shareholders. Each shareholder continues 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receive a separate proxy card. This procedure reduces the environmental impact of our annual meetings and our printing and mailing costs.</w:t>
      </w:r>
    </w:p>
    <w:p>
      <w:pPr>
        <w:spacing w:after="0" w:line="6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If your household received a single set of proxy materials, but you prefer to receive a separate copy of the proxy statement and 2021 Annual Report, you may contact the Secretary via email at corporate.secretary@jpmchase.com, via mail at JPMorgan Chase</w:t>
      </w:r>
    </w:p>
    <w:p>
      <w:pPr>
        <w:spacing w:after="0" w:line="2" w:lineRule="exact"/>
        <w:rPr>
          <w:sz w:val="20"/>
          <w:szCs w:val="20"/>
          <w:color w:val="auto"/>
        </w:rPr>
      </w:pPr>
    </w:p>
    <w:p>
      <w:pPr>
        <w:ind w:right="320" w:firstLine="4"/>
        <w:spacing w:after="0" w:line="258" w:lineRule="auto"/>
        <w:tabs>
          <w:tab w:leader="none" w:pos="17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 Office of the Secretary, 4 New York Plaza, New York, NY 10004-2413, or by phone at 212-270-6000 and these documents will be delivered to you promptly upon receiving the request.</w:t>
      </w:r>
    </w:p>
    <w:p>
      <w:pPr>
        <w:spacing w:after="0" w:line="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Alternatively, if you are receiving more than one copy of the proxy materials at a single address and would like to participate in “householding,” please contact Broadridge Financial Services at 1-866-540-7095. If you are a beneficial owner who holds shares in street name, contact your bank, brokerage firm, broker-dealer or similar organization to request information about householding.</w:t>
      </w:r>
    </w:p>
    <w:p>
      <w:pPr>
        <w:spacing w:after="0" w:line="74"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You may change your householding preferences at any time, by contacting Broadridge Financial Services at 1-866-540-7095 or by sending a written request to Broadridge Financial Services, Inc., Householding Department, 51 Mercedes Way, Edgewood, NY 11717, or by contacting the bank, brokerage firm, broker-dealer or similar organization through which you hold your shares.</w:t>
      </w:r>
    </w:p>
    <w:p>
      <w:pPr>
        <w:spacing w:after="0" w:line="200" w:lineRule="exact"/>
        <w:rPr>
          <w:sz w:val="20"/>
          <w:szCs w:val="20"/>
          <w:color w:val="auto"/>
        </w:rPr>
      </w:pPr>
    </w:p>
    <w:p>
      <w:pPr>
        <w:sectPr>
          <w:pgSz w:w="11900" w:h="16838" w:orient="portrait"/>
          <w:cols w:equalWidth="0" w:num="2">
            <w:col w:w="5380" w:space="360"/>
            <w:col w:w="5480"/>
          </w:cols>
          <w:pgMar w:left="320" w:top="157" w:right="35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29"/>
          <w:szCs w:val="29"/>
          <w:color w:val="074A75"/>
        </w:rPr>
        <w:t>Other</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074A75"/>
        </w:rPr>
        <w:t>How do I obtain more information about JPMorgan Chase?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Principles, Code of Conduct, Code of Ethics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Professionals, Business Principles, the Political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Engagement and Public Policy Statement, ESG Report,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Report, and the By-laws and charters of our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standing committees are posted on our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jpmorganchase.com. These documents will also be made available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any shareholder who requests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 by writing to the Secretary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corporate.secretary@jpmchase.com, or JPMorgan Chase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the Secretary, 4 New York Plaza, 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2413.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Information that the Firm is required to disclose under Disclosure &amp;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Transparency Rule 7.2 (Corporate Governance Statements)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Financial Conduct Authority may be found in this proxy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under the headings “Corporate Governance” and “Audit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report.”</w:t>
      </w: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114" w:name="page115"/>
    <w:bookmarkEnd w:id="11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 AND NOMINATIONS FOR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ind w:right="1160"/>
        <w:spacing w:after="0" w:line="286" w:lineRule="auto"/>
        <w:rPr>
          <w:sz w:val="20"/>
          <w:szCs w:val="20"/>
          <w:color w:val="auto"/>
        </w:rPr>
      </w:pPr>
      <w:r>
        <w:rPr>
          <w:rFonts w:ascii="Arial" w:cs="Arial" w:eastAsia="Arial" w:hAnsi="Arial"/>
          <w:sz w:val="43"/>
          <w:szCs w:val="43"/>
          <w:color w:val="074A75"/>
        </w:rPr>
        <w:t>Shareholder proposals and nominations for the 2023 annual meeting</w:t>
      </w:r>
    </w:p>
    <w:p>
      <w:pPr>
        <w:sectPr>
          <w:pgSz w:w="11900" w:h="16838" w:orient="portrait"/>
          <w:cols w:equalWidth="0" w:num="1">
            <w:col w:w="11220"/>
          </w:cols>
          <w:pgMar w:left="320" w:top="157" w:right="359" w:bottom="1440" w:gutter="0" w:footer="0" w:header="0"/>
        </w:sectPr>
      </w:pPr>
    </w:p>
    <w:p>
      <w:pPr>
        <w:spacing w:after="0" w:line="39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074A75"/>
        </w:rPr>
        <w:t>How do I submit a proposal for inclusion at the 2023 Annual Meeting of Shareholders?</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a shareholder proposal to be included in the proxy materials and be distributed by us in connection with our 2023 Annual Meeting of Shareholders, the proposal must be received by the Secretary of JPMorgan Chase no later than December 5, 2022. Such proposals must comply with all requirements of Rule 14a-8 promulgated by the Securities and Exchange Commission.</w:t>
      </w:r>
    </w:p>
    <w:p>
      <w:pPr>
        <w:spacing w:after="0" w:line="74" w:lineRule="exact"/>
        <w:rPr>
          <w:sz w:val="20"/>
          <w:szCs w:val="20"/>
          <w:color w:val="auto"/>
        </w:rPr>
      </w:pPr>
    </w:p>
    <w:p>
      <w:pPr>
        <w:ind w:right="700"/>
        <w:spacing w:after="0" w:line="250" w:lineRule="auto"/>
        <w:rPr>
          <w:sz w:val="20"/>
          <w:szCs w:val="20"/>
          <w:color w:val="auto"/>
        </w:rPr>
      </w:pPr>
      <w:r>
        <w:rPr>
          <w:rFonts w:ascii="Arial" w:cs="Arial" w:eastAsia="Arial" w:hAnsi="Arial"/>
          <w:sz w:val="20"/>
          <w:szCs w:val="20"/>
          <w:color w:val="074A75"/>
        </w:rPr>
        <w:t>How can I submit nominees for inclusion in the proxy materials for the 2023 Annual Meeting?</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Firm’s By-laws provide for a right of proxy access. This By-law enables shareholders, under specified conditions, to include their nominees for election as directors in the Firm’s proxy statement. Under By-law Section 1.10, a shareholder (or group of up to 20 shareholders) who has continuously owned at least 3% of the Firm’s outstanding shares for at least three consecutive years may nominate up to 20% of the Board (but in any event at least two directors) and have such nominee(s) included in the Firm’s proxy statement, if the shareholder(s) and the nominee(s) satisfy the applicable requirements set forth in the Firm’s By-laws.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shareholder is seeking to have one or more nominees included in the Firm’s 2023 proxy statement, the notice required by the Firm’s By-laws must be received by the Secretary of JPMorgan Chase not later than December 5, 2022, and not earlier than November 5, 2022.</w:t>
      </w:r>
    </w:p>
    <w:p>
      <w:pPr>
        <w:spacing w:after="0" w:line="68" w:lineRule="exact"/>
        <w:rPr>
          <w:sz w:val="20"/>
          <w:szCs w:val="20"/>
          <w:color w:val="auto"/>
        </w:rPr>
      </w:pPr>
    </w:p>
    <w:p>
      <w:pPr>
        <w:ind w:right="580"/>
        <w:spacing w:after="0" w:line="244" w:lineRule="auto"/>
        <w:rPr>
          <w:sz w:val="20"/>
          <w:szCs w:val="20"/>
          <w:color w:val="auto"/>
        </w:rPr>
      </w:pPr>
      <w:r>
        <w:rPr>
          <w:rFonts w:ascii="Arial" w:cs="Arial" w:eastAsia="Arial" w:hAnsi="Arial"/>
          <w:sz w:val="20"/>
          <w:szCs w:val="20"/>
          <w:color w:val="074A75"/>
        </w:rPr>
        <w:t>How can I submit proposals (including nominations for election of director) at our 2023 Annual Meeting of Shareholders, that are not to be included in the proxy materials?</w:t>
      </w:r>
    </w:p>
    <w:p>
      <w:pPr>
        <w:spacing w:after="0" w:line="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Our By-laws govern the submission of nominations for director or other business proposals that a shareholder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wishes to have considered at a meeting of shareholders, but that are not included in JPMorgan Chase’s proxy statement for that meeting.</w:t>
      </w:r>
    </w:p>
    <w:p>
      <w:pPr>
        <w:spacing w:after="0" w:line="6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Under our By-laws, nominations for director or other business proposals to be addressed at our next annual meeting may be made by a shareholder who is entitled to vote and complies with other applicable requirements set forth in the Firm's By-laws. The notice must contain the information required by the Firm's By-laws and must be received by the Secretary of JPMorgan Chase not later than the close of business on February 16, 2023, and not earlier than January 17, 2023.</w:t>
      </w:r>
    </w:p>
    <w:p>
      <w:pPr>
        <w:spacing w:after="0" w:line="77"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These advance notice provisions are in addition to, and separate from, the requirements that a shareholder must meet in order to have a nominee or proposal included in the proxy statement.</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 proxy granted by a shareholder will give discretionary authority to the proxies to vote on any matters introduced pursuant to the advance-notice By-law provisions described above, subject to applicable rules of the SEC.</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074A75"/>
        </w:rPr>
        <w:t>How can I obtain a copy of JPMorgan Chase’s By-laws?</w:t>
      </w:r>
    </w:p>
    <w:p>
      <w:pPr>
        <w:spacing w:after="0" w:line="2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Copies of our By-laws are available on our website at: jpmorganchase.com/about/governance or may be obtained from the Secretary.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074A75"/>
        </w:rPr>
        <w:t>Where should a shareholder send his or her proposals?</w:t>
      </w:r>
    </w:p>
    <w:p>
      <w:pPr>
        <w:spacing w:after="0" w:line="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Shareholder proposals (including nominees for director pursuant to the Firm’s proxy access By-laws) should be emailed to the Office of the Secretary at corporate.secretary@jpmchase.com; a copy may be mailed to the Secretary at JPMorgan Chase &amp; Co., Office of the Secretary, 4 New York Plaza, New York, NY 10004-2413.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John H. Tribolati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477520</wp:posOffset>
            </wp:positionV>
            <wp:extent cx="27432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16" w:lineRule="exact"/>
        <w:rPr>
          <w:sz w:val="20"/>
          <w:szCs w:val="20"/>
          <w:color w:val="auto"/>
        </w:rPr>
      </w:pPr>
    </w:p>
    <w:p>
      <w:pPr>
        <w:sectPr>
          <w:pgSz w:w="11900" w:h="16838" w:orient="portrait"/>
          <w:cols w:equalWidth="0" w:num="2">
            <w:col w:w="5320" w:space="420"/>
            <w:col w:w="5480"/>
          </w:cols>
          <w:pgMar w:left="320" w:top="157" w:right="35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109 </w:t>
      </w:r>
      <w:r>
        <w:rPr>
          <w:sz w:val="1"/>
          <w:szCs w:val="1"/>
          <w:color w:val="auto"/>
        </w:rPr>
        <w:drawing>
          <wp:inline distT="0" distB="0" distL="0" distR="0">
            <wp:extent cx="2203450" cy="154305"/>
            <wp:effectExtent l="0" t="0" r="0" b="0"/>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type w:val="continuous"/>
        </w:sectPr>
      </w:pPr>
    </w:p>
    <w:bookmarkStart w:id="115" w:name="page116"/>
    <w:bookmarkEnd w:id="11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074A75"/>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43"/>
          <w:szCs w:val="43"/>
          <w:color w:val="074A75"/>
        </w:rPr>
        <w:t>Notes on non-GAAP financial measures</w:t>
      </w:r>
    </w:p>
    <w:p>
      <w:pPr>
        <w:spacing w:after="0" w:line="136" w:lineRule="exact"/>
        <w:rPr>
          <w:sz w:val="20"/>
          <w:szCs w:val="20"/>
          <w:color w:val="auto"/>
        </w:rPr>
      </w:pPr>
    </w:p>
    <w:p>
      <w:pPr>
        <w:ind w:left="340" w:right="260" w:hanging="332"/>
        <w:spacing w:after="0" w:line="272" w:lineRule="auto"/>
        <w:tabs>
          <w:tab w:leader="none" w:pos="34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TCE, ROTCE and TBVPS are each non-GAAP financial measures. TCE represents the Firm’s common stockholders’ equity (i.e., total stockholders’ equity less preferred stock) less goodwill and identifiable intangible assets (other than mortgage servicing rights), net of related deferred tax liabilities. ROTCE measures the Firm’s net income applicable to common equity as a percentage of average TCE.</w:t>
      </w:r>
    </w:p>
    <w:p>
      <w:pPr>
        <w:spacing w:after="0" w:line="1" w:lineRule="exact"/>
        <w:rPr>
          <w:rFonts w:ascii="Arial" w:cs="Arial" w:eastAsia="Arial" w:hAnsi="Arial"/>
          <w:sz w:val="17"/>
          <w:szCs w:val="17"/>
          <w:color w:val="auto"/>
        </w:rPr>
      </w:pPr>
    </w:p>
    <w:p>
      <w:pPr>
        <w:ind w:left="340" w:right="120"/>
        <w:spacing w:after="0" w:line="258" w:lineRule="auto"/>
        <w:rPr>
          <w:rFonts w:ascii="Arial" w:cs="Arial" w:eastAsia="Arial" w:hAnsi="Arial"/>
          <w:sz w:val="17"/>
          <w:szCs w:val="17"/>
          <w:color w:val="auto"/>
        </w:rPr>
      </w:pPr>
      <w:r>
        <w:rPr>
          <w:rFonts w:ascii="Arial" w:cs="Arial" w:eastAsia="Arial" w:hAnsi="Arial"/>
          <w:sz w:val="18"/>
          <w:szCs w:val="18"/>
          <w:color w:val="auto"/>
        </w:rPr>
        <w:t>TBVPS represents the Firm’s TCE at period-end divided by common shares at period-end. TCE, ROTCE and TBVPS are utilized by the Firm, as well as investors and analysts, in assessing the Firm’s use of equity. The following tables provide reconciliations and calculations of these measures for the periods presented.</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074A75"/>
        </w:rPr>
        <w:t>Non-GAAP reconciliations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left="437"/>
              <w:spacing w:after="0"/>
              <w:rPr>
                <w:sz w:val="20"/>
                <w:szCs w:val="20"/>
                <w:color w:val="auto"/>
              </w:rPr>
            </w:pPr>
            <w:r>
              <w:rPr>
                <w:rFonts w:ascii="Arial" w:cs="Arial" w:eastAsia="Arial" w:hAnsi="Arial"/>
                <w:sz w:val="13"/>
                <w:szCs w:val="13"/>
                <w:color w:val="auto"/>
                <w:w w:val="94"/>
              </w:rPr>
              <w:t>Average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center"/>
              <w:ind w:right="117"/>
              <w:spacing w:after="0"/>
              <w:rPr>
                <w:sz w:val="20"/>
                <w:szCs w:val="20"/>
                <w:color w:val="auto"/>
              </w:rPr>
            </w:pPr>
            <w:r>
              <w:rPr>
                <w:rFonts w:ascii="Arial" w:cs="Arial" w:eastAsia="Arial" w:hAnsi="Arial"/>
                <w:sz w:val="13"/>
                <w:szCs w:val="13"/>
                <w:color w:val="auto"/>
                <w:w w:val="95"/>
              </w:rPr>
              <w:t>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80" w:type="dxa"/>
            <w:vAlign w:val="bottom"/>
            <w:vMerge w:val="restart"/>
          </w:tcPr>
          <w:p>
            <w:pPr>
              <w:ind w:left="20"/>
              <w:spacing w:after="0"/>
              <w:rPr>
                <w:sz w:val="20"/>
                <w:szCs w:val="20"/>
                <w:color w:val="auto"/>
              </w:rPr>
            </w:pPr>
            <w:r>
              <w:rPr>
                <w:rFonts w:ascii="Arial" w:cs="Arial" w:eastAsia="Arial" w:hAnsi="Arial"/>
                <w:sz w:val="13"/>
                <w:szCs w:val="13"/>
                <w:color w:val="auto"/>
              </w:rPr>
              <w:t>(in millions, except ratio</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5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80" w:type="dxa"/>
            <w:vAlign w:val="bottom"/>
          </w:tcPr>
          <w:p>
            <w:pPr>
              <w:ind w:left="20"/>
              <w:spacing w:after="0"/>
              <w:rPr>
                <w:sz w:val="20"/>
                <w:szCs w:val="20"/>
                <w:color w:val="auto"/>
              </w:rPr>
            </w:pPr>
            <w:r>
              <w:rPr>
                <w:rFonts w:ascii="Arial" w:cs="Arial" w:eastAsia="Arial" w:hAnsi="Arial"/>
                <w:sz w:val="13"/>
                <w:szCs w:val="13"/>
                <w:color w:val="auto"/>
              </w:rPr>
              <w:t>data)</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2012</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2013</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2014</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2015</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2016</w:t>
            </w:r>
          </w:p>
        </w:tc>
        <w:tc>
          <w:tcPr>
            <w:tcW w:w="300" w:type="dxa"/>
            <w:vAlign w:val="bottom"/>
          </w:tcPr>
          <w:p>
            <w:pPr>
              <w:spacing w:after="0"/>
              <w:rPr>
                <w:sz w:val="14"/>
                <w:szCs w:val="14"/>
                <w:color w:val="auto"/>
              </w:rPr>
            </w:pPr>
          </w:p>
        </w:tc>
        <w:tc>
          <w:tcPr>
            <w:tcW w:w="680" w:type="dxa"/>
            <w:vAlign w:val="bottom"/>
          </w:tcPr>
          <w:p>
            <w:pPr>
              <w:jc w:val="right"/>
              <w:ind w:right="297"/>
              <w:spacing w:after="0"/>
              <w:rPr>
                <w:sz w:val="20"/>
                <w:szCs w:val="20"/>
                <w:color w:val="auto"/>
              </w:rPr>
            </w:pPr>
            <w:r>
              <w:rPr>
                <w:rFonts w:ascii="Arial" w:cs="Arial" w:eastAsia="Arial" w:hAnsi="Arial"/>
                <w:sz w:val="13"/>
                <w:szCs w:val="13"/>
                <w:color w:val="auto"/>
              </w:rPr>
              <w:t>2017</w:t>
            </w:r>
          </w:p>
        </w:tc>
        <w:tc>
          <w:tcPr>
            <w:tcW w:w="20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2018</w:t>
            </w:r>
          </w:p>
        </w:tc>
        <w:tc>
          <w:tcPr>
            <w:tcW w:w="22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2019</w:t>
            </w:r>
          </w:p>
        </w:tc>
        <w:tc>
          <w:tcPr>
            <w:tcW w:w="220" w:type="dxa"/>
            <w:vAlign w:val="bottom"/>
          </w:tcPr>
          <w:p>
            <w:pPr>
              <w:spacing w:after="0"/>
              <w:rPr>
                <w:sz w:val="14"/>
                <w:szCs w:val="14"/>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2020</w:t>
            </w:r>
          </w:p>
        </w:tc>
        <w:tc>
          <w:tcPr>
            <w:tcW w:w="18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2"/>
        </w:trPr>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Common stockholders’</w:t>
            </w: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equity</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184,352</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196,409</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207,400</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215,690</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224,631</w:t>
            </w:r>
          </w:p>
        </w:tc>
        <w:tc>
          <w:tcPr>
            <w:tcW w:w="30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w w:val="97"/>
              </w:rPr>
              <w:t>230,350</w:t>
            </w: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229,222</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232,907</w:t>
            </w:r>
          </w:p>
        </w:tc>
        <w:tc>
          <w:tcPr>
            <w:tcW w:w="22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236,865</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7E7E8"/>
            </w:tcBorders>
            <w:shd w:val="clear" w:color="auto" w:fill="E7E7E8"/>
          </w:tcPr>
          <w:p>
            <w:pPr>
              <w:jc w:val="right"/>
              <w:ind w:right="177"/>
              <w:spacing w:after="0"/>
              <w:rPr>
                <w:sz w:val="20"/>
                <w:szCs w:val="20"/>
                <w:color w:val="auto"/>
              </w:rPr>
            </w:pPr>
            <w:r>
              <w:rPr>
                <w:rFonts w:ascii="Arial" w:cs="Arial" w:eastAsia="Arial" w:hAnsi="Arial"/>
                <w:sz w:val="13"/>
                <w:szCs w:val="13"/>
                <w:b w:val="1"/>
                <w:bCs w:val="1"/>
                <w:color w:val="auto"/>
              </w:rPr>
              <w:t>250,968</w:t>
            </w:r>
          </w:p>
        </w:tc>
        <w:tc>
          <w:tcPr>
            <w:tcW w:w="0" w:type="dxa"/>
            <w:vAlign w:val="bottom"/>
          </w:tcPr>
          <w:p>
            <w:pPr>
              <w:spacing w:after="0"/>
              <w:rPr>
                <w:sz w:val="1"/>
                <w:szCs w:val="1"/>
                <w:color w:val="auto"/>
              </w:rPr>
            </w:pPr>
          </w:p>
        </w:tc>
      </w:tr>
      <w:tr>
        <w:trPr>
          <w:trHeight w:val="181"/>
        </w:trPr>
        <w:tc>
          <w:tcPr>
            <w:tcW w:w="158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48,176</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48,102</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48,029</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47,445</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47,310</w:t>
            </w:r>
          </w:p>
        </w:tc>
        <w:tc>
          <w:tcPr>
            <w:tcW w:w="300" w:type="dxa"/>
            <w:vAlign w:val="bottom"/>
          </w:tcPr>
          <w:p>
            <w:pPr>
              <w:spacing w:after="0"/>
              <w:rPr>
                <w:sz w:val="15"/>
                <w:szCs w:val="15"/>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47,317</w:t>
            </w:r>
          </w:p>
        </w:tc>
        <w:tc>
          <w:tcPr>
            <w:tcW w:w="200" w:type="dxa"/>
            <w:vAlign w:val="bottom"/>
          </w:tcPr>
          <w:p>
            <w:pPr>
              <w:spacing w:after="0"/>
              <w:rPr>
                <w:sz w:val="15"/>
                <w:szCs w:val="15"/>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47,491</w:t>
            </w:r>
          </w:p>
        </w:tc>
        <w:tc>
          <w:tcPr>
            <w:tcW w:w="220" w:type="dxa"/>
            <w:vAlign w:val="bottom"/>
          </w:tcPr>
          <w:p>
            <w:pPr>
              <w:spacing w:after="0"/>
              <w:rPr>
                <w:sz w:val="15"/>
                <w:szCs w:val="15"/>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47,620</w:t>
            </w:r>
          </w:p>
        </w:tc>
        <w:tc>
          <w:tcPr>
            <w:tcW w:w="220" w:type="dxa"/>
            <w:vAlign w:val="bottom"/>
          </w:tcPr>
          <w:p>
            <w:pPr>
              <w:spacing w:after="0"/>
              <w:rPr>
                <w:sz w:val="15"/>
                <w:szCs w:val="15"/>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47,820</w:t>
            </w:r>
          </w:p>
        </w:tc>
        <w:tc>
          <w:tcPr>
            <w:tcW w:w="180" w:type="dxa"/>
            <w:vAlign w:val="bottom"/>
          </w:tcPr>
          <w:p>
            <w:pPr>
              <w:spacing w:after="0"/>
              <w:rPr>
                <w:sz w:val="15"/>
                <w:szCs w:val="15"/>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49,584</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Less: Other intangible</w:t>
            </w: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assets</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2,833</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1,950</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1,378</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1,092</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922</w:t>
            </w:r>
          </w:p>
        </w:tc>
        <w:tc>
          <w:tcPr>
            <w:tcW w:w="300" w:type="dxa"/>
            <w:vAlign w:val="bottom"/>
            <w:tcBorders>
              <w:bottom w:val="single" w:sz="8" w:color="E7E7E8"/>
            </w:tcBorders>
            <w:shd w:val="clear" w:color="auto" w:fill="E7E7E8"/>
          </w:tcPr>
          <w:p>
            <w:pPr>
              <w:spacing w:after="0"/>
              <w:rPr>
                <w:sz w:val="15"/>
                <w:szCs w:val="15"/>
                <w:color w:val="auto"/>
              </w:rPr>
            </w:pP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832</w:t>
            </w:r>
          </w:p>
        </w:tc>
        <w:tc>
          <w:tcPr>
            <w:tcW w:w="200" w:type="dxa"/>
            <w:vAlign w:val="bottom"/>
            <w:tcBorders>
              <w:bottom w:val="single" w:sz="8" w:color="E7E7E8"/>
            </w:tcBorders>
            <w:shd w:val="clear" w:color="auto" w:fill="E7E7E8"/>
          </w:tcPr>
          <w:p>
            <w:pPr>
              <w:spacing w:after="0"/>
              <w:rPr>
                <w:sz w:val="15"/>
                <w:szCs w:val="15"/>
                <w:color w:val="auto"/>
              </w:rPr>
            </w:pP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807</w:t>
            </w:r>
          </w:p>
        </w:tc>
        <w:tc>
          <w:tcPr>
            <w:tcW w:w="220" w:type="dxa"/>
            <w:vAlign w:val="bottom"/>
            <w:tcBorders>
              <w:bottom w:val="single" w:sz="8" w:color="E7E7E8"/>
            </w:tcBorders>
            <w:shd w:val="clear" w:color="auto" w:fill="E7E7E8"/>
          </w:tcPr>
          <w:p>
            <w:pPr>
              <w:spacing w:after="0"/>
              <w:rPr>
                <w:sz w:val="15"/>
                <w:szCs w:val="15"/>
                <w:color w:val="auto"/>
              </w:rPr>
            </w:pP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789</w:t>
            </w:r>
          </w:p>
        </w:tc>
        <w:tc>
          <w:tcPr>
            <w:tcW w:w="220" w:type="dxa"/>
            <w:vAlign w:val="bottom"/>
            <w:tcBorders>
              <w:bottom w:val="single" w:sz="8" w:color="E7E7E8"/>
            </w:tcBorders>
            <w:shd w:val="clear" w:color="auto" w:fill="E7E7E8"/>
          </w:tcPr>
          <w:p>
            <w:pPr>
              <w:spacing w:after="0"/>
              <w:rPr>
                <w:sz w:val="15"/>
                <w:szCs w:val="15"/>
                <w:color w:val="auto"/>
              </w:rPr>
            </w:pP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781</w:t>
            </w:r>
          </w:p>
        </w:tc>
        <w:tc>
          <w:tcPr>
            <w:tcW w:w="180" w:type="dxa"/>
            <w:vAlign w:val="bottom"/>
            <w:tcBorders>
              <w:bottom w:val="single" w:sz="8" w:color="E7E7E8"/>
            </w:tcBorders>
            <w:shd w:val="clear" w:color="auto" w:fill="E7E7E8"/>
          </w:tcPr>
          <w:p>
            <w:pPr>
              <w:spacing w:after="0"/>
              <w:rPr>
                <w:sz w:val="15"/>
                <w:szCs w:val="15"/>
                <w:color w:val="auto"/>
              </w:rPr>
            </w:pPr>
          </w:p>
        </w:tc>
        <w:tc>
          <w:tcPr>
            <w:tcW w:w="7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b w:val="1"/>
                <w:bCs w:val="1"/>
                <w:color w:val="auto"/>
              </w:rPr>
              <w:t>876</w:t>
            </w:r>
          </w:p>
        </w:tc>
        <w:tc>
          <w:tcPr>
            <w:tcW w:w="0" w:type="dxa"/>
            <w:vAlign w:val="bottom"/>
          </w:tcPr>
          <w:p>
            <w:pPr>
              <w:spacing w:after="0"/>
              <w:rPr>
                <w:sz w:val="1"/>
                <w:szCs w:val="1"/>
                <w:color w:val="auto"/>
              </w:rPr>
            </w:pPr>
          </w:p>
        </w:tc>
      </w:tr>
      <w:tr>
        <w:trPr>
          <w:trHeight w:val="174"/>
        </w:trPr>
        <w:tc>
          <w:tcPr>
            <w:tcW w:w="1580" w:type="dxa"/>
            <w:vAlign w:val="bottom"/>
          </w:tcPr>
          <w:p>
            <w:pPr>
              <w:ind w:left="20"/>
              <w:spacing w:after="0"/>
              <w:rPr>
                <w:sz w:val="20"/>
                <w:szCs w:val="20"/>
                <w:color w:val="auto"/>
              </w:rPr>
            </w:pPr>
            <w:r>
              <w:rPr>
                <w:rFonts w:ascii="Arial" w:cs="Arial" w:eastAsia="Arial" w:hAnsi="Arial"/>
                <w:sz w:val="13"/>
                <w:szCs w:val="13"/>
                <w:color w:val="auto"/>
              </w:rPr>
              <w:t>Add: Certain deferred tax</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liabilities</w:t>
            </w:r>
            <w:r>
              <w:rPr>
                <w:rFonts w:ascii="Arial" w:cs="Arial" w:eastAsia="Arial" w:hAnsi="Arial"/>
                <w:sz w:val="16"/>
                <w:szCs w:val="16"/>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2,754</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2,885</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2,950</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2,964</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3,212</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3,116</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2,231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2,328</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2,399</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2,474</w:t>
            </w:r>
          </w:p>
        </w:tc>
        <w:tc>
          <w:tcPr>
            <w:tcW w:w="0" w:type="dxa"/>
            <w:vAlign w:val="bottom"/>
          </w:tcPr>
          <w:p>
            <w:pPr>
              <w:spacing w:after="0"/>
              <w:rPr>
                <w:sz w:val="1"/>
                <w:szCs w:val="1"/>
                <w:color w:val="auto"/>
              </w:rPr>
            </w:pPr>
          </w:p>
        </w:tc>
      </w:tr>
      <w:tr>
        <w:trPr>
          <w:trHeight w:val="201"/>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136,097</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149,242</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160,943</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170,117</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179,611</w:t>
            </w:r>
          </w:p>
        </w:tc>
        <w:tc>
          <w:tcPr>
            <w:tcW w:w="30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w w:val="97"/>
              </w:rPr>
              <w:t>185,317</w:t>
            </w: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183,155</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186,826</w:t>
            </w:r>
          </w:p>
        </w:tc>
        <w:tc>
          <w:tcPr>
            <w:tcW w:w="22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190,663</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b w:val="1"/>
                <w:bCs w:val="1"/>
                <w:color w:val="auto"/>
              </w:rPr>
              <w:t>202,982</w:t>
            </w:r>
          </w:p>
        </w:tc>
        <w:tc>
          <w:tcPr>
            <w:tcW w:w="0" w:type="dxa"/>
            <w:vAlign w:val="bottom"/>
          </w:tcPr>
          <w:p>
            <w:pPr>
              <w:spacing w:after="0"/>
              <w:rPr>
                <w:sz w:val="1"/>
                <w:szCs w:val="1"/>
                <w:color w:val="auto"/>
              </w:rPr>
            </w:pPr>
          </w:p>
        </w:tc>
      </w:tr>
      <w:tr>
        <w:trPr>
          <w:trHeight w:val="151"/>
        </w:trPr>
        <w:tc>
          <w:tcPr>
            <w:tcW w:w="15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Net income applicable to</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580" w:type="dxa"/>
            <w:vAlign w:val="bottom"/>
          </w:tcPr>
          <w:p>
            <w:pPr>
              <w:ind w:left="20"/>
              <w:spacing w:after="0"/>
              <w:rPr>
                <w:sz w:val="20"/>
                <w:szCs w:val="20"/>
                <w:color w:val="auto"/>
              </w:rPr>
            </w:pPr>
            <w:r>
              <w:rPr>
                <w:rFonts w:ascii="Arial" w:cs="Arial" w:eastAsia="Arial" w:hAnsi="Arial"/>
                <w:sz w:val="13"/>
                <w:szCs w:val="13"/>
                <w:color w:val="auto"/>
              </w:rPr>
              <w:t>common equity</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20,606</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17,081</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20,620</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22,927</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23,086</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22,778</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30,923</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34,844</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27,548</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46,734</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w w:val="95"/>
              </w:rPr>
              <w:t>Return on common equity</w:t>
            </w:r>
            <w:r>
              <w:rPr>
                <w:rFonts w:ascii="Arial" w:cs="Arial" w:eastAsia="Arial" w:hAnsi="Arial"/>
                <w:sz w:val="16"/>
                <w:szCs w:val="16"/>
                <w:color w:val="auto"/>
                <w:w w:val="95"/>
                <w:vertAlign w:val="superscript"/>
              </w:rPr>
              <w:t>(b)</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11 %</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9 %</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10 %</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11 %</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10 %</w:t>
            </w:r>
          </w:p>
        </w:tc>
        <w:tc>
          <w:tcPr>
            <w:tcW w:w="300" w:type="dxa"/>
            <w:vAlign w:val="bottom"/>
            <w:shd w:val="clear" w:color="auto" w:fill="E7E7E8"/>
          </w:tcPr>
          <w:p>
            <w:pPr>
              <w:spacing w:after="0"/>
              <w:rPr>
                <w:sz w:val="21"/>
                <w:szCs w:val="21"/>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10 %</w:t>
            </w:r>
          </w:p>
        </w:tc>
        <w:tc>
          <w:tcPr>
            <w:tcW w:w="200" w:type="dxa"/>
            <w:vAlign w:val="bottom"/>
            <w:shd w:val="clear" w:color="auto" w:fill="E7E7E8"/>
          </w:tcPr>
          <w:p>
            <w:pPr>
              <w:spacing w:after="0"/>
              <w:rPr>
                <w:sz w:val="21"/>
                <w:szCs w:val="21"/>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13 %</w:t>
            </w:r>
          </w:p>
        </w:tc>
        <w:tc>
          <w:tcPr>
            <w:tcW w:w="220" w:type="dxa"/>
            <w:vAlign w:val="bottom"/>
            <w:shd w:val="clear" w:color="auto" w:fill="E7E7E8"/>
          </w:tcPr>
          <w:p>
            <w:pPr>
              <w:spacing w:after="0"/>
              <w:rPr>
                <w:sz w:val="21"/>
                <w:szCs w:val="21"/>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15 %</w:t>
            </w:r>
          </w:p>
        </w:tc>
        <w:tc>
          <w:tcPr>
            <w:tcW w:w="220" w:type="dxa"/>
            <w:vAlign w:val="bottom"/>
            <w:shd w:val="clear" w:color="auto" w:fill="E7E7E8"/>
          </w:tcPr>
          <w:p>
            <w:pPr>
              <w:spacing w:after="0"/>
              <w:rPr>
                <w:sz w:val="21"/>
                <w:szCs w:val="21"/>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12 %</w:t>
            </w:r>
          </w:p>
        </w:tc>
        <w:tc>
          <w:tcPr>
            <w:tcW w:w="180" w:type="dxa"/>
            <w:vAlign w:val="bottom"/>
            <w:shd w:val="clear" w:color="auto" w:fill="E7E7E8"/>
          </w:tcPr>
          <w:p>
            <w:pPr>
              <w:spacing w:after="0"/>
              <w:rPr>
                <w:sz w:val="21"/>
                <w:szCs w:val="21"/>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3"/>
                <w:szCs w:val="13"/>
                <w:b w:val="1"/>
                <w:bCs w:val="1"/>
                <w:color w:val="auto"/>
              </w:rPr>
              <w:t xml:space="preserve">19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1580" w:type="dxa"/>
            <w:vAlign w:val="bottom"/>
          </w:tcPr>
          <w:p>
            <w:pPr>
              <w:ind w:left="20"/>
              <w:spacing w:after="0"/>
              <w:rPr>
                <w:sz w:val="20"/>
                <w:szCs w:val="20"/>
                <w:color w:val="auto"/>
              </w:rPr>
            </w:pPr>
            <w:r>
              <w:rPr>
                <w:rFonts w:ascii="Arial" w:cs="Arial" w:eastAsia="Arial" w:hAnsi="Arial"/>
                <w:sz w:val="13"/>
                <w:szCs w:val="13"/>
                <w:color w:val="auto"/>
              </w:rPr>
              <w:t>Return on tangible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580" w:type="dxa"/>
            <w:vAlign w:val="bottom"/>
          </w:tcPr>
          <w:p>
            <w:pPr>
              <w:ind w:left="20"/>
              <w:spacing w:after="0"/>
              <w:rPr>
                <w:sz w:val="20"/>
                <w:szCs w:val="20"/>
                <w:color w:val="auto"/>
              </w:rPr>
            </w:pPr>
            <w:r>
              <w:rPr>
                <w:rFonts w:ascii="Arial" w:cs="Arial" w:eastAsia="Arial" w:hAnsi="Arial"/>
                <w:sz w:val="13"/>
                <w:szCs w:val="13"/>
                <w:color w:val="auto"/>
              </w:rPr>
              <w:t>common equity</w:t>
            </w:r>
            <w:r>
              <w:rPr>
                <w:rFonts w:ascii="Arial" w:cs="Arial" w:eastAsia="Arial" w:hAnsi="Arial"/>
                <w:sz w:val="16"/>
                <w:szCs w:val="16"/>
                <w:color w:val="auto"/>
                <w:vertAlign w:val="superscript"/>
              </w:rPr>
              <w:t>(c)</w:t>
            </w:r>
          </w:p>
        </w:tc>
        <w:tc>
          <w:tcPr>
            <w:tcW w:w="220" w:type="dxa"/>
            <w:vAlign w:val="bottom"/>
          </w:tcPr>
          <w:p>
            <w:pPr>
              <w:spacing w:after="0"/>
              <w:rPr>
                <w:sz w:val="19"/>
                <w:szCs w:val="19"/>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9"/>
                <w:szCs w:val="19"/>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9"/>
                <w:szCs w:val="19"/>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9"/>
                <w:szCs w:val="19"/>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9"/>
                <w:szCs w:val="19"/>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13</w:t>
            </w:r>
          </w:p>
        </w:tc>
        <w:tc>
          <w:tcPr>
            <w:tcW w:w="300" w:type="dxa"/>
            <w:vAlign w:val="bottom"/>
          </w:tcPr>
          <w:p>
            <w:pPr>
              <w:spacing w:after="0"/>
              <w:rPr>
                <w:sz w:val="19"/>
                <w:szCs w:val="19"/>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9"/>
                <w:szCs w:val="19"/>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17</w:t>
            </w:r>
          </w:p>
        </w:tc>
        <w:tc>
          <w:tcPr>
            <w:tcW w:w="220" w:type="dxa"/>
            <w:vAlign w:val="bottom"/>
          </w:tcPr>
          <w:p>
            <w:pPr>
              <w:spacing w:after="0"/>
              <w:rPr>
                <w:sz w:val="19"/>
                <w:szCs w:val="19"/>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19</w:t>
            </w:r>
          </w:p>
        </w:tc>
        <w:tc>
          <w:tcPr>
            <w:tcW w:w="220" w:type="dxa"/>
            <w:vAlign w:val="bottom"/>
          </w:tcPr>
          <w:p>
            <w:pPr>
              <w:spacing w:after="0"/>
              <w:rPr>
                <w:sz w:val="19"/>
                <w:szCs w:val="19"/>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9"/>
                <w:szCs w:val="19"/>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23</w:t>
            </w:r>
          </w:p>
        </w:tc>
        <w:tc>
          <w:tcPr>
            <w:tcW w:w="0" w:type="dxa"/>
            <w:vAlign w:val="bottom"/>
          </w:tcPr>
          <w:p>
            <w:pPr>
              <w:spacing w:after="0"/>
              <w:rPr>
                <w:sz w:val="1"/>
                <w:szCs w:val="1"/>
                <w:color w:val="auto"/>
              </w:rPr>
            </w:pPr>
          </w:p>
        </w:tc>
      </w:tr>
      <w:tr>
        <w:trPr>
          <w:trHeight w:val="443"/>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right="117"/>
              <w:spacing w:after="0"/>
              <w:rPr>
                <w:sz w:val="20"/>
                <w:szCs w:val="20"/>
                <w:color w:val="auto"/>
              </w:rPr>
            </w:pPr>
            <w:r>
              <w:rPr>
                <w:rFonts w:ascii="Arial" w:cs="Arial" w:eastAsia="Arial" w:hAnsi="Arial"/>
                <w:sz w:val="13"/>
                <w:szCs w:val="13"/>
                <w:color w:val="auto"/>
                <w:w w:val="97"/>
              </w:rPr>
              <w:t>Period-end</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center"/>
              <w:ind w:right="117"/>
              <w:spacing w:after="0"/>
              <w:rPr>
                <w:sz w:val="20"/>
                <w:szCs w:val="20"/>
                <w:color w:val="auto"/>
              </w:rPr>
            </w:pPr>
            <w:r>
              <w:rPr>
                <w:rFonts w:ascii="Arial" w:cs="Arial" w:eastAsia="Arial" w:hAnsi="Arial"/>
                <w:sz w:val="13"/>
                <w:szCs w:val="13"/>
                <w:color w:val="auto"/>
                <w:w w:val="95"/>
              </w:rPr>
              <w:t>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80" w:type="dxa"/>
            <w:vAlign w:val="bottom"/>
            <w:vMerge w:val="restart"/>
          </w:tcPr>
          <w:p>
            <w:pPr>
              <w:ind w:left="20"/>
              <w:spacing w:after="0"/>
              <w:rPr>
                <w:sz w:val="20"/>
                <w:szCs w:val="20"/>
                <w:color w:val="auto"/>
              </w:rPr>
            </w:pPr>
            <w:r>
              <w:rPr>
                <w:rFonts w:ascii="Arial" w:cs="Arial" w:eastAsia="Arial" w:hAnsi="Arial"/>
                <w:sz w:val="13"/>
                <w:szCs w:val="13"/>
                <w:color w:val="auto"/>
              </w:rPr>
              <w:t>(in millions, except ratio</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5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80" w:type="dxa"/>
            <w:vAlign w:val="bottom"/>
          </w:tcPr>
          <w:p>
            <w:pPr>
              <w:ind w:left="20"/>
              <w:spacing w:after="0"/>
              <w:rPr>
                <w:sz w:val="20"/>
                <w:szCs w:val="20"/>
                <w:color w:val="auto"/>
              </w:rPr>
            </w:pPr>
            <w:r>
              <w:rPr>
                <w:rFonts w:ascii="Arial" w:cs="Arial" w:eastAsia="Arial" w:hAnsi="Arial"/>
                <w:sz w:val="13"/>
                <w:szCs w:val="13"/>
                <w:color w:val="auto"/>
              </w:rPr>
              <w:t>data)</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2012</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2013</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2014</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2015</w:t>
            </w:r>
          </w:p>
        </w:tc>
        <w:tc>
          <w:tcPr>
            <w:tcW w:w="22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2016</w:t>
            </w:r>
          </w:p>
        </w:tc>
        <w:tc>
          <w:tcPr>
            <w:tcW w:w="300" w:type="dxa"/>
            <w:vAlign w:val="bottom"/>
          </w:tcPr>
          <w:p>
            <w:pPr>
              <w:spacing w:after="0"/>
              <w:rPr>
                <w:sz w:val="14"/>
                <w:szCs w:val="14"/>
                <w:color w:val="auto"/>
              </w:rPr>
            </w:pPr>
          </w:p>
        </w:tc>
        <w:tc>
          <w:tcPr>
            <w:tcW w:w="680" w:type="dxa"/>
            <w:vAlign w:val="bottom"/>
          </w:tcPr>
          <w:p>
            <w:pPr>
              <w:jc w:val="right"/>
              <w:ind w:right="297"/>
              <w:spacing w:after="0"/>
              <w:rPr>
                <w:sz w:val="20"/>
                <w:szCs w:val="20"/>
                <w:color w:val="auto"/>
              </w:rPr>
            </w:pPr>
            <w:r>
              <w:rPr>
                <w:rFonts w:ascii="Arial" w:cs="Arial" w:eastAsia="Arial" w:hAnsi="Arial"/>
                <w:sz w:val="13"/>
                <w:szCs w:val="13"/>
                <w:color w:val="auto"/>
              </w:rPr>
              <w:t>2017</w:t>
            </w:r>
          </w:p>
        </w:tc>
        <w:tc>
          <w:tcPr>
            <w:tcW w:w="20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2018</w:t>
            </w:r>
          </w:p>
        </w:tc>
        <w:tc>
          <w:tcPr>
            <w:tcW w:w="220" w:type="dxa"/>
            <w:vAlign w:val="bottom"/>
          </w:tcPr>
          <w:p>
            <w:pPr>
              <w:spacing w:after="0"/>
              <w:rPr>
                <w:sz w:val="14"/>
                <w:szCs w:val="14"/>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2019</w:t>
            </w:r>
          </w:p>
        </w:tc>
        <w:tc>
          <w:tcPr>
            <w:tcW w:w="220" w:type="dxa"/>
            <w:vAlign w:val="bottom"/>
          </w:tcPr>
          <w:p>
            <w:pPr>
              <w:spacing w:after="0"/>
              <w:rPr>
                <w:sz w:val="14"/>
                <w:szCs w:val="14"/>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2020</w:t>
            </w:r>
          </w:p>
        </w:tc>
        <w:tc>
          <w:tcPr>
            <w:tcW w:w="18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2"/>
        </w:trPr>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Common stockholders’</w:t>
            </w: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equity</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194,727</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199,699</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211,664</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221,505</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228,122</w:t>
            </w:r>
          </w:p>
        </w:tc>
        <w:tc>
          <w:tcPr>
            <w:tcW w:w="30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w w:val="97"/>
              </w:rPr>
              <w:t>229,625</w:t>
            </w: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230,447</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234,337</w:t>
            </w:r>
          </w:p>
        </w:tc>
        <w:tc>
          <w:tcPr>
            <w:tcW w:w="22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249,291</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b w:val="1"/>
                <w:bCs w:val="1"/>
                <w:color w:val="auto"/>
              </w:rPr>
              <w:t>259,289</w:t>
            </w:r>
          </w:p>
        </w:tc>
        <w:tc>
          <w:tcPr>
            <w:tcW w:w="0" w:type="dxa"/>
            <w:vAlign w:val="bottom"/>
          </w:tcPr>
          <w:p>
            <w:pPr>
              <w:spacing w:after="0"/>
              <w:rPr>
                <w:sz w:val="1"/>
                <w:szCs w:val="1"/>
                <w:color w:val="auto"/>
              </w:rPr>
            </w:pPr>
          </w:p>
        </w:tc>
      </w:tr>
      <w:tr>
        <w:trPr>
          <w:trHeight w:val="181"/>
        </w:trPr>
        <w:tc>
          <w:tcPr>
            <w:tcW w:w="158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48,175</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48,081</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47,647</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47,325</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47,288</w:t>
            </w:r>
          </w:p>
        </w:tc>
        <w:tc>
          <w:tcPr>
            <w:tcW w:w="300" w:type="dxa"/>
            <w:vAlign w:val="bottom"/>
          </w:tcPr>
          <w:p>
            <w:pPr>
              <w:spacing w:after="0"/>
              <w:rPr>
                <w:sz w:val="15"/>
                <w:szCs w:val="15"/>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47,507</w:t>
            </w:r>
          </w:p>
        </w:tc>
        <w:tc>
          <w:tcPr>
            <w:tcW w:w="200" w:type="dxa"/>
            <w:vAlign w:val="bottom"/>
          </w:tcPr>
          <w:p>
            <w:pPr>
              <w:spacing w:after="0"/>
              <w:rPr>
                <w:sz w:val="15"/>
                <w:szCs w:val="15"/>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47,471</w:t>
            </w:r>
          </w:p>
        </w:tc>
        <w:tc>
          <w:tcPr>
            <w:tcW w:w="220" w:type="dxa"/>
            <w:vAlign w:val="bottom"/>
          </w:tcPr>
          <w:p>
            <w:pPr>
              <w:spacing w:after="0"/>
              <w:rPr>
                <w:sz w:val="15"/>
                <w:szCs w:val="15"/>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47,823</w:t>
            </w:r>
          </w:p>
        </w:tc>
        <w:tc>
          <w:tcPr>
            <w:tcW w:w="220" w:type="dxa"/>
            <w:vAlign w:val="bottom"/>
          </w:tcPr>
          <w:p>
            <w:pPr>
              <w:spacing w:after="0"/>
              <w:rPr>
                <w:sz w:val="15"/>
                <w:szCs w:val="15"/>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49,248</w:t>
            </w:r>
          </w:p>
        </w:tc>
        <w:tc>
          <w:tcPr>
            <w:tcW w:w="180" w:type="dxa"/>
            <w:vAlign w:val="bottom"/>
          </w:tcPr>
          <w:p>
            <w:pPr>
              <w:spacing w:after="0"/>
              <w:rPr>
                <w:sz w:val="15"/>
                <w:szCs w:val="15"/>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50,315</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Less: Other intangible</w:t>
            </w: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40" w:type="dxa"/>
            <w:vAlign w:val="bottom"/>
            <w:shd w:val="clear" w:color="auto" w:fill="E7E7E8"/>
          </w:tcPr>
          <w:p>
            <w:pPr>
              <w:spacing w:after="0"/>
              <w:rPr>
                <w:sz w:val="13"/>
                <w:szCs w:val="13"/>
                <w:color w:val="auto"/>
              </w:rPr>
            </w:pPr>
          </w:p>
        </w:tc>
        <w:tc>
          <w:tcPr>
            <w:tcW w:w="300" w:type="dxa"/>
            <w:vAlign w:val="bottom"/>
            <w:shd w:val="clear" w:color="auto" w:fill="E7E7E8"/>
          </w:tcPr>
          <w:p>
            <w:pPr>
              <w:spacing w:after="0"/>
              <w:rPr>
                <w:sz w:val="13"/>
                <w:szCs w:val="13"/>
                <w:color w:val="auto"/>
              </w:rPr>
            </w:pPr>
          </w:p>
        </w:tc>
        <w:tc>
          <w:tcPr>
            <w:tcW w:w="68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assets</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2,235</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1,618</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1,192</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1,015</w:t>
            </w:r>
          </w:p>
        </w:tc>
        <w:tc>
          <w:tcPr>
            <w:tcW w:w="220" w:type="dxa"/>
            <w:vAlign w:val="bottom"/>
            <w:tcBorders>
              <w:bottom w:val="single" w:sz="8" w:color="E7E7E8"/>
            </w:tcBorders>
            <w:shd w:val="clear" w:color="auto" w:fill="E7E7E8"/>
          </w:tcPr>
          <w:p>
            <w:pPr>
              <w:spacing w:after="0"/>
              <w:rPr>
                <w:sz w:val="15"/>
                <w:szCs w:val="15"/>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862</w:t>
            </w:r>
          </w:p>
        </w:tc>
        <w:tc>
          <w:tcPr>
            <w:tcW w:w="300" w:type="dxa"/>
            <w:vAlign w:val="bottom"/>
            <w:tcBorders>
              <w:bottom w:val="single" w:sz="8" w:color="E7E7E8"/>
            </w:tcBorders>
            <w:shd w:val="clear" w:color="auto" w:fill="E7E7E8"/>
          </w:tcPr>
          <w:p>
            <w:pPr>
              <w:spacing w:after="0"/>
              <w:rPr>
                <w:sz w:val="15"/>
                <w:szCs w:val="15"/>
                <w:color w:val="auto"/>
              </w:rPr>
            </w:pP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855</w:t>
            </w:r>
          </w:p>
        </w:tc>
        <w:tc>
          <w:tcPr>
            <w:tcW w:w="200" w:type="dxa"/>
            <w:vAlign w:val="bottom"/>
            <w:tcBorders>
              <w:bottom w:val="single" w:sz="8" w:color="E7E7E8"/>
            </w:tcBorders>
            <w:shd w:val="clear" w:color="auto" w:fill="E7E7E8"/>
          </w:tcPr>
          <w:p>
            <w:pPr>
              <w:spacing w:after="0"/>
              <w:rPr>
                <w:sz w:val="15"/>
                <w:szCs w:val="15"/>
                <w:color w:val="auto"/>
              </w:rPr>
            </w:pP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748</w:t>
            </w:r>
          </w:p>
        </w:tc>
        <w:tc>
          <w:tcPr>
            <w:tcW w:w="220" w:type="dxa"/>
            <w:vAlign w:val="bottom"/>
            <w:tcBorders>
              <w:bottom w:val="single" w:sz="8" w:color="E7E7E8"/>
            </w:tcBorders>
            <w:shd w:val="clear" w:color="auto" w:fill="E7E7E8"/>
          </w:tcPr>
          <w:p>
            <w:pPr>
              <w:spacing w:after="0"/>
              <w:rPr>
                <w:sz w:val="15"/>
                <w:szCs w:val="15"/>
                <w:color w:val="auto"/>
              </w:rPr>
            </w:pP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819</w:t>
            </w:r>
          </w:p>
        </w:tc>
        <w:tc>
          <w:tcPr>
            <w:tcW w:w="220" w:type="dxa"/>
            <w:vAlign w:val="bottom"/>
            <w:tcBorders>
              <w:bottom w:val="single" w:sz="8" w:color="E7E7E8"/>
            </w:tcBorders>
            <w:shd w:val="clear" w:color="auto" w:fill="E7E7E8"/>
          </w:tcPr>
          <w:p>
            <w:pPr>
              <w:spacing w:after="0"/>
              <w:rPr>
                <w:sz w:val="15"/>
                <w:szCs w:val="15"/>
                <w:color w:val="auto"/>
              </w:rPr>
            </w:pP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904</w:t>
            </w:r>
          </w:p>
        </w:tc>
        <w:tc>
          <w:tcPr>
            <w:tcW w:w="180" w:type="dxa"/>
            <w:vAlign w:val="bottom"/>
            <w:tcBorders>
              <w:bottom w:val="single" w:sz="8" w:color="E7E7E8"/>
            </w:tcBorders>
            <w:shd w:val="clear" w:color="auto" w:fill="E7E7E8"/>
          </w:tcPr>
          <w:p>
            <w:pPr>
              <w:spacing w:after="0"/>
              <w:rPr>
                <w:sz w:val="15"/>
                <w:szCs w:val="15"/>
                <w:color w:val="auto"/>
              </w:rPr>
            </w:pPr>
          </w:p>
        </w:tc>
        <w:tc>
          <w:tcPr>
            <w:tcW w:w="7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b w:val="1"/>
                <w:bCs w:val="1"/>
                <w:color w:val="auto"/>
              </w:rPr>
              <w:t>882</w:t>
            </w:r>
          </w:p>
        </w:tc>
        <w:tc>
          <w:tcPr>
            <w:tcW w:w="0" w:type="dxa"/>
            <w:vAlign w:val="bottom"/>
          </w:tcPr>
          <w:p>
            <w:pPr>
              <w:spacing w:after="0"/>
              <w:rPr>
                <w:sz w:val="1"/>
                <w:szCs w:val="1"/>
                <w:color w:val="auto"/>
              </w:rPr>
            </w:pPr>
          </w:p>
        </w:tc>
      </w:tr>
      <w:tr>
        <w:trPr>
          <w:trHeight w:val="174"/>
        </w:trPr>
        <w:tc>
          <w:tcPr>
            <w:tcW w:w="1580" w:type="dxa"/>
            <w:vAlign w:val="bottom"/>
          </w:tcPr>
          <w:p>
            <w:pPr>
              <w:ind w:left="20"/>
              <w:spacing w:after="0"/>
              <w:rPr>
                <w:sz w:val="20"/>
                <w:szCs w:val="20"/>
                <w:color w:val="auto"/>
              </w:rPr>
            </w:pPr>
            <w:r>
              <w:rPr>
                <w:rFonts w:ascii="Arial" w:cs="Arial" w:eastAsia="Arial" w:hAnsi="Arial"/>
                <w:sz w:val="13"/>
                <w:szCs w:val="13"/>
                <w:color w:val="auto"/>
              </w:rPr>
              <w:t>Add: Certain deferred tax</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liabilities</w:t>
            </w:r>
            <w:r>
              <w:rPr>
                <w:rFonts w:ascii="Arial" w:cs="Arial" w:eastAsia="Arial" w:hAnsi="Arial"/>
                <w:sz w:val="16"/>
                <w:szCs w:val="16"/>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2,803</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2,953</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2,853</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3,148</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3,230</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2,204</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2,280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2,381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2,453</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2,499</w:t>
            </w:r>
          </w:p>
        </w:tc>
        <w:tc>
          <w:tcPr>
            <w:tcW w:w="0" w:type="dxa"/>
            <w:vAlign w:val="bottom"/>
          </w:tcPr>
          <w:p>
            <w:pPr>
              <w:spacing w:after="0"/>
              <w:rPr>
                <w:sz w:val="1"/>
                <w:szCs w:val="1"/>
                <w:color w:val="auto"/>
              </w:rPr>
            </w:pPr>
          </w:p>
        </w:tc>
      </w:tr>
      <w:tr>
        <w:trPr>
          <w:trHeight w:val="201"/>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147,120</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152,953</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165,678</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176,313</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183,202</w:t>
            </w:r>
          </w:p>
        </w:tc>
        <w:tc>
          <w:tcPr>
            <w:tcW w:w="30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w w:val="97"/>
              </w:rPr>
              <w:t>183,467</w:t>
            </w: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184,508</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188,076</w:t>
            </w:r>
          </w:p>
        </w:tc>
        <w:tc>
          <w:tcPr>
            <w:tcW w:w="22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201,592</w:t>
            </w:r>
          </w:p>
        </w:tc>
        <w:tc>
          <w:tcPr>
            <w:tcW w:w="180" w:type="dxa"/>
            <w:vAlign w:val="bottom"/>
            <w:tcBorders>
              <w:bottom w:val="single" w:sz="8" w:color="E7E7E8"/>
            </w:tcBorders>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b w:val="1"/>
                <w:bCs w:val="1"/>
                <w:color w:val="auto"/>
              </w:rPr>
              <w:t>210,591</w:t>
            </w:r>
          </w:p>
        </w:tc>
        <w:tc>
          <w:tcPr>
            <w:tcW w:w="0" w:type="dxa"/>
            <w:vAlign w:val="bottom"/>
          </w:tcPr>
          <w:p>
            <w:pPr>
              <w:spacing w:after="0"/>
              <w:rPr>
                <w:sz w:val="1"/>
                <w:szCs w:val="1"/>
                <w:color w:val="auto"/>
              </w:rPr>
            </w:pPr>
          </w:p>
        </w:tc>
      </w:tr>
      <w:tr>
        <w:trPr>
          <w:trHeight w:val="174"/>
        </w:trPr>
        <w:tc>
          <w:tcPr>
            <w:tcW w:w="15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Common shares</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3,804.0</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3,756.1</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rPr>
              <w:t>3,714.8</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rPr>
              <w:t>3,663.5</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rPr>
              <w:t>3,561.2</w:t>
            </w:r>
          </w:p>
        </w:tc>
        <w:tc>
          <w:tcPr>
            <w:tcW w:w="3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rPr>
              <w:t>3,425.3</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3,275.8</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rPr>
              <w:t>3,084.0</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rPr>
              <w:t>3,049.4</w:t>
            </w: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2,944.1</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Book value per share</w:t>
            </w:r>
            <w:r>
              <w:rPr>
                <w:rFonts w:ascii="Arial" w:cs="Arial" w:eastAsia="Arial" w:hAnsi="Arial"/>
                <w:sz w:val="16"/>
                <w:szCs w:val="16"/>
                <w:color w:val="auto"/>
                <w:vertAlign w:val="superscript"/>
              </w:rPr>
              <w:t>(d)</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17"/>
              <w:spacing w:after="0"/>
              <w:rPr>
                <w:sz w:val="20"/>
                <w:szCs w:val="20"/>
                <w:color w:val="auto"/>
              </w:rPr>
            </w:pPr>
            <w:r>
              <w:rPr>
                <w:rFonts w:ascii="Arial" w:cs="Arial" w:eastAsia="Arial" w:hAnsi="Arial"/>
                <w:sz w:val="13"/>
                <w:szCs w:val="13"/>
                <w:color w:val="auto"/>
              </w:rPr>
              <w:t>51.19</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17"/>
              <w:spacing w:after="0"/>
              <w:rPr>
                <w:sz w:val="20"/>
                <w:szCs w:val="20"/>
                <w:color w:val="auto"/>
              </w:rPr>
            </w:pPr>
            <w:r>
              <w:rPr>
                <w:rFonts w:ascii="Arial" w:cs="Arial" w:eastAsia="Arial" w:hAnsi="Arial"/>
                <w:sz w:val="13"/>
                <w:szCs w:val="13"/>
                <w:color w:val="auto"/>
              </w:rPr>
              <w:t>53.17</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56.98</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60.46</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64.06</w:t>
            </w:r>
          </w:p>
        </w:tc>
        <w:tc>
          <w:tcPr>
            <w:tcW w:w="30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67.04</w:t>
            </w:r>
          </w:p>
        </w:tc>
        <w:tc>
          <w:tcPr>
            <w:tcW w:w="20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17"/>
              <w:spacing w:after="0"/>
              <w:rPr>
                <w:sz w:val="20"/>
                <w:szCs w:val="20"/>
                <w:color w:val="auto"/>
              </w:rPr>
            </w:pPr>
            <w:r>
              <w:rPr>
                <w:rFonts w:ascii="Arial" w:cs="Arial" w:eastAsia="Arial" w:hAnsi="Arial"/>
                <w:sz w:val="13"/>
                <w:szCs w:val="13"/>
                <w:color w:val="auto"/>
              </w:rPr>
              <w:t>70.35</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75.98</w:t>
            </w:r>
          </w:p>
        </w:tc>
        <w:tc>
          <w:tcPr>
            <w:tcW w:w="22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81.75</w:t>
            </w:r>
          </w:p>
        </w:tc>
        <w:tc>
          <w:tcPr>
            <w:tcW w:w="18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shd w:val="clear" w:color="auto" w:fill="E7E7E8"/>
          </w:tcPr>
          <w:p>
            <w:pPr>
              <w:jc w:val="right"/>
              <w:ind w:right="137"/>
              <w:spacing w:after="0"/>
              <w:rPr>
                <w:sz w:val="20"/>
                <w:szCs w:val="20"/>
                <w:color w:val="auto"/>
              </w:rPr>
            </w:pPr>
            <w:r>
              <w:rPr>
                <w:rFonts w:ascii="Arial" w:cs="Arial" w:eastAsia="Arial" w:hAnsi="Arial"/>
                <w:sz w:val="13"/>
                <w:szCs w:val="13"/>
                <w:b w:val="1"/>
                <w:bCs w:val="1"/>
                <w:color w:val="auto"/>
              </w:rPr>
              <w:t>88.07</w:t>
            </w:r>
          </w:p>
        </w:tc>
        <w:tc>
          <w:tcPr>
            <w:tcW w:w="0" w:type="dxa"/>
            <w:vAlign w:val="bottom"/>
          </w:tcPr>
          <w:p>
            <w:pPr>
              <w:spacing w:after="0"/>
              <w:rPr>
                <w:sz w:val="1"/>
                <w:szCs w:val="1"/>
                <w:color w:val="auto"/>
              </w:rPr>
            </w:pPr>
          </w:p>
        </w:tc>
      </w:tr>
      <w:tr>
        <w:trPr>
          <w:trHeight w:val="174"/>
        </w:trPr>
        <w:tc>
          <w:tcPr>
            <w:tcW w:w="1580" w:type="dxa"/>
            <w:vAlign w:val="bottom"/>
          </w:tcPr>
          <w:p>
            <w:pPr>
              <w:ind w:left="20"/>
              <w:spacing w:after="0"/>
              <w:rPr>
                <w:sz w:val="20"/>
                <w:szCs w:val="20"/>
                <w:color w:val="auto"/>
              </w:rPr>
            </w:pPr>
            <w:r>
              <w:rPr>
                <w:rFonts w:ascii="Arial" w:cs="Arial" w:eastAsia="Arial" w:hAnsi="Arial"/>
                <w:sz w:val="13"/>
                <w:szCs w:val="13"/>
                <w:color w:val="auto"/>
              </w:rPr>
              <w:t>Tangible book value per</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580" w:type="dxa"/>
            <w:vAlign w:val="bottom"/>
          </w:tcPr>
          <w:p>
            <w:pPr>
              <w:ind w:left="20"/>
              <w:spacing w:after="0"/>
              <w:rPr>
                <w:sz w:val="20"/>
                <w:szCs w:val="20"/>
                <w:color w:val="auto"/>
              </w:rPr>
            </w:pPr>
            <w:r>
              <w:rPr>
                <w:rFonts w:ascii="Arial" w:cs="Arial" w:eastAsia="Arial" w:hAnsi="Arial"/>
                <w:sz w:val="13"/>
                <w:szCs w:val="13"/>
                <w:color w:val="auto"/>
              </w:rPr>
              <w:t>share</w:t>
            </w:r>
            <w:r>
              <w:rPr>
                <w:rFonts w:ascii="Arial" w:cs="Arial" w:eastAsia="Arial" w:hAnsi="Arial"/>
                <w:sz w:val="16"/>
                <w:szCs w:val="16"/>
                <w:color w:val="auto"/>
                <w:vertAlign w:val="superscript"/>
              </w:rPr>
              <w:t>(e)</w:t>
            </w:r>
          </w:p>
        </w:tc>
        <w:tc>
          <w:tcPr>
            <w:tcW w:w="220" w:type="dxa"/>
            <w:vAlign w:val="bottom"/>
          </w:tcPr>
          <w:p>
            <w:pPr>
              <w:spacing w:after="0"/>
              <w:rPr>
                <w:sz w:val="19"/>
                <w:szCs w:val="19"/>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38.68</w:t>
            </w:r>
          </w:p>
        </w:tc>
        <w:tc>
          <w:tcPr>
            <w:tcW w:w="220" w:type="dxa"/>
            <w:vAlign w:val="bottom"/>
          </w:tcPr>
          <w:p>
            <w:pPr>
              <w:spacing w:after="0"/>
              <w:rPr>
                <w:sz w:val="19"/>
                <w:szCs w:val="19"/>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40.72</w:t>
            </w:r>
          </w:p>
        </w:tc>
        <w:tc>
          <w:tcPr>
            <w:tcW w:w="220" w:type="dxa"/>
            <w:vAlign w:val="bottom"/>
          </w:tcPr>
          <w:p>
            <w:pPr>
              <w:spacing w:after="0"/>
              <w:rPr>
                <w:sz w:val="19"/>
                <w:szCs w:val="19"/>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44.60</w:t>
            </w:r>
          </w:p>
        </w:tc>
        <w:tc>
          <w:tcPr>
            <w:tcW w:w="220" w:type="dxa"/>
            <w:vAlign w:val="bottom"/>
          </w:tcPr>
          <w:p>
            <w:pPr>
              <w:spacing w:after="0"/>
              <w:rPr>
                <w:sz w:val="19"/>
                <w:szCs w:val="19"/>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48.13</w:t>
            </w:r>
          </w:p>
        </w:tc>
        <w:tc>
          <w:tcPr>
            <w:tcW w:w="220" w:type="dxa"/>
            <w:vAlign w:val="bottom"/>
          </w:tcPr>
          <w:p>
            <w:pPr>
              <w:spacing w:after="0"/>
              <w:rPr>
                <w:sz w:val="19"/>
                <w:szCs w:val="19"/>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51.44</w:t>
            </w:r>
          </w:p>
        </w:tc>
        <w:tc>
          <w:tcPr>
            <w:tcW w:w="300" w:type="dxa"/>
            <w:vAlign w:val="bottom"/>
          </w:tcPr>
          <w:p>
            <w:pPr>
              <w:spacing w:after="0"/>
              <w:rPr>
                <w:sz w:val="19"/>
                <w:szCs w:val="19"/>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53.56</w:t>
            </w:r>
          </w:p>
        </w:tc>
        <w:tc>
          <w:tcPr>
            <w:tcW w:w="200" w:type="dxa"/>
            <w:vAlign w:val="bottom"/>
          </w:tcPr>
          <w:p>
            <w:pPr>
              <w:spacing w:after="0"/>
              <w:rPr>
                <w:sz w:val="19"/>
                <w:szCs w:val="19"/>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56.33</w:t>
            </w:r>
          </w:p>
        </w:tc>
        <w:tc>
          <w:tcPr>
            <w:tcW w:w="220" w:type="dxa"/>
            <w:vAlign w:val="bottom"/>
          </w:tcPr>
          <w:p>
            <w:pPr>
              <w:spacing w:after="0"/>
              <w:rPr>
                <w:sz w:val="19"/>
                <w:szCs w:val="19"/>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60.98</w:t>
            </w:r>
          </w:p>
        </w:tc>
        <w:tc>
          <w:tcPr>
            <w:tcW w:w="220" w:type="dxa"/>
            <w:vAlign w:val="bottom"/>
          </w:tcPr>
          <w:p>
            <w:pPr>
              <w:spacing w:after="0"/>
              <w:rPr>
                <w:sz w:val="19"/>
                <w:szCs w:val="19"/>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66.11</w:t>
            </w:r>
          </w:p>
        </w:tc>
        <w:tc>
          <w:tcPr>
            <w:tcW w:w="180" w:type="dxa"/>
            <w:vAlign w:val="bottom"/>
          </w:tcPr>
          <w:p>
            <w:pPr>
              <w:spacing w:after="0"/>
              <w:rPr>
                <w:sz w:val="19"/>
                <w:szCs w:val="19"/>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71.53</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00" w:right="220" w:hanging="192"/>
        <w:spacing w:after="0" w:line="222" w:lineRule="auto"/>
        <w:tabs>
          <w:tab w:leader="none" w:pos="200" w:val="left"/>
        </w:tabs>
        <w:numPr>
          <w:ilvl w:val="0"/>
          <w:numId w:val="305"/>
        </w:numPr>
        <w:rPr>
          <w:rFonts w:ascii="Arial" w:cs="Arial" w:eastAsia="Arial" w:hAnsi="Arial"/>
          <w:sz w:val="16"/>
          <w:szCs w:val="16"/>
          <w:color w:val="auto"/>
          <w:vertAlign w:val="superscript"/>
        </w:rPr>
      </w:pPr>
      <w:r>
        <w:rPr>
          <w:rFonts w:ascii="Arial" w:cs="Arial" w:eastAsia="Arial" w:hAnsi="Arial"/>
          <w:sz w:val="13"/>
          <w:szCs w:val="13"/>
          <w:color w:val="auto"/>
        </w:rPr>
        <w:t>Represents deferred tax liabilities related to tax-deductible goodwill and to identifiable intangibles created in nontaxable transactions, which are netted against goodwill and other intangibles when calculating TCE.</w:t>
      </w:r>
    </w:p>
    <w:p>
      <w:pPr>
        <w:ind w:left="180" w:hanging="172"/>
        <w:spacing w:after="0" w:line="193" w:lineRule="auto"/>
        <w:tabs>
          <w:tab w:leader="none" w:pos="180" w:val="left"/>
        </w:tabs>
        <w:numPr>
          <w:ilvl w:val="0"/>
          <w:numId w:val="305"/>
        </w:numPr>
        <w:rPr>
          <w:rFonts w:ascii="Arial" w:cs="Arial" w:eastAsia="Arial" w:hAnsi="Arial"/>
          <w:sz w:val="16"/>
          <w:szCs w:val="16"/>
          <w:color w:val="auto"/>
          <w:vertAlign w:val="superscript"/>
        </w:rPr>
      </w:pPr>
      <w:r>
        <w:rPr>
          <w:rFonts w:ascii="Arial" w:cs="Arial" w:eastAsia="Arial" w:hAnsi="Arial"/>
          <w:sz w:val="13"/>
          <w:szCs w:val="13"/>
          <w:color w:val="auto"/>
        </w:rPr>
        <w:t>Represents net income applicable to common equity / average common stockholders’ equity.</w:t>
      </w:r>
    </w:p>
    <w:p>
      <w:pPr>
        <w:ind w:left="200" w:hanging="192"/>
        <w:spacing w:after="0" w:line="193" w:lineRule="auto"/>
        <w:tabs>
          <w:tab w:leader="none" w:pos="200" w:val="left"/>
        </w:tabs>
        <w:numPr>
          <w:ilvl w:val="0"/>
          <w:numId w:val="305"/>
        </w:numPr>
        <w:rPr>
          <w:rFonts w:ascii="Arial" w:cs="Arial" w:eastAsia="Arial" w:hAnsi="Arial"/>
          <w:sz w:val="16"/>
          <w:szCs w:val="16"/>
          <w:color w:val="auto"/>
          <w:vertAlign w:val="superscript"/>
        </w:rPr>
      </w:pPr>
      <w:r>
        <w:rPr>
          <w:rFonts w:ascii="Arial" w:cs="Arial" w:eastAsia="Arial" w:hAnsi="Arial"/>
          <w:sz w:val="13"/>
          <w:szCs w:val="13"/>
          <w:color w:val="auto"/>
        </w:rPr>
        <w:t>Represents net income applicable to common equity / average TCE.</w:t>
      </w:r>
    </w:p>
    <w:p>
      <w:pPr>
        <w:ind w:left="180" w:hanging="172"/>
        <w:spacing w:after="0" w:line="193" w:lineRule="auto"/>
        <w:tabs>
          <w:tab w:leader="none" w:pos="180" w:val="left"/>
        </w:tabs>
        <w:numPr>
          <w:ilvl w:val="0"/>
          <w:numId w:val="305"/>
        </w:numPr>
        <w:rPr>
          <w:rFonts w:ascii="Arial" w:cs="Arial" w:eastAsia="Arial" w:hAnsi="Arial"/>
          <w:sz w:val="16"/>
          <w:szCs w:val="16"/>
          <w:color w:val="auto"/>
          <w:vertAlign w:val="superscript"/>
        </w:rPr>
      </w:pPr>
      <w:r>
        <w:rPr>
          <w:rFonts w:ascii="Arial" w:cs="Arial" w:eastAsia="Arial" w:hAnsi="Arial"/>
          <w:sz w:val="13"/>
          <w:szCs w:val="13"/>
          <w:color w:val="auto"/>
        </w:rPr>
        <w:t>Represents common stockholders’ equity at period-end / common shares at period-end.</w:t>
      </w:r>
    </w:p>
    <w:p>
      <w:pPr>
        <w:ind w:left="200" w:hanging="192"/>
        <w:spacing w:after="0" w:line="200" w:lineRule="auto"/>
        <w:tabs>
          <w:tab w:leader="none" w:pos="200" w:val="left"/>
        </w:tabs>
        <w:numPr>
          <w:ilvl w:val="0"/>
          <w:numId w:val="305"/>
        </w:numPr>
        <w:rPr>
          <w:rFonts w:ascii="Arial" w:cs="Arial" w:eastAsia="Arial" w:hAnsi="Arial"/>
          <w:sz w:val="16"/>
          <w:szCs w:val="16"/>
          <w:color w:val="auto"/>
          <w:vertAlign w:val="superscript"/>
        </w:rPr>
      </w:pPr>
      <w:r>
        <w:rPr>
          <w:rFonts w:ascii="Arial" w:cs="Arial" w:eastAsia="Arial" w:hAnsi="Arial"/>
          <w:sz w:val="13"/>
          <w:szCs w:val="13"/>
          <w:color w:val="auto"/>
        </w:rPr>
        <w:t>Represents TCE at period-end / common shares at period-end.</w:t>
      </w:r>
    </w:p>
    <w:p>
      <w:pPr>
        <w:spacing w:after="0" w:line="90" w:lineRule="exact"/>
        <w:rPr>
          <w:sz w:val="20"/>
          <w:szCs w:val="20"/>
          <w:color w:val="auto"/>
        </w:rPr>
      </w:pPr>
    </w:p>
    <w:p>
      <w:pPr>
        <w:ind w:left="340" w:right="80" w:hanging="332"/>
        <w:spacing w:after="0" w:line="257" w:lineRule="auto"/>
        <w:tabs>
          <w:tab w:leader="none" w:pos="34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On December 22, 2017, the TCJA was signed into law. The Firm’s results for the year ended December 31, 2017, included a $2.4 billion decrease to net income, as a result of the enactment of the TCJA, as well as a legal benefit of $406 million (after-tax) related to a settlement with the FDIC receivership for Washington Mutual and with Deutsche Bank as trustee to certain Washington Mutual trusts. Adjusted net income, adjusted ROTCE and adjusted earnings per share, which exclude the impact of these significant items, are each non-GAAP financial measures. Management believes these measures help investors understand the effect of these items on reported results.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7"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074A75"/>
        </w:rPr>
        <w:t>Additional notes</w:t>
      </w:r>
    </w:p>
    <w:p>
      <w:pPr>
        <w:spacing w:after="0" w:line="125" w:lineRule="exact"/>
        <w:rPr>
          <w:sz w:val="20"/>
          <w:szCs w:val="20"/>
          <w:color w:val="auto"/>
        </w:rPr>
      </w:pPr>
    </w:p>
    <w:p>
      <w:pPr>
        <w:ind w:left="340" w:right="120" w:hanging="332"/>
        <w:spacing w:after="0" w:line="256" w:lineRule="auto"/>
        <w:tabs>
          <w:tab w:leader="none" w:pos="34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Firm reviews the results of the lines of business on a “managed” basis. The Firm’s definition of managed basis starts, in each case, with the reported U.S. GAAP results and includes certain reclassifications to present total net revenue for the Firm (and each of the reportable business segments)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w:t>
      </w:r>
    </w:p>
    <w:p>
      <w:pPr>
        <w:spacing w:after="0" w:line="74" w:lineRule="exact"/>
        <w:rPr>
          <w:rFonts w:ascii="Arial" w:cs="Arial" w:eastAsia="Arial" w:hAnsi="Arial"/>
          <w:sz w:val="18"/>
          <w:szCs w:val="18"/>
          <w:color w:val="auto"/>
        </w:rPr>
      </w:pPr>
    </w:p>
    <w:p>
      <w:pPr>
        <w:ind w:left="340" w:right="140" w:hanging="332"/>
        <w:spacing w:after="0" w:line="268" w:lineRule="auto"/>
        <w:tabs>
          <w:tab w:leader="none" w:pos="34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Basel III common equity Tier 1 (“CET1”) ratio is used by management, bank regulators, investors and analysts to assess and monitor the Firm’s capital position. Refer to Capital Risk Management on pages 86–96 of the 2021 Form 10-K for additional information on this measure.</w:t>
      </w:r>
    </w:p>
    <w:p>
      <w:pPr>
        <w:spacing w:after="0" w:line="62" w:lineRule="exact"/>
        <w:rPr>
          <w:rFonts w:ascii="Arial" w:cs="Arial" w:eastAsia="Arial" w:hAnsi="Arial"/>
          <w:sz w:val="18"/>
          <w:szCs w:val="18"/>
          <w:color w:val="auto"/>
        </w:rPr>
      </w:pPr>
    </w:p>
    <w:p>
      <w:pPr>
        <w:ind w:left="340" w:right="80" w:hanging="332"/>
        <w:spacing w:after="0" w:line="318" w:lineRule="auto"/>
        <w:tabs>
          <w:tab w:leader="none" w:pos="341" w:val="left"/>
        </w:tabs>
        <w:numPr>
          <w:ilvl w:val="0"/>
          <w:numId w:val="307"/>
        </w:numPr>
        <w:rPr>
          <w:rFonts w:ascii="Arial" w:cs="Arial" w:eastAsia="Arial" w:hAnsi="Arial"/>
          <w:sz w:val="17"/>
          <w:szCs w:val="17"/>
          <w:color w:val="auto"/>
        </w:rPr>
      </w:pPr>
      <w:r>
        <w:rPr>
          <w:rFonts w:ascii="Arial" w:cs="Arial" w:eastAsia="Arial" w:hAnsi="Arial"/>
          <w:sz w:val="17"/>
          <w:szCs w:val="17"/>
          <w:color w:val="auto"/>
        </w:rPr>
        <w:t>Represents total JPMorgan Chase revenue from investment banking products sold to Commercial Banking Clients. Please refer to page 61 of the Firm’s 2021 Form 10-K for a discussion of revenue sharing agreements that are reflected within business segment results.</w:t>
      </w:r>
    </w:p>
    <w:p>
      <w:pPr>
        <w:spacing w:after="0" w:line="75" w:lineRule="exact"/>
        <w:rPr>
          <w:rFonts w:ascii="Arial" w:cs="Arial" w:eastAsia="Arial" w:hAnsi="Arial"/>
          <w:sz w:val="17"/>
          <w:szCs w:val="17"/>
          <w:color w:val="auto"/>
        </w:rPr>
      </w:pPr>
    </w:p>
    <w:p>
      <w:pPr>
        <w:ind w:left="340" w:hanging="332"/>
        <w:spacing w:after="0"/>
        <w:tabs>
          <w:tab w:leader="none" w:pos="3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Represents product revenue excluding deposit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292100</wp:posOffset>
            </wp:positionV>
            <wp:extent cx="27432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111  </w:t>
      </w:r>
      <w:r>
        <w:rPr>
          <w:sz w:val="1"/>
          <w:szCs w:val="1"/>
          <w:color w:val="auto"/>
        </w:rPr>
        <w:drawing>
          <wp:inline distT="0" distB="0" distL="0" distR="0">
            <wp:extent cx="2203450" cy="154305"/>
            <wp:effectExtent l="0" t="0" r="0" b="0"/>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43"/>
          <w:szCs w:val="43"/>
          <w:color w:val="074A75"/>
        </w:rPr>
        <w:t>Glossary of selected terms and acronyms</w:t>
      </w:r>
    </w:p>
    <w:p>
      <w:pPr>
        <w:sectPr>
          <w:pgSz w:w="11900" w:h="16838" w:orient="portrait"/>
          <w:cols w:equalWidth="0" w:num="1">
            <w:col w:w="11220"/>
          </w:cols>
          <w:pgMar w:left="320" w:top="157" w:right="359" w:bottom="1440" w:gutter="0" w:footer="0" w:header="0"/>
        </w:sectPr>
      </w:pPr>
    </w:p>
    <w:p>
      <w:pPr>
        <w:spacing w:after="0" w:line="24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2021 Form 10-K: </w:t>
      </w:r>
      <w:r>
        <w:rPr>
          <w:rFonts w:ascii="Arial" w:cs="Arial" w:eastAsia="Arial" w:hAnsi="Arial"/>
          <w:sz w:val="18"/>
          <w:szCs w:val="18"/>
          <w:color w:val="auto"/>
        </w:rPr>
        <w:t>JPMorgan Chase &amp; Co.’s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year ended December 31,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ABL: </w:t>
      </w:r>
      <w:r>
        <w:rPr>
          <w:rFonts w:ascii="Arial" w:cs="Arial" w:eastAsia="Arial" w:hAnsi="Arial"/>
          <w:sz w:val="18"/>
          <w:szCs w:val="18"/>
          <w:color w:val="auto"/>
        </w:rPr>
        <w:t>Advancing Black Leaders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ABP: </w:t>
      </w:r>
      <w:r>
        <w:rPr>
          <w:rFonts w:ascii="Arial" w:cs="Arial" w:eastAsia="Arial" w:hAnsi="Arial"/>
          <w:sz w:val="18"/>
          <w:szCs w:val="18"/>
          <w:color w:val="auto"/>
        </w:rPr>
        <w:t>Advancing Black Pathways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AHL: </w:t>
      </w:r>
      <w:r>
        <w:rPr>
          <w:rFonts w:ascii="Arial" w:cs="Arial" w:eastAsia="Arial" w:hAnsi="Arial"/>
          <w:sz w:val="18"/>
          <w:szCs w:val="18"/>
          <w:color w:val="auto"/>
        </w:rPr>
        <w:t>Advancing Hispanic &amp; Latinos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API: </w:t>
      </w:r>
      <w:r>
        <w:rPr>
          <w:rFonts w:ascii="Arial" w:cs="Arial" w:eastAsia="Arial" w:hAnsi="Arial"/>
          <w:sz w:val="18"/>
          <w:szCs w:val="18"/>
          <w:color w:val="auto"/>
        </w:rPr>
        <w:t>Office of Asian &amp; Pacific Islander Affairs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AsPIRE: </w:t>
      </w:r>
      <w:r>
        <w:rPr>
          <w:rFonts w:ascii="Arial" w:cs="Arial" w:eastAsia="Arial" w:hAnsi="Arial"/>
          <w:sz w:val="18"/>
          <w:szCs w:val="18"/>
          <w:color w:val="auto"/>
        </w:rPr>
        <w:t>Asians &amp; Pacific Islanders Reaching for Excellence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AUM: </w:t>
      </w:r>
      <w:r>
        <w:rPr>
          <w:rFonts w:ascii="Arial" w:cs="Arial" w:eastAsia="Arial" w:hAnsi="Arial"/>
          <w:sz w:val="18"/>
          <w:szCs w:val="18"/>
          <w:color w:val="auto"/>
        </w:rPr>
        <w:t>Assets under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AWM: </w:t>
      </w:r>
      <w:r>
        <w:rPr>
          <w:rFonts w:ascii="Arial" w:cs="Arial" w:eastAsia="Arial" w:hAnsi="Arial"/>
          <w:sz w:val="18"/>
          <w:szCs w:val="18"/>
          <w:color w:val="auto"/>
        </w:rPr>
        <w:t>Asset &amp; Wealth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Bank: </w:t>
      </w:r>
      <w:r>
        <w:rPr>
          <w:rFonts w:ascii="Arial" w:cs="Arial" w:eastAsia="Arial" w:hAnsi="Arial"/>
          <w:sz w:val="18"/>
          <w:szCs w:val="18"/>
          <w:color w:val="auto"/>
        </w:rPr>
        <w:t>JPMorgan Chase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BlackRock: </w:t>
      </w:r>
      <w:r>
        <w:rPr>
          <w:rFonts w:ascii="Arial" w:cs="Arial" w:eastAsia="Arial" w:hAnsi="Arial"/>
          <w:sz w:val="18"/>
          <w:szCs w:val="18"/>
          <w:color w:val="auto"/>
        </w:rPr>
        <w:t>BlackRock, Inc. and affiliated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BOLD: </w:t>
      </w:r>
      <w:r>
        <w:rPr>
          <w:rFonts w:ascii="Arial" w:cs="Arial" w:eastAsia="Arial" w:hAnsi="Arial"/>
          <w:sz w:val="18"/>
          <w:szCs w:val="18"/>
          <w:color w:val="auto"/>
        </w:rPr>
        <w:t>Black Organization for Leadership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BRG: </w:t>
      </w:r>
      <w:r>
        <w:rPr>
          <w:rFonts w:ascii="Arial" w:cs="Arial" w:eastAsia="Arial" w:hAnsi="Arial"/>
          <w:sz w:val="18"/>
          <w:szCs w:val="18"/>
          <w:color w:val="auto"/>
        </w:rPr>
        <w:t>Business resource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Principles: </w:t>
      </w:r>
      <w:r>
        <w:rPr>
          <w:rFonts w:ascii="Arial" w:cs="Arial" w:eastAsia="Arial" w:hAnsi="Arial"/>
          <w:sz w:val="18"/>
          <w:szCs w:val="18"/>
          <w:color w:val="auto"/>
        </w:rPr>
        <w:t>How We Do Business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BVPS: </w:t>
      </w:r>
      <w:r>
        <w:rPr>
          <w:rFonts w:ascii="Arial" w:cs="Arial" w:eastAsia="Arial" w:hAnsi="Arial"/>
          <w:sz w:val="18"/>
          <w:szCs w:val="18"/>
          <w:color w:val="auto"/>
        </w:rPr>
        <w:t>Book value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 </w:t>
      </w:r>
      <w:r>
        <w:rPr>
          <w:rFonts w:ascii="Arial" w:cs="Arial" w:eastAsia="Arial" w:hAnsi="Arial"/>
          <w:sz w:val="18"/>
          <w:szCs w:val="18"/>
          <w:color w:val="auto"/>
        </w:rPr>
        <w:t>Chase Advisory Panel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CB: </w:t>
      </w:r>
      <w:r>
        <w:rPr>
          <w:rFonts w:ascii="Arial" w:cs="Arial" w:eastAsia="Arial" w:hAnsi="Arial"/>
          <w:sz w:val="18"/>
          <w:szCs w:val="18"/>
          <w:color w:val="auto"/>
        </w:rPr>
        <w:t>Commercial Banking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CCAR: </w:t>
      </w:r>
      <w:r>
        <w:rPr>
          <w:rFonts w:ascii="Arial" w:cs="Arial" w:eastAsia="Arial" w:hAnsi="Arial"/>
          <w:sz w:val="18"/>
          <w:szCs w:val="18"/>
          <w:color w:val="auto"/>
        </w:rPr>
        <w:t>Comprehensive Capital Analysis and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CCB: </w:t>
      </w:r>
      <w:r>
        <w:rPr>
          <w:rFonts w:ascii="Arial" w:cs="Arial" w:eastAsia="Arial" w:hAnsi="Arial"/>
          <w:sz w:val="18"/>
          <w:szCs w:val="18"/>
          <w:color w:val="auto"/>
        </w:rPr>
        <w:t>Consumer &amp; Community Banking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CCT: </w:t>
      </w:r>
      <w:r>
        <w:rPr>
          <w:rFonts w:ascii="Arial" w:cs="Arial" w:eastAsia="Arial" w:hAnsi="Arial"/>
          <w:sz w:val="18"/>
          <w:szCs w:val="18"/>
          <w:color w:val="auto"/>
        </w:rPr>
        <w:t>Center for Carbon Transition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CD&amp;A: </w:t>
      </w:r>
      <w:r>
        <w:rPr>
          <w:rFonts w:ascii="Arial" w:cs="Arial" w:eastAsia="Arial" w:hAnsi="Arial"/>
          <w:sz w:val="18"/>
          <w:szCs w:val="18"/>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CET1: </w:t>
      </w:r>
      <w:r>
        <w:rPr>
          <w:rFonts w:ascii="Arial" w:cs="Arial" w:eastAsia="Arial" w:hAnsi="Arial"/>
          <w:sz w:val="18"/>
          <w:szCs w:val="18"/>
          <w:color w:val="auto"/>
        </w:rPr>
        <w:t>Common equity Tier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CFO: </w:t>
      </w:r>
      <w:r>
        <w:rPr>
          <w:rFonts w:ascii="Arial" w:cs="Arial" w:eastAsia="Arial" w:hAnsi="Arial"/>
          <w:sz w:val="18"/>
          <w:szCs w:val="18"/>
          <w:color w:val="auto"/>
        </w:rPr>
        <w:t>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CFTC: </w:t>
      </w:r>
      <w:r>
        <w:rPr>
          <w:rFonts w:ascii="Arial" w:cs="Arial" w:eastAsia="Arial" w:hAnsi="Arial"/>
          <w:sz w:val="18"/>
          <w:szCs w:val="18"/>
          <w:color w:val="auto"/>
        </w:rPr>
        <w:t>Commodity Futures Trading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CIB: </w:t>
      </w:r>
      <w:r>
        <w:rPr>
          <w:rFonts w:ascii="Arial" w:cs="Arial" w:eastAsia="Arial" w:hAnsi="Arial"/>
          <w:sz w:val="18"/>
          <w:szCs w:val="18"/>
          <w:color w:val="auto"/>
        </w:rPr>
        <w:t>Corporate &amp; Investment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CMDC: </w:t>
      </w:r>
      <w:r>
        <w:rPr>
          <w:rFonts w:ascii="Arial" w:cs="Arial" w:eastAsia="Arial" w:hAnsi="Arial"/>
          <w:sz w:val="18"/>
          <w:szCs w:val="18"/>
          <w:color w:val="auto"/>
        </w:rPr>
        <w:t>Compensation &amp; Management Development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COO: </w:t>
      </w:r>
      <w:r>
        <w:rPr>
          <w:rFonts w:ascii="Arial" w:cs="Arial" w:eastAsia="Arial" w:hAnsi="Arial"/>
          <w:sz w:val="18"/>
          <w:szCs w:val="18"/>
          <w:color w:val="auto"/>
        </w:rPr>
        <w:t>Chief Operating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DEI: </w:t>
      </w:r>
      <w:r>
        <w:rPr>
          <w:rFonts w:ascii="Arial" w:cs="Arial" w:eastAsia="Arial" w:hAnsi="Arial"/>
          <w:sz w:val="18"/>
          <w:szCs w:val="18"/>
          <w:color w:val="auto"/>
        </w:rPr>
        <w:t>Diversity, equity and inclusion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Designated Employees: </w:t>
      </w:r>
      <w:r>
        <w:rPr>
          <w:rFonts w:ascii="Arial" w:cs="Arial" w:eastAsia="Arial" w:hAnsi="Arial"/>
          <w:sz w:val="18"/>
          <w:szCs w:val="18"/>
          <w:color w:val="auto"/>
        </w:rPr>
        <w:t>Tier 1 Employees, Identified Staff,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employees who are material risk-takers identified under other similar standards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ESG: </w:t>
      </w:r>
      <w:r>
        <w:rPr>
          <w:rFonts w:ascii="Arial" w:cs="Arial" w:eastAsia="Arial" w:hAnsi="Arial"/>
          <w:sz w:val="18"/>
          <w:szCs w:val="18"/>
          <w:color w:val="auto"/>
        </w:rPr>
        <w:t>Environmental, social and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E.U.: </w:t>
      </w:r>
      <w:r>
        <w:rPr>
          <w:rFonts w:ascii="Arial" w:cs="Arial" w:eastAsia="Arial" w:hAnsi="Arial"/>
          <w:sz w:val="18"/>
          <w:szCs w:val="18"/>
          <w:color w:val="auto"/>
        </w:rPr>
        <w:t>European Union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FDIC: </w:t>
      </w:r>
      <w:r>
        <w:rPr>
          <w:rFonts w:ascii="Arial" w:cs="Arial" w:eastAsia="Arial" w:hAnsi="Arial"/>
          <w:sz w:val="18"/>
          <w:szCs w:val="18"/>
          <w:color w:val="auto"/>
        </w:rPr>
        <w:t>Federal Deposit Insurance Corporation</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 xml:space="preserve">Federal Reserve: </w:t>
      </w:r>
      <w:r>
        <w:rPr>
          <w:rFonts w:ascii="Arial" w:cs="Arial" w:eastAsia="Arial" w:hAnsi="Arial"/>
          <w:sz w:val="18"/>
          <w:szCs w:val="18"/>
          <w:color w:val="auto"/>
        </w:rPr>
        <w:t>Board of Governors of the Federal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System</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Firm: </w:t>
      </w:r>
      <w:r>
        <w:rPr>
          <w:rFonts w:ascii="Arial" w:cs="Arial" w:eastAsia="Arial" w:hAnsi="Arial"/>
          <w:sz w:val="18"/>
          <w:szCs w:val="18"/>
          <w:color w:val="auto"/>
        </w:rPr>
        <w:t>JPMorgan Chase &amp;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GFANZ: </w:t>
      </w:r>
      <w:r>
        <w:rPr>
          <w:rFonts w:ascii="Arial" w:cs="Arial" w:eastAsia="Arial" w:hAnsi="Arial"/>
          <w:sz w:val="18"/>
          <w:szCs w:val="18"/>
          <w:color w:val="auto"/>
        </w:rPr>
        <w:t>Glasgow Financial Alliance for Net Zero</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 xml:space="preserve">Governance Committee: </w:t>
      </w:r>
      <w:r>
        <w:rPr>
          <w:rFonts w:ascii="Arial" w:cs="Arial" w:eastAsia="Arial" w:hAnsi="Arial"/>
          <w:sz w:val="18"/>
          <w:szCs w:val="18"/>
          <w:color w:val="auto"/>
        </w:rPr>
        <w:t>Corporate Governance &amp; Nominating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Governance Principles: </w:t>
      </w:r>
      <w:r>
        <w:rPr>
          <w:rFonts w:ascii="Arial" w:cs="Arial" w:eastAsia="Arial" w:hAnsi="Arial"/>
          <w:sz w:val="18"/>
          <w:szCs w:val="18"/>
          <w:color w:val="auto"/>
        </w:rPr>
        <w:t>Corporate Governance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HR: </w:t>
      </w:r>
      <w:r>
        <w:rPr>
          <w:rFonts w:ascii="Arial" w:cs="Arial" w:eastAsia="Arial" w:hAnsi="Arial"/>
          <w:sz w:val="18"/>
          <w:szCs w:val="18"/>
          <w:color w:val="auto"/>
        </w:rPr>
        <w:t>Human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IB: </w:t>
      </w:r>
      <w:r>
        <w:rPr>
          <w:rFonts w:ascii="Arial" w:cs="Arial" w:eastAsia="Arial" w:hAnsi="Arial"/>
          <w:sz w:val="18"/>
          <w:szCs w:val="18"/>
          <w:color w:val="auto"/>
        </w:rPr>
        <w:t>Investment Banking</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Identified Staff: </w:t>
      </w:r>
      <w:r>
        <w:rPr>
          <w:rFonts w:ascii="Arial" w:cs="Arial" w:eastAsia="Arial" w:hAnsi="Arial"/>
          <w:sz w:val="18"/>
          <w:szCs w:val="18"/>
          <w:color w:val="auto"/>
        </w:rPr>
        <w:t>Employees who are material risk-takers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U.K. and/or European Union standards</w:t>
      </w:r>
    </w:p>
    <w:p>
      <w:pPr>
        <w:spacing w:after="0" w:line="4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 xml:space="preserve">IHC: </w:t>
      </w:r>
      <w:r>
        <w:rPr>
          <w:rFonts w:ascii="Arial" w:cs="Arial" w:eastAsia="Arial" w:hAnsi="Arial"/>
          <w:sz w:val="18"/>
          <w:szCs w:val="18"/>
          <w:color w:val="auto"/>
        </w:rPr>
        <w:t>JPMorgan Chase Holdings LLC, an intermediate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JPMorgan Chase: </w:t>
      </w:r>
      <w:r>
        <w:rPr>
          <w:rFonts w:ascii="Arial" w:cs="Arial" w:eastAsia="Arial" w:hAnsi="Arial"/>
          <w:sz w:val="18"/>
          <w:szCs w:val="18"/>
          <w:color w:val="auto"/>
        </w:rPr>
        <w:t>JPMorgan Chase &amp;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JPM DFI: </w:t>
      </w:r>
      <w:r>
        <w:rPr>
          <w:rFonts w:ascii="Arial" w:cs="Arial" w:eastAsia="Arial" w:hAnsi="Arial"/>
          <w:sz w:val="18"/>
          <w:szCs w:val="18"/>
          <w:color w:val="auto"/>
        </w:rPr>
        <w:t>J.P. Morgan Development Finance Institution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LGBT+: </w:t>
      </w:r>
      <w:r>
        <w:rPr>
          <w:rFonts w:ascii="Arial" w:cs="Arial" w:eastAsia="Arial" w:hAnsi="Arial"/>
          <w:sz w:val="18"/>
          <w:szCs w:val="18"/>
          <w:color w:val="auto"/>
        </w:rPr>
        <w:t>Lesbian, Gay, Bisexual, Transgender 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LOB: </w:t>
      </w:r>
      <w:r>
        <w:rPr>
          <w:rFonts w:ascii="Arial" w:cs="Arial" w:eastAsia="Arial" w:hAnsi="Arial"/>
          <w:sz w:val="18"/>
          <w:szCs w:val="18"/>
          <w:color w:val="auto"/>
        </w:rPr>
        <w:t>Line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MVA: </w:t>
      </w:r>
      <w:r>
        <w:rPr>
          <w:rFonts w:ascii="Arial" w:cs="Arial" w:eastAsia="Arial" w:hAnsi="Arial"/>
          <w:sz w:val="18"/>
          <w:szCs w:val="18"/>
          <w:color w:val="auto"/>
        </w:rPr>
        <w:t>Office of Military and Veterans Affairs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NEO: </w:t>
      </w:r>
      <w:r>
        <w:rPr>
          <w:rFonts w:ascii="Arial" w:cs="Arial" w:eastAsia="Arial" w:hAnsi="Arial"/>
          <w:sz w:val="18"/>
          <w:szCs w:val="18"/>
          <w:color w:val="auto"/>
        </w:rPr>
        <w:t>Named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 of Internet Availability of Proxy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NYSE: </w:t>
      </w:r>
      <w:r>
        <w:rPr>
          <w:rFonts w:ascii="Arial" w:cs="Arial" w:eastAsia="Arial" w:hAnsi="Arial"/>
          <w:sz w:val="18"/>
          <w:szCs w:val="18"/>
          <w:color w:val="auto"/>
        </w:rPr>
        <w:t>New York Stock Exchange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NZBA: </w:t>
      </w:r>
      <w:r>
        <w:rPr>
          <w:rFonts w:ascii="Arial" w:cs="Arial" w:eastAsia="Arial" w:hAnsi="Arial"/>
          <w:sz w:val="18"/>
          <w:szCs w:val="18"/>
          <w:color w:val="auto"/>
        </w:rPr>
        <w:t>Net Zero Banking Alliance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OC: </w:t>
      </w:r>
      <w:r>
        <w:rPr>
          <w:rFonts w:ascii="Arial" w:cs="Arial" w:eastAsia="Arial" w:hAnsi="Arial"/>
          <w:sz w:val="18"/>
          <w:szCs w:val="18"/>
          <w:color w:val="auto"/>
        </w:rPr>
        <w:t>Operating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ODI: </w:t>
      </w:r>
      <w:r>
        <w:rPr>
          <w:rFonts w:ascii="Arial" w:cs="Arial" w:eastAsia="Arial" w:hAnsi="Arial"/>
          <w:sz w:val="18"/>
          <w:szCs w:val="18"/>
          <w:color w:val="auto"/>
        </w:rPr>
        <w:t>Office of Disability Inclusion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PAC: </w:t>
      </w:r>
      <w:r>
        <w:rPr>
          <w:rFonts w:ascii="Arial" w:cs="Arial" w:eastAsia="Arial" w:hAnsi="Arial"/>
          <w:sz w:val="18"/>
          <w:szCs w:val="18"/>
          <w:color w:val="auto"/>
        </w:rPr>
        <w:t>Political Action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PCAOB: </w:t>
      </w:r>
      <w:r>
        <w:rPr>
          <w:rFonts w:ascii="Arial" w:cs="Arial" w:eastAsia="Arial" w:hAnsi="Arial"/>
          <w:sz w:val="18"/>
          <w:szCs w:val="18"/>
          <w:color w:val="auto"/>
        </w:rPr>
        <w:t>Public Company Accounting Oversight Board</w:t>
      </w:r>
    </w:p>
    <w:p>
      <w:pPr>
        <w:spacing w:after="0" w:line="117" w:lineRule="exact"/>
        <w:rPr>
          <w:sz w:val="20"/>
          <w:szCs w:val="20"/>
          <w:color w:val="auto"/>
        </w:rPr>
      </w:pPr>
    </w:p>
    <w:p>
      <w:pPr>
        <w:ind w:right="2420" w:firstLine="4"/>
        <w:spacing w:after="0" w:line="397" w:lineRule="auto"/>
        <w:tabs>
          <w:tab w:leader="none" w:pos="470" w:val="left"/>
        </w:tabs>
        <w:numPr>
          <w:ilvl w:val="0"/>
          <w:numId w:val="308"/>
        </w:numPr>
        <w:rPr>
          <w:rFonts w:ascii="Arial" w:cs="Arial" w:eastAsia="Arial" w:hAnsi="Arial"/>
          <w:sz w:val="17"/>
          <w:szCs w:val="17"/>
          <w:b w:val="1"/>
          <w:bCs w:val="1"/>
          <w:color w:val="auto"/>
        </w:rPr>
      </w:pPr>
      <w:r>
        <w:rPr>
          <w:rFonts w:ascii="Arial" w:cs="Arial" w:eastAsia="Arial" w:hAnsi="Arial"/>
          <w:sz w:val="17"/>
          <w:szCs w:val="17"/>
          <w:color w:val="auto"/>
        </w:rPr>
        <w:t xml:space="preserve">Paycheck Protection Program </w:t>
      </w:r>
      <w:r>
        <w:rPr>
          <w:rFonts w:ascii="Arial" w:cs="Arial" w:eastAsia="Arial" w:hAnsi="Arial"/>
          <w:sz w:val="17"/>
          <w:szCs w:val="17"/>
          <w:b w:val="1"/>
          <w:bCs w:val="1"/>
          <w:color w:val="auto"/>
        </w:rPr>
        <w:t xml:space="preserve">PRC: </w:t>
      </w:r>
      <w:r>
        <w:rPr>
          <w:rFonts w:ascii="Arial" w:cs="Arial" w:eastAsia="Arial" w:hAnsi="Arial"/>
          <w:sz w:val="17"/>
          <w:szCs w:val="17"/>
          <w:color w:val="auto"/>
        </w:rPr>
        <w:t>Public Responsibility Committee</w:t>
      </w:r>
      <w:r>
        <w:rPr>
          <w:rFonts w:ascii="Arial" w:cs="Arial" w:eastAsia="Arial" w:hAnsi="Arial"/>
          <w:sz w:val="17"/>
          <w:szCs w:val="17"/>
          <w:b w:val="1"/>
          <w:bCs w:val="1"/>
          <w:color w:val="auto"/>
        </w:rPr>
        <w:t xml:space="preserve"> PSU: </w:t>
      </w:r>
      <w:r>
        <w:rPr>
          <w:rFonts w:ascii="Arial" w:cs="Arial" w:eastAsia="Arial" w:hAnsi="Arial"/>
          <w:sz w:val="17"/>
          <w:szCs w:val="17"/>
          <w:color w:val="auto"/>
        </w:rPr>
        <w:t>Performance share unit</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PwC: </w:t>
      </w:r>
      <w:r>
        <w:rPr>
          <w:rFonts w:ascii="Arial" w:cs="Arial" w:eastAsia="Arial" w:hAnsi="Arial"/>
          <w:sz w:val="18"/>
          <w:szCs w:val="18"/>
          <w:color w:val="auto"/>
        </w:rPr>
        <w:t>PricewaterhouseCoopers LLP</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ROE: </w:t>
      </w:r>
      <w:r>
        <w:rPr>
          <w:rFonts w:ascii="Arial" w:cs="Arial" w:eastAsia="Arial" w:hAnsi="Arial"/>
          <w:sz w:val="18"/>
          <w:szCs w:val="18"/>
          <w:color w:val="auto"/>
        </w:rPr>
        <w:t>Return on common equity</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ROTCE: </w:t>
      </w:r>
      <w:r>
        <w:rPr>
          <w:rFonts w:ascii="Arial" w:cs="Arial" w:eastAsia="Arial" w:hAnsi="Arial"/>
          <w:sz w:val="18"/>
          <w:szCs w:val="18"/>
          <w:color w:val="auto"/>
        </w:rPr>
        <w:t>Return on tangible common equity</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Restricted stock unit</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SAR: </w:t>
      </w:r>
      <w:r>
        <w:rPr>
          <w:rFonts w:ascii="Arial" w:cs="Arial" w:eastAsia="Arial" w:hAnsi="Arial"/>
          <w:sz w:val="18"/>
          <w:szCs w:val="18"/>
          <w:color w:val="auto"/>
        </w:rPr>
        <w:t>Stock appreciation rights</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SBA: </w:t>
      </w:r>
      <w:r>
        <w:rPr>
          <w:rFonts w:ascii="Arial" w:cs="Arial" w:eastAsia="Arial" w:hAnsi="Arial"/>
          <w:sz w:val="18"/>
          <w:szCs w:val="18"/>
          <w:color w:val="auto"/>
        </w:rPr>
        <w:t>Small Business Administration</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SCT: </w:t>
      </w:r>
      <w:r>
        <w:rPr>
          <w:rFonts w:ascii="Arial" w:cs="Arial" w:eastAsia="Arial" w:hAnsi="Arial"/>
          <w:sz w:val="18"/>
          <w:szCs w:val="18"/>
          <w:color w:val="auto"/>
        </w:rPr>
        <w:t>Summary compensation table</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SDG: </w:t>
      </w:r>
      <w:r>
        <w:rPr>
          <w:rFonts w:ascii="Arial" w:cs="Arial" w:eastAsia="Arial" w:hAnsi="Arial"/>
          <w:sz w:val="18"/>
          <w:szCs w:val="18"/>
          <w:color w:val="auto"/>
        </w:rPr>
        <w:t>United Nations Sustainable Development Goals</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United States Securities and Exchange Commission</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TBVPS: </w:t>
      </w:r>
      <w:r>
        <w:rPr>
          <w:rFonts w:ascii="Arial" w:cs="Arial" w:eastAsia="Arial" w:hAnsi="Arial"/>
          <w:sz w:val="18"/>
          <w:szCs w:val="18"/>
          <w:color w:val="auto"/>
        </w:rPr>
        <w:t>Tangible book value per share</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T4SG: </w:t>
      </w:r>
      <w:r>
        <w:rPr>
          <w:rFonts w:ascii="Arial" w:cs="Arial" w:eastAsia="Arial" w:hAnsi="Arial"/>
          <w:sz w:val="18"/>
          <w:szCs w:val="18"/>
          <w:color w:val="auto"/>
        </w:rPr>
        <w:t>Tech for Social Good</w:t>
      </w:r>
    </w:p>
    <w:p>
      <w:pPr>
        <w:spacing w:after="0" w:line="200" w:lineRule="exact"/>
        <w:rPr>
          <w:sz w:val="20"/>
          <w:szCs w:val="20"/>
          <w:color w:val="auto"/>
        </w:rPr>
      </w:pPr>
    </w:p>
    <w:p>
      <w:pPr>
        <w:sectPr>
          <w:pgSz w:w="11900" w:h="16838" w:orient="portrait"/>
          <w:cols w:equalWidth="0" w:num="2">
            <w:col w:w="5340" w:space="400"/>
            <w:col w:w="5480"/>
          </w:cols>
          <w:pgMar w:left="320" w:top="157" w:right="359" w:bottom="1440" w:gutter="0" w:footer="0" w:header="0"/>
          <w:type w:val="continuous"/>
        </w:sect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2022 PROXY STATEMENT</w:t>
            </w:r>
          </w:p>
        </w:tc>
        <w:tc>
          <w:tcPr>
            <w:tcW w:w="0" w:type="dxa"/>
            <w:vAlign w:val="bottom"/>
          </w:tcPr>
          <w:p>
            <w:pPr>
              <w:spacing w:after="0"/>
              <w:rPr>
                <w:sz w:val="1"/>
                <w:szCs w:val="1"/>
                <w:color w:val="auto"/>
              </w:rPr>
            </w:pPr>
          </w:p>
        </w:tc>
      </w:tr>
      <w:tr>
        <w:trPr>
          <w:trHeight w:val="95"/>
        </w:trPr>
        <w:tc>
          <w:tcPr>
            <w:tcW w:w="1920" w:type="dxa"/>
            <w:vAlign w:val="bottom"/>
            <w:vMerge w:val="continue"/>
          </w:tcPr>
          <w:p>
            <w:pPr>
              <w:spacing w:after="0"/>
              <w:rPr>
                <w:sz w:val="8"/>
                <w:szCs w:val="8"/>
                <w:color w:val="auto"/>
              </w:rPr>
            </w:pPr>
          </w:p>
        </w:tc>
        <w:tc>
          <w:tcPr>
            <w:tcW w:w="3480" w:type="dxa"/>
            <w:vAlign w:val="bottom"/>
            <w:tcBorders>
              <w:right w:val="single" w:sz="8" w:color="8A8C8F"/>
            </w:tcBorders>
          </w:tcPr>
          <w:p>
            <w:pPr>
              <w:spacing w:after="0"/>
              <w:rPr>
                <w:sz w:val="8"/>
                <w:szCs w:val="8"/>
                <w:color w:val="auto"/>
              </w:rPr>
            </w:pPr>
          </w:p>
        </w:tc>
        <w:tc>
          <w:tcPr>
            <w:tcW w:w="420" w:type="dxa"/>
            <w:vAlign w:val="bottom"/>
            <w:tcBorders>
              <w:bottom w:val="single" w:sz="8" w:color="8A8C8F"/>
              <w:right w:val="single" w:sz="8" w:color="8A8C8F"/>
            </w:tcBorders>
            <w:vMerge w:val="continue"/>
          </w:tcPr>
          <w:p>
            <w:pPr>
              <w:spacing w:after="0"/>
              <w:rPr>
                <w:sz w:val="8"/>
                <w:szCs w:val="8"/>
                <w:color w:val="auto"/>
              </w:rPr>
            </w:pPr>
          </w:p>
        </w:tc>
        <w:tc>
          <w:tcPr>
            <w:tcW w:w="34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7" w:right="359"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TCE: </w:t>
      </w:r>
      <w:r>
        <w:rPr>
          <w:rFonts w:ascii="Arial" w:cs="Arial" w:eastAsia="Arial" w:hAnsi="Arial"/>
          <w:sz w:val="18"/>
          <w:szCs w:val="18"/>
          <w:color w:val="auto"/>
        </w:rPr>
        <w:t>Tangible common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TCFD: </w:t>
      </w:r>
      <w:r>
        <w:rPr>
          <w:rFonts w:ascii="Arial" w:cs="Arial" w:eastAsia="Arial" w:hAnsi="Arial"/>
          <w:sz w:val="18"/>
          <w:szCs w:val="18"/>
          <w:color w:val="auto"/>
        </w:rPr>
        <w:t>Task Force on Climate-related Financial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TCJA: </w:t>
      </w:r>
      <w:r>
        <w:rPr>
          <w:rFonts w:ascii="Arial" w:cs="Arial" w:eastAsia="Arial" w:hAnsi="Arial"/>
          <w:sz w:val="18"/>
          <w:szCs w:val="18"/>
          <w:color w:val="auto"/>
        </w:rPr>
        <w:t>Tax Cuts and Jobs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Tier 1 Employees: </w:t>
      </w:r>
      <w:r>
        <w:rPr>
          <w:rFonts w:ascii="Arial" w:cs="Arial" w:eastAsia="Arial" w:hAnsi="Arial"/>
          <w:sz w:val="18"/>
          <w:szCs w:val="18"/>
          <w:color w:val="auto"/>
        </w:rPr>
        <w:t>Employees who are material risk-takers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identified under Federal Reserve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Total shareholder return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U.K.: </w:t>
      </w: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GAAP: </w:t>
      </w:r>
      <w:r>
        <w:rPr>
          <w:rFonts w:ascii="Arial" w:cs="Arial" w:eastAsia="Arial" w:hAnsi="Arial"/>
          <w:sz w:val="18"/>
          <w:szCs w:val="18"/>
          <w:color w:val="auto"/>
        </w:rPr>
        <w:t>Accounting principles generally accepted in the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Vanguard: </w:t>
      </w:r>
      <w:r>
        <w:rPr>
          <w:rFonts w:ascii="Arial" w:cs="Arial" w:eastAsia="Arial" w:hAnsi="Arial"/>
          <w:sz w:val="18"/>
          <w:szCs w:val="18"/>
          <w:color w:val="auto"/>
        </w:rPr>
        <w:t>The Vanguard Group and affiliated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VETS: </w:t>
      </w:r>
      <w:r>
        <w:rPr>
          <w:rFonts w:ascii="Arial" w:cs="Arial" w:eastAsia="Arial" w:hAnsi="Arial"/>
          <w:sz w:val="18"/>
          <w:szCs w:val="18"/>
          <w:color w:val="auto"/>
        </w:rPr>
        <w:t>Voices for Employees that 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WOTM: </w:t>
      </w:r>
      <w:r>
        <w:rPr>
          <w:rFonts w:ascii="Arial" w:cs="Arial" w:eastAsia="Arial" w:hAnsi="Arial"/>
          <w:sz w:val="18"/>
          <w:szCs w:val="18"/>
          <w:color w:val="auto"/>
        </w:rPr>
        <w:t>Women on the 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283210</wp:posOffset>
            </wp:positionV>
            <wp:extent cx="27432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2022 PROXY STATEMENT  </w:t>
      </w:r>
      <w:r>
        <w:rPr>
          <w:sz w:val="1"/>
          <w:szCs w:val="1"/>
          <w:color w:val="auto"/>
        </w:rPr>
        <w:drawing>
          <wp:inline distT="0" distB="0" distL="0" distR="0">
            <wp:extent cx="2211705" cy="154305"/>
            <wp:effectExtent l="0" t="0" r="0" b="0"/>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113 </w:t>
      </w:r>
      <w:r>
        <w:rPr>
          <w:sz w:val="1"/>
          <w:szCs w:val="1"/>
          <w:color w:val="auto"/>
        </w:rPr>
        <w:drawing>
          <wp:inline distT="0" distB="0" distL="0" distR="0">
            <wp:extent cx="2203450" cy="154305"/>
            <wp:effectExtent l="0" t="0" r="0" b="0"/>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5351780</wp:posOffset>
            </wp:positionH>
            <wp:positionV relativeFrom="page">
              <wp:posOffset>8747125</wp:posOffset>
            </wp:positionV>
            <wp:extent cx="1457325" cy="6686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hanging="114"/>
        <w:spacing w:after="0"/>
        <w:tabs>
          <w:tab w:leader="none" w:pos="120" w:val="left"/>
        </w:tabs>
        <w:numPr>
          <w:ilvl w:val="0"/>
          <w:numId w:val="309"/>
        </w:numPr>
        <w:rPr>
          <w:rFonts w:ascii="Arial" w:cs="Arial" w:eastAsia="Arial" w:hAnsi="Arial"/>
          <w:sz w:val="23"/>
          <w:szCs w:val="23"/>
          <w:color w:val="auto"/>
          <w:vertAlign w:val="superscript"/>
        </w:rPr>
      </w:pPr>
      <w:r>
        <w:rPr>
          <w:rFonts w:ascii="Arial" w:cs="Arial" w:eastAsia="Arial" w:hAnsi="Arial"/>
          <w:sz w:val="18"/>
          <w:szCs w:val="18"/>
          <w:color w:val="auto"/>
        </w:rPr>
        <w:t>2022 JPMorgan Chase &amp; Co. All rights reserved.</w:t>
      </w:r>
    </w:p>
    <w:p>
      <w:pPr>
        <w:spacing w:after="0"/>
        <w:rPr>
          <w:sz w:val="20"/>
          <w:szCs w:val="20"/>
          <w:color w:val="auto"/>
        </w:rPr>
      </w:pPr>
      <w:r>
        <w:rPr>
          <w:rFonts w:ascii="Arial" w:cs="Arial" w:eastAsia="Arial" w:hAnsi="Arial"/>
          <w:sz w:val="18"/>
          <w:szCs w:val="18"/>
          <w:color w:val="auto"/>
        </w:rPr>
        <w:t>Printed in U.S.A. on paper that contains recycled fiber with soy ink.</w:t>
      </w:r>
    </w:p>
    <w:p>
      <w:pPr>
        <w:sectPr>
          <w:pgSz w:w="11900" w:h="16838" w:orient="portrait"/>
          <w:cols w:equalWidth="0" w:num="1">
            <w:col w:w="10119"/>
          </w:cols>
          <w:pgMar w:left="340" w:top="1440"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20"/>
                <w:szCs w:val="20"/>
                <w:color w:val="auto"/>
              </w:rPr>
            </w:pPr>
            <w:r>
              <w:rPr>
                <w:rFonts w:ascii="Arial" w:cs="Arial" w:eastAsia="Arial" w:hAnsi="Arial"/>
                <w:sz w:val="18"/>
                <w:szCs w:val="18"/>
                <w:color w:val="auto"/>
              </w:rPr>
              <w:t>COMPUTERSHARE</w:t>
            </w: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rPr>
              <w:t>P.O. Box 505000</w:t>
            </w:r>
          </w:p>
        </w:tc>
        <w:tc>
          <w:tcPr>
            <w:tcW w:w="60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VOTE BY INTERNET</w:t>
            </w:r>
          </w:p>
        </w:tc>
        <w:tc>
          <w:tcPr>
            <w:tcW w:w="0" w:type="dxa"/>
            <w:vAlign w:val="bottom"/>
          </w:tcPr>
          <w:p>
            <w:pPr>
              <w:spacing w:after="0"/>
              <w:rPr>
                <w:sz w:val="1"/>
                <w:szCs w:val="1"/>
                <w:color w:val="auto"/>
              </w:rPr>
            </w:pPr>
          </w:p>
        </w:tc>
      </w:tr>
      <w:tr>
        <w:trPr>
          <w:trHeight w:val="94"/>
        </w:trPr>
        <w:tc>
          <w:tcPr>
            <w:tcW w:w="5120" w:type="dxa"/>
            <w:vAlign w:val="bottom"/>
            <w:vMerge w:val="restart"/>
          </w:tcPr>
          <w:p>
            <w:pPr>
              <w:spacing w:after="0"/>
              <w:rPr>
                <w:sz w:val="20"/>
                <w:szCs w:val="20"/>
                <w:color w:val="auto"/>
              </w:rPr>
            </w:pPr>
            <w:r>
              <w:rPr>
                <w:rFonts w:ascii="Arial" w:cs="Arial" w:eastAsia="Arial" w:hAnsi="Arial"/>
                <w:sz w:val="18"/>
                <w:szCs w:val="18"/>
                <w:color w:val="auto"/>
              </w:rPr>
              <w:t>Louisville, KY 40233</w:t>
            </w: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120" w:type="dxa"/>
            <w:vAlign w:val="bottom"/>
            <w:vMerge w:val="continue"/>
          </w:tcPr>
          <w:p>
            <w:pPr>
              <w:spacing w:after="0"/>
              <w:rPr>
                <w:sz w:val="12"/>
                <w:szCs w:val="12"/>
                <w:color w:val="auto"/>
              </w:rPr>
            </w:pPr>
          </w:p>
        </w:tc>
        <w:tc>
          <w:tcPr>
            <w:tcW w:w="6080" w:type="dxa"/>
            <w:vAlign w:val="bottom"/>
            <w:vMerge w:val="restart"/>
          </w:tcPr>
          <w:p>
            <w:pPr>
              <w:ind w:left="140"/>
              <w:spacing w:after="0"/>
              <w:rPr>
                <w:sz w:val="20"/>
                <w:szCs w:val="20"/>
                <w:color w:val="auto"/>
              </w:rPr>
            </w:pPr>
            <w:r>
              <w:rPr>
                <w:rFonts w:ascii="Arial" w:cs="Arial" w:eastAsia="Arial" w:hAnsi="Arial"/>
                <w:sz w:val="16"/>
                <w:szCs w:val="16"/>
                <w:i w:val="1"/>
                <w:iCs w:val="1"/>
                <w:color w:val="auto"/>
              </w:rPr>
              <w:t xml:space="preserve">Before The Meeting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Go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www.proxyvote.com or scan the QR code above</w:t>
            </w:r>
          </w:p>
        </w:tc>
        <w:tc>
          <w:tcPr>
            <w:tcW w:w="0" w:type="dxa"/>
            <w:vAlign w:val="bottom"/>
          </w:tcPr>
          <w:p>
            <w:pPr>
              <w:spacing w:after="0"/>
              <w:rPr>
                <w:sz w:val="1"/>
                <w:szCs w:val="1"/>
                <w:color w:val="auto"/>
              </w:rPr>
            </w:pPr>
          </w:p>
        </w:tc>
      </w:tr>
      <w:tr>
        <w:trPr>
          <w:trHeight w:val="72"/>
        </w:trPr>
        <w:tc>
          <w:tcPr>
            <w:tcW w:w="5120" w:type="dxa"/>
            <w:vAlign w:val="bottom"/>
          </w:tcPr>
          <w:p>
            <w:pPr>
              <w:spacing w:after="0"/>
              <w:rPr>
                <w:sz w:val="6"/>
                <w:szCs w:val="6"/>
                <w:color w:val="auto"/>
              </w:rPr>
            </w:pPr>
          </w:p>
        </w:tc>
        <w:tc>
          <w:tcPr>
            <w:tcW w:w="6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3"/>
                <w:szCs w:val="13"/>
                <w:color w:val="auto"/>
              </w:rPr>
              <w:t>Use the Internet to transmit your voting instructions and for electronic delivery of information up</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3"/>
                <w:szCs w:val="13"/>
                <w:color w:val="auto"/>
              </w:rPr>
              <w:t>until 11:59 P.M. Eastern Time the day before the meeting date. Have your proxy card in hand when</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3"/>
                <w:szCs w:val="13"/>
                <w:color w:val="auto"/>
              </w:rPr>
              <w:t>you access the website and follow the instructions to obtain your records and to create an</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electronic voting instruction form.</w:t>
            </w:r>
          </w:p>
        </w:tc>
        <w:tc>
          <w:tcPr>
            <w:tcW w:w="0" w:type="dxa"/>
            <w:vAlign w:val="bottom"/>
          </w:tcPr>
          <w:p>
            <w:pPr>
              <w:spacing w:after="0"/>
              <w:rPr>
                <w:sz w:val="1"/>
                <w:szCs w:val="1"/>
                <w:color w:val="auto"/>
              </w:rPr>
            </w:pPr>
          </w:p>
        </w:tc>
      </w:tr>
      <w:tr>
        <w:trPr>
          <w:trHeight w:val="226"/>
        </w:trPr>
        <w:tc>
          <w:tcPr>
            <w:tcW w:w="512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Arial" w:cs="Arial" w:eastAsia="Arial" w:hAnsi="Arial"/>
                <w:sz w:val="16"/>
                <w:szCs w:val="16"/>
                <w:i w:val="1"/>
                <w:iCs w:val="1"/>
                <w:color w:val="auto"/>
              </w:rPr>
              <w:t>During the Meeting - Go to www.virtualshareholdermeeting.com/JPM2022</w:t>
            </w:r>
          </w:p>
        </w:tc>
        <w:tc>
          <w:tcPr>
            <w:tcW w:w="0" w:type="dxa"/>
            <w:vAlign w:val="bottom"/>
          </w:tcPr>
          <w:p>
            <w:pPr>
              <w:spacing w:after="0"/>
              <w:rPr>
                <w:sz w:val="1"/>
                <w:szCs w:val="1"/>
                <w:color w:val="auto"/>
              </w:rPr>
            </w:pPr>
          </w:p>
        </w:tc>
      </w:tr>
      <w:tr>
        <w:trPr>
          <w:trHeight w:val="165"/>
        </w:trPr>
        <w:tc>
          <w:tcPr>
            <w:tcW w:w="5120" w:type="dxa"/>
            <w:vAlign w:val="bottom"/>
          </w:tcPr>
          <w:p>
            <w:pPr>
              <w:spacing w:after="0"/>
              <w:rPr>
                <w:sz w:val="14"/>
                <w:szCs w:val="14"/>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You may attend the meeting via the Internet and vote during the meeting. Have the information that</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is printed in the box marked by the arrow available and follow the instructions.</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6080" w:type="dxa"/>
            <w:vAlign w:val="bottom"/>
          </w:tcPr>
          <w:p>
            <w:pPr>
              <w:ind w:left="140"/>
              <w:spacing w:after="0"/>
              <w:rPr>
                <w:sz w:val="20"/>
                <w:szCs w:val="20"/>
                <w:color w:val="auto"/>
              </w:rPr>
            </w:pPr>
            <w:r>
              <w:rPr>
                <w:rFonts w:ascii="Arial" w:cs="Arial" w:eastAsia="Arial" w:hAnsi="Arial"/>
                <w:sz w:val="16"/>
                <w:szCs w:val="16"/>
                <w:b w:val="1"/>
                <w:bCs w:val="1"/>
                <w:color w:val="auto"/>
              </w:rPr>
              <w:t>VOTE BY PHONE — 1-800-690-6903</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3"/>
                <w:szCs w:val="13"/>
                <w:color w:val="auto"/>
              </w:rPr>
              <w:t>Use any touch-tone telephone to transmit your voting instructions up until 11:59 P.M. Eastern Time</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3"/>
                <w:szCs w:val="13"/>
                <w:color w:val="auto"/>
              </w:rPr>
              <w:t>the day before the meeting date. Have your proxy card in hand when you call and then follow the</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instructions.</w:t>
            </w:r>
          </w:p>
        </w:tc>
        <w:tc>
          <w:tcPr>
            <w:tcW w:w="0" w:type="dxa"/>
            <w:vAlign w:val="bottom"/>
          </w:tcPr>
          <w:p>
            <w:pPr>
              <w:spacing w:after="0"/>
              <w:rPr>
                <w:sz w:val="1"/>
                <w:szCs w:val="1"/>
                <w:color w:val="auto"/>
              </w:rPr>
            </w:pPr>
          </w:p>
        </w:tc>
      </w:tr>
      <w:tr>
        <w:trPr>
          <w:trHeight w:val="248"/>
        </w:trPr>
        <w:tc>
          <w:tcPr>
            <w:tcW w:w="5120" w:type="dxa"/>
            <w:vAlign w:val="bottom"/>
          </w:tcPr>
          <w:p>
            <w:pPr>
              <w:spacing w:after="0"/>
              <w:rPr>
                <w:sz w:val="21"/>
                <w:szCs w:val="21"/>
                <w:color w:val="auto"/>
              </w:rPr>
            </w:pPr>
          </w:p>
        </w:tc>
        <w:tc>
          <w:tcPr>
            <w:tcW w:w="6080" w:type="dxa"/>
            <w:vAlign w:val="bottom"/>
          </w:tcPr>
          <w:p>
            <w:pPr>
              <w:ind w:left="140"/>
              <w:spacing w:after="0"/>
              <w:rPr>
                <w:sz w:val="20"/>
                <w:szCs w:val="20"/>
                <w:color w:val="auto"/>
              </w:rPr>
            </w:pPr>
            <w:r>
              <w:rPr>
                <w:rFonts w:ascii="Arial" w:cs="Arial" w:eastAsia="Arial" w:hAnsi="Arial"/>
                <w:sz w:val="16"/>
                <w:szCs w:val="16"/>
                <w:b w:val="1"/>
                <w:bCs w:val="1"/>
                <w:color w:val="auto"/>
              </w:rPr>
              <w:t>VOTE BY MAIL</w:t>
            </w: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6080" w:type="dxa"/>
            <w:vAlign w:val="bottom"/>
          </w:tcPr>
          <w:p>
            <w:pPr>
              <w:ind w:left="140"/>
              <w:spacing w:after="0" w:line="156" w:lineRule="exact"/>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4"/>
                <w:szCs w:val="14"/>
                <w:color w:val="auto"/>
              </w:rPr>
              <w:t>provided or return it to JPMorgan Chase &amp; Co., c/o Broadridge, 51 Mercedes Way,</w:t>
            </w:r>
          </w:p>
        </w:tc>
        <w:tc>
          <w:tcPr>
            <w:tcW w:w="0" w:type="dxa"/>
            <w:vAlign w:val="bottom"/>
          </w:tcPr>
          <w:p>
            <w:pPr>
              <w:spacing w:after="0"/>
              <w:rPr>
                <w:sz w:val="1"/>
                <w:szCs w:val="1"/>
                <w:color w:val="auto"/>
              </w:rPr>
            </w:pPr>
          </w:p>
        </w:tc>
      </w:tr>
      <w:tr>
        <w:trPr>
          <w:trHeight w:val="175"/>
        </w:trPr>
        <w:tc>
          <w:tcPr>
            <w:tcW w:w="5120" w:type="dxa"/>
            <w:vAlign w:val="bottom"/>
          </w:tcPr>
          <w:p>
            <w:pPr>
              <w:spacing w:after="0"/>
              <w:rPr>
                <w:sz w:val="15"/>
                <w:szCs w:val="15"/>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Edgewood, NY 11717.</w:t>
            </w:r>
          </w:p>
        </w:tc>
        <w:tc>
          <w:tcPr>
            <w:tcW w:w="0" w:type="dxa"/>
            <w:vAlign w:val="bottom"/>
          </w:tcPr>
          <w:p>
            <w:pPr>
              <w:spacing w:after="0"/>
              <w:rPr>
                <w:sz w:val="1"/>
                <w:szCs w:val="1"/>
                <w:color w:val="auto"/>
              </w:rPr>
            </w:pPr>
          </w:p>
        </w:tc>
      </w:tr>
      <w:tr>
        <w:trPr>
          <w:trHeight w:val="221"/>
        </w:trPr>
        <w:tc>
          <w:tcPr>
            <w:tcW w:w="512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6080" w:type="dxa"/>
            <w:vAlign w:val="bottom"/>
          </w:tcPr>
          <w:p>
            <w:pPr>
              <w:ind w:left="1540"/>
              <w:spacing w:after="0"/>
              <w:rPr>
                <w:sz w:val="20"/>
                <w:szCs w:val="20"/>
                <w:color w:val="auto"/>
              </w:rPr>
            </w:pPr>
            <w:r>
              <w:rPr>
                <w:rFonts w:ascii="Arial" w:cs="Arial" w:eastAsia="Arial" w:hAnsi="Arial"/>
                <w:sz w:val="16"/>
                <w:szCs w:val="16"/>
                <w:b w:val="1"/>
                <w:bCs w:val="1"/>
                <w:color w:val="auto"/>
              </w:rPr>
              <w:t>Your voting instructions are confidential.</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6080" w:type="dxa"/>
            <w:vAlign w:val="bottom"/>
          </w:tcPr>
          <w:p>
            <w:pPr>
              <w:ind w:left="2000"/>
              <w:spacing w:after="0"/>
              <w:rPr>
                <w:sz w:val="20"/>
                <w:szCs w:val="20"/>
                <w:color w:val="auto"/>
              </w:rPr>
            </w:pPr>
            <w:r>
              <w:rPr>
                <w:rFonts w:ascii="Arial" w:cs="Arial" w:eastAsia="Arial" w:hAnsi="Arial"/>
                <w:sz w:val="14"/>
                <w:szCs w:val="14"/>
                <w:color w:val="auto"/>
              </w:rPr>
              <w:t>E19087-P87837 KEEP THIS PORTION FOR YOUR RECORDS</w:t>
            </w:r>
          </w:p>
        </w:tc>
        <w:tc>
          <w:tcPr>
            <w:tcW w:w="0" w:type="dxa"/>
            <w:vAlign w:val="bottom"/>
          </w:tcPr>
          <w:p>
            <w:pPr>
              <w:spacing w:after="0"/>
              <w:rPr>
                <w:sz w:val="1"/>
                <w:szCs w:val="1"/>
                <w:color w:val="auto"/>
              </w:rPr>
            </w:pPr>
          </w:p>
        </w:tc>
      </w:tr>
    </w:tbl>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4954905" cy="3771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4954905" cy="377190"/>
                    </a:xfrm>
                    <a:prstGeom prst="rect">
                      <a:avLst/>
                    </a:prstGeom>
                    <a:noFill/>
                  </pic:spPr>
                </pic:pic>
              </a:graphicData>
            </a:graphic>
          </wp:anchor>
        </w:drawing>
      </w:r>
    </w:p>
    <w:p>
      <w:pPr>
        <w:jc w:val="center"/>
        <w:ind w:left="360" w:right="100"/>
        <w:spacing w:after="0" w:line="279" w:lineRule="auto"/>
        <w:rPr>
          <w:sz w:val="20"/>
          <w:szCs w:val="20"/>
          <w:color w:val="auto"/>
        </w:rPr>
      </w:pPr>
      <w:r>
        <w:rPr>
          <w:rFonts w:ascii="Arial" w:cs="Arial" w:eastAsia="Arial" w:hAnsi="Arial"/>
          <w:sz w:val="18"/>
          <w:szCs w:val="18"/>
          <w:color w:val="auto"/>
        </w:rPr>
        <w:t>— — — — — — — — — — — — — — — — — — — — — — — — — — — — — — — — — — — — — — — — — — — — — — — — — — — — — — — — — — — — — — — — — — — — — — — —</w:t>
      </w:r>
    </w:p>
    <w:p>
      <w:pPr>
        <w:spacing w:after="0" w:line="1" w:lineRule="exact"/>
        <w:rPr>
          <w:sz w:val="20"/>
          <w:szCs w:val="20"/>
          <w:color w:val="auto"/>
        </w:rPr>
      </w:pPr>
    </w:p>
    <w:p>
      <w:pPr>
        <w:jc w:val="right"/>
        <w:ind w:left="5260"/>
        <w:spacing w:after="0" w:line="244" w:lineRule="auto"/>
        <w:rPr>
          <w:sz w:val="20"/>
          <w:szCs w:val="20"/>
          <w:color w:val="auto"/>
        </w:rPr>
      </w:pPr>
      <w:r>
        <w:rPr>
          <w:rFonts w:ascii="Arial" w:cs="Arial" w:eastAsia="Arial" w:hAnsi="Arial"/>
          <w:sz w:val="14"/>
          <w:szCs w:val="14"/>
          <w:color w:val="auto"/>
        </w:rPr>
        <w:t>THIS PROXY CARD IS VALID ONLY WHEN SIGNED AND DATED. DETACH AND RETURN THIS PORTION ONLY</w:t>
      </w:r>
    </w:p>
    <w:p>
      <w:pPr>
        <w:sectPr>
          <w:pgSz w:w="11900" w:h="16838" w:orient="portrait"/>
          <w:cols w:equalWidth="0" w:num="1">
            <w:col w:w="11200"/>
          </w:cols>
          <w:pgMar w:left="340" w:top="1107" w:right="359" w:bottom="1440" w:gutter="0" w:footer="0" w:header="0"/>
        </w:sectPr>
      </w:pPr>
    </w:p>
    <w:bookmarkStart w:id="121" w:name="page122"/>
    <w:bookmarkEnd w:id="121"/>
    <w:p>
      <w:pPr>
        <w:ind w:left="6"/>
        <w:spacing w:after="0"/>
        <w:rPr>
          <w:sz w:val="20"/>
          <w:szCs w:val="20"/>
          <w:color w:val="auto"/>
        </w:rPr>
      </w:pPr>
      <w:r>
        <w:rPr>
          <w:rFonts w:ascii="Arial" w:cs="Arial" w:eastAsia="Arial" w:hAnsi="Arial"/>
          <w:sz w:val="14"/>
          <w:szCs w:val="14"/>
          <w:b w:val="1"/>
          <w:bCs w:val="1"/>
          <w:color w:val="auto"/>
        </w:rPr>
        <w:t>JPMORGAN CHASE &amp; CO.</w:t>
      </w:r>
    </w:p>
    <w:p>
      <w:pPr>
        <w:spacing w:after="0" w:line="55" w:lineRule="exact"/>
        <w:rPr>
          <w:sz w:val="20"/>
          <w:szCs w:val="20"/>
          <w:color w:val="auto"/>
        </w:rPr>
      </w:pPr>
    </w:p>
    <w:p>
      <w:pPr>
        <w:ind w:left="6"/>
        <w:spacing w:after="0" w:line="294" w:lineRule="auto"/>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92" w:lineRule="exact"/>
        <w:rPr>
          <w:sz w:val="20"/>
          <w:szCs w:val="20"/>
          <w:color w:val="auto"/>
        </w:rPr>
      </w:pPr>
    </w:p>
    <w:p>
      <w:pPr>
        <w:ind w:left="286" w:hanging="286"/>
        <w:spacing w:after="0"/>
        <w:tabs>
          <w:tab w:leader="none" w:pos="286" w:val="left"/>
        </w:tabs>
        <w:numPr>
          <w:ilvl w:val="0"/>
          <w:numId w:val="310"/>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55"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4"/>
          <w:szCs w:val="14"/>
          <w:color w:val="auto"/>
        </w:rPr>
        <w:t>1a. Linda B. Bammann</w:t>
      </w:r>
    </w:p>
    <w:p>
      <w:pPr>
        <w:spacing w:after="0" w:line="217"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4"/>
          <w:szCs w:val="14"/>
          <w:color w:val="auto"/>
        </w:rPr>
        <w:t>1b. Stephen B. Burke</w:t>
      </w:r>
    </w:p>
    <w:p>
      <w:pPr>
        <w:spacing w:after="0" w:line="217"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4"/>
          <w:szCs w:val="14"/>
          <w:color w:val="auto"/>
        </w:rPr>
        <w:t>1c. Todd A. Combs</w:t>
      </w:r>
    </w:p>
    <w:p>
      <w:pPr>
        <w:spacing w:after="0" w:line="217"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4"/>
          <w:szCs w:val="14"/>
          <w:color w:val="auto"/>
        </w:rPr>
        <w:t>1d. James S. Crown</w:t>
      </w:r>
    </w:p>
    <w:p>
      <w:pPr>
        <w:spacing w:after="0" w:line="217"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4"/>
          <w:szCs w:val="14"/>
          <w:color w:val="auto"/>
        </w:rPr>
        <w:t>1e. James Dimon</w:t>
      </w:r>
    </w:p>
    <w:p>
      <w:pPr>
        <w:spacing w:after="0" w:line="217"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4"/>
          <w:szCs w:val="14"/>
          <w:color w:val="auto"/>
        </w:rPr>
        <w:t>1f. Timothy P. Flynn</w:t>
      </w:r>
    </w:p>
    <w:p>
      <w:pPr>
        <w:spacing w:after="0" w:line="217"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4"/>
          <w:szCs w:val="14"/>
          <w:color w:val="auto"/>
        </w:rPr>
        <w:t>1g. Mellody Hobson</w:t>
      </w:r>
    </w:p>
    <w:p>
      <w:pPr>
        <w:spacing w:after="0" w:line="217"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4"/>
          <w:szCs w:val="14"/>
          <w:color w:val="auto"/>
        </w:rPr>
        <w:t>1h. Michael A. Neal</w:t>
      </w:r>
    </w:p>
    <w:p>
      <w:pPr>
        <w:spacing w:after="0" w:line="217"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4"/>
          <w:szCs w:val="14"/>
          <w:color w:val="auto"/>
        </w:rPr>
        <w:t>1i. Phebe N. Novakovic</w:t>
      </w:r>
    </w:p>
    <w:p>
      <w:pPr>
        <w:spacing w:after="0" w:line="217" w:lineRule="exact"/>
        <w:rPr>
          <w:rFonts w:ascii="Arial" w:cs="Arial" w:eastAsia="Arial" w:hAnsi="Arial"/>
          <w:sz w:val="14"/>
          <w:szCs w:val="14"/>
          <w:color w:val="auto"/>
        </w:rPr>
      </w:pPr>
    </w:p>
    <w:p>
      <w:pPr>
        <w:ind w:left="286" w:right="920"/>
        <w:spacing w:after="0" w:line="412" w:lineRule="auto"/>
        <w:rPr>
          <w:rFonts w:ascii="Arial" w:cs="Arial" w:eastAsia="Arial" w:hAnsi="Arial"/>
          <w:sz w:val="14"/>
          <w:szCs w:val="14"/>
          <w:color w:val="auto"/>
        </w:rPr>
      </w:pPr>
      <w:r>
        <w:rPr>
          <w:rFonts w:ascii="Arial" w:cs="Arial" w:eastAsia="Arial" w:hAnsi="Arial"/>
          <w:sz w:val="14"/>
          <w:szCs w:val="14"/>
          <w:color w:val="auto"/>
        </w:rPr>
        <w:t>1j. Virginia M. Rometty Advisory resolution to</w:t>
      </w:r>
    </w:p>
    <w:p>
      <w:pPr>
        <w:spacing w:after="0" w:line="1" w:lineRule="exact"/>
        <w:rPr>
          <w:rFonts w:ascii="Arial" w:cs="Arial" w:eastAsia="Arial" w:hAnsi="Arial"/>
          <w:sz w:val="14"/>
          <w:szCs w:val="14"/>
          <w:color w:val="auto"/>
        </w:rPr>
      </w:pPr>
    </w:p>
    <w:p>
      <w:pPr>
        <w:ind w:left="286" w:right="1200" w:hanging="286"/>
        <w:spacing w:after="0" w:line="252" w:lineRule="auto"/>
        <w:tabs>
          <w:tab w:leader="none" w:pos="286" w:val="left"/>
        </w:tabs>
        <w:numPr>
          <w:ilvl w:val="0"/>
          <w:numId w:val="310"/>
        </w:numPr>
        <w:rPr>
          <w:rFonts w:ascii="Arial" w:cs="Arial" w:eastAsia="Arial" w:hAnsi="Arial"/>
          <w:sz w:val="14"/>
          <w:szCs w:val="14"/>
          <w:color w:val="auto"/>
        </w:rPr>
      </w:pPr>
      <w:r>
        <w:rPr>
          <w:rFonts w:ascii="Arial" w:cs="Arial" w:eastAsia="Arial" w:hAnsi="Arial"/>
          <w:sz w:val="14"/>
          <w:szCs w:val="14"/>
          <w:color w:val="auto"/>
        </w:rPr>
        <w:t>approve executive compensation</w:t>
      </w:r>
    </w:p>
    <w:p>
      <w:pPr>
        <w:spacing w:after="0" w:line="25" w:lineRule="exact"/>
        <w:rPr>
          <w:rFonts w:ascii="Arial" w:cs="Arial" w:eastAsia="Arial" w:hAnsi="Arial"/>
          <w:sz w:val="14"/>
          <w:szCs w:val="14"/>
          <w:color w:val="auto"/>
        </w:rPr>
      </w:pPr>
    </w:p>
    <w:p>
      <w:pPr>
        <w:ind w:left="286" w:right="580" w:hanging="286"/>
        <w:spacing w:after="0" w:line="208" w:lineRule="auto"/>
        <w:tabs>
          <w:tab w:leader="none" w:pos="286" w:val="left"/>
        </w:tabs>
        <w:numPr>
          <w:ilvl w:val="0"/>
          <w:numId w:val="310"/>
        </w:numPr>
        <w:rPr>
          <w:rFonts w:ascii="Arial" w:cs="Arial" w:eastAsia="Arial" w:hAnsi="Arial"/>
          <w:sz w:val="29"/>
          <w:szCs w:val="29"/>
          <w:color w:val="auto"/>
          <w:vertAlign w:val="subscript"/>
        </w:rPr>
      </w:pPr>
      <w:r>
        <w:rPr>
          <w:rFonts w:ascii="Arial" w:cs="Arial" w:eastAsia="Arial" w:hAnsi="Arial"/>
          <w:sz w:val="14"/>
          <w:szCs w:val="14"/>
          <w:color w:val="auto"/>
        </w:rPr>
        <w:t>Ratification of independent registered public accounting firm</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b w:val="1"/>
                <w:bCs w:val="1"/>
                <w:color w:val="auto"/>
              </w:rPr>
              <w:t>The Board of Directors</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b w:val="1"/>
                <w:bCs w:val="1"/>
                <w:color w:val="auto"/>
              </w:rPr>
              <w:t>recommends you vote AGAINST</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vMerge w:val="restart"/>
          </w:tcPr>
          <w:p>
            <w:pPr>
              <w:jc w:val="center"/>
              <w:ind w:right="8"/>
              <w:spacing w:after="0"/>
              <w:rPr>
                <w:sz w:val="20"/>
                <w:szCs w:val="20"/>
                <w:color w:val="auto"/>
              </w:rPr>
            </w:pPr>
            <w:r>
              <w:rPr>
                <w:rFonts w:ascii="Arial" w:cs="Arial" w:eastAsia="Arial" w:hAnsi="Arial"/>
                <w:sz w:val="14"/>
                <w:szCs w:val="14"/>
                <w:color w:val="auto"/>
              </w:rPr>
              <w:t>For</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Abstain</w:t>
            </w:r>
          </w:p>
        </w:tc>
        <w:tc>
          <w:tcPr>
            <w:tcW w:w="2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b w:val="1"/>
                <w:bCs w:val="1"/>
                <w:color w:val="auto"/>
              </w:rPr>
              <w:t>the following shareholder</w:t>
            </w:r>
          </w:p>
        </w:tc>
        <w:tc>
          <w:tcPr>
            <w:tcW w:w="500" w:type="dxa"/>
            <w:vAlign w:val="bottom"/>
            <w:vMerge w:val="restart"/>
          </w:tcPr>
          <w:p>
            <w:pPr>
              <w:jc w:val="center"/>
              <w:ind w:left="8"/>
              <w:spacing w:after="0"/>
              <w:rPr>
                <w:sz w:val="20"/>
                <w:szCs w:val="20"/>
                <w:color w:val="auto"/>
              </w:rPr>
            </w:pPr>
            <w:r>
              <w:rPr>
                <w:rFonts w:ascii="Arial" w:cs="Arial" w:eastAsia="Arial" w:hAnsi="Arial"/>
                <w:sz w:val="14"/>
                <w:szCs w:val="14"/>
                <w:color w:val="auto"/>
              </w:rPr>
              <w:t>For</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96"/>
        </w:trPr>
        <w:tc>
          <w:tcPr>
            <w:tcW w:w="3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4"/>
                <w:szCs w:val="14"/>
                <w:b w:val="1"/>
                <w:bCs w:val="1"/>
                <w:color w:val="auto"/>
              </w:rPr>
              <w:t>proposals:</w:t>
            </w:r>
          </w:p>
        </w:tc>
        <w:tc>
          <w:tcPr>
            <w:tcW w:w="5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00" w:type="dxa"/>
            <w:vAlign w:val="bottom"/>
            <w:vMerge w:val="restart"/>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480" w:type="dxa"/>
            <w:vAlign w:val="bottom"/>
          </w:tcPr>
          <w:p>
            <w:pPr>
              <w:ind w:left="100"/>
              <w:spacing w:after="0"/>
              <w:rPr>
                <w:sz w:val="20"/>
                <w:szCs w:val="20"/>
                <w:color w:val="auto"/>
              </w:rPr>
            </w:pPr>
            <w:r>
              <w:rPr>
                <w:rFonts w:ascii="Arial" w:cs="Arial" w:eastAsia="Arial" w:hAnsi="Arial"/>
                <w:sz w:val="14"/>
                <w:szCs w:val="14"/>
                <w:color w:val="auto"/>
              </w:rPr>
              <w:t>Fossil fuel financing</w:t>
            </w:r>
          </w:p>
        </w:tc>
        <w:tc>
          <w:tcPr>
            <w:tcW w:w="500" w:type="dxa"/>
            <w:vAlign w:val="bottom"/>
            <w:vMerge w:val="restart"/>
          </w:tcPr>
          <w:p>
            <w:pPr>
              <w:jc w:val="center"/>
              <w:ind w:left="28"/>
              <w:spacing w:after="0"/>
              <w:rPr>
                <w:sz w:val="20"/>
                <w:szCs w:val="20"/>
                <w:color w:val="auto"/>
              </w:rPr>
            </w:pPr>
            <w:r>
              <w:rPr>
                <w:rFonts w:ascii="Arial" w:cs="Arial" w:eastAsia="Arial" w:hAnsi="Arial"/>
                <w:sz w:val="14"/>
                <w:szCs w:val="14"/>
                <w:color w:val="auto"/>
              </w:rPr>
              <w:t>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2480" w:type="dxa"/>
            <w:vAlign w:val="bottom"/>
          </w:tcPr>
          <w:p>
            <w:pPr>
              <w:ind w:left="100"/>
              <w:spacing w:after="0"/>
              <w:rPr>
                <w:sz w:val="20"/>
                <w:szCs w:val="20"/>
                <w:color w:val="auto"/>
              </w:rPr>
            </w:pPr>
            <w:r>
              <w:rPr>
                <w:rFonts w:ascii="Arial" w:cs="Arial" w:eastAsia="Arial" w:hAnsi="Arial"/>
                <w:sz w:val="14"/>
                <w:szCs w:val="14"/>
                <w:color w:val="auto"/>
              </w:rPr>
              <w:t>Special shareholder meeting</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300" w:type="dxa"/>
            <w:vAlign w:val="bottom"/>
            <w:vMerge w:val="restart"/>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280" w:type="dxa"/>
            <w:vAlign w:val="bottom"/>
            <w:vMerge w:val="continue"/>
          </w:tcPr>
          <w:p>
            <w:pPr>
              <w:spacing w:after="0"/>
              <w:rPr>
                <w:sz w:val="9"/>
                <w:szCs w:val="9"/>
                <w:color w:val="auto"/>
              </w:rPr>
            </w:pPr>
          </w:p>
        </w:tc>
        <w:tc>
          <w:tcPr>
            <w:tcW w:w="2480" w:type="dxa"/>
            <w:vAlign w:val="bottom"/>
            <w:vMerge w:val="restart"/>
          </w:tcPr>
          <w:p>
            <w:pPr>
              <w:ind w:left="100"/>
              <w:spacing w:after="0"/>
              <w:rPr>
                <w:sz w:val="20"/>
                <w:szCs w:val="20"/>
                <w:color w:val="auto"/>
              </w:rPr>
            </w:pPr>
            <w:r>
              <w:rPr>
                <w:rFonts w:ascii="Arial" w:cs="Arial" w:eastAsia="Arial" w:hAnsi="Arial"/>
                <w:sz w:val="14"/>
                <w:szCs w:val="14"/>
                <w:color w:val="auto"/>
              </w:rPr>
              <w:t>improvement</w:t>
            </w:r>
          </w:p>
        </w:tc>
        <w:tc>
          <w:tcPr>
            <w:tcW w:w="500" w:type="dxa"/>
            <w:vAlign w:val="bottom"/>
            <w:vMerge w:val="restart"/>
          </w:tcPr>
          <w:p>
            <w:pPr>
              <w:jc w:val="center"/>
              <w:ind w:left="28"/>
              <w:spacing w:after="0"/>
              <w:rPr>
                <w:sz w:val="20"/>
                <w:szCs w:val="20"/>
                <w:color w:val="auto"/>
              </w:rPr>
            </w:pPr>
            <w:r>
              <w:rPr>
                <w:rFonts w:ascii="Arial" w:cs="Arial" w:eastAsia="Arial" w:hAnsi="Arial"/>
                <w:sz w:val="14"/>
                <w:szCs w:val="14"/>
                <w:color w:val="auto"/>
              </w:rPr>
              <w:t>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2480" w:type="dxa"/>
            <w:vAlign w:val="bottom"/>
          </w:tcPr>
          <w:p>
            <w:pPr>
              <w:ind w:left="100"/>
              <w:spacing w:after="0"/>
              <w:rPr>
                <w:sz w:val="20"/>
                <w:szCs w:val="20"/>
                <w:color w:val="auto"/>
              </w:rPr>
            </w:pPr>
            <w:r>
              <w:rPr>
                <w:rFonts w:ascii="Arial" w:cs="Arial" w:eastAsia="Arial" w:hAnsi="Arial"/>
                <w:sz w:val="14"/>
                <w:szCs w:val="14"/>
                <w:color w:val="auto"/>
              </w:rPr>
              <w:t>Independent board chairman</w:t>
            </w:r>
          </w:p>
        </w:tc>
        <w:tc>
          <w:tcPr>
            <w:tcW w:w="500" w:type="dxa"/>
            <w:vAlign w:val="bottom"/>
            <w:vMerge w:val="restart"/>
          </w:tcPr>
          <w:p>
            <w:pPr>
              <w:jc w:val="center"/>
              <w:ind w:left="28"/>
              <w:spacing w:after="0"/>
              <w:rPr>
                <w:sz w:val="20"/>
                <w:szCs w:val="20"/>
                <w:color w:val="auto"/>
              </w:rPr>
            </w:pPr>
            <w:r>
              <w:rPr>
                <w:rFonts w:ascii="Arial" w:cs="Arial" w:eastAsia="Arial" w:hAnsi="Arial"/>
                <w:sz w:val="14"/>
                <w:szCs w:val="14"/>
                <w:color w:val="auto"/>
              </w:rPr>
              <w:t>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00" w:type="dxa"/>
            <w:vAlign w:val="bottom"/>
            <w:vMerge w:val="restart"/>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2480" w:type="dxa"/>
            <w:vAlign w:val="bottom"/>
            <w:vMerge w:val="restart"/>
          </w:tcPr>
          <w:p>
            <w:pPr>
              <w:ind w:left="100"/>
              <w:spacing w:after="0"/>
              <w:rPr>
                <w:sz w:val="20"/>
                <w:szCs w:val="20"/>
                <w:color w:val="auto"/>
              </w:rPr>
            </w:pPr>
            <w:r>
              <w:rPr>
                <w:rFonts w:ascii="Arial" w:cs="Arial" w:eastAsia="Arial" w:hAnsi="Arial"/>
                <w:sz w:val="14"/>
                <w:szCs w:val="14"/>
                <w:color w:val="auto"/>
              </w:rPr>
              <w:t>Board diversity resolution</w:t>
            </w:r>
          </w:p>
        </w:tc>
        <w:tc>
          <w:tcPr>
            <w:tcW w:w="500" w:type="dxa"/>
            <w:vAlign w:val="bottom"/>
            <w:vMerge w:val="restart"/>
          </w:tcPr>
          <w:p>
            <w:pPr>
              <w:jc w:val="center"/>
              <w:ind w:left="28"/>
              <w:spacing w:after="0"/>
              <w:rPr>
                <w:sz w:val="20"/>
                <w:szCs w:val="20"/>
                <w:color w:val="auto"/>
              </w:rPr>
            </w:pPr>
            <w:r>
              <w:rPr>
                <w:rFonts w:ascii="Arial" w:cs="Arial" w:eastAsia="Arial" w:hAnsi="Arial"/>
                <w:sz w:val="14"/>
                <w:szCs w:val="14"/>
                <w:color w:val="auto"/>
              </w:rPr>
              <w:t>o</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Conversion to public benefit</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 w:type="dxa"/>
            <w:vAlign w:val="bottom"/>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600" w:type="dxa"/>
            <w:vAlign w:val="bottom"/>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480" w:type="dxa"/>
            <w:vAlign w:val="bottom"/>
          </w:tcPr>
          <w:p>
            <w:pPr>
              <w:ind w:left="100"/>
              <w:spacing w:after="0"/>
              <w:rPr>
                <w:sz w:val="20"/>
                <w:szCs w:val="20"/>
                <w:color w:val="auto"/>
              </w:rPr>
            </w:pPr>
            <w:r>
              <w:rPr>
                <w:rFonts w:ascii="Arial" w:cs="Arial" w:eastAsia="Arial" w:hAnsi="Arial"/>
                <w:sz w:val="14"/>
                <w:szCs w:val="14"/>
                <w:color w:val="auto"/>
              </w:rPr>
              <w:t>corporation</w:t>
            </w:r>
          </w:p>
        </w:tc>
        <w:tc>
          <w:tcPr>
            <w:tcW w:w="500" w:type="dxa"/>
            <w:vAlign w:val="bottom"/>
          </w:tcPr>
          <w:p>
            <w:pPr>
              <w:jc w:val="center"/>
              <w:ind w:lef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Report on setting absolute</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 w:type="dxa"/>
            <w:vAlign w:val="bottom"/>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600" w:type="dxa"/>
            <w:vAlign w:val="bottom"/>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2480" w:type="dxa"/>
            <w:vAlign w:val="bottom"/>
          </w:tcPr>
          <w:p>
            <w:pPr>
              <w:ind w:left="100"/>
              <w:spacing w:after="0"/>
              <w:rPr>
                <w:sz w:val="20"/>
                <w:szCs w:val="20"/>
                <w:color w:val="auto"/>
              </w:rPr>
            </w:pPr>
            <w:r>
              <w:rPr>
                <w:rFonts w:ascii="Arial" w:cs="Arial" w:eastAsia="Arial" w:hAnsi="Arial"/>
                <w:sz w:val="14"/>
                <w:szCs w:val="14"/>
                <w:color w:val="auto"/>
              </w:rPr>
              <w:t>contraction targets</w:t>
            </w:r>
          </w:p>
        </w:tc>
        <w:tc>
          <w:tcPr>
            <w:tcW w:w="500" w:type="dxa"/>
            <w:vAlign w:val="bottom"/>
          </w:tcPr>
          <w:p>
            <w:pPr>
              <w:jc w:val="center"/>
              <w:ind w:lef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378"/>
        </w:trPr>
        <w:tc>
          <w:tcPr>
            <w:tcW w:w="300" w:type="dxa"/>
            <w:vAlign w:val="bottom"/>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600" w:type="dxa"/>
            <w:vAlign w:val="bottom"/>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600" w:type="dxa"/>
            <w:vAlign w:val="bottom"/>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600" w:type="dxa"/>
            <w:vAlign w:val="bottom"/>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600" w:type="dxa"/>
            <w:vAlign w:val="bottom"/>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600" w:type="dxa"/>
            <w:vAlign w:val="bottom"/>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00" w:type="dxa"/>
            <w:vAlign w:val="bottom"/>
          </w:tcPr>
          <w:p>
            <w:pPr>
              <w:jc w:val="center"/>
              <w:ind w:right="28"/>
              <w:spacing w:after="0"/>
              <w:rPr>
                <w:sz w:val="20"/>
                <w:szCs w:val="20"/>
                <w:color w:val="auto"/>
              </w:rPr>
            </w:pPr>
            <w:r>
              <w:rPr>
                <w:rFonts w:ascii="Arial" w:cs="Arial" w:eastAsia="Arial" w:hAnsi="Arial"/>
                <w:sz w:val="14"/>
                <w:szCs w:val="14"/>
                <w:color w:val="auto"/>
              </w:rPr>
              <w:t>o</w:t>
            </w:r>
          </w:p>
        </w:tc>
        <w:tc>
          <w:tcPr>
            <w:tcW w:w="640" w:type="dxa"/>
            <w:vAlign w:val="bottom"/>
          </w:tcPr>
          <w:p>
            <w:pPr>
              <w:jc w:val="center"/>
              <w:spacing w:after="0"/>
              <w:rPr>
                <w:sz w:val="20"/>
                <w:szCs w:val="20"/>
                <w:color w:val="auto"/>
              </w:rPr>
            </w:pPr>
            <w:r>
              <w:rPr>
                <w:rFonts w:ascii="Arial" w:cs="Arial" w:eastAsia="Arial" w:hAnsi="Arial"/>
                <w:sz w:val="14"/>
                <w:szCs w:val="14"/>
                <w:color w:val="auto"/>
              </w:rPr>
              <w:t>o</w:t>
            </w:r>
          </w:p>
        </w:tc>
        <w:tc>
          <w:tcPr>
            <w:tcW w:w="600" w:type="dxa"/>
            <w:vAlign w:val="bottom"/>
          </w:tcPr>
          <w:p>
            <w:pPr>
              <w:jc w:val="center"/>
              <w:spacing w:after="0"/>
              <w:rPr>
                <w:sz w:val="20"/>
                <w:szCs w:val="20"/>
                <w:color w:val="auto"/>
              </w:rPr>
            </w:pPr>
            <w:r>
              <w:rPr>
                <w:rFonts w:ascii="Arial" w:cs="Arial" w:eastAsia="Arial" w:hAnsi="Arial"/>
                <w:sz w:val="14"/>
                <w:szCs w:val="14"/>
                <w:color w:val="auto"/>
              </w:rPr>
              <w:t>o</w:t>
            </w: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-3569335</wp:posOffset>
            </wp:positionV>
            <wp:extent cx="5768975" cy="506603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5768975" cy="506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59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340" w:type="dxa"/>
            <w:vAlign w:val="bottom"/>
          </w:tcPr>
          <w:p>
            <w:pPr>
              <w:jc w:val="center"/>
              <w:ind w:left="88"/>
              <w:spacing w:after="0"/>
              <w:rPr>
                <w:sz w:val="20"/>
                <w:szCs w:val="20"/>
                <w:color w:val="auto"/>
              </w:rPr>
            </w:pPr>
            <w:r>
              <w:rPr>
                <w:rFonts w:ascii="Arial" w:cs="Arial" w:eastAsia="Arial" w:hAnsi="Arial"/>
                <w:sz w:val="14"/>
                <w:szCs w:val="14"/>
                <w:color w:val="auto"/>
              </w:rPr>
              <w:t>No</w:t>
            </w:r>
          </w:p>
        </w:tc>
      </w:tr>
      <w:tr>
        <w:trPr>
          <w:trHeight w:val="242"/>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Please indicate if you plan to</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190"/>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attend this meeting.</w:t>
            </w: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c>
          <w:tcPr>
            <w:tcW w:w="340" w:type="dxa"/>
            <w:vAlign w:val="bottom"/>
          </w:tcPr>
          <w:p>
            <w:pPr>
              <w:jc w:val="center"/>
              <w:ind w:left="68"/>
              <w:spacing w:after="0"/>
              <w:rPr>
                <w:sz w:val="20"/>
                <w:szCs w:val="20"/>
                <w:color w:val="auto"/>
              </w:rPr>
            </w:pPr>
            <w:r>
              <w:rPr>
                <w:rFonts w:ascii="Arial" w:cs="Arial" w:eastAsia="Arial" w:hAnsi="Arial"/>
                <w:sz w:val="14"/>
                <w:szCs w:val="14"/>
                <w:color w:val="auto"/>
              </w:rPr>
              <w:t>o</w:t>
            </w:r>
          </w:p>
        </w:tc>
      </w:tr>
      <w:tr>
        <w:trPr>
          <w:trHeight w:val="224"/>
        </w:trPr>
        <w:tc>
          <w:tcPr>
            <w:tcW w:w="2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04"/>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 w:lineRule="exact"/>
        <w:rPr>
          <w:sz w:val="20"/>
          <w:szCs w:val="20"/>
          <w:color w:val="auto"/>
        </w:rPr>
      </w:pPr>
    </w:p>
    <w:p>
      <w:pPr>
        <w:sectPr>
          <w:pgSz w:w="11900" w:h="16838" w:orient="portrait"/>
          <w:cols w:equalWidth="0" w:num="2">
            <w:col w:w="2646" w:space="180"/>
            <w:col w:w="7179"/>
          </w:cols>
          <w:pgMar w:left="454" w:top="630" w:right="1440" w:bottom="1440" w:gutter="0" w:footer="0" w:header="0"/>
        </w:sectPr>
      </w:pPr>
    </w:p>
    <w:p>
      <w:pPr>
        <w:ind w:left="6"/>
        <w:spacing w:after="0"/>
        <w:rPr>
          <w:sz w:val="20"/>
          <w:szCs w:val="20"/>
          <w:color w:val="auto"/>
        </w:rPr>
      </w:pPr>
      <w:r>
        <w:rPr>
          <w:rFonts w:ascii="Arial" w:cs="Arial" w:eastAsia="Arial" w:hAnsi="Arial"/>
          <w:sz w:val="14"/>
          <w:szCs w:val="14"/>
          <w:color w:val="auto"/>
        </w:rPr>
        <w:t>Signature [PLEASE SIGN WITHIN</w:t>
      </w:r>
    </w:p>
    <w:p>
      <w:pPr>
        <w:spacing w:after="0" w:line="15" w:lineRule="exact"/>
        <w:rPr>
          <w:sz w:val="20"/>
          <w:szCs w:val="20"/>
          <w:color w:val="auto"/>
        </w:rPr>
      </w:pPr>
    </w:p>
    <w:p>
      <w:pPr>
        <w:ind w:left="6"/>
        <w:spacing w:after="0"/>
        <w:tabs>
          <w:tab w:leader="none" w:pos="2306" w:val="left"/>
          <w:tab w:leader="none" w:pos="4406" w:val="left"/>
          <w:tab w:leader="none" w:pos="6766" w:val="left"/>
        </w:tabs>
        <w:rPr>
          <w:sz w:val="20"/>
          <w:szCs w:val="20"/>
          <w:color w:val="auto"/>
        </w:rPr>
      </w:pPr>
      <w:r>
        <w:rPr>
          <w:rFonts w:ascii="Arial" w:cs="Arial" w:eastAsia="Arial" w:hAnsi="Arial"/>
          <w:sz w:val="14"/>
          <w:szCs w:val="14"/>
          <w:color w:val="auto"/>
        </w:rPr>
        <w:t>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0005"/>
          </w:cols>
          <w:pgMar w:left="454" w:top="630" w:right="1440" w:bottom="1440" w:gutter="0" w:footer="0" w:header="0"/>
          <w:type w:val="continuous"/>
        </w:sectPr>
      </w:pPr>
    </w:p>
    <w:bookmarkStart w:id="122" w:name="page123"/>
    <w:bookmarkEnd w:id="122"/>
    <w:p>
      <w:pPr>
        <w:jc w:val="center"/>
        <w:ind w:right="-19"/>
        <w:spacing w:after="0"/>
        <w:rPr>
          <w:sz w:val="20"/>
          <w:szCs w:val="20"/>
          <w:color w:val="auto"/>
        </w:rPr>
      </w:pPr>
      <w:r>
        <w:rPr>
          <w:rFonts w:ascii="Arial" w:cs="Arial" w:eastAsia="Arial" w:hAnsi="Arial"/>
          <w:sz w:val="29"/>
          <w:szCs w:val="29"/>
          <w:b w:val="1"/>
          <w:bCs w:val="1"/>
          <w:color w:val="auto"/>
        </w:rPr>
        <w:t>JPMorgan Chase &amp; Co.</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2022 Annual Meeting of Shareholders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Tuesday, May 17, 2022 10:00 a.m. Eastern Time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www.virtualshareholdermeeting.com/JPM2022</w:t>
      </w:r>
    </w:p>
    <w:p>
      <w:pPr>
        <w:spacing w:after="0" w:line="396"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b w:val="1"/>
          <w:bCs w:val="1"/>
          <w:color w:val="auto"/>
        </w:rPr>
        <w:t xml:space="preserve">If you plan to attend the meeting at </w:t>
      </w:r>
      <w:r>
        <w:rPr>
          <w:rFonts w:ascii="Arial" w:cs="Arial" w:eastAsia="Arial" w:hAnsi="Arial"/>
          <w:sz w:val="18"/>
          <w:szCs w:val="18"/>
          <w:color w:val="auto"/>
        </w:rPr>
        <w:t>www.virtualshareholdermeeting.com/JPM2022, you will be required to enter the control number found</w:t>
      </w:r>
      <w:r>
        <w:rPr>
          <w:rFonts w:ascii="Arial" w:cs="Arial" w:eastAsia="Arial" w:hAnsi="Arial"/>
          <w:sz w:val="18"/>
          <w:szCs w:val="18"/>
          <w:b w:val="1"/>
          <w:bCs w:val="1"/>
          <w:color w:val="auto"/>
        </w:rPr>
        <w:t xml:space="preserve"> </w:t>
      </w:r>
      <w:r>
        <w:rPr>
          <w:rFonts w:ascii="Arial" w:cs="Arial" w:eastAsia="Arial" w:hAnsi="Arial"/>
          <w:sz w:val="18"/>
          <w:szCs w:val="18"/>
          <w:color w:val="auto"/>
        </w:rPr>
        <w:t>on your proxy card, voting instruction form or Notice you previously received. The Annual Meeting will be held in a virtual meeting format only. For more information see “Information about the annual shareholder meeting” in the proxy statement.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 2022 Annual Meeting: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and Annual Report are available at https://www.jpmorganchase.com/ir/annual-report</w:t>
      </w:r>
    </w:p>
    <w:p>
      <w:pPr>
        <w:spacing w:after="0" w:line="333" w:lineRule="exact"/>
        <w:rPr>
          <w:sz w:val="20"/>
          <w:szCs w:val="20"/>
          <w:color w:val="auto"/>
        </w:rPr>
      </w:pPr>
    </w:p>
    <w:p>
      <w:pPr>
        <w:jc w:val="center"/>
        <w:ind w:left="340" w:right="20"/>
        <w:spacing w:after="0" w:line="287" w:lineRule="auto"/>
        <w:rPr>
          <w:sz w:val="20"/>
          <w:szCs w:val="20"/>
          <w:color w:val="auto"/>
        </w:rPr>
      </w:pPr>
      <w:r>
        <w:rPr>
          <w:rFonts w:ascii="Arial" w:cs="Arial" w:eastAsia="Arial" w:hAnsi="Arial"/>
          <w:sz w:val="18"/>
          <w:szCs w:val="18"/>
          <w:color w:val="auto"/>
        </w:rPr>
        <w:t>— — — — — — — — — — — — — — — — — — — — — — — — — — — — — — — — — — —— — — — — — — — — — — — — — — — — — — — — — — — — — — — — — — — —</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E19088-P87837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49465" cy="265747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49465" cy="2657475"/>
                    </a:xfrm>
                    <a:prstGeom prst="rect">
                      <a:avLst/>
                    </a:prstGeom>
                    <a:noFill/>
                  </pic:spPr>
                </pic:pic>
              </a:graphicData>
            </a:graphic>
          </wp:anchor>
        </w:drawing>
      </w: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&amp; CO.</w:t>
      </w:r>
    </w:p>
    <w:p>
      <w:pPr>
        <w:spacing w:after="0" w:line="146" w:lineRule="exact"/>
        <w:rPr>
          <w:sz w:val="20"/>
          <w:szCs w:val="20"/>
          <w:color w:val="auto"/>
        </w:rPr>
      </w:pPr>
    </w:p>
    <w:p>
      <w:pPr>
        <w:jc w:val="both"/>
        <w:ind w:left="420" w:right="480" w:firstLine="213"/>
        <w:spacing w:after="0" w:line="249" w:lineRule="auto"/>
        <w:rPr>
          <w:sz w:val="20"/>
          <w:szCs w:val="20"/>
          <w:color w:val="auto"/>
        </w:rPr>
      </w:pPr>
      <w:r>
        <w:rPr>
          <w:rFonts w:ascii="Arial" w:cs="Arial" w:eastAsia="Arial" w:hAnsi="Arial"/>
          <w:sz w:val="18"/>
          <w:szCs w:val="18"/>
          <w:b w:val="1"/>
          <w:bCs w:val="1"/>
          <w:color w:val="auto"/>
        </w:rPr>
        <w:t>This proxy is solicited from you by the Board of Directors for use at the Annual Meeting of Shareholders of JPMorgan Chase &amp; Co. on May 17, 2022.</w:t>
      </w:r>
    </w:p>
    <w:p>
      <w:pPr>
        <w:spacing w:after="0" w:line="97" w:lineRule="exact"/>
        <w:rPr>
          <w:sz w:val="20"/>
          <w:szCs w:val="20"/>
          <w:color w:val="auto"/>
        </w:rPr>
      </w:pPr>
    </w:p>
    <w:p>
      <w:pPr>
        <w:jc w:val="both"/>
        <w:ind w:left="420" w:right="480" w:firstLine="215"/>
        <w:spacing w:after="0" w:line="215" w:lineRule="auto"/>
        <w:rPr>
          <w:sz w:val="20"/>
          <w:szCs w:val="20"/>
          <w:color w:val="auto"/>
        </w:rPr>
      </w:pPr>
      <w:r>
        <w:rPr>
          <w:rFonts w:ascii="Arial" w:cs="Arial" w:eastAsia="Arial" w:hAnsi="Arial"/>
          <w:sz w:val="18"/>
          <w:szCs w:val="18"/>
          <w:color w:val="auto"/>
        </w:rPr>
        <w:t xml:space="preserve">You, the undersigned shareholder, appoint each of John Tribolati and Jeremy Barnum, your attorney-in-fact and proxy, with full power of substitution, to vote on your behalf shares of JPMorgan Chase common stock that you would be entitled to vote at the 2022 Annual Meeting, and any adjournment of the meeting, with all powers that you would have if you were personally present at the meeting. </w:t>
      </w:r>
      <w:r>
        <w:rPr>
          <w:rFonts w:ascii="Arial" w:cs="Arial" w:eastAsia="Arial" w:hAnsi="Arial"/>
          <w:sz w:val="18"/>
          <w:szCs w:val="18"/>
          <w:b w:val="1"/>
          <w:bCs w:val="1"/>
          <w:color w:val="auto"/>
        </w:rPr>
        <w:t>The shares represented by this proxy will be voted as instructed by you on the reverse side of this card with</w:t>
      </w:r>
      <w:r>
        <w:rPr>
          <w:rFonts w:ascii="Arial" w:cs="Arial" w:eastAsia="Arial" w:hAnsi="Arial"/>
          <w:sz w:val="18"/>
          <w:szCs w:val="18"/>
          <w:color w:val="auto"/>
        </w:rPr>
        <w:t xml:space="preserve"> </w:t>
      </w:r>
      <w:r>
        <w:rPr>
          <w:rFonts w:ascii="Arial" w:cs="Arial" w:eastAsia="Arial" w:hAnsi="Arial"/>
          <w:sz w:val="18"/>
          <w:szCs w:val="18"/>
          <w:b w:val="1"/>
          <w:bCs w:val="1"/>
          <w:color w:val="auto"/>
        </w:rPr>
        <w:t>respect to the proposals set forth in the proxy statement, and in the discretion of the proxies on all other matters which may properly come before the 2022 Annual Meeting and any adjournment thereof. If the card is signed but no instructions are given, shares will be voted in accordance with the recommendations of the Board of Directors.</w:t>
      </w:r>
    </w:p>
    <w:p>
      <w:pPr>
        <w:spacing w:after="0" w:line="106" w:lineRule="exact"/>
        <w:rPr>
          <w:sz w:val="20"/>
          <w:szCs w:val="20"/>
          <w:color w:val="auto"/>
        </w:rPr>
      </w:pPr>
    </w:p>
    <w:p>
      <w:pPr>
        <w:jc w:val="both"/>
        <w:ind w:left="420" w:right="480" w:firstLine="211"/>
        <w:spacing w:after="0" w:line="221" w:lineRule="auto"/>
        <w:rPr>
          <w:sz w:val="20"/>
          <w:szCs w:val="20"/>
          <w:color w:val="auto"/>
        </w:rPr>
      </w:pPr>
      <w:r>
        <w:rPr>
          <w:rFonts w:ascii="Arial" w:cs="Arial" w:eastAsia="Arial" w:hAnsi="Arial"/>
          <w:sz w:val="18"/>
          <w:szCs w:val="18"/>
          <w:b w:val="1"/>
          <w:bCs w:val="1"/>
          <w:color w:val="auto"/>
        </w:rPr>
        <w:t xml:space="preserve">Participants in the 401(k) Savings Plan: </w:t>
      </w:r>
      <w:r>
        <w:rPr>
          <w:rFonts w:ascii="Arial" w:cs="Arial" w:eastAsia="Arial" w:hAnsi="Arial"/>
          <w:sz w:val="18"/>
          <w:szCs w:val="18"/>
          <w:color w:val="auto"/>
        </w:rPr>
        <w:t>If you have an interest in JPMorgan Chase common stock through an investment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JPMorgan Chase Common Stock Fund within the 401(k) Savings Plan, your vote will provide voting instructions to the trustee of the plan to vote the proportionate interest as of the record date. If no instructions are given, the trustee will vote unvoted shares in the same proportion as voted shares.</w:t>
      </w:r>
    </w:p>
    <w:p>
      <w:pPr>
        <w:spacing w:after="0" w:line="115" w:lineRule="exact"/>
        <w:rPr>
          <w:sz w:val="20"/>
          <w:szCs w:val="20"/>
          <w:color w:val="auto"/>
        </w:rPr>
      </w:pPr>
    </w:p>
    <w:p>
      <w:pPr>
        <w:jc w:val="both"/>
        <w:ind w:left="420" w:right="480" w:firstLine="243"/>
        <w:spacing w:after="0"/>
        <w:rPr>
          <w:sz w:val="20"/>
          <w:szCs w:val="20"/>
          <w:color w:val="auto"/>
        </w:rPr>
      </w:pPr>
      <w:r>
        <w:rPr>
          <w:rFonts w:ascii="Arial" w:cs="Arial" w:eastAsia="Arial" w:hAnsi="Arial"/>
          <w:sz w:val="18"/>
          <w:szCs w:val="18"/>
          <w:b w:val="1"/>
          <w:bCs w:val="1"/>
          <w:color w:val="auto"/>
        </w:rPr>
        <w:t xml:space="preserve">Voting Methods: </w:t>
      </w:r>
      <w:r>
        <w:rPr>
          <w:rFonts w:ascii="Arial" w:cs="Arial" w:eastAsia="Arial" w:hAnsi="Arial"/>
          <w:sz w:val="18"/>
          <w:szCs w:val="18"/>
          <w:color w:val="auto"/>
        </w:rPr>
        <w:t>If you wish to vote by mail, please sign your name exactly as it appears on this proxy and mark,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in the enclosed envelope. If you wish to vote by Internet or telephone, please follow the instructions on the reverse side.</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20"/>
      </w:cols>
      <w:pgMar w:left="320" w:top="5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594807"/>
    <w:multiLevelType w:val="hybridMultilevel"/>
    <w:lvl w:ilvl="0">
      <w:lvlJc w:val="left"/>
      <w:lvlText w:val="o"/>
      <w:numFmt w:val="bullet"/>
      <w:start w:val="1"/>
    </w:lvl>
  </w:abstractNum>
  <w:abstractNum w:abstractNumId="1">
    <w:nsid w:val="6CAA2304"/>
    <w:multiLevelType w:val="hybridMultilevel"/>
    <w:lvl w:ilvl="0">
      <w:lvlJc w:val="left"/>
      <w:lvlText w:val="☑"/>
      <w:numFmt w:val="bullet"/>
      <w:start w:val="1"/>
    </w:lvl>
  </w:abstractNum>
  <w:abstractNum w:abstractNumId="2">
    <w:nsid w:val="3F7C2FF4"/>
    <w:multiLevelType w:val="hybridMultilevel"/>
    <w:lvl w:ilvl="0">
      <w:lvlJc w:val="left"/>
      <w:lvlText w:val="o"/>
      <w:numFmt w:val="bullet"/>
      <w:start w:val="1"/>
    </w:lvl>
    <w:lvl w:ilvl="1">
      <w:lvlJc w:val="left"/>
      <w:lvlText w:val="%2)"/>
      <w:numFmt w:val="decimal"/>
      <w:start w:val="1"/>
    </w:lvl>
  </w:abstractNum>
  <w:abstractNum w:abstractNumId="3">
    <w:nsid w:val="25413BEC"/>
    <w:multiLevelType w:val="hybridMultilevel"/>
    <w:lvl w:ilvl="0">
      <w:lvlJc w:val="left"/>
      <w:lvlText w:val="\endash "/>
      <w:numFmt w:val="bullet"/>
      <w:start w:val="1"/>
    </w:lvl>
  </w:abstractNum>
  <w:abstractNum w:abstractNumId="4">
    <w:nsid w:val="17180B0B"/>
    <w:multiLevelType w:val="hybridMultilevel"/>
    <w:lvl w:ilvl="0">
      <w:lvlJc w:val="left"/>
      <w:lvlText w:val="•"/>
      <w:numFmt w:val="bullet"/>
      <w:start w:val="1"/>
    </w:lvl>
  </w:abstractNum>
  <w:abstractNum w:abstractNumId="5">
    <w:nsid w:val="579328B9"/>
    <w:multiLevelType w:val="hybridMultilevel"/>
    <w:lvl w:ilvl="0">
      <w:lvlJc w:val="left"/>
      <w:lvlText w:val="•"/>
      <w:numFmt w:val="bullet"/>
      <w:start w:val="1"/>
    </w:lvl>
  </w:abstractNum>
  <w:abstractNum w:abstractNumId="6">
    <w:nsid w:val="5D205E20"/>
    <w:multiLevelType w:val="hybridMultilevel"/>
    <w:lvl w:ilvl="0">
      <w:lvlJc w:val="left"/>
      <w:lvlText w:val="•"/>
      <w:numFmt w:val="bullet"/>
      <w:start w:val="1"/>
    </w:lvl>
  </w:abstractNum>
  <w:abstractNum w:abstractNumId="7">
    <w:nsid w:val="11CCA8BA"/>
    <w:multiLevelType w:val="hybridMultilevel"/>
    <w:lvl w:ilvl="0">
      <w:lvlJc w:val="left"/>
      <w:lvlText w:val="•"/>
      <w:numFmt w:val="bullet"/>
      <w:start w:val="1"/>
    </w:lvl>
  </w:abstractNum>
  <w:abstractNum w:abstractNumId="8">
    <w:nsid w:val="4D32AB86"/>
    <w:multiLevelType w:val="hybridMultilevel"/>
    <w:lvl w:ilvl="0">
      <w:lvlJc w:val="left"/>
      <w:lvlText w:val="1"/>
      <w:numFmt w:val="bullet"/>
      <w:start w:val="1"/>
    </w:lvl>
  </w:abstractNum>
  <w:abstractNum w:abstractNumId="9">
    <w:nsid w:val="3F07ACC3"/>
    <w:multiLevelType w:val="hybridMultilevel"/>
    <w:lvl w:ilvl="0">
      <w:lvlJc w:val="left"/>
      <w:lvlText w:val="2"/>
      <w:numFmt w:val="bullet"/>
      <w:start w:val="1"/>
    </w:lvl>
  </w:abstractNum>
  <w:abstractNum w:abstractNumId="10">
    <w:nsid w:val="6B47F63E"/>
    <w:multiLevelType w:val="hybridMultilevel"/>
    <w:lvl w:ilvl="0">
      <w:lvlJc w:val="left"/>
      <w:lvlText w:val="3"/>
      <w:numFmt w:val="bullet"/>
      <w:start w:val="1"/>
    </w:lvl>
  </w:abstractNum>
  <w:abstractNum w:abstractNumId="11">
    <w:nsid w:val="5CB44A05"/>
    <w:multiLevelType w:val="hybridMultilevel"/>
    <w:lvl w:ilvl="0">
      <w:lvlJc w:val="left"/>
      <w:lvlText w:val="4"/>
      <w:numFmt w:val="bullet"/>
      <w:start w:val="1"/>
    </w:lvl>
  </w:abstractNum>
  <w:abstractNum w:abstractNumId="12">
    <w:nsid w:val="16CF80F1"/>
    <w:multiLevelType w:val="hybridMultilevel"/>
    <w:lvl w:ilvl="0">
      <w:lvlJc w:val="left"/>
      <w:lvlText w:val="5"/>
      <w:numFmt w:val="bullet"/>
      <w:start w:val="1"/>
    </w:lvl>
  </w:abstractNum>
  <w:abstractNum w:abstractNumId="13">
    <w:nsid w:val="1C695DEC"/>
    <w:multiLevelType w:val="hybridMultilevel"/>
    <w:lvl w:ilvl="0">
      <w:lvlJc w:val="left"/>
      <w:lvlText w:val="6"/>
      <w:numFmt w:val="bullet"/>
      <w:start w:val="1"/>
    </w:lvl>
  </w:abstractNum>
  <w:abstractNum w:abstractNumId="14">
    <w:nsid w:val="3FCFAED9"/>
    <w:multiLevelType w:val="hybridMultilevel"/>
    <w:lvl w:ilvl="0">
      <w:lvlJc w:val="left"/>
      <w:lvlText w:val="1"/>
      <w:numFmt w:val="bullet"/>
      <w:start w:val="1"/>
    </w:lvl>
  </w:abstractNum>
  <w:abstractNum w:abstractNumId="15">
    <w:nsid w:val="F856867"/>
    <w:multiLevelType w:val="hybridMultilevel"/>
    <w:lvl w:ilvl="0">
      <w:lvlJc w:val="left"/>
      <w:lvlText w:val="2"/>
      <w:numFmt w:val="bullet"/>
      <w:start w:val="1"/>
    </w:lvl>
  </w:abstractNum>
  <w:abstractNum w:abstractNumId="16">
    <w:nsid w:val="11B1CC33"/>
    <w:multiLevelType w:val="hybridMultilevel"/>
    <w:lvl w:ilvl="0">
      <w:lvlJc w:val="left"/>
      <w:lvlText w:val="1"/>
      <w:numFmt w:val="bullet"/>
      <w:start w:val="1"/>
    </w:lvl>
  </w:abstractNum>
  <w:abstractNum w:abstractNumId="17">
    <w:nsid w:val="2E22FBB7"/>
    <w:multiLevelType w:val="hybridMultilevel"/>
    <w:lvl w:ilvl="0">
      <w:lvlJc w:val="left"/>
      <w:lvlText w:val="•"/>
      <w:numFmt w:val="bullet"/>
      <w:start w:val="1"/>
    </w:lvl>
  </w:abstractNum>
  <w:abstractNum w:abstractNumId="18">
    <w:nsid w:val="29934699"/>
    <w:multiLevelType w:val="hybridMultilevel"/>
    <w:lvl w:ilvl="0">
      <w:lvlJc w:val="left"/>
      <w:lvlText w:val="•"/>
      <w:numFmt w:val="bullet"/>
      <w:start w:val="1"/>
    </w:lvl>
  </w:abstractNum>
  <w:abstractNum w:abstractNumId="19">
    <w:nsid w:val="77485850"/>
    <w:multiLevelType w:val="hybridMultilevel"/>
    <w:lvl w:ilvl="0">
      <w:lvlJc w:val="left"/>
      <w:lvlText w:val="•"/>
      <w:numFmt w:val="bullet"/>
      <w:start w:val="1"/>
    </w:lvl>
  </w:abstractNum>
  <w:abstractNum w:abstractNumId="20">
    <w:nsid w:val="744939A3"/>
    <w:multiLevelType w:val="hybridMultilevel"/>
    <w:lvl w:ilvl="0">
      <w:lvlJc w:val="left"/>
      <w:lvlText w:val="•"/>
      <w:numFmt w:val="bullet"/>
      <w:start w:val="1"/>
    </w:lvl>
  </w:abstractNum>
  <w:abstractNum w:abstractNumId="21">
    <w:nsid w:val="4FA0D2E3"/>
    <w:multiLevelType w:val="hybridMultilevel"/>
    <w:lvl w:ilvl="0">
      <w:lvlJc w:val="left"/>
      <w:lvlText w:val="•"/>
      <w:numFmt w:val="bullet"/>
      <w:start w:val="1"/>
    </w:lvl>
  </w:abstractNum>
  <w:abstractNum w:abstractNumId="22">
    <w:nsid w:val="6B1D2C14"/>
    <w:multiLevelType w:val="hybridMultilevel"/>
    <w:lvl w:ilvl="0">
      <w:lvlJc w:val="left"/>
      <w:lvlText w:val="•"/>
      <w:numFmt w:val="bullet"/>
      <w:start w:val="1"/>
    </w:lvl>
    <w:lvl w:ilvl="1">
      <w:lvlJc w:val="left"/>
      <w:lvlText w:val="\endash "/>
      <w:numFmt w:val="bullet"/>
      <w:start w:val="1"/>
    </w:lvl>
  </w:abstractNum>
  <w:abstractNum w:abstractNumId="23">
    <w:nsid w:val="68B867D3"/>
    <w:multiLevelType w:val="hybridMultilevel"/>
    <w:lvl w:ilvl="0">
      <w:lvlJc w:val="left"/>
      <w:lvlText w:val="•"/>
      <w:numFmt w:val="bullet"/>
      <w:start w:val="1"/>
    </w:lvl>
  </w:abstractNum>
  <w:abstractNum w:abstractNumId="24">
    <w:nsid w:val="3F7F5DD9"/>
    <w:multiLevelType w:val="hybridMultilevel"/>
    <w:lvl w:ilvl="0">
      <w:lvlJc w:val="left"/>
      <w:lvlText w:val="•"/>
      <w:numFmt w:val="bullet"/>
      <w:start w:val="1"/>
    </w:lvl>
  </w:abstractNum>
  <w:abstractNum w:abstractNumId="25">
    <w:nsid w:val="2AE05A34"/>
    <w:multiLevelType w:val="hybridMultilevel"/>
    <w:lvl w:ilvl="0">
      <w:lvlJc w:val="left"/>
      <w:lvlText w:val="•"/>
      <w:numFmt w:val="bullet"/>
      <w:start w:val="1"/>
    </w:lvl>
  </w:abstractNum>
  <w:abstractNum w:abstractNumId="26">
    <w:nsid w:val="32794FF7"/>
    <w:multiLevelType w:val="hybridMultilevel"/>
    <w:lvl w:ilvl="0">
      <w:lvlJc w:val="left"/>
      <w:lvlText w:val="•"/>
      <w:numFmt w:val="bullet"/>
      <w:start w:val="1"/>
    </w:lvl>
  </w:abstractNum>
  <w:abstractNum w:abstractNumId="27">
    <w:nsid w:val="5454945E"/>
    <w:multiLevelType w:val="hybridMultilevel"/>
    <w:lvl w:ilvl="0">
      <w:lvlJc w:val="left"/>
      <w:lvlText w:val="•"/>
      <w:numFmt w:val="bullet"/>
      <w:start w:val="1"/>
    </w:lvl>
  </w:abstractNum>
  <w:abstractNum w:abstractNumId="28">
    <w:nsid w:val="4DEFDFA0"/>
    <w:multiLevelType w:val="hybridMultilevel"/>
    <w:lvl w:ilvl="0">
      <w:lvlJc w:val="left"/>
      <w:lvlText w:val="1"/>
      <w:numFmt w:val="bullet"/>
      <w:start w:val="1"/>
    </w:lvl>
  </w:abstractNum>
  <w:abstractNum w:abstractNumId="29">
    <w:nsid w:val="2123D5F2"/>
    <w:multiLevelType w:val="hybridMultilevel"/>
    <w:lvl w:ilvl="0">
      <w:lvlJc w:val="left"/>
      <w:lvlText w:val="2"/>
      <w:numFmt w:val="bullet"/>
      <w:start w:val="1"/>
    </w:lvl>
  </w:abstractNum>
  <w:abstractNum w:abstractNumId="30">
    <w:nsid w:val="135B8110"/>
    <w:multiLevelType w:val="hybridMultilevel"/>
    <w:lvl w:ilvl="0">
      <w:lvlJc w:val="left"/>
      <w:lvlText w:val="3"/>
      <w:numFmt w:val="bullet"/>
      <w:start w:val="1"/>
    </w:lvl>
  </w:abstractNum>
  <w:abstractNum w:abstractNumId="31">
    <w:nsid w:val="94927A8"/>
    <w:multiLevelType w:val="hybridMultilevel"/>
    <w:lvl w:ilvl="0">
      <w:lvlJc w:val="left"/>
      <w:lvlText w:val="1"/>
      <w:numFmt w:val="bullet"/>
      <w:start w:val="1"/>
    </w:lvl>
  </w:abstractNum>
  <w:abstractNum w:abstractNumId="32">
    <w:nsid w:val="DCDF8F6"/>
    <w:multiLevelType w:val="hybridMultilevel"/>
    <w:lvl w:ilvl="0">
      <w:lvlJc w:val="left"/>
      <w:lvlText w:val="2"/>
      <w:numFmt w:val="bullet"/>
      <w:start w:val="1"/>
    </w:lvl>
  </w:abstractNum>
  <w:abstractNum w:abstractNumId="33">
    <w:nsid w:val="52D7B105"/>
    <w:multiLevelType w:val="hybridMultilevel"/>
    <w:lvl w:ilvl="0">
      <w:lvlJc w:val="left"/>
      <w:lvlText w:val="3"/>
      <w:numFmt w:val="bullet"/>
      <w:start w:val="1"/>
    </w:lvl>
  </w:abstractNum>
  <w:abstractNum w:abstractNumId="34">
    <w:nsid w:val="2E8A6394"/>
    <w:multiLevelType w:val="hybridMultilevel"/>
    <w:lvl w:ilvl="0">
      <w:lvlJc w:val="left"/>
      <w:lvlText w:val="1"/>
      <w:numFmt w:val="bullet"/>
      <w:start w:val="1"/>
    </w:lvl>
    <w:lvl w:ilvl="1">
      <w:lvlJc w:val="left"/>
      <w:lvlText w:val="•"/>
      <w:numFmt w:val="bullet"/>
      <w:start w:val="1"/>
    </w:lvl>
  </w:abstractNum>
  <w:abstractNum w:abstractNumId="35">
    <w:nsid w:val="24E60401"/>
    <w:multiLevelType w:val="hybridMultilevel"/>
    <w:lvl w:ilvl="0">
      <w:lvlJc w:val="left"/>
      <w:lvlText w:val="2"/>
      <w:numFmt w:val="bullet"/>
      <w:start w:val="1"/>
    </w:lvl>
    <w:lvl w:ilvl="1">
      <w:lvlJc w:val="left"/>
      <w:lvlText w:val="•"/>
      <w:numFmt w:val="bullet"/>
      <w:start w:val="1"/>
    </w:lvl>
  </w:abstractNum>
  <w:abstractNum w:abstractNumId="36">
    <w:nsid w:val="2A6AD9BE"/>
    <w:multiLevelType w:val="hybridMultilevel"/>
    <w:lvl w:ilvl="0">
      <w:lvlJc w:val="left"/>
      <w:lvlText w:val="•"/>
      <w:numFmt w:val="bullet"/>
      <w:start w:val="1"/>
    </w:lvl>
  </w:abstractNum>
  <w:abstractNum w:abstractNumId="37">
    <w:nsid w:val="BAAC1B4"/>
    <w:multiLevelType w:val="hybridMultilevel"/>
    <w:lvl w:ilvl="0">
      <w:lvlJc w:val="left"/>
      <w:lvlText w:val="•"/>
      <w:numFmt w:val="bullet"/>
      <w:start w:val="1"/>
    </w:lvl>
  </w:abstractNum>
  <w:abstractNum w:abstractNumId="38">
    <w:nsid w:val="36B2ACBC"/>
    <w:multiLevelType w:val="hybridMultilevel"/>
    <w:lvl w:ilvl="0">
      <w:lvlJc w:val="left"/>
      <w:lvlText w:val="•"/>
      <w:numFmt w:val="bullet"/>
      <w:start w:val="1"/>
    </w:lvl>
  </w:abstractNum>
  <w:abstractNum w:abstractNumId="39">
    <w:nsid w:val="779D8544"/>
    <w:multiLevelType w:val="hybridMultilevel"/>
    <w:lvl w:ilvl="0">
      <w:lvlJc w:val="left"/>
      <w:lvlText w:val="•"/>
      <w:numFmt w:val="bullet"/>
      <w:start w:val="1"/>
    </w:lvl>
  </w:abstractNum>
  <w:abstractNum w:abstractNumId="40">
    <w:nsid w:val="4AB26E78"/>
    <w:multiLevelType w:val="hybridMultilevel"/>
    <w:lvl w:ilvl="0">
      <w:lvlJc w:val="left"/>
      <w:lvlText w:val="•"/>
      <w:numFmt w:val="bullet"/>
      <w:start w:val="1"/>
    </w:lvl>
  </w:abstractNum>
  <w:abstractNum w:abstractNumId="41">
    <w:nsid w:val="21FAA2FA"/>
    <w:multiLevelType w:val="hybridMultilevel"/>
    <w:lvl w:ilvl="0">
      <w:lvlJc w:val="left"/>
      <w:lvlText w:val="•"/>
      <w:numFmt w:val="bullet"/>
      <w:start w:val="1"/>
    </w:lvl>
  </w:abstractNum>
  <w:abstractNum w:abstractNumId="42">
    <w:nsid w:val="5451CF49"/>
    <w:multiLevelType w:val="hybridMultilevel"/>
    <w:lvl w:ilvl="0">
      <w:lvlJc w:val="left"/>
      <w:lvlText w:val="•"/>
      <w:numFmt w:val="bullet"/>
      <w:start w:val="1"/>
    </w:lvl>
  </w:abstractNum>
  <w:abstractNum w:abstractNumId="43">
    <w:nsid w:val="6181EF69"/>
    <w:multiLevelType w:val="hybridMultilevel"/>
    <w:lvl w:ilvl="0">
      <w:lvlJc w:val="left"/>
      <w:lvlText w:val="•"/>
      <w:numFmt w:val="bullet"/>
      <w:start w:val="1"/>
    </w:lvl>
  </w:abstractNum>
  <w:abstractNum w:abstractNumId="44">
    <w:nsid w:val="3E6400E6"/>
    <w:multiLevelType w:val="hybridMultilevel"/>
    <w:lvl w:ilvl="0">
      <w:lvlJc w:val="left"/>
      <w:lvlText w:val="•"/>
      <w:numFmt w:val="bullet"/>
      <w:start w:val="1"/>
    </w:lvl>
  </w:abstractNum>
  <w:abstractNum w:abstractNumId="45">
    <w:nsid w:val="14217E23"/>
    <w:multiLevelType w:val="hybridMultilevel"/>
    <w:lvl w:ilvl="0">
      <w:lvlJc w:val="left"/>
      <w:lvlText w:val="•"/>
      <w:numFmt w:val="bullet"/>
      <w:start w:val="1"/>
    </w:lvl>
  </w:abstractNum>
  <w:abstractNum w:abstractNumId="46">
    <w:nsid w:val="710757D0"/>
    <w:multiLevelType w:val="hybridMultilevel"/>
    <w:lvl w:ilvl="0">
      <w:lvlJc w:val="left"/>
      <w:lvlText w:val="•"/>
      <w:numFmt w:val="bullet"/>
      <w:start w:val="1"/>
    </w:lvl>
  </w:abstractNum>
  <w:abstractNum w:abstractNumId="47">
    <w:nsid w:val="5015CD1A"/>
    <w:multiLevelType w:val="hybridMultilevel"/>
    <w:lvl w:ilvl="0">
      <w:lvlJc w:val="left"/>
      <w:lvlText w:val="•"/>
      <w:numFmt w:val="bullet"/>
      <w:start w:val="1"/>
    </w:lvl>
  </w:abstractNum>
  <w:abstractNum w:abstractNumId="48">
    <w:nsid w:val="424479DA"/>
    <w:multiLevelType w:val="hybridMultilevel"/>
    <w:lvl w:ilvl="0">
      <w:lvlJc w:val="left"/>
      <w:lvlText w:val="•"/>
      <w:numFmt w:val="bullet"/>
      <w:start w:val="1"/>
    </w:lvl>
  </w:abstractNum>
  <w:abstractNum w:abstractNumId="49">
    <w:nsid w:val="1A9A9E69"/>
    <w:multiLevelType w:val="hybridMultilevel"/>
    <w:lvl w:ilvl="0">
      <w:lvlJc w:val="left"/>
      <w:lvlText w:val="•"/>
      <w:numFmt w:val="bullet"/>
      <w:start w:val="1"/>
    </w:lvl>
  </w:abstractNum>
  <w:abstractNum w:abstractNumId="50">
    <w:nsid w:val="475E256A"/>
    <w:multiLevelType w:val="hybridMultilevel"/>
    <w:lvl w:ilvl="0">
      <w:lvlJc w:val="left"/>
      <w:lvlText w:val="•"/>
      <w:numFmt w:val="bullet"/>
      <w:start w:val="1"/>
    </w:lvl>
  </w:abstractNum>
  <w:abstractNum w:abstractNumId="51">
    <w:nsid w:val="368DB37E"/>
    <w:multiLevelType w:val="hybridMultilevel"/>
    <w:lvl w:ilvl="0">
      <w:lvlJc w:val="left"/>
      <w:lvlText w:val="•"/>
      <w:numFmt w:val="bullet"/>
      <w:start w:val="1"/>
    </w:lvl>
  </w:abstractNum>
  <w:abstractNum w:abstractNumId="52">
    <w:nsid w:val="6A3B714C"/>
    <w:multiLevelType w:val="hybridMultilevel"/>
    <w:lvl w:ilvl="0">
      <w:lvlJc w:val="left"/>
      <w:lvlText w:val="•"/>
      <w:numFmt w:val="bullet"/>
      <w:start w:val="1"/>
    </w:lvl>
  </w:abstractNum>
  <w:abstractNum w:abstractNumId="53">
    <w:nsid w:val="327B517E"/>
    <w:multiLevelType w:val="hybridMultilevel"/>
    <w:lvl w:ilvl="0">
      <w:lvlJc w:val="left"/>
      <w:lvlText w:val="•"/>
      <w:numFmt w:val="bullet"/>
      <w:start w:val="1"/>
    </w:lvl>
  </w:abstractNum>
  <w:abstractNum w:abstractNumId="54">
    <w:nsid w:val="1F461B51"/>
    <w:multiLevelType w:val="hybridMultilevel"/>
    <w:lvl w:ilvl="0">
      <w:lvlJc w:val="left"/>
      <w:lvlText w:val="•"/>
      <w:numFmt w:val="bullet"/>
      <w:start w:val="1"/>
    </w:lvl>
  </w:abstractNum>
  <w:abstractNum w:abstractNumId="55">
    <w:nsid w:val="29BACF25"/>
    <w:multiLevelType w:val="hybridMultilevel"/>
    <w:lvl w:ilvl="0">
      <w:lvlJc w:val="left"/>
      <w:lvlText w:val="•"/>
      <w:numFmt w:val="bullet"/>
      <w:start w:val="1"/>
    </w:lvl>
  </w:abstractNum>
  <w:abstractNum w:abstractNumId="56">
    <w:nsid w:val="5D5BABB3"/>
    <w:multiLevelType w:val="hybridMultilevel"/>
    <w:lvl w:ilvl="0">
      <w:lvlJc w:val="left"/>
      <w:lvlText w:val="•"/>
      <w:numFmt w:val="bullet"/>
      <w:start w:val="1"/>
    </w:lvl>
  </w:abstractNum>
  <w:abstractNum w:abstractNumId="57">
    <w:nsid w:val="51BF6B48"/>
    <w:multiLevelType w:val="hybridMultilevel"/>
    <w:lvl w:ilvl="0">
      <w:lvlJc w:val="left"/>
      <w:lvlText w:val="•"/>
      <w:numFmt w:val="bullet"/>
      <w:start w:val="1"/>
    </w:lvl>
  </w:abstractNum>
  <w:abstractNum w:abstractNumId="58">
    <w:nsid w:val="7E0F6384"/>
    <w:multiLevelType w:val="hybridMultilevel"/>
    <w:lvl w:ilvl="0">
      <w:lvlJc w:val="left"/>
      <w:lvlText w:val="•"/>
      <w:numFmt w:val="bullet"/>
      <w:start w:val="1"/>
    </w:lvl>
  </w:abstractNum>
  <w:abstractNum w:abstractNumId="59">
    <w:nsid w:val="2B4B8B53"/>
    <w:multiLevelType w:val="hybridMultilevel"/>
    <w:lvl w:ilvl="0">
      <w:lvlJc w:val="left"/>
      <w:lvlText w:val="•"/>
      <w:numFmt w:val="bullet"/>
      <w:start w:val="1"/>
    </w:lvl>
  </w:abstractNum>
  <w:abstractNum w:abstractNumId="60">
    <w:nsid w:val="72E3413A"/>
    <w:multiLevelType w:val="hybridMultilevel"/>
    <w:lvl w:ilvl="0">
      <w:lvlJc w:val="left"/>
      <w:lvlText w:val="•"/>
      <w:numFmt w:val="bullet"/>
      <w:start w:val="1"/>
    </w:lvl>
  </w:abstractNum>
  <w:abstractNum w:abstractNumId="61">
    <w:nsid w:val="116AE494"/>
    <w:multiLevelType w:val="hybridMultilevel"/>
    <w:lvl w:ilvl="0">
      <w:lvlJc w:val="left"/>
      <w:lvlText w:val="•"/>
      <w:numFmt w:val="bullet"/>
      <w:start w:val="1"/>
    </w:lvl>
  </w:abstractNum>
  <w:abstractNum w:abstractNumId="62">
    <w:nsid w:val="3494B2FB"/>
    <w:multiLevelType w:val="hybridMultilevel"/>
    <w:lvl w:ilvl="0">
      <w:lvlJc w:val="left"/>
      <w:lvlText w:val="•"/>
      <w:numFmt w:val="bullet"/>
      <w:start w:val="1"/>
    </w:lvl>
  </w:abstractNum>
  <w:abstractNum w:abstractNumId="63">
    <w:nsid w:val="B13A31"/>
    <w:multiLevelType w:val="hybridMultilevel"/>
    <w:lvl w:ilvl="0">
      <w:lvlJc w:val="left"/>
      <w:lvlText w:val="•"/>
      <w:numFmt w:val="bullet"/>
      <w:start w:val="1"/>
    </w:lvl>
  </w:abstractNum>
  <w:abstractNum w:abstractNumId="64">
    <w:nsid w:val="64429599"/>
    <w:multiLevelType w:val="hybridMultilevel"/>
    <w:lvl w:ilvl="0">
      <w:lvlJc w:val="left"/>
      <w:lvlText w:val="•"/>
      <w:numFmt w:val="bullet"/>
      <w:start w:val="1"/>
    </w:lvl>
  </w:abstractNum>
  <w:abstractNum w:abstractNumId="65">
    <w:nsid w:val="631F1690"/>
    <w:multiLevelType w:val="hybridMultilevel"/>
    <w:lvl w:ilvl="0">
      <w:lvlJc w:val="left"/>
      <w:lvlText w:val="•"/>
      <w:numFmt w:val="bullet"/>
      <w:start w:val="1"/>
    </w:lvl>
  </w:abstractNum>
  <w:abstractNum w:abstractNumId="66">
    <w:nsid w:val="25973E32"/>
    <w:multiLevelType w:val="hybridMultilevel"/>
    <w:lvl w:ilvl="0">
      <w:lvlJc w:val="left"/>
      <w:lvlText w:val="•"/>
      <w:numFmt w:val="bullet"/>
      <w:start w:val="1"/>
    </w:lvl>
  </w:abstractNum>
  <w:abstractNum w:abstractNumId="67">
    <w:nsid w:val="EAD6F57"/>
    <w:multiLevelType w:val="hybridMultilevel"/>
    <w:lvl w:ilvl="0">
      <w:lvlJc w:val="left"/>
      <w:lvlText w:val="•"/>
      <w:numFmt w:val="bullet"/>
      <w:start w:val="1"/>
    </w:lvl>
  </w:abstractNum>
  <w:abstractNum w:abstractNumId="68">
    <w:nsid w:val="6EC9D844"/>
    <w:multiLevelType w:val="hybridMultilevel"/>
    <w:lvl w:ilvl="0">
      <w:lvlJc w:val="left"/>
      <w:lvlText w:val="•"/>
      <w:numFmt w:val="bullet"/>
      <w:start w:val="1"/>
    </w:lvl>
  </w:abstractNum>
  <w:abstractNum w:abstractNumId="69">
    <w:nsid w:val="5C49EAEE"/>
    <w:multiLevelType w:val="hybridMultilevel"/>
    <w:lvl w:ilvl="0">
      <w:lvlJc w:val="left"/>
      <w:lvlText w:val="•"/>
      <w:numFmt w:val="bullet"/>
      <w:start w:val="1"/>
    </w:lvl>
  </w:abstractNum>
  <w:abstractNum w:abstractNumId="70">
    <w:nsid w:val="64AF49B"/>
    <w:multiLevelType w:val="hybridMultilevel"/>
    <w:lvl w:ilvl="0">
      <w:lvlJc w:val="left"/>
      <w:lvlText w:val="•"/>
      <w:numFmt w:val="bullet"/>
      <w:start w:val="1"/>
    </w:lvl>
  </w:abstractNum>
  <w:abstractNum w:abstractNumId="71">
    <w:nsid w:val="397C46BC"/>
    <w:multiLevelType w:val="hybridMultilevel"/>
    <w:lvl w:ilvl="0">
      <w:lvlJc w:val="left"/>
      <w:lvlText w:val="•"/>
      <w:numFmt w:val="bullet"/>
      <w:start w:val="1"/>
    </w:lvl>
  </w:abstractNum>
  <w:abstractNum w:abstractNumId="72">
    <w:nsid w:val="7E448DE9"/>
    <w:multiLevelType w:val="hybridMultilevel"/>
    <w:lvl w:ilvl="0">
      <w:lvlJc w:val="left"/>
      <w:lvlText w:val="•"/>
      <w:numFmt w:val="bullet"/>
      <w:start w:val="1"/>
    </w:lvl>
  </w:abstractNum>
  <w:abstractNum w:abstractNumId="73">
    <w:nsid w:val="5A9CC3E5"/>
    <w:multiLevelType w:val="hybridMultilevel"/>
    <w:lvl w:ilvl="0">
      <w:lvlJc w:val="left"/>
      <w:lvlText w:val="•"/>
      <w:numFmt w:val="bullet"/>
      <w:start w:val="1"/>
    </w:lvl>
  </w:abstractNum>
  <w:abstractNum w:abstractNumId="74">
    <w:nsid w:val="1AFE3625"/>
    <w:multiLevelType w:val="hybridMultilevel"/>
    <w:lvl w:ilvl="0">
      <w:lvlJc w:val="left"/>
      <w:lvlText w:val="•"/>
      <w:numFmt w:val="bullet"/>
      <w:start w:val="1"/>
    </w:lvl>
  </w:abstractNum>
  <w:abstractNum w:abstractNumId="75">
    <w:nsid w:val="3CA88ECF"/>
    <w:multiLevelType w:val="hybridMultilevel"/>
    <w:lvl w:ilvl="0">
      <w:lvlJc w:val="left"/>
      <w:lvlText w:val="•"/>
      <w:numFmt w:val="bullet"/>
      <w:start w:val="1"/>
    </w:lvl>
  </w:abstractNum>
  <w:abstractNum w:abstractNumId="76">
    <w:nsid w:val="6EBE4208"/>
    <w:multiLevelType w:val="hybridMultilevel"/>
    <w:lvl w:ilvl="0">
      <w:lvlJc w:val="left"/>
      <w:lvlText w:val="•"/>
      <w:numFmt w:val="bullet"/>
      <w:start w:val="1"/>
    </w:lvl>
  </w:abstractNum>
  <w:abstractNum w:abstractNumId="77">
    <w:nsid w:val="C058DF5"/>
    <w:multiLevelType w:val="hybridMultilevel"/>
    <w:lvl w:ilvl="0">
      <w:lvlJc w:val="left"/>
      <w:lvlText w:val="•"/>
      <w:numFmt w:val="bullet"/>
      <w:start w:val="1"/>
    </w:lvl>
  </w:abstractNum>
  <w:abstractNum w:abstractNumId="78">
    <w:nsid w:val="CBE5BE9"/>
    <w:multiLevelType w:val="hybridMultilevel"/>
    <w:lvl w:ilvl="0">
      <w:lvlJc w:val="left"/>
      <w:lvlText w:val="•"/>
      <w:numFmt w:val="bullet"/>
      <w:start w:val="1"/>
    </w:lvl>
  </w:abstractNum>
  <w:abstractNum w:abstractNumId="79">
    <w:nsid w:val="3102BBE2"/>
    <w:multiLevelType w:val="hybridMultilevel"/>
    <w:lvl w:ilvl="0">
      <w:lvlJc w:val="left"/>
      <w:lvlText w:val="•"/>
      <w:numFmt w:val="bullet"/>
      <w:start w:val="1"/>
    </w:lvl>
  </w:abstractNum>
  <w:abstractNum w:abstractNumId="80">
    <w:nsid w:val="26A02C5E"/>
    <w:multiLevelType w:val="hybridMultilevel"/>
    <w:lvl w:ilvl="0">
      <w:lvlJc w:val="left"/>
      <w:lvlText w:val="•"/>
      <w:numFmt w:val="bullet"/>
      <w:start w:val="1"/>
    </w:lvl>
  </w:abstractNum>
  <w:abstractNum w:abstractNumId="81">
    <w:nsid w:val="541C8153"/>
    <w:multiLevelType w:val="hybridMultilevel"/>
    <w:lvl w:ilvl="0">
      <w:lvlJc w:val="left"/>
      <w:lvlText w:val="•"/>
      <w:numFmt w:val="bullet"/>
      <w:start w:val="1"/>
    </w:lvl>
  </w:abstractNum>
  <w:abstractNum w:abstractNumId="82">
    <w:nsid w:val="67906F60"/>
    <w:multiLevelType w:val="hybridMultilevel"/>
    <w:lvl w:ilvl="0">
      <w:lvlJc w:val="left"/>
      <w:lvlText w:val="•"/>
      <w:numFmt w:val="bullet"/>
      <w:start w:val="1"/>
    </w:lvl>
  </w:abstractNum>
  <w:abstractNum w:abstractNumId="83">
    <w:nsid w:val="10DB9DAA"/>
    <w:multiLevelType w:val="hybridMultilevel"/>
    <w:lvl w:ilvl="0">
      <w:lvlJc w:val="left"/>
      <w:lvlText w:val="•"/>
      <w:numFmt w:val="bullet"/>
      <w:start w:val="1"/>
    </w:lvl>
  </w:abstractNum>
  <w:abstractNum w:abstractNumId="84">
    <w:nsid w:val="697D2D2"/>
    <w:multiLevelType w:val="hybridMultilevel"/>
    <w:lvl w:ilvl="0">
      <w:lvlJc w:val="left"/>
      <w:lvlText w:val="•"/>
      <w:numFmt w:val="bullet"/>
      <w:start w:val="1"/>
    </w:lvl>
  </w:abstractNum>
  <w:abstractNum w:abstractNumId="85">
    <w:nsid w:val="6D68AB2"/>
    <w:multiLevelType w:val="hybridMultilevel"/>
    <w:lvl w:ilvl="0">
      <w:lvlJc w:val="left"/>
      <w:lvlText w:val="%1."/>
      <w:numFmt w:val="decimal"/>
      <w:start w:val="109"/>
    </w:lvl>
  </w:abstractNum>
  <w:abstractNum w:abstractNumId="86">
    <w:nsid w:val="3A966CD0"/>
    <w:multiLevelType w:val="hybridMultilevel"/>
    <w:lvl w:ilvl="0">
      <w:lvlJc w:val="left"/>
      <w:lvlText w:val="•"/>
      <w:numFmt w:val="bullet"/>
      <w:start w:val="1"/>
    </w:lvl>
  </w:abstractNum>
  <w:abstractNum w:abstractNumId="87">
    <w:nsid w:val="63F37E85"/>
    <w:multiLevelType w:val="hybridMultilevel"/>
    <w:lvl w:ilvl="0">
      <w:lvlJc w:val="left"/>
      <w:lvlText w:val="•"/>
      <w:numFmt w:val="bullet"/>
      <w:start w:val="1"/>
    </w:lvl>
  </w:abstractNum>
  <w:abstractNum w:abstractNumId="88">
    <w:nsid w:val="5895F5FA"/>
    <w:multiLevelType w:val="hybridMultilevel"/>
    <w:lvl w:ilvl="0">
      <w:lvlJc w:val="left"/>
      <w:lvlText w:val="•"/>
      <w:numFmt w:val="bullet"/>
      <w:start w:val="1"/>
    </w:lvl>
  </w:abstractNum>
  <w:abstractNum w:abstractNumId="89">
    <w:nsid w:val="38A5D054"/>
    <w:multiLevelType w:val="hybridMultilevel"/>
    <w:lvl w:ilvl="0">
      <w:lvlJc w:val="left"/>
      <w:lvlText w:val="•"/>
      <w:numFmt w:val="bullet"/>
      <w:start w:val="1"/>
    </w:lvl>
  </w:abstractNum>
  <w:abstractNum w:abstractNumId="90">
    <w:nsid w:val="F3F09D8"/>
    <w:multiLevelType w:val="hybridMultilevel"/>
    <w:lvl w:ilvl="0">
      <w:lvlJc w:val="left"/>
      <w:lvlText w:val="•"/>
      <w:numFmt w:val="bullet"/>
      <w:start w:val="1"/>
    </w:lvl>
  </w:abstractNum>
  <w:abstractNum w:abstractNumId="91">
    <w:nsid w:val="4B793735"/>
    <w:multiLevelType w:val="hybridMultilevel"/>
    <w:lvl w:ilvl="0">
      <w:lvlJc w:val="left"/>
      <w:lvlText w:val="•"/>
      <w:numFmt w:val="bullet"/>
      <w:start w:val="1"/>
    </w:lvl>
  </w:abstractNum>
  <w:abstractNum w:abstractNumId="92">
    <w:nsid w:val="4A10B4E8"/>
    <w:multiLevelType w:val="hybridMultilevel"/>
    <w:lvl w:ilvl="0">
      <w:lvlJc w:val="left"/>
      <w:lvlText w:val="•"/>
      <w:numFmt w:val="bullet"/>
      <w:start w:val="1"/>
    </w:lvl>
  </w:abstractNum>
  <w:abstractNum w:abstractNumId="93">
    <w:nsid w:val="43D3BCD4"/>
    <w:multiLevelType w:val="hybridMultilevel"/>
    <w:lvl w:ilvl="0">
      <w:lvlJc w:val="left"/>
      <w:lvlText w:val="1"/>
      <w:numFmt w:val="bullet"/>
      <w:start w:val="1"/>
    </w:lvl>
  </w:abstractNum>
  <w:abstractNum w:abstractNumId="94">
    <w:nsid w:val="4C2A7166"/>
    <w:multiLevelType w:val="hybridMultilevel"/>
    <w:lvl w:ilvl="0">
      <w:lvlJc w:val="left"/>
      <w:lvlText w:val="2"/>
      <w:numFmt w:val="bullet"/>
      <w:start w:val="1"/>
    </w:lvl>
  </w:abstractNum>
  <w:abstractNum w:abstractNumId="95">
    <w:nsid w:val="2E534A82"/>
    <w:multiLevelType w:val="hybridMultilevel"/>
    <w:lvl w:ilvl="0">
      <w:lvlJc w:val="left"/>
      <w:lvlText w:val="•"/>
      <w:numFmt w:val="bullet"/>
      <w:start w:val="1"/>
    </w:lvl>
  </w:abstractNum>
  <w:abstractNum w:abstractNumId="96">
    <w:nsid w:val="26F2D364"/>
    <w:multiLevelType w:val="hybridMultilevel"/>
    <w:lvl w:ilvl="0">
      <w:lvlJc w:val="left"/>
      <w:lvlText w:val="•"/>
      <w:numFmt w:val="bullet"/>
      <w:start w:val="1"/>
    </w:lvl>
  </w:abstractNum>
  <w:abstractNum w:abstractNumId="97">
    <w:nsid w:val="71C1AF98"/>
    <w:multiLevelType w:val="hybridMultilevel"/>
    <w:lvl w:ilvl="0">
      <w:lvlJc w:val="left"/>
      <w:lvlText w:val="•"/>
      <w:numFmt w:val="bullet"/>
      <w:start w:val="1"/>
    </w:lvl>
  </w:abstractNum>
  <w:abstractNum w:abstractNumId="98">
    <w:nsid w:val="3D00B9D9"/>
    <w:multiLevelType w:val="hybridMultilevel"/>
    <w:lvl w:ilvl="0">
      <w:lvlJc w:val="left"/>
      <w:lvlText w:val="•"/>
      <w:numFmt w:val="bullet"/>
      <w:start w:val="1"/>
    </w:lvl>
  </w:abstractNum>
  <w:abstractNum w:abstractNumId="99">
    <w:nsid w:val="15BCAB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0">
    <w:nsid w:val="4E0B9A87"/>
    <w:multiLevelType w:val="hybridMultilevel"/>
    <w:lvl w:ilvl="0">
      <w:lvlJc w:val="left"/>
      <w:lvlText w:val="1"/>
      <w:numFmt w:val="bullet"/>
      <w:start w:val="1"/>
    </w:lvl>
  </w:abstractNum>
  <w:abstractNum w:abstractNumId="101">
    <w:nsid w:val="434BAE75"/>
    <w:multiLevelType w:val="hybridMultilevel"/>
    <w:lvl w:ilvl="0">
      <w:lvlJc w:val="left"/>
      <w:lvlText w:val="2"/>
      <w:numFmt w:val="bullet"/>
      <w:start w:val="1"/>
    </w:lvl>
  </w:abstractNum>
  <w:abstractNum w:abstractNumId="102">
    <w:nsid w:val="4F38F265"/>
    <w:multiLevelType w:val="hybridMultilevel"/>
    <w:lvl w:ilvl="0">
      <w:lvlJc w:val="left"/>
      <w:lvlText w:val="3"/>
      <w:numFmt w:val="bullet"/>
      <w:start w:val="1"/>
    </w:lvl>
  </w:abstractNum>
  <w:abstractNum w:abstractNumId="103">
    <w:nsid w:val="4C502870"/>
    <w:multiLevelType w:val="hybridMultilevel"/>
    <w:lvl w:ilvl="0">
      <w:lvlJc w:val="left"/>
      <w:lvlText w:val="•"/>
      <w:numFmt w:val="bullet"/>
      <w:start w:val="1"/>
    </w:lvl>
  </w:abstractNum>
  <w:abstractNum w:abstractNumId="104">
    <w:nsid w:val="1DE8725A"/>
    <w:multiLevelType w:val="hybridMultilevel"/>
    <w:lvl w:ilvl="0">
      <w:lvlJc w:val="left"/>
      <w:lvlText w:val="•"/>
      <w:numFmt w:val="bullet"/>
      <w:start w:val="1"/>
    </w:lvl>
  </w:abstractNum>
  <w:abstractNum w:abstractNumId="105">
    <w:nsid w:val="6A37288A"/>
    <w:multiLevelType w:val="hybridMultilevel"/>
    <w:lvl w:ilvl="0">
      <w:lvlJc w:val="left"/>
      <w:lvlText w:val="2"/>
      <w:numFmt w:val="bullet"/>
      <w:start w:val="1"/>
    </w:lvl>
  </w:abstractNum>
  <w:abstractNum w:abstractNumId="106">
    <w:nsid w:val="8F8B73F"/>
    <w:multiLevelType w:val="hybridMultilevel"/>
    <w:lvl w:ilvl="0">
      <w:lvlJc w:val="left"/>
      <w:lvlText w:val="•"/>
      <w:numFmt w:val="bullet"/>
      <w:start w:val="1"/>
    </w:lvl>
  </w:abstractNum>
  <w:abstractNum w:abstractNumId="107">
    <w:nsid w:val="CA6B462"/>
    <w:multiLevelType w:val="hybridMultilevel"/>
    <w:lvl w:ilvl="0">
      <w:lvlJc w:val="left"/>
      <w:lvlText w:val="•"/>
      <w:numFmt w:val="bullet"/>
      <w:start w:val="1"/>
    </w:lvl>
    <w:lvl w:ilvl="1">
      <w:lvlJc w:val="left"/>
      <w:lvlText w:val="•"/>
      <w:numFmt w:val="bullet"/>
      <w:start w:val="1"/>
    </w:lvl>
  </w:abstractNum>
  <w:abstractNum w:abstractNumId="108">
    <w:nsid w:val="763CB680"/>
    <w:multiLevelType w:val="hybridMultilevel"/>
    <w:lvl w:ilvl="0">
      <w:lvlJc w:val="left"/>
      <w:lvlText w:val="•"/>
      <w:numFmt w:val="bullet"/>
      <w:start w:val="1"/>
    </w:lvl>
  </w:abstractNum>
  <w:abstractNum w:abstractNumId="109">
    <w:nsid w:val="15B71329"/>
    <w:multiLevelType w:val="hybridMultilevel"/>
    <w:lvl w:ilvl="0">
      <w:lvlJc w:val="left"/>
      <w:lvlText w:val="1"/>
      <w:numFmt w:val="bullet"/>
      <w:start w:val="1"/>
    </w:lvl>
  </w:abstractNum>
  <w:abstractNum w:abstractNumId="110">
    <w:nsid w:val="3DA97044"/>
    <w:multiLevelType w:val="hybridMultilevel"/>
    <w:lvl w:ilvl="0">
      <w:lvlJc w:val="left"/>
      <w:lvlText w:val="2"/>
      <w:numFmt w:val="bullet"/>
      <w:start w:val="1"/>
    </w:lvl>
  </w:abstractNum>
  <w:abstractNum w:abstractNumId="111">
    <w:nsid w:val="1CDCE2DE"/>
    <w:multiLevelType w:val="hybridMultilevel"/>
    <w:lvl w:ilvl="0">
      <w:lvlJc w:val="left"/>
      <w:lvlText w:val="3"/>
      <w:numFmt w:val="bullet"/>
      <w:start w:val="1"/>
    </w:lvl>
  </w:abstractNum>
  <w:abstractNum w:abstractNumId="112">
    <w:nsid w:val="69D3947C"/>
    <w:multiLevelType w:val="hybridMultilevel"/>
    <w:lvl w:ilvl="0">
      <w:lvlJc w:val="left"/>
      <w:lvlText w:val="4"/>
      <w:numFmt w:val="bullet"/>
      <w:start w:val="1"/>
    </w:lvl>
  </w:abstractNum>
  <w:abstractNum w:abstractNumId="113">
    <w:nsid w:val="2539DFA5"/>
    <w:multiLevelType w:val="hybridMultilevel"/>
    <w:lvl w:ilvl="0">
      <w:lvlJc w:val="left"/>
      <w:lvlText w:val="5"/>
      <w:numFmt w:val="bullet"/>
      <w:start w:val="1"/>
    </w:lvl>
  </w:abstractNum>
  <w:abstractNum w:abstractNumId="114">
    <w:nsid w:val="2DB88089"/>
    <w:multiLevelType w:val="hybridMultilevel"/>
    <w:lvl w:ilvl="0">
      <w:lvlJc w:val="left"/>
      <w:lvlText w:val="•"/>
      <w:numFmt w:val="bullet"/>
      <w:start w:val="1"/>
    </w:lvl>
  </w:abstractNum>
  <w:abstractNum w:abstractNumId="115">
    <w:nsid w:val="706B674E"/>
    <w:multiLevelType w:val="hybridMultilevel"/>
    <w:lvl w:ilvl="0">
      <w:lvlJc w:val="left"/>
      <w:lvlText w:val="•"/>
      <w:numFmt w:val="bullet"/>
      <w:start w:val="1"/>
    </w:lvl>
  </w:abstractNum>
  <w:abstractNum w:abstractNumId="116">
    <w:nsid w:val="2C106A57"/>
    <w:multiLevelType w:val="hybridMultilevel"/>
    <w:lvl w:ilvl="0">
      <w:lvlJc w:val="left"/>
      <w:lvlText w:val="•"/>
      <w:numFmt w:val="bullet"/>
      <w:start w:val="1"/>
    </w:lvl>
  </w:abstractNum>
  <w:abstractNum w:abstractNumId="117">
    <w:nsid w:val="684EED59"/>
    <w:multiLevelType w:val="hybridMultilevel"/>
    <w:lvl w:ilvl="0">
      <w:lvlJc w:val="left"/>
      <w:lvlText w:val="•"/>
      <w:numFmt w:val="bullet"/>
      <w:start w:val="1"/>
    </w:lvl>
  </w:abstractNum>
  <w:abstractNum w:abstractNumId="118">
    <w:nsid w:val="545EE5D3"/>
    <w:multiLevelType w:val="hybridMultilevel"/>
    <w:lvl w:ilvl="0">
      <w:lvlJc w:val="left"/>
      <w:lvlText w:val="•"/>
      <w:numFmt w:val="bullet"/>
      <w:start w:val="1"/>
    </w:lvl>
  </w:abstractNum>
  <w:abstractNum w:abstractNumId="119">
    <w:nsid w:val="4A66051"/>
    <w:multiLevelType w:val="hybridMultilevel"/>
    <w:lvl w:ilvl="0">
      <w:lvlJc w:val="left"/>
      <w:lvlText w:val="•"/>
      <w:numFmt w:val="bullet"/>
      <w:start w:val="1"/>
    </w:lvl>
  </w:abstractNum>
  <w:abstractNum w:abstractNumId="120">
    <w:nsid w:val="20F4BDAD"/>
    <w:multiLevelType w:val="hybridMultilevel"/>
    <w:lvl w:ilvl="0">
      <w:lvlJc w:val="left"/>
      <w:lvlText w:val="•"/>
      <w:numFmt w:val="bullet"/>
      <w:start w:val="1"/>
    </w:lvl>
  </w:abstractNum>
  <w:abstractNum w:abstractNumId="121">
    <w:nsid w:val="639DEFAC"/>
    <w:multiLevelType w:val="hybridMultilevel"/>
    <w:lvl w:ilvl="0">
      <w:lvlJc w:val="left"/>
      <w:lvlText w:val="•"/>
      <w:numFmt w:val="bullet"/>
      <w:start w:val="1"/>
    </w:lvl>
  </w:abstractNum>
  <w:abstractNum w:abstractNumId="122">
    <w:nsid w:val="501F9786"/>
    <w:multiLevelType w:val="hybridMultilevel"/>
    <w:lvl w:ilvl="0">
      <w:lvlJc w:val="left"/>
      <w:lvlText w:val="•"/>
      <w:numFmt w:val="bullet"/>
      <w:start w:val="1"/>
    </w:lvl>
  </w:abstractNum>
  <w:abstractNum w:abstractNumId="123">
    <w:nsid w:val="6B057295"/>
    <w:multiLevelType w:val="hybridMultilevel"/>
    <w:lvl w:ilvl="0">
      <w:lvlJc w:val="left"/>
      <w:lvlText w:val="1"/>
      <w:numFmt w:val="bullet"/>
      <w:start w:val="1"/>
    </w:lvl>
  </w:abstractNum>
  <w:abstractNum w:abstractNumId="124">
    <w:nsid w:val="2771AC80"/>
    <w:multiLevelType w:val="hybridMultilevel"/>
    <w:lvl w:ilvl="0">
      <w:lvlJc w:val="left"/>
      <w:lvlText w:val="•"/>
      <w:numFmt w:val="bullet"/>
      <w:start w:val="1"/>
    </w:lvl>
  </w:abstractNum>
  <w:abstractNum w:abstractNumId="125">
    <w:nsid w:val="1C4A08EC"/>
    <w:multiLevelType w:val="hybridMultilevel"/>
    <w:lvl w:ilvl="0">
      <w:lvlJc w:val="left"/>
      <w:lvlText w:val="1"/>
      <w:numFmt w:val="bullet"/>
      <w:start w:val="1"/>
    </w:lvl>
  </w:abstractNum>
  <w:abstractNum w:abstractNumId="126">
    <w:nsid w:val="1958BD17"/>
    <w:multiLevelType w:val="hybridMultilevel"/>
    <w:lvl w:ilvl="0">
      <w:lvlJc w:val="left"/>
      <w:lvlText w:val="2"/>
      <w:numFmt w:val="bullet"/>
      <w:start w:val="1"/>
    </w:lvl>
  </w:abstractNum>
  <w:abstractNum w:abstractNumId="127">
    <w:nsid w:val="4E647FE4"/>
    <w:multiLevelType w:val="hybridMultilevel"/>
    <w:lvl w:ilvl="0">
      <w:lvlJc w:val="left"/>
      <w:lvlText w:val="•"/>
      <w:numFmt w:val="bullet"/>
      <w:start w:val="1"/>
    </w:lvl>
    <w:lvl w:ilvl="1">
      <w:lvlJc w:val="left"/>
      <w:lvlText w:val="◦"/>
      <w:numFmt w:val="bullet"/>
      <w:start w:val="1"/>
    </w:lvl>
  </w:abstractNum>
  <w:abstractNum w:abstractNumId="128">
    <w:nsid w:val="E0BB885"/>
    <w:multiLevelType w:val="hybridMultilevel"/>
    <w:lvl w:ilvl="0">
      <w:lvlJc w:val="left"/>
      <w:lvlText w:val="1"/>
      <w:numFmt w:val="bullet"/>
      <w:start w:val="1"/>
    </w:lvl>
  </w:abstractNum>
  <w:abstractNum w:abstractNumId="129">
    <w:nsid w:val="565976F1"/>
    <w:multiLevelType w:val="hybridMultilevel"/>
    <w:lvl w:ilvl="0">
      <w:lvlJc w:val="left"/>
      <w:lvlText w:val="2"/>
      <w:numFmt w:val="bullet"/>
      <w:start w:val="1"/>
    </w:lvl>
  </w:abstractNum>
  <w:abstractNum w:abstractNumId="130">
    <w:nsid w:val="64212B8C"/>
    <w:multiLevelType w:val="hybridMultilevel"/>
    <w:lvl w:ilvl="0">
      <w:lvlJc w:val="left"/>
      <w:lvlText w:val="•"/>
      <w:numFmt w:val="bullet"/>
      <w:start w:val="1"/>
    </w:lvl>
  </w:abstractNum>
  <w:abstractNum w:abstractNumId="131">
    <w:nsid w:val="5C17530C"/>
    <w:multiLevelType w:val="hybridMultilevel"/>
    <w:lvl w:ilvl="0">
      <w:lvlJc w:val="left"/>
      <w:lvlText w:val="•"/>
      <w:numFmt w:val="bullet"/>
      <w:start w:val="1"/>
    </w:lvl>
  </w:abstractNum>
  <w:abstractNum w:abstractNumId="132">
    <w:nsid w:val="19A52566"/>
    <w:multiLevelType w:val="hybridMultilevel"/>
    <w:lvl w:ilvl="0">
      <w:lvlJc w:val="left"/>
      <w:lvlText w:val="•"/>
      <w:numFmt w:val="bullet"/>
      <w:start w:val="1"/>
    </w:lvl>
  </w:abstractNum>
  <w:abstractNum w:abstractNumId="133">
    <w:nsid w:val="335A1DF1"/>
    <w:multiLevelType w:val="hybridMultilevel"/>
    <w:lvl w:ilvl="0">
      <w:lvlJc w:val="left"/>
      <w:lvlText w:val="•"/>
      <w:numFmt w:val="bullet"/>
      <w:start w:val="1"/>
    </w:lvl>
  </w:abstractNum>
  <w:abstractNum w:abstractNumId="134">
    <w:nsid w:val="28677B7C"/>
    <w:multiLevelType w:val="hybridMultilevel"/>
    <w:lvl w:ilvl="0">
      <w:lvlJc w:val="left"/>
      <w:lvlText w:val="•"/>
      <w:numFmt w:val="bullet"/>
      <w:start w:val="1"/>
    </w:lvl>
  </w:abstractNum>
  <w:abstractNum w:abstractNumId="135">
    <w:nsid w:val="378D97C0"/>
    <w:multiLevelType w:val="hybridMultilevel"/>
    <w:lvl w:ilvl="0">
      <w:lvlJc w:val="left"/>
      <w:lvlText w:val="•"/>
      <w:numFmt w:val="bullet"/>
      <w:start w:val="1"/>
    </w:lvl>
  </w:abstractNum>
  <w:abstractNum w:abstractNumId="136">
    <w:nsid w:val="1D91467C"/>
    <w:multiLevelType w:val="hybridMultilevel"/>
    <w:lvl w:ilvl="0">
      <w:lvlJc w:val="left"/>
      <w:lvlText w:val="%1."/>
      <w:numFmt w:val="upperLetter"/>
      <w:start w:val="9"/>
    </w:lvl>
  </w:abstractNum>
  <w:abstractNum w:abstractNumId="137">
    <w:nsid w:val="316032BB"/>
    <w:multiLevelType w:val="hybridMultilevel"/>
    <w:lvl w:ilvl="0">
      <w:lvlJc w:val="left"/>
      <w:lvlText w:val="%1."/>
      <w:numFmt w:val="upperLetter"/>
      <w:start w:val="61"/>
    </w:lvl>
  </w:abstractNum>
  <w:abstractNum w:abstractNumId="138">
    <w:nsid w:val="44344C22"/>
    <w:multiLevelType w:val="hybridMultilevel"/>
    <w:lvl w:ilvl="0">
      <w:lvlJc w:val="left"/>
      <w:lvlText w:val="\}"/>
      <w:numFmt w:val="bullet"/>
      <w:start w:val="1"/>
    </w:lvl>
    <w:lvl w:ilvl="1">
      <w:lvlJc w:val="left"/>
      <w:lvlText w:val="\}"/>
      <w:numFmt w:val="bullet"/>
      <w:start w:val="1"/>
    </w:lvl>
  </w:abstractNum>
  <w:abstractNum w:abstractNumId="139">
    <w:nsid w:val="13CDFCFC"/>
    <w:multiLevelType w:val="hybridMultilevel"/>
    <w:lvl w:ilvl="0">
      <w:lvlJc w:val="left"/>
      <w:lvlText w:val="\}"/>
      <w:numFmt w:val="bullet"/>
      <w:start w:val="1"/>
    </w:lvl>
  </w:abstractNum>
  <w:abstractNum w:abstractNumId="140">
    <w:nsid w:val="471745E4"/>
    <w:multiLevelType w:val="hybridMultilevel"/>
    <w:lvl w:ilvl="0">
      <w:lvlJc w:val="left"/>
      <w:lvlText w:val="\}"/>
      <w:numFmt w:val="bullet"/>
      <w:start w:val="1"/>
    </w:lvl>
  </w:abstractNum>
  <w:abstractNum w:abstractNumId="141">
    <w:nsid w:val="1DDBC66"/>
    <w:multiLevelType w:val="hybridMultilevel"/>
    <w:lvl w:ilvl="0">
      <w:lvlJc w:val="left"/>
      <w:lvlText w:val="3"/>
      <w:numFmt w:val="bullet"/>
      <w:start w:val="1"/>
    </w:lvl>
  </w:abstractNum>
  <w:abstractNum w:abstractNumId="142">
    <w:nsid w:val="30AADFDA"/>
    <w:multiLevelType w:val="hybridMultilevel"/>
    <w:lvl w:ilvl="0">
      <w:lvlJc w:val="left"/>
      <w:lvlText w:val="1"/>
      <w:numFmt w:val="bullet"/>
      <w:start w:val="1"/>
    </w:lvl>
  </w:abstractNum>
  <w:abstractNum w:abstractNumId="143">
    <w:nsid w:val="30EADA61"/>
    <w:multiLevelType w:val="hybridMultilevel"/>
    <w:lvl w:ilvl="0">
      <w:lvlJc w:val="left"/>
      <w:lvlText w:val="2"/>
      <w:numFmt w:val="bullet"/>
      <w:start w:val="1"/>
    </w:lvl>
  </w:abstractNum>
  <w:abstractNum w:abstractNumId="144">
    <w:nsid w:val="27179C0B"/>
    <w:multiLevelType w:val="hybridMultilevel"/>
    <w:lvl w:ilvl="0">
      <w:lvlJc w:val="left"/>
      <w:lvlText w:val="•"/>
      <w:numFmt w:val="bullet"/>
      <w:start w:val="1"/>
    </w:lvl>
  </w:abstractNum>
  <w:abstractNum w:abstractNumId="145">
    <w:nsid w:val="5E636063"/>
    <w:multiLevelType w:val="hybridMultilevel"/>
    <w:lvl w:ilvl="0">
      <w:lvlJc w:val="left"/>
      <w:lvlText w:val="•"/>
      <w:numFmt w:val="bullet"/>
      <w:start w:val="1"/>
    </w:lvl>
  </w:abstractNum>
  <w:abstractNum w:abstractNumId="146">
    <w:nsid w:val="215641AF"/>
    <w:multiLevelType w:val="hybridMultilevel"/>
    <w:lvl w:ilvl="0">
      <w:lvlJc w:val="left"/>
      <w:lvlText w:val="•"/>
      <w:numFmt w:val="bullet"/>
      <w:start w:val="1"/>
    </w:lvl>
  </w:abstractNum>
  <w:abstractNum w:abstractNumId="147">
    <w:nsid w:val="53280662"/>
    <w:multiLevelType w:val="hybridMultilevel"/>
    <w:lvl w:ilvl="0">
      <w:lvlJc w:val="left"/>
      <w:lvlText w:val="•"/>
      <w:numFmt w:val="bullet"/>
      <w:start w:val="1"/>
    </w:lvl>
  </w:abstractNum>
  <w:abstractNum w:abstractNumId="148">
    <w:nsid w:val="46B24DBC"/>
    <w:multiLevelType w:val="hybridMultilevel"/>
    <w:lvl w:ilvl="0">
      <w:lvlJc w:val="left"/>
      <w:lvlText w:val="1"/>
      <w:numFmt w:val="bullet"/>
      <w:start w:val="1"/>
    </w:lvl>
  </w:abstractNum>
  <w:abstractNum w:abstractNumId="149">
    <w:nsid w:val="75B52783"/>
    <w:multiLevelType w:val="hybridMultilevel"/>
    <w:lvl w:ilvl="0">
      <w:lvlJc w:val="left"/>
      <w:lvlText w:val="2"/>
      <w:numFmt w:val="bullet"/>
      <w:start w:val="1"/>
    </w:lvl>
  </w:abstractNum>
  <w:abstractNum w:abstractNumId="150">
    <w:nsid w:val="57CE66B4"/>
    <w:multiLevelType w:val="hybridMultilevel"/>
    <w:lvl w:ilvl="0">
      <w:lvlJc w:val="left"/>
      <w:lvlText w:val="3"/>
      <w:numFmt w:val="bullet"/>
      <w:start w:val="1"/>
    </w:lvl>
  </w:abstractNum>
  <w:abstractNum w:abstractNumId="151">
    <w:nsid w:val="67A70B69"/>
    <w:multiLevelType w:val="hybridMultilevel"/>
    <w:lvl w:ilvl="0">
      <w:lvlJc w:val="left"/>
      <w:lvlText w:val="4"/>
      <w:numFmt w:val="bullet"/>
      <w:start w:val="1"/>
    </w:lvl>
  </w:abstractNum>
  <w:abstractNum w:abstractNumId="152">
    <w:nsid w:val="5953172F"/>
    <w:multiLevelType w:val="hybridMultilevel"/>
    <w:lvl w:ilvl="0">
      <w:lvlJc w:val="left"/>
      <w:lvlText w:val="5"/>
      <w:numFmt w:val="bullet"/>
      <w:start w:val="1"/>
    </w:lvl>
  </w:abstractNum>
  <w:abstractNum w:abstractNumId="153">
    <w:nsid w:val="27EDFE3A"/>
    <w:multiLevelType w:val="hybridMultilevel"/>
    <w:lvl w:ilvl="0">
      <w:lvlJc w:val="left"/>
      <w:lvlText w:val="6"/>
      <w:numFmt w:val="bullet"/>
      <w:start w:val="1"/>
    </w:lvl>
  </w:abstractNum>
  <w:abstractNum w:abstractNumId="154">
    <w:nsid w:val="52AC7DFF"/>
    <w:multiLevelType w:val="hybridMultilevel"/>
    <w:lvl w:ilvl="0">
      <w:lvlJc w:val="left"/>
      <w:lvlText w:val="1"/>
      <w:numFmt w:val="bullet"/>
      <w:start w:val="1"/>
    </w:lvl>
  </w:abstractNum>
  <w:abstractNum w:abstractNumId="155">
    <w:nsid w:val="C4C3AF"/>
    <w:multiLevelType w:val="hybridMultilevel"/>
    <w:lvl w:ilvl="0">
      <w:lvlJc w:val="left"/>
      <w:lvlText w:val="2"/>
      <w:numFmt w:val="bullet"/>
      <w:start w:val="1"/>
    </w:lvl>
  </w:abstractNum>
  <w:abstractNum w:abstractNumId="156">
    <w:nsid w:val="44380727"/>
    <w:multiLevelType w:val="hybridMultilevel"/>
    <w:lvl w:ilvl="0">
      <w:lvlJc w:val="left"/>
      <w:lvlText w:val="1"/>
      <w:numFmt w:val="bullet"/>
      <w:start w:val="1"/>
    </w:lvl>
  </w:abstractNum>
  <w:abstractNum w:abstractNumId="157">
    <w:nsid w:val="6C053B16"/>
    <w:multiLevelType w:val="hybridMultilevel"/>
    <w:lvl w:ilvl="0">
      <w:lvlJc w:val="left"/>
      <w:lvlText w:val="•"/>
      <w:numFmt w:val="bullet"/>
      <w:start w:val="1"/>
    </w:lvl>
  </w:abstractNum>
  <w:abstractNum w:abstractNumId="158">
    <w:nsid w:val="4F294393"/>
    <w:multiLevelType w:val="hybridMultilevel"/>
    <w:lvl w:ilvl="0">
      <w:lvlJc w:val="left"/>
      <w:lvlText w:val="•"/>
      <w:numFmt w:val="bullet"/>
      <w:start w:val="1"/>
    </w:lvl>
  </w:abstractNum>
  <w:abstractNum w:abstractNumId="159">
    <w:nsid w:val="5243BFAC"/>
    <w:multiLevelType w:val="hybridMultilevel"/>
    <w:lvl w:ilvl="0">
      <w:lvlJc w:val="left"/>
      <w:lvlText w:val="•"/>
      <w:numFmt w:val="bullet"/>
      <w:start w:val="1"/>
    </w:lvl>
  </w:abstractNum>
  <w:abstractNum w:abstractNumId="160">
    <w:nsid w:val="425EB207"/>
    <w:multiLevelType w:val="hybridMultilevel"/>
    <w:lvl w:ilvl="0">
      <w:lvlJc w:val="left"/>
      <w:lvlText w:val="•"/>
      <w:numFmt w:val="bullet"/>
      <w:start w:val="1"/>
    </w:lvl>
  </w:abstractNum>
  <w:abstractNum w:abstractNumId="161">
    <w:nsid w:val="334A6F1F"/>
    <w:multiLevelType w:val="hybridMultilevel"/>
    <w:lvl w:ilvl="0">
      <w:lvlJc w:val="left"/>
      <w:lvlText w:val="•"/>
      <w:numFmt w:val="bullet"/>
      <w:start w:val="1"/>
    </w:lvl>
  </w:abstractNum>
  <w:abstractNum w:abstractNumId="162">
    <w:nsid w:val="2E5B12B8"/>
    <w:multiLevelType w:val="hybridMultilevel"/>
    <w:lvl w:ilvl="0">
      <w:lvlJc w:val="left"/>
      <w:lvlText w:val="•"/>
      <w:numFmt w:val="bullet"/>
      <w:start w:val="1"/>
    </w:lvl>
  </w:abstractNum>
  <w:abstractNum w:abstractNumId="163">
    <w:nsid w:val="5C03D76D"/>
    <w:multiLevelType w:val="hybridMultilevel"/>
    <w:lvl w:ilvl="0">
      <w:lvlJc w:val="left"/>
      <w:lvlText w:val="1"/>
      <w:numFmt w:val="bullet"/>
      <w:start w:val="1"/>
    </w:lvl>
  </w:abstractNum>
  <w:abstractNum w:abstractNumId="164">
    <w:nsid w:val="66A48D11"/>
    <w:multiLevelType w:val="hybridMultilevel"/>
    <w:lvl w:ilvl="0">
      <w:lvlJc w:val="left"/>
      <w:lvlText w:val="•"/>
      <w:numFmt w:val="bullet"/>
      <w:start w:val="1"/>
    </w:lvl>
  </w:abstractNum>
  <w:abstractNum w:abstractNumId="165">
    <w:nsid w:val="56C28E34"/>
    <w:multiLevelType w:val="hybridMultilevel"/>
    <w:lvl w:ilvl="0">
      <w:lvlJc w:val="left"/>
      <w:lvlText w:val="•"/>
      <w:numFmt w:val="bullet"/>
      <w:start w:val="1"/>
    </w:lvl>
  </w:abstractNum>
  <w:abstractNum w:abstractNumId="166">
    <w:nsid w:val="13916F2D"/>
    <w:multiLevelType w:val="hybridMultilevel"/>
    <w:lvl w:ilvl="0">
      <w:lvlJc w:val="left"/>
      <w:lvlText w:val="•"/>
      <w:numFmt w:val="bullet"/>
      <w:start w:val="1"/>
    </w:lvl>
  </w:abstractNum>
  <w:abstractNum w:abstractNumId="167">
    <w:nsid w:val="435D38D"/>
    <w:multiLevelType w:val="hybridMultilevel"/>
    <w:lvl w:ilvl="0">
      <w:lvlJc w:val="left"/>
      <w:lvlText w:val="•"/>
      <w:numFmt w:val="bullet"/>
      <w:start w:val="1"/>
    </w:lvl>
  </w:abstractNum>
  <w:abstractNum w:abstractNumId="168">
    <w:nsid w:val="822C0EF"/>
    <w:multiLevelType w:val="hybridMultilevel"/>
    <w:lvl w:ilvl="0">
      <w:lvlJc w:val="left"/>
      <w:lvlText w:val="•"/>
      <w:numFmt w:val="bullet"/>
      <w:start w:val="1"/>
    </w:lvl>
  </w:abstractNum>
  <w:abstractNum w:abstractNumId="169">
    <w:nsid w:val="57C5BB4F"/>
    <w:multiLevelType w:val="hybridMultilevel"/>
    <w:lvl w:ilvl="0">
      <w:lvlJc w:val="left"/>
      <w:lvlText w:val="•"/>
      <w:numFmt w:val="bullet"/>
      <w:start w:val="1"/>
    </w:lvl>
  </w:abstractNum>
  <w:abstractNum w:abstractNumId="170">
    <w:nsid w:val="1803D089"/>
    <w:multiLevelType w:val="hybridMultilevel"/>
    <w:lvl w:ilvl="0">
      <w:lvlJc w:val="left"/>
      <w:lvlText w:val="•"/>
      <w:numFmt w:val="bullet"/>
      <w:start w:val="1"/>
    </w:lvl>
    <w:lvl w:ilvl="1">
      <w:lvlJc w:val="left"/>
      <w:lvlText w:val="◦"/>
      <w:numFmt w:val="bullet"/>
      <w:start w:val="1"/>
    </w:lvl>
  </w:abstractNum>
  <w:abstractNum w:abstractNumId="171">
    <w:nsid w:val="4F3A06D4"/>
    <w:multiLevelType w:val="hybridMultilevel"/>
    <w:lvl w:ilvl="0">
      <w:lvlJc w:val="left"/>
      <w:lvlText w:val="•"/>
      <w:numFmt w:val="bullet"/>
      <w:start w:val="1"/>
    </w:lvl>
  </w:abstractNum>
  <w:abstractNum w:abstractNumId="172">
    <w:nsid w:val="59A377B6"/>
    <w:multiLevelType w:val="hybridMultilevel"/>
    <w:lvl w:ilvl="0">
      <w:lvlJc w:val="left"/>
      <w:lvlText w:val="•"/>
      <w:numFmt w:val="bullet"/>
      <w:start w:val="1"/>
    </w:lvl>
  </w:abstractNum>
  <w:abstractNum w:abstractNumId="173">
    <w:nsid w:val="48AEB063"/>
    <w:multiLevelType w:val="hybridMultilevel"/>
    <w:lvl w:ilvl="0">
      <w:lvlJc w:val="left"/>
      <w:lvlText w:val="•"/>
      <w:numFmt w:val="bullet"/>
      <w:start w:val="1"/>
    </w:lvl>
  </w:abstractNum>
  <w:abstractNum w:abstractNumId="174">
    <w:nsid w:val="24E135"/>
    <w:multiLevelType w:val="hybridMultilevel"/>
    <w:lvl w:ilvl="0">
      <w:lvlJc w:val="left"/>
      <w:lvlText w:val="•"/>
      <w:numFmt w:val="bullet"/>
      <w:start w:val="1"/>
    </w:lvl>
  </w:abstractNum>
  <w:abstractNum w:abstractNumId="175">
    <w:nsid w:val="BB13C1"/>
    <w:multiLevelType w:val="hybridMultilevel"/>
    <w:lvl w:ilvl="0">
      <w:lvlJc w:val="left"/>
      <w:lvlText w:val="•"/>
      <w:numFmt w:val="bullet"/>
      <w:start w:val="1"/>
    </w:lvl>
  </w:abstractNum>
  <w:abstractNum w:abstractNumId="176">
    <w:nsid w:val="271210C7"/>
    <w:multiLevelType w:val="hybridMultilevel"/>
    <w:lvl w:ilvl="0">
      <w:lvlJc w:val="left"/>
      <w:lvlText w:val="•"/>
      <w:numFmt w:val="bullet"/>
      <w:start w:val="1"/>
    </w:lvl>
  </w:abstractNum>
  <w:abstractNum w:abstractNumId="177">
    <w:nsid w:val="217B22E4"/>
    <w:multiLevelType w:val="hybridMultilevel"/>
    <w:lvl w:ilvl="0">
      <w:lvlJc w:val="left"/>
      <w:lvlText w:val="1"/>
      <w:numFmt w:val="bullet"/>
      <w:start w:val="1"/>
    </w:lvl>
  </w:abstractNum>
  <w:abstractNum w:abstractNumId="178">
    <w:nsid w:val="53E31A24"/>
    <w:multiLevelType w:val="hybridMultilevel"/>
    <w:lvl w:ilvl="0">
      <w:lvlJc w:val="left"/>
      <w:lvlText w:val="2"/>
      <w:numFmt w:val="bullet"/>
      <w:start w:val="1"/>
    </w:lvl>
  </w:abstractNum>
  <w:abstractNum w:abstractNumId="179">
    <w:nsid w:val="6DC45E83"/>
    <w:multiLevelType w:val="hybridMultilevel"/>
    <w:lvl w:ilvl="0">
      <w:lvlJc w:val="left"/>
      <w:lvlText w:val="3"/>
      <w:numFmt w:val="bullet"/>
      <w:start w:val="1"/>
    </w:lvl>
  </w:abstractNum>
  <w:abstractNum w:abstractNumId="180">
    <w:nsid w:val="17304A67"/>
    <w:multiLevelType w:val="hybridMultilevel"/>
    <w:lvl w:ilvl="0">
      <w:lvlJc w:val="left"/>
      <w:lvlText w:val="4"/>
      <w:numFmt w:val="bullet"/>
      <w:start w:val="1"/>
    </w:lvl>
  </w:abstractNum>
  <w:abstractNum w:abstractNumId="181">
    <w:nsid w:val="2BB180D8"/>
    <w:multiLevelType w:val="hybridMultilevel"/>
    <w:lvl w:ilvl="0">
      <w:lvlJc w:val="left"/>
      <w:lvlText w:val="%1."/>
      <w:numFmt w:val="decimal"/>
      <w:start w:val="1"/>
    </w:lvl>
  </w:abstractNum>
  <w:abstractNum w:abstractNumId="182">
    <w:nsid w:val="556B69ED"/>
    <w:multiLevelType w:val="hybridMultilevel"/>
    <w:lvl w:ilvl="0">
      <w:lvlJc w:val="left"/>
      <w:lvlText w:val="1"/>
      <w:numFmt w:val="bullet"/>
      <w:start w:val="1"/>
    </w:lvl>
  </w:abstractNum>
  <w:abstractNum w:abstractNumId="183">
    <w:nsid w:val="70836196"/>
    <w:multiLevelType w:val="hybridMultilevel"/>
    <w:lvl w:ilvl="0">
      <w:lvlJc w:val="left"/>
      <w:lvlText w:val="2"/>
      <w:numFmt w:val="bullet"/>
      <w:start w:val="1"/>
    </w:lvl>
  </w:abstractNum>
  <w:abstractNum w:abstractNumId="184">
    <w:nsid w:val="539F7F12"/>
    <w:multiLevelType w:val="hybridMultilevel"/>
    <w:lvl w:ilvl="0">
      <w:lvlJc w:val="left"/>
      <w:lvlText w:val="•"/>
      <w:numFmt w:val="bullet"/>
      <w:start w:val="1"/>
    </w:lvl>
  </w:abstractNum>
  <w:abstractNum w:abstractNumId="185">
    <w:nsid w:val="2817E7EC"/>
    <w:multiLevelType w:val="hybridMultilevel"/>
    <w:lvl w:ilvl="0">
      <w:lvlJc w:val="left"/>
      <w:lvlText w:val="•"/>
      <w:numFmt w:val="bullet"/>
      <w:start w:val="1"/>
    </w:lvl>
  </w:abstractNum>
  <w:abstractNum w:abstractNumId="186">
    <w:nsid w:val="71482545"/>
    <w:multiLevelType w:val="hybridMultilevel"/>
    <w:lvl w:ilvl="0">
      <w:lvlJc w:val="left"/>
      <w:lvlText w:val="•"/>
      <w:numFmt w:val="bullet"/>
      <w:start w:val="1"/>
    </w:lvl>
  </w:abstractNum>
  <w:abstractNum w:abstractNumId="187">
    <w:nsid w:val="17D78639"/>
    <w:multiLevelType w:val="hybridMultilevel"/>
    <w:lvl w:ilvl="0">
      <w:lvlJc w:val="left"/>
      <w:lvlText w:val="1"/>
      <w:numFmt w:val="bullet"/>
      <w:start w:val="1"/>
    </w:lvl>
  </w:abstractNum>
  <w:abstractNum w:abstractNumId="188">
    <w:nsid w:val="141D2302"/>
    <w:multiLevelType w:val="hybridMultilevel"/>
    <w:lvl w:ilvl="0">
      <w:lvlJc w:val="left"/>
      <w:lvlText w:val="2"/>
      <w:numFmt w:val="bullet"/>
      <w:start w:val="1"/>
    </w:lvl>
  </w:abstractNum>
  <w:abstractNum w:abstractNumId="189">
    <w:nsid w:val="407168D8"/>
    <w:multiLevelType w:val="hybridMultilevel"/>
    <w:lvl w:ilvl="0">
      <w:lvlJc w:val="left"/>
      <w:lvlText w:val="•"/>
      <w:numFmt w:val="bullet"/>
      <w:start w:val="1"/>
    </w:lvl>
  </w:abstractNum>
  <w:abstractNum w:abstractNumId="190">
    <w:nsid w:val="6A1B45E5"/>
    <w:multiLevelType w:val="hybridMultilevel"/>
    <w:lvl w:ilvl="0">
      <w:lvlJc w:val="left"/>
      <w:lvlText w:val="•"/>
      <w:numFmt w:val="bullet"/>
      <w:start w:val="1"/>
    </w:lvl>
  </w:abstractNum>
  <w:abstractNum w:abstractNumId="191">
    <w:nsid w:val="567BD50A"/>
    <w:multiLevelType w:val="hybridMultilevel"/>
    <w:lvl w:ilvl="0">
      <w:lvlJc w:val="left"/>
      <w:lvlText w:val="•"/>
      <w:numFmt w:val="bullet"/>
      <w:start w:val="1"/>
    </w:lvl>
  </w:abstractNum>
  <w:abstractNum w:abstractNumId="192">
    <w:nsid w:val="73BBD7F8"/>
    <w:multiLevelType w:val="hybridMultilevel"/>
    <w:lvl w:ilvl="0">
      <w:lvlJc w:val="left"/>
      <w:lvlText w:val="•"/>
      <w:numFmt w:val="bullet"/>
      <w:start w:val="1"/>
    </w:lvl>
  </w:abstractNum>
  <w:abstractNum w:abstractNumId="193">
    <w:nsid w:val="1876589D"/>
    <w:multiLevelType w:val="hybridMultilevel"/>
    <w:lvl w:ilvl="0">
      <w:lvlJc w:val="left"/>
      <w:lvlText w:val="1"/>
      <w:numFmt w:val="bullet"/>
      <w:start w:val="1"/>
    </w:lvl>
  </w:abstractNum>
  <w:abstractNum w:abstractNumId="194">
    <w:nsid w:val="327FAC77"/>
    <w:multiLevelType w:val="hybridMultilevel"/>
    <w:lvl w:ilvl="0">
      <w:lvlJc w:val="left"/>
      <w:lvlText w:val="2"/>
      <w:numFmt w:val="bullet"/>
      <w:start w:val="1"/>
    </w:lvl>
  </w:abstractNum>
  <w:abstractNum w:abstractNumId="195">
    <w:nsid w:val="5A606509"/>
    <w:multiLevelType w:val="hybridMultilevel"/>
    <w:lvl w:ilvl="0">
      <w:lvlJc w:val="left"/>
      <w:lvlText w:val="3"/>
      <w:numFmt w:val="bullet"/>
      <w:start w:val="1"/>
    </w:lvl>
  </w:abstractNum>
  <w:abstractNum w:abstractNumId="196">
    <w:nsid w:val="6F38E6D1"/>
    <w:multiLevelType w:val="hybridMultilevel"/>
    <w:lvl w:ilvl="0">
      <w:lvlJc w:val="left"/>
      <w:lvlText w:val="4"/>
      <w:numFmt w:val="bullet"/>
      <w:start w:val="1"/>
    </w:lvl>
  </w:abstractNum>
  <w:abstractNum w:abstractNumId="197">
    <w:nsid w:val="46111BA5"/>
    <w:multiLevelType w:val="hybridMultilevel"/>
    <w:lvl w:ilvl="0">
      <w:lvlJc w:val="left"/>
      <w:lvlText w:val="•"/>
      <w:numFmt w:val="bullet"/>
      <w:start w:val="1"/>
    </w:lvl>
  </w:abstractNum>
  <w:abstractNum w:abstractNumId="198">
    <w:nsid w:val="5E963896"/>
    <w:multiLevelType w:val="hybridMultilevel"/>
    <w:lvl w:ilvl="0">
      <w:lvlJc w:val="left"/>
      <w:lvlText w:val="•"/>
      <w:numFmt w:val="bullet"/>
      <w:start w:val="1"/>
    </w:lvl>
  </w:abstractNum>
  <w:abstractNum w:abstractNumId="199">
    <w:nsid w:val="775BA7C1"/>
    <w:multiLevelType w:val="hybridMultilevel"/>
    <w:lvl w:ilvl="0">
      <w:lvlJc w:val="left"/>
      <w:lvlText w:val="•"/>
      <w:numFmt w:val="bullet"/>
      <w:start w:val="1"/>
    </w:lvl>
  </w:abstractNum>
  <w:abstractNum w:abstractNumId="200">
    <w:nsid w:val="1DD6D6F4"/>
    <w:multiLevelType w:val="hybridMultilevel"/>
    <w:lvl w:ilvl="0">
      <w:lvlJc w:val="left"/>
      <w:lvlText w:val="•"/>
      <w:numFmt w:val="bullet"/>
      <w:start w:val="1"/>
    </w:lvl>
  </w:abstractNum>
  <w:abstractNum w:abstractNumId="201">
    <w:nsid w:val="769A091F"/>
    <w:multiLevelType w:val="hybridMultilevel"/>
    <w:lvl w:ilvl="0">
      <w:lvlJc w:val="left"/>
      <w:lvlText w:val="1"/>
      <w:numFmt w:val="bullet"/>
      <w:start w:val="1"/>
    </w:lvl>
  </w:abstractNum>
  <w:abstractNum w:abstractNumId="202">
    <w:nsid w:val="4695AE95"/>
    <w:multiLevelType w:val="hybridMultilevel"/>
    <w:lvl w:ilvl="0">
      <w:lvlJc w:val="left"/>
      <w:lvlText w:val="2"/>
      <w:numFmt w:val="bullet"/>
      <w:start w:val="1"/>
    </w:lvl>
  </w:abstractNum>
  <w:abstractNum w:abstractNumId="203">
    <w:nsid w:val="777A4EAA"/>
    <w:multiLevelType w:val="hybridMultilevel"/>
    <w:lvl w:ilvl="0">
      <w:lvlJc w:val="left"/>
      <w:lvlText w:val="3"/>
      <w:numFmt w:val="bullet"/>
      <w:start w:val="1"/>
    </w:lvl>
  </w:abstractNum>
  <w:abstractNum w:abstractNumId="204">
    <w:nsid w:val="3F48B982"/>
    <w:multiLevelType w:val="hybridMultilevel"/>
    <w:lvl w:ilvl="0">
      <w:lvlJc w:val="left"/>
      <w:lvlText w:val="4"/>
      <w:numFmt w:val="bullet"/>
      <w:start w:val="1"/>
    </w:lvl>
  </w:abstractNum>
  <w:abstractNum w:abstractNumId="205">
    <w:nsid w:val="46BA8FCA"/>
    <w:multiLevelType w:val="hybridMultilevel"/>
    <w:lvl w:ilvl="0">
      <w:lvlJc w:val="left"/>
      <w:lvlText w:val="•"/>
      <w:numFmt w:val="bullet"/>
      <w:start w:val="1"/>
    </w:lvl>
  </w:abstractNum>
  <w:abstractNum w:abstractNumId="206">
    <w:nsid w:val="7835626C"/>
    <w:multiLevelType w:val="hybridMultilevel"/>
    <w:lvl w:ilvl="0">
      <w:lvlJc w:val="left"/>
      <w:lvlText w:val="•"/>
      <w:numFmt w:val="bullet"/>
      <w:start w:val="1"/>
    </w:lvl>
  </w:abstractNum>
  <w:abstractNum w:abstractNumId="207">
    <w:nsid w:val="665ACA49"/>
    <w:multiLevelType w:val="hybridMultilevel"/>
    <w:lvl w:ilvl="0">
      <w:lvlJc w:val="left"/>
      <w:lvlText w:val="•"/>
      <w:numFmt w:val="bullet"/>
      <w:start w:val="1"/>
    </w:lvl>
  </w:abstractNum>
  <w:abstractNum w:abstractNumId="208">
    <w:nsid w:val="6835B2AE"/>
    <w:multiLevelType w:val="hybridMultilevel"/>
    <w:lvl w:ilvl="0">
      <w:lvlJc w:val="left"/>
      <w:lvlText w:val="•"/>
      <w:numFmt w:val="bullet"/>
      <w:start w:val="1"/>
    </w:lvl>
  </w:abstractNum>
  <w:abstractNum w:abstractNumId="209">
    <w:nsid w:val="4C187C90"/>
    <w:multiLevelType w:val="hybridMultilevel"/>
    <w:lvl w:ilvl="0">
      <w:lvlJc w:val="left"/>
      <w:lvlText w:val="1"/>
      <w:numFmt w:val="bullet"/>
      <w:start w:val="1"/>
    </w:lvl>
  </w:abstractNum>
  <w:abstractNum w:abstractNumId="210">
    <w:nsid w:val="541F28CD"/>
    <w:multiLevelType w:val="hybridMultilevel"/>
    <w:lvl w:ilvl="0">
      <w:lvlJc w:val="left"/>
      <w:lvlText w:val="•"/>
      <w:numFmt w:val="bullet"/>
      <w:start w:val="1"/>
    </w:lvl>
  </w:abstractNum>
  <w:abstractNum w:abstractNumId="211">
    <w:nsid w:val="7F65FD16"/>
    <w:multiLevelType w:val="hybridMultilevel"/>
    <w:lvl w:ilvl="0">
      <w:lvlJc w:val="left"/>
      <w:lvlText w:val="•"/>
      <w:numFmt w:val="bullet"/>
      <w:start w:val="1"/>
    </w:lvl>
  </w:abstractNum>
  <w:abstractNum w:abstractNumId="212">
    <w:nsid w:val="77C9FD68"/>
    <w:multiLevelType w:val="hybridMultilevel"/>
    <w:lvl w:ilvl="0">
      <w:lvlJc w:val="left"/>
      <w:lvlText w:val="•"/>
      <w:numFmt w:val="bullet"/>
      <w:start w:val="1"/>
    </w:lvl>
  </w:abstractNum>
  <w:abstractNum w:abstractNumId="213">
    <w:nsid w:val="298A92BA"/>
    <w:multiLevelType w:val="hybridMultilevel"/>
    <w:lvl w:ilvl="0">
      <w:lvlJc w:val="left"/>
      <w:lvlText w:val="•"/>
      <w:numFmt w:val="bullet"/>
      <w:start w:val="1"/>
    </w:lvl>
  </w:abstractNum>
  <w:abstractNum w:abstractNumId="214">
    <w:nsid w:val="6FE95EAC"/>
    <w:multiLevelType w:val="hybridMultilevel"/>
    <w:lvl w:ilvl="0">
      <w:lvlJc w:val="left"/>
      <w:lvlText w:val="1"/>
      <w:numFmt w:val="bullet"/>
      <w:start w:val="1"/>
    </w:lvl>
  </w:abstractNum>
  <w:abstractNum w:abstractNumId="215">
    <w:nsid w:val="4B697C7A"/>
    <w:multiLevelType w:val="hybridMultilevel"/>
    <w:lvl w:ilvl="0">
      <w:lvlJc w:val="left"/>
      <w:lvlText w:val="2"/>
      <w:numFmt w:val="bullet"/>
      <w:start w:val="1"/>
    </w:lvl>
  </w:abstractNum>
  <w:abstractNum w:abstractNumId="216">
    <w:nsid w:val="51A27AA6"/>
    <w:multiLevelType w:val="hybridMultilevel"/>
    <w:lvl w:ilvl="0">
      <w:lvlJc w:val="left"/>
      <w:lvlText w:val="3"/>
      <w:numFmt w:val="bullet"/>
      <w:start w:val="1"/>
    </w:lvl>
  </w:abstractNum>
  <w:abstractNum w:abstractNumId="217">
    <w:nsid w:val="613183F2"/>
    <w:multiLevelType w:val="hybridMultilevel"/>
    <w:lvl w:ilvl="0">
      <w:lvlJc w:val="left"/>
      <w:lvlText w:val="4"/>
      <w:numFmt w:val="bullet"/>
      <w:start w:val="1"/>
    </w:lvl>
  </w:abstractNum>
  <w:abstractNum w:abstractNumId="218">
    <w:nsid w:val="634102B4"/>
    <w:multiLevelType w:val="hybridMultilevel"/>
    <w:lvl w:ilvl="0">
      <w:lvlJc w:val="left"/>
      <w:lvlText w:val="•"/>
      <w:numFmt w:val="bullet"/>
      <w:start w:val="1"/>
    </w:lvl>
  </w:abstractNum>
  <w:abstractNum w:abstractNumId="219">
    <w:nsid w:val="65BF9DA8"/>
    <w:multiLevelType w:val="hybridMultilevel"/>
    <w:lvl w:ilvl="0">
      <w:lvlJc w:val="left"/>
      <w:lvlText w:val="•"/>
      <w:numFmt w:val="bullet"/>
      <w:start w:val="1"/>
    </w:lvl>
  </w:abstractNum>
  <w:abstractNum w:abstractNumId="220">
    <w:nsid w:val="21A2ECCA"/>
    <w:multiLevelType w:val="hybridMultilevel"/>
    <w:lvl w:ilvl="0">
      <w:lvlJc w:val="left"/>
      <w:lvlText w:val="•"/>
      <w:numFmt w:val="bullet"/>
      <w:start w:val="1"/>
    </w:lvl>
  </w:abstractNum>
  <w:abstractNum w:abstractNumId="221">
    <w:nsid w:val="4D5C4899"/>
    <w:multiLevelType w:val="hybridMultilevel"/>
    <w:lvl w:ilvl="0">
      <w:lvlJc w:val="left"/>
      <w:lvlText w:val="•"/>
      <w:numFmt w:val="bullet"/>
      <w:start w:val="1"/>
    </w:lvl>
  </w:abstractNum>
  <w:abstractNum w:abstractNumId="222">
    <w:nsid w:val="3C3B72B2"/>
    <w:multiLevelType w:val="hybridMultilevel"/>
    <w:lvl w:ilvl="0">
      <w:lvlJc w:val="left"/>
      <w:lvlText w:val="1"/>
      <w:numFmt w:val="bullet"/>
      <w:start w:val="1"/>
    </w:lvl>
  </w:abstractNum>
  <w:abstractNum w:abstractNumId="223">
    <w:nsid w:val="155EC4C2"/>
    <w:multiLevelType w:val="hybridMultilevel"/>
    <w:lvl w:ilvl="0">
      <w:lvlJc w:val="left"/>
      <w:lvlText w:val="2"/>
      <w:numFmt w:val="bullet"/>
      <w:start w:val="1"/>
    </w:lvl>
  </w:abstractNum>
  <w:abstractNum w:abstractNumId="224">
    <w:nsid w:val="65D2A137"/>
    <w:multiLevelType w:val="hybridMultilevel"/>
    <w:lvl w:ilvl="0">
      <w:lvlJc w:val="left"/>
      <w:lvlText w:val="3"/>
      <w:numFmt w:val="bullet"/>
      <w:start w:val="1"/>
    </w:lvl>
  </w:abstractNum>
  <w:abstractNum w:abstractNumId="225">
    <w:nsid w:val="6EBB1F2A"/>
    <w:multiLevelType w:val="hybridMultilevel"/>
    <w:lvl w:ilvl="0">
      <w:lvlJc w:val="left"/>
      <w:lvlText w:val="4"/>
      <w:numFmt w:val="bullet"/>
      <w:start w:val="1"/>
    </w:lvl>
  </w:abstractNum>
  <w:abstractNum w:abstractNumId="226">
    <w:nsid w:val="6FBF29CB"/>
    <w:multiLevelType w:val="hybridMultilevel"/>
    <w:lvl w:ilvl="0">
      <w:lvlJc w:val="left"/>
      <w:lvlText w:val="5"/>
      <w:numFmt w:val="bullet"/>
      <w:start w:val="1"/>
    </w:lvl>
  </w:abstractNum>
  <w:abstractNum w:abstractNumId="227">
    <w:nsid w:val="550B8808"/>
    <w:multiLevelType w:val="hybridMultilevel"/>
    <w:lvl w:ilvl="0">
      <w:lvlJc w:val="left"/>
      <w:lvlText w:val="6"/>
      <w:numFmt w:val="bullet"/>
      <w:start w:val="1"/>
    </w:lvl>
  </w:abstractNum>
  <w:abstractNum w:abstractNumId="228">
    <w:nsid w:val="34CC3ACF"/>
    <w:multiLevelType w:val="hybridMultilevel"/>
    <w:lvl w:ilvl="0">
      <w:lvlJc w:val="left"/>
      <w:lvlText w:val="7"/>
      <w:numFmt w:val="bullet"/>
      <w:start w:val="1"/>
    </w:lvl>
    <w:lvl w:ilvl="1">
      <w:lvlJc w:val="left"/>
      <w:lvlText w:val="◦"/>
      <w:numFmt w:val="bullet"/>
      <w:start w:val="1"/>
    </w:lvl>
  </w:abstractNum>
  <w:abstractNum w:abstractNumId="229">
    <w:nsid w:val="4E556261"/>
    <w:multiLevelType w:val="hybridMultilevel"/>
    <w:lvl w:ilvl="0">
      <w:lvlJc w:val="left"/>
      <w:lvlText w:val="8"/>
      <w:numFmt w:val="bullet"/>
      <w:start w:val="1"/>
    </w:lvl>
  </w:abstractNum>
  <w:abstractNum w:abstractNumId="230">
    <w:nsid w:val="4C672FC9"/>
    <w:multiLevelType w:val="hybridMultilevel"/>
    <w:lvl w:ilvl="0">
      <w:lvlJc w:val="left"/>
      <w:lvlText w:val="9"/>
      <w:numFmt w:val="bullet"/>
      <w:start w:val="1"/>
    </w:lvl>
  </w:abstractNum>
  <w:abstractNum w:abstractNumId="231">
    <w:nsid w:val="52A311C3"/>
    <w:multiLevelType w:val="hybridMultilevel"/>
    <w:lvl w:ilvl="0">
      <w:lvlJc w:val="left"/>
      <w:lvlText w:val="%1"/>
      <w:numFmt w:val="decimal"/>
      <w:start w:val="10"/>
    </w:lvl>
  </w:abstractNum>
  <w:abstractNum w:abstractNumId="232">
    <w:nsid w:val="44EF6B80"/>
    <w:multiLevelType w:val="hybridMultilevel"/>
    <w:lvl w:ilvl="0">
      <w:lvlJc w:val="left"/>
      <w:lvlText w:val="1"/>
      <w:numFmt w:val="bullet"/>
      <w:start w:val="1"/>
    </w:lvl>
  </w:abstractNum>
  <w:abstractNum w:abstractNumId="233">
    <w:nsid w:val="12FCDE5E"/>
    <w:multiLevelType w:val="hybridMultilevel"/>
    <w:lvl w:ilvl="0">
      <w:lvlJc w:val="left"/>
      <w:lvlText w:val="2"/>
      <w:numFmt w:val="bullet"/>
      <w:start w:val="1"/>
    </w:lvl>
  </w:abstractNum>
  <w:abstractNum w:abstractNumId="234">
    <w:nsid w:val="4A1D606E"/>
    <w:multiLevelType w:val="hybridMultilevel"/>
    <w:lvl w:ilvl="0">
      <w:lvlJc w:val="left"/>
      <w:lvlText w:val="3"/>
      <w:numFmt w:val="bullet"/>
      <w:start w:val="1"/>
    </w:lvl>
  </w:abstractNum>
  <w:abstractNum w:abstractNumId="235">
    <w:nsid w:val="4382503"/>
    <w:multiLevelType w:val="hybridMultilevel"/>
    <w:lvl w:ilvl="0">
      <w:lvlJc w:val="left"/>
      <w:lvlText w:val="4"/>
      <w:numFmt w:val="bullet"/>
      <w:start w:val="1"/>
    </w:lvl>
  </w:abstractNum>
  <w:abstractNum w:abstractNumId="236">
    <w:nsid w:val="59B76E28"/>
    <w:multiLevelType w:val="hybridMultilevel"/>
    <w:lvl w:ilvl="0">
      <w:lvlJc w:val="left"/>
      <w:lvlText w:val="5"/>
      <w:numFmt w:val="bullet"/>
      <w:start w:val="1"/>
    </w:lvl>
  </w:abstractNum>
  <w:abstractNum w:abstractNumId="237">
    <w:nsid w:val="4252C2DA"/>
    <w:multiLevelType w:val="hybridMultilevel"/>
    <w:lvl w:ilvl="0">
      <w:lvlJc w:val="left"/>
      <w:lvlText w:val="1"/>
      <w:numFmt w:val="bullet"/>
      <w:start w:val="1"/>
    </w:lvl>
  </w:abstractNum>
  <w:abstractNum w:abstractNumId="238">
    <w:nsid w:val="6A92EF4C"/>
    <w:multiLevelType w:val="hybridMultilevel"/>
    <w:lvl w:ilvl="0">
      <w:lvlJc w:val="left"/>
      <w:lvlText w:val="a"/>
      <w:numFmt w:val="bullet"/>
      <w:start w:val="1"/>
    </w:lvl>
  </w:abstractNum>
  <w:abstractNum w:abstractNumId="239">
    <w:nsid w:val="41ED20D7"/>
    <w:multiLevelType w:val="hybridMultilevel"/>
    <w:lvl w:ilvl="0">
      <w:lvlJc w:val="left"/>
      <w:lvlText w:val="b"/>
      <w:numFmt w:val="bullet"/>
      <w:start w:val="1"/>
    </w:lvl>
  </w:abstractNum>
  <w:abstractNum w:abstractNumId="240">
    <w:nsid w:val="E6B3F6A"/>
    <w:multiLevelType w:val="hybridMultilevel"/>
    <w:lvl w:ilvl="0">
      <w:lvlJc w:val="left"/>
      <w:lvlText w:val="c"/>
      <w:numFmt w:val="bullet"/>
      <w:start w:val="1"/>
    </w:lvl>
  </w:abstractNum>
  <w:abstractNum w:abstractNumId="241">
    <w:nsid w:val="3EB21819"/>
    <w:multiLevelType w:val="hybridMultilevel"/>
    <w:lvl w:ilvl="0">
      <w:lvlJc w:val="left"/>
      <w:lvlText w:val="d"/>
      <w:numFmt w:val="bullet"/>
      <w:start w:val="1"/>
    </w:lvl>
  </w:abstractNum>
  <w:abstractNum w:abstractNumId="242">
    <w:nsid w:val="41531DED"/>
    <w:multiLevelType w:val="hybridMultilevel"/>
    <w:lvl w:ilvl="0">
      <w:lvlJc w:val="left"/>
      <w:lvlText w:val="e"/>
      <w:numFmt w:val="bullet"/>
      <w:start w:val="1"/>
    </w:lvl>
  </w:abstractNum>
  <w:abstractNum w:abstractNumId="243">
    <w:nsid w:val="6353CD2"/>
    <w:multiLevelType w:val="hybridMultilevel"/>
    <w:lvl w:ilvl="0">
      <w:lvlJc w:val="left"/>
      <w:lvlText w:val="f"/>
      <w:numFmt w:val="bullet"/>
      <w:start w:val="1"/>
    </w:lvl>
  </w:abstractNum>
  <w:abstractNum w:abstractNumId="244">
    <w:nsid w:val="683CAAD3"/>
    <w:multiLevelType w:val="hybridMultilevel"/>
    <w:lvl w:ilvl="0">
      <w:lvlJc w:val="left"/>
      <w:lvlText w:val="2"/>
      <w:numFmt w:val="bullet"/>
      <w:start w:val="1"/>
    </w:lvl>
  </w:abstractNum>
  <w:abstractNum w:abstractNumId="245">
    <w:nsid w:val="313C7C99"/>
    <w:multiLevelType w:val="hybridMultilevel"/>
    <w:lvl w:ilvl="0">
      <w:lvlJc w:val="left"/>
      <w:lvlText w:val="3"/>
      <w:numFmt w:val="bullet"/>
      <w:start w:val="1"/>
    </w:lvl>
  </w:abstractNum>
  <w:abstractNum w:abstractNumId="246">
    <w:nsid w:val="519EB94C"/>
    <w:multiLevelType w:val="hybridMultilevel"/>
    <w:lvl w:ilvl="0">
      <w:lvlJc w:val="left"/>
      <w:lvlText w:val="4"/>
      <w:numFmt w:val="bullet"/>
      <w:start w:val="1"/>
    </w:lvl>
  </w:abstractNum>
  <w:abstractNum w:abstractNumId="247">
    <w:nsid w:val="39DF2579"/>
    <w:multiLevelType w:val="hybridMultilevel"/>
    <w:lvl w:ilvl="0">
      <w:lvlJc w:val="left"/>
      <w:lvlText w:val="5"/>
      <w:numFmt w:val="bullet"/>
      <w:start w:val="1"/>
    </w:lvl>
  </w:abstractNum>
  <w:abstractNum w:abstractNumId="248">
    <w:nsid w:val="126E008B"/>
    <w:multiLevelType w:val="hybridMultilevel"/>
    <w:lvl w:ilvl="0">
      <w:lvlJc w:val="left"/>
      <w:lvlText w:val="1"/>
      <w:numFmt w:val="bullet"/>
      <w:start w:val="1"/>
    </w:lvl>
  </w:abstractNum>
  <w:abstractNum w:abstractNumId="249">
    <w:nsid w:val="34DFBC00"/>
    <w:multiLevelType w:val="hybridMultilevel"/>
    <w:lvl w:ilvl="0">
      <w:lvlJc w:val="left"/>
      <w:lvlText w:val="2"/>
      <w:numFmt w:val="bullet"/>
      <w:start w:val="1"/>
    </w:lvl>
  </w:abstractNum>
  <w:abstractNum w:abstractNumId="250">
    <w:nsid w:val="1F9EC322"/>
    <w:multiLevelType w:val="hybridMultilevel"/>
    <w:lvl w:ilvl="0">
      <w:lvlJc w:val="left"/>
      <w:lvlText w:val="1"/>
      <w:numFmt w:val="bullet"/>
      <w:start w:val="1"/>
    </w:lvl>
  </w:abstractNum>
  <w:abstractNum w:abstractNumId="251">
    <w:nsid w:val="3410ED56"/>
    <w:multiLevelType w:val="hybridMultilevel"/>
    <w:lvl w:ilvl="0">
      <w:lvlJc w:val="left"/>
      <w:lvlText w:val="1"/>
      <w:numFmt w:val="bullet"/>
      <w:start w:val="1"/>
    </w:lvl>
  </w:abstractNum>
  <w:abstractNum w:abstractNumId="252">
    <w:nsid w:val="23C049A"/>
    <w:multiLevelType w:val="hybridMultilevel"/>
    <w:lvl w:ilvl="0">
      <w:lvlJc w:val="left"/>
      <w:lvlText w:val="1"/>
      <w:numFmt w:val="bullet"/>
      <w:start w:val="1"/>
    </w:lvl>
  </w:abstractNum>
  <w:abstractNum w:abstractNumId="253">
    <w:nsid w:val="5BDA35D4"/>
    <w:multiLevelType w:val="hybridMultilevel"/>
    <w:lvl w:ilvl="0">
      <w:lvlJc w:val="left"/>
      <w:lvlText w:val="2"/>
      <w:numFmt w:val="bullet"/>
      <w:start w:val="1"/>
    </w:lvl>
  </w:abstractNum>
  <w:abstractNum w:abstractNumId="254">
    <w:nsid w:val="496FB218"/>
    <w:multiLevelType w:val="hybridMultilevel"/>
    <w:lvl w:ilvl="0">
      <w:lvlJc w:val="left"/>
      <w:lvlText w:val="3"/>
      <w:numFmt w:val="bullet"/>
      <w:start w:val="1"/>
    </w:lvl>
  </w:abstractNum>
  <w:abstractNum w:abstractNumId="255">
    <w:nsid w:val="680EA5D1"/>
    <w:multiLevelType w:val="hybridMultilevel"/>
    <w:lvl w:ilvl="0">
      <w:lvlJc w:val="left"/>
      <w:lvlText w:val="4"/>
      <w:numFmt w:val="bullet"/>
      <w:start w:val="1"/>
    </w:lvl>
  </w:abstractNum>
  <w:abstractNum w:abstractNumId="256">
    <w:nsid w:val="4A9554FE"/>
    <w:multiLevelType w:val="hybridMultilevel"/>
    <w:lvl w:ilvl="0">
      <w:lvlJc w:val="left"/>
      <w:lvlText w:val="5"/>
      <w:numFmt w:val="bullet"/>
      <w:start w:val="1"/>
    </w:lvl>
  </w:abstractNum>
  <w:abstractNum w:abstractNumId="257">
    <w:nsid w:val="392EDBE4"/>
    <w:multiLevelType w:val="hybridMultilevel"/>
    <w:lvl w:ilvl="0">
      <w:lvlJc w:val="left"/>
      <w:lvlText w:val="6"/>
      <w:numFmt w:val="bullet"/>
      <w:start w:val="1"/>
    </w:lvl>
  </w:abstractNum>
  <w:abstractNum w:abstractNumId="258">
    <w:nsid w:val="3D1A2DD9"/>
    <w:multiLevelType w:val="hybridMultilevel"/>
    <w:lvl w:ilvl="0">
      <w:lvlJc w:val="left"/>
      <w:lvlText w:val="7"/>
      <w:numFmt w:val="bullet"/>
      <w:start w:val="1"/>
    </w:lvl>
  </w:abstractNum>
  <w:abstractNum w:abstractNumId="259">
    <w:nsid w:val="7F618FCD"/>
    <w:multiLevelType w:val="hybridMultilevel"/>
    <w:lvl w:ilvl="0">
      <w:lvlJc w:val="left"/>
      <w:lvlText w:val="•"/>
      <w:numFmt w:val="bullet"/>
      <w:start w:val="1"/>
    </w:lvl>
  </w:abstractNum>
  <w:abstractNum w:abstractNumId="260">
    <w:nsid w:val="7843E45"/>
    <w:multiLevelType w:val="hybridMultilevel"/>
    <w:lvl w:ilvl="0">
      <w:lvlJc w:val="left"/>
      <w:lvlText w:val="1"/>
      <w:numFmt w:val="bullet"/>
      <w:start w:val="1"/>
    </w:lvl>
  </w:abstractNum>
  <w:abstractNum w:abstractNumId="261">
    <w:nsid w:val="9815DA3"/>
    <w:multiLevelType w:val="hybridMultilevel"/>
    <w:lvl w:ilvl="0">
      <w:lvlJc w:val="left"/>
      <w:lvlText w:val="2"/>
      <w:numFmt w:val="bullet"/>
      <w:start w:val="1"/>
    </w:lvl>
  </w:abstractNum>
  <w:abstractNum w:abstractNumId="262">
    <w:nsid w:val="5204A191"/>
    <w:multiLevelType w:val="hybridMultilevel"/>
    <w:lvl w:ilvl="0">
      <w:lvlJc w:val="left"/>
      <w:lvlText w:val="1"/>
      <w:numFmt w:val="bullet"/>
      <w:start w:val="1"/>
    </w:lvl>
  </w:abstractNum>
  <w:abstractNum w:abstractNumId="263">
    <w:nsid w:val="4C73A9C6"/>
    <w:multiLevelType w:val="hybridMultilevel"/>
    <w:lvl w:ilvl="0">
      <w:lvlJc w:val="left"/>
      <w:lvlText w:val="2"/>
      <w:numFmt w:val="bullet"/>
      <w:start w:val="1"/>
    </w:lvl>
  </w:abstractNum>
  <w:abstractNum w:abstractNumId="264">
    <w:nsid w:val="1C7E3C01"/>
    <w:multiLevelType w:val="hybridMultilevel"/>
    <w:lvl w:ilvl="0">
      <w:lvlJc w:val="left"/>
      <w:lvlText w:val="3"/>
      <w:numFmt w:val="bullet"/>
      <w:start w:val="1"/>
    </w:lvl>
  </w:abstractNum>
  <w:abstractNum w:abstractNumId="265">
    <w:nsid w:val="1C2201FF"/>
    <w:multiLevelType w:val="hybridMultilevel"/>
    <w:lvl w:ilvl="0">
      <w:lvlJc w:val="left"/>
      <w:lvlText w:val="4"/>
      <w:numFmt w:val="bullet"/>
      <w:start w:val="1"/>
    </w:lvl>
  </w:abstractNum>
  <w:abstractNum w:abstractNumId="266">
    <w:nsid w:val="50ABCEC9"/>
    <w:multiLevelType w:val="hybridMultilevel"/>
    <w:lvl w:ilvl="0">
      <w:lvlJc w:val="left"/>
      <w:lvlText w:val="5"/>
      <w:numFmt w:val="bullet"/>
      <w:start w:val="1"/>
    </w:lvl>
  </w:abstractNum>
  <w:abstractNum w:abstractNumId="267">
    <w:nsid w:val="7635AA2A"/>
    <w:multiLevelType w:val="hybridMultilevel"/>
    <w:lvl w:ilvl="0">
      <w:lvlJc w:val="left"/>
      <w:lvlText w:val="1"/>
      <w:numFmt w:val="bullet"/>
      <w:start w:val="1"/>
    </w:lvl>
  </w:abstractNum>
  <w:abstractNum w:abstractNumId="268">
    <w:nsid w:val="5E74C4D9"/>
    <w:multiLevelType w:val="hybridMultilevel"/>
    <w:lvl w:ilvl="0">
      <w:lvlJc w:val="left"/>
      <w:lvlText w:val="2"/>
      <w:numFmt w:val="bullet"/>
      <w:start w:val="1"/>
    </w:lvl>
  </w:abstractNum>
  <w:abstractNum w:abstractNumId="269">
    <w:nsid w:val="3B3EBE15"/>
    <w:multiLevelType w:val="hybridMultilevel"/>
    <w:lvl w:ilvl="0">
      <w:lvlJc w:val="left"/>
      <w:lvlText w:val="•"/>
      <w:numFmt w:val="bullet"/>
      <w:start w:val="1"/>
    </w:lvl>
  </w:abstractNum>
  <w:abstractNum w:abstractNumId="270">
    <w:nsid w:val="3822CB01"/>
    <w:multiLevelType w:val="hybridMultilevel"/>
    <w:lvl w:ilvl="0">
      <w:lvlJc w:val="left"/>
      <w:lvlText w:val="•"/>
      <w:numFmt w:val="bullet"/>
      <w:start w:val="1"/>
    </w:lvl>
  </w:abstractNum>
  <w:abstractNum w:abstractNumId="271">
    <w:nsid w:val="6CE00443"/>
    <w:multiLevelType w:val="hybridMultilevel"/>
    <w:lvl w:ilvl="0">
      <w:lvlJc w:val="left"/>
      <w:lvlText w:val="•"/>
      <w:numFmt w:val="bullet"/>
      <w:start w:val="1"/>
    </w:lvl>
  </w:abstractNum>
  <w:abstractNum w:abstractNumId="272">
    <w:nsid w:val="79F0D62F"/>
    <w:multiLevelType w:val="hybridMultilevel"/>
    <w:lvl w:ilvl="0">
      <w:lvlJc w:val="left"/>
      <w:lvlText w:val="•"/>
      <w:numFmt w:val="bullet"/>
      <w:start w:val="1"/>
    </w:lvl>
  </w:abstractNum>
  <w:abstractNum w:abstractNumId="273">
    <w:nsid w:val="7975E8EE"/>
    <w:multiLevelType w:val="hybridMultilevel"/>
    <w:lvl w:ilvl="0">
      <w:lvlJc w:val="left"/>
      <w:lvlText w:val="1"/>
      <w:numFmt w:val="bullet"/>
      <w:start w:val="1"/>
    </w:lvl>
  </w:abstractNum>
  <w:abstractNum w:abstractNumId="274">
    <w:nsid w:val="73154115"/>
    <w:multiLevelType w:val="hybridMultilevel"/>
    <w:lvl w:ilvl="0">
      <w:lvlJc w:val="left"/>
      <w:lvlText w:val="•"/>
      <w:numFmt w:val="bullet"/>
      <w:start w:val="1"/>
    </w:lvl>
  </w:abstractNum>
  <w:abstractNum w:abstractNumId="275">
    <w:nsid w:val="622D8102"/>
    <w:multiLevelType w:val="hybridMultilevel"/>
    <w:lvl w:ilvl="0">
      <w:lvlJc w:val="left"/>
      <w:lvlText w:val="1"/>
      <w:numFmt w:val="bullet"/>
      <w:start w:val="1"/>
    </w:lvl>
  </w:abstractNum>
  <w:abstractNum w:abstractNumId="276">
    <w:nsid w:val="2AB26587"/>
    <w:multiLevelType w:val="hybridMultilevel"/>
    <w:lvl w:ilvl="0">
      <w:lvlJc w:val="left"/>
      <w:lvlText w:val="2"/>
      <w:numFmt w:val="bullet"/>
      <w:start w:val="1"/>
    </w:lvl>
  </w:abstractNum>
  <w:abstractNum w:abstractNumId="277">
    <w:nsid w:val="44B3FA61"/>
    <w:multiLevelType w:val="hybridMultilevel"/>
    <w:lvl w:ilvl="0">
      <w:lvlJc w:val="left"/>
      <w:lvlText w:val="3"/>
      <w:numFmt w:val="bullet"/>
      <w:start w:val="1"/>
    </w:lvl>
  </w:abstractNum>
  <w:abstractNum w:abstractNumId="278">
    <w:nsid w:val="1C0CA67C"/>
    <w:multiLevelType w:val="hybridMultilevel"/>
    <w:lvl w:ilvl="0">
      <w:lvlJc w:val="left"/>
      <w:lvlText w:val="4"/>
      <w:numFmt w:val="bullet"/>
      <w:start w:val="1"/>
    </w:lvl>
  </w:abstractNum>
  <w:abstractNum w:abstractNumId="279">
    <w:nsid w:val="3D206613"/>
    <w:multiLevelType w:val="hybridMultilevel"/>
    <w:lvl w:ilvl="0">
      <w:lvlJc w:val="left"/>
      <w:lvlText w:val="5"/>
      <w:numFmt w:val="bullet"/>
      <w:start w:val="1"/>
    </w:lvl>
  </w:abstractNum>
  <w:abstractNum w:abstractNumId="280">
    <w:nsid w:val="7993B662"/>
    <w:multiLevelType w:val="hybridMultilevel"/>
    <w:lvl w:ilvl="0">
      <w:lvlJc w:val="left"/>
      <w:lvlText w:val="6"/>
      <w:numFmt w:val="bullet"/>
      <w:start w:val="1"/>
    </w:lvl>
  </w:abstractNum>
  <w:abstractNum w:abstractNumId="281">
    <w:nsid w:val="3BAB699E"/>
    <w:multiLevelType w:val="hybridMultilevel"/>
    <w:lvl w:ilvl="0">
      <w:lvlJc w:val="left"/>
      <w:lvlText w:val="7"/>
      <w:numFmt w:val="bullet"/>
      <w:start w:val="1"/>
    </w:lvl>
  </w:abstractNum>
  <w:abstractNum w:abstractNumId="282">
    <w:nsid w:val="71315369"/>
    <w:multiLevelType w:val="hybridMultilevel"/>
    <w:lvl w:ilvl="0">
      <w:lvlJc w:val="left"/>
      <w:lvlText w:val="8"/>
      <w:numFmt w:val="bullet"/>
      <w:start w:val="1"/>
    </w:lvl>
  </w:abstractNum>
  <w:abstractNum w:abstractNumId="283">
    <w:nsid w:val="7BCFBAFC"/>
    <w:multiLevelType w:val="hybridMultilevel"/>
    <w:lvl w:ilvl="0">
      <w:lvlJc w:val="left"/>
      <w:lvlText w:val="9"/>
      <w:numFmt w:val="bullet"/>
      <w:start w:val="1"/>
    </w:lvl>
  </w:abstractNum>
  <w:abstractNum w:abstractNumId="284">
    <w:nsid w:val="17859F72"/>
    <w:multiLevelType w:val="hybridMultilevel"/>
    <w:lvl w:ilvl="0">
      <w:lvlJc w:val="left"/>
      <w:lvlText w:val="•"/>
      <w:numFmt w:val="bullet"/>
      <w:start w:val="1"/>
    </w:lvl>
  </w:abstractNum>
  <w:abstractNum w:abstractNumId="285">
    <w:nsid w:val="3AA10581"/>
    <w:multiLevelType w:val="hybridMultilevel"/>
    <w:lvl w:ilvl="0">
      <w:lvlJc w:val="left"/>
      <w:lvlText w:val="•"/>
      <w:numFmt w:val="bullet"/>
      <w:start w:val="1"/>
    </w:lvl>
  </w:abstractNum>
  <w:abstractNum w:abstractNumId="286">
    <w:nsid w:val="63DE60CD"/>
    <w:multiLevelType w:val="hybridMultilevel"/>
    <w:lvl w:ilvl="0">
      <w:lvlJc w:val="left"/>
      <w:lvlText w:val="•"/>
      <w:numFmt w:val="bullet"/>
      <w:start w:val="1"/>
    </w:lvl>
  </w:abstractNum>
  <w:abstractNum w:abstractNumId="287">
    <w:nsid w:val="621AF471"/>
    <w:multiLevelType w:val="hybridMultilevel"/>
    <w:lvl w:ilvl="0">
      <w:lvlJc w:val="left"/>
      <w:lvlText w:val="•"/>
      <w:numFmt w:val="bullet"/>
      <w:start w:val="1"/>
    </w:lvl>
  </w:abstractNum>
  <w:abstractNum w:abstractNumId="288">
    <w:nsid w:val="73CFE165"/>
    <w:multiLevelType w:val="hybridMultilevel"/>
    <w:lvl w:ilvl="0">
      <w:lvlJc w:val="left"/>
      <w:lvlText w:val="%1"/>
      <w:numFmt w:val="decimal"/>
      <w:start w:val="10"/>
    </w:lvl>
  </w:abstractNum>
  <w:abstractNum w:abstractNumId="289">
    <w:nsid w:val="20F88EA6"/>
    <w:multiLevelType w:val="hybridMultilevel"/>
    <w:lvl w:ilvl="0">
      <w:lvlJc w:val="left"/>
      <w:lvlText w:val="•"/>
      <w:numFmt w:val="bullet"/>
      <w:start w:val="1"/>
    </w:lvl>
  </w:abstractNum>
  <w:abstractNum w:abstractNumId="290">
    <w:nsid w:val="617C843E"/>
    <w:multiLevelType w:val="hybridMultilevel"/>
    <w:lvl w:ilvl="0">
      <w:lvlJc w:val="left"/>
      <w:lvlText w:val="•"/>
      <w:numFmt w:val="bullet"/>
      <w:start w:val="1"/>
    </w:lvl>
  </w:abstractNum>
  <w:abstractNum w:abstractNumId="291">
    <w:nsid w:val="7B541FAB"/>
    <w:multiLevelType w:val="hybridMultilevel"/>
    <w:lvl w:ilvl="0">
      <w:lvlJc w:val="left"/>
      <w:lvlText w:val="%1"/>
      <w:numFmt w:val="decimal"/>
      <w:start w:val="15"/>
    </w:lvl>
  </w:abstractNum>
  <w:abstractNum w:abstractNumId="292">
    <w:nsid w:val="2A79EC49"/>
    <w:multiLevelType w:val="hybridMultilevel"/>
    <w:lvl w:ilvl="0">
      <w:lvlJc w:val="left"/>
      <w:lvlText w:val="%1"/>
      <w:numFmt w:val="decimal"/>
      <w:start w:val="22"/>
    </w:lvl>
  </w:abstractNum>
  <w:abstractNum w:abstractNumId="293">
    <w:nsid w:val="338125CF"/>
    <w:multiLevelType w:val="hybridMultilevel"/>
    <w:lvl w:ilvl="0">
      <w:lvlJc w:val="left"/>
      <w:lvlText w:val="•"/>
      <w:numFmt w:val="bullet"/>
      <w:start w:val="1"/>
    </w:lvl>
  </w:abstractNum>
  <w:abstractNum w:abstractNumId="294">
    <w:nsid w:val="47C7C971"/>
    <w:multiLevelType w:val="hybridMultilevel"/>
    <w:lvl w:ilvl="0">
      <w:lvlJc w:val="left"/>
      <w:lvlText w:val="•"/>
      <w:numFmt w:val="bullet"/>
      <w:start w:val="1"/>
    </w:lvl>
  </w:abstractNum>
  <w:abstractNum w:abstractNumId="295">
    <w:nsid w:val="46F8284B"/>
    <w:multiLevelType w:val="hybridMultilevel"/>
    <w:lvl w:ilvl="0">
      <w:lvlJc w:val="left"/>
      <w:lvlText w:val="•"/>
      <w:numFmt w:val="bullet"/>
      <w:start w:val="1"/>
    </w:lvl>
  </w:abstractNum>
  <w:abstractNum w:abstractNumId="296">
    <w:nsid w:val="4FA327CE"/>
    <w:multiLevelType w:val="hybridMultilevel"/>
    <w:lvl w:ilvl="0">
      <w:lvlJc w:val="left"/>
      <w:lvlText w:val="•"/>
      <w:numFmt w:val="bullet"/>
      <w:start w:val="1"/>
    </w:lvl>
  </w:abstractNum>
  <w:abstractNum w:abstractNumId="297">
    <w:nsid w:val="1873983A"/>
    <w:multiLevelType w:val="hybridMultilevel"/>
    <w:lvl w:ilvl="0">
      <w:lvlJc w:val="left"/>
      <w:lvlText w:val="1"/>
      <w:numFmt w:val="bullet"/>
      <w:start w:val="1"/>
    </w:lvl>
  </w:abstractNum>
  <w:abstractNum w:abstractNumId="298">
    <w:nsid w:val="3D2DD275"/>
    <w:multiLevelType w:val="hybridMultilevel"/>
    <w:lvl w:ilvl="0">
      <w:lvlJc w:val="left"/>
      <w:lvlText w:val="2"/>
      <w:numFmt w:val="bullet"/>
      <w:start w:val="1"/>
    </w:lvl>
  </w:abstractNum>
  <w:abstractNum w:abstractNumId="299">
    <w:nsid w:val="2E17ECA7"/>
    <w:multiLevelType w:val="hybridMultilevel"/>
    <w:lvl w:ilvl="0">
      <w:lvlJc w:val="left"/>
      <w:lvlText w:val="3"/>
      <w:numFmt w:val="bullet"/>
      <w:start w:val="1"/>
    </w:lvl>
  </w:abstractNum>
  <w:abstractNum w:abstractNumId="300">
    <w:nsid w:val="53B2564F"/>
    <w:multiLevelType w:val="hybridMultilevel"/>
    <w:lvl w:ilvl="0">
      <w:lvlJc w:val="left"/>
      <w:lvlText w:val="4"/>
      <w:numFmt w:val="bullet"/>
      <w:start w:val="1"/>
    </w:lvl>
  </w:abstractNum>
  <w:abstractNum w:abstractNumId="301">
    <w:nsid w:val="75509D76"/>
    <w:multiLevelType w:val="hybridMultilevel"/>
    <w:lvl w:ilvl="0">
      <w:lvlJc w:val="left"/>
      <w:lvlText w:val="•"/>
      <w:numFmt w:val="bullet"/>
      <w:start w:val="1"/>
    </w:lvl>
  </w:abstractNum>
  <w:abstractNum w:abstractNumId="302">
    <w:nsid w:val="1AF7F0EA"/>
    <w:multiLevelType w:val="hybridMultilevel"/>
    <w:lvl w:ilvl="0">
      <w:lvlJc w:val="left"/>
      <w:lvlText w:val="&amp;"/>
      <w:numFmt w:val="bullet"/>
      <w:start w:val="1"/>
    </w:lvl>
  </w:abstractNum>
  <w:abstractNum w:abstractNumId="303">
    <w:nsid w:val="4DA32C7E"/>
    <w:multiLevelType w:val="hybridMultilevel"/>
    <w:lvl w:ilvl="0">
      <w:lvlJc w:val="left"/>
      <w:lvlText w:val="%1."/>
      <w:numFmt w:val="decimal"/>
      <w:start w:val="1"/>
    </w:lvl>
  </w:abstractNum>
  <w:abstractNum w:abstractNumId="304">
    <w:nsid w:val="6EC68664"/>
    <w:multiLevelType w:val="hybridMultilevel"/>
    <w:lvl w:ilvl="0">
      <w:lvlJc w:val="left"/>
      <w:lvlText w:val="(%1)"/>
      <w:numFmt w:val="lowerLetter"/>
      <w:start w:val="1"/>
    </w:lvl>
  </w:abstractNum>
  <w:abstractNum w:abstractNumId="305">
    <w:nsid w:val="E0D31FF"/>
    <w:multiLevelType w:val="hybridMultilevel"/>
    <w:lvl w:ilvl="0">
      <w:lvlJc w:val="left"/>
      <w:lvlText w:val="%1."/>
      <w:numFmt w:val="decimal"/>
      <w:start w:val="2"/>
    </w:lvl>
  </w:abstractNum>
  <w:abstractNum w:abstractNumId="306">
    <w:nsid w:val="2FD0AD81"/>
    <w:multiLevelType w:val="hybridMultilevel"/>
    <w:lvl w:ilvl="0">
      <w:lvlJc w:val="left"/>
      <w:lvlText w:val="%1."/>
      <w:numFmt w:val="decimal"/>
      <w:start w:val="1"/>
    </w:lvl>
  </w:abstractNum>
  <w:abstractNum w:abstractNumId="307">
    <w:nsid w:val="1978EBEB"/>
    <w:multiLevelType w:val="hybridMultilevel"/>
    <w:lvl w:ilvl="0">
      <w:lvlJc w:val="left"/>
      <w:lvlText w:val="%1:"/>
      <w:numFmt w:val="upperLetter"/>
      <w:start w:val="68"/>
    </w:lvl>
  </w:abstractNum>
  <w:abstractNum w:abstractNumId="308">
    <w:nsid w:val="52C12C61"/>
    <w:multiLevelType w:val="hybridMultilevel"/>
    <w:lvl w:ilvl="0">
      <w:lvlJc w:val="left"/>
      <w:lvlText w:val="©"/>
      <w:numFmt w:val="bullet"/>
      <w:start w:val="1"/>
    </w:lvl>
  </w:abstractNum>
  <w:abstractNum w:abstractNumId="309">
    <w:nsid w:val="4BDD53F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jpeg"/><Relationship Id="rId746" Type="http://schemas.openxmlformats.org/officeDocument/2006/relationships/image" Target="media/image739.pn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jpeg"/><Relationship Id="rId774" Type="http://schemas.openxmlformats.org/officeDocument/2006/relationships/image" Target="media/image767.jpe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jpeg"/><Relationship Id="rId820" Type="http://schemas.openxmlformats.org/officeDocument/2006/relationships/image" Target="media/image813.jpe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jpe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jpe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jpe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jpe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jpe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jpe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jpe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jpe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jpe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jpe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2022-04-04T05:31:37Z</dcterms:created>
  <dcterms:modified xsi:type="dcterms:W3CDTF">2022-04-04T05:31:37Z</dcterms:modified>
</cp:coreProperties>
</file>