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8465-01_fwp.htm"/>
      <w:bookmarkStart w:id="1" w:name="ksea030846501_fwp"/>
      <w:bookmarkStart w:id="2" w:name="ea0308465-01_fwp.htm"/>
      <w:bookmarkStart w:id="3" w:name="ksea030846501_fwp"/>
      <w:bookmarkEnd w:id="2"/>
      <w:bookmarkEnd w:id="3"/>
    </w:p>
    <w:tbl>
      <w:tblPr>
        <w:tblW w:w="10205" w:type="dxa"/>
        <w:jc w:val="left"/>
        <w:tblInd w:w="0" w:type="dxa"/>
        <w:tblLayout w:type="fixed"/>
        <w:tblCellMar>
          <w:top w:w="0" w:type="dxa"/>
          <w:left w:w="0" w:type="dxa"/>
          <w:bottom w:w="0" w:type="dxa"/>
          <w:right w:w="0" w:type="dxa"/>
        </w:tblCellMar>
      </w:tblPr>
      <w:tblGrid>
        <w:gridCol w:w="6148"/>
        <w:gridCol w:w="4057"/>
      </w:tblGrid>
      <w:tr>
        <w:trPr/>
        <w:tc>
          <w:tcPr>
            <w:tcW w:w="6148"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spacing w:before="0" w:after="6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4057"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 333-293684-01</w:t>
            </w:r>
          </w:p>
        </w:tc>
      </w:tr>
      <w:tr>
        <w:trPr/>
        <w:tc>
          <w:tcPr>
            <w:tcW w:w="6148" w:type="dxa"/>
            <w:vMerge w:val="continue"/>
            <w:tcBorders/>
            <w:vAlign w:val="center"/>
          </w:tcPr>
          <w:p>
            <w:pPr>
              <w:pStyle w:val="Normal"/>
              <w:bidi w:val="0"/>
              <w:jc w:val="left"/>
              <w:rPr/>
            </w:pPr>
            <w:r>
              <w:rPr/>
            </w:r>
          </w:p>
        </w:tc>
        <w:tc>
          <w:tcPr>
            <w:tcW w:w="4057" w:type="dxa"/>
            <w:tcBorders/>
            <w:vAlign w:val="center"/>
          </w:tcPr>
          <w:p>
            <w:pPr>
              <w:pStyle w:val="TableContents"/>
              <w:bidi w:val="0"/>
              <w:spacing w:before="0" w:after="283"/>
              <w:jc w:val="right"/>
              <w:rPr/>
            </w:pPr>
            <w:r>
              <w:rPr/>
              <w:drawing>
                <wp:inline distT="0" distB="0" distL="0" distR="0">
                  <wp:extent cx="174307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457200"/>
                          </a:xfrm>
                          <a:prstGeom prst="rect">
                            <a:avLst/>
                          </a:prstGeom>
                        </pic:spPr>
                      </pic:pic>
                    </a:graphicData>
                  </a:graphic>
                </wp:inline>
              </w:drawing>
            </w:r>
            <w:r>
              <w:rPr/>
              <w:t xml:space="preserve"> </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 — Leveraged Upside Participation and Contingent Downside</w:t>
            </w:r>
          </w:p>
          <w:p>
            <w:pPr>
              <w:pStyle w:val="TableContents"/>
              <w:bidi w:val="0"/>
              <w:spacing w:before="0" w:after="6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Lowest Performing of the Common Stock of Tesla, Inc., the Common Stock of Amazon.com, Inc. and the Class A Common Stock of Meta Platforms, Inc. due October 26, 2028</w:t>
            </w:r>
          </w:p>
          <w:p>
            <w:pPr>
              <w:pStyle w:val="TableContents"/>
              <w:bidi w:val="0"/>
              <w:spacing w:before="0" w:after="12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October 13, 2026 to Preliminary Pricing Supplement dated October 12, 2026</w:t>
            </w:r>
          </w:p>
        </w:tc>
      </w:tr>
    </w:tbl>
    <w:p>
      <w:pPr>
        <w:pStyle w:val="TextBody"/>
        <w:bidi w:val="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613265"/>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613265"/>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87"/>
                              <w:gridCol w:w="8618"/>
                            </w:tblGrid>
                            <w:tr>
                              <w:trPr/>
                              <w:tc>
                                <w:tcPr>
                                  <w:tcW w:w="158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1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Tesla, Inc. (Bloomberg ticker: TSLA), the common stock of Amazon.com, Inc. (Bloomberg ticker: AMZN) and the Class A common stock of Meta Platforms, Inc. (Bloomberg ticker: META)</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23, 2026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28, 2026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23, 2028</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26, 2028</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40"/>
                                    <w:ind w:left="130" w:right="0" w:hanging="14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price of the lowest performing Underlying Stock is greater than its starting price:</w:t>
                                  </w:r>
                                </w:p>
                                <w:p>
                                  <w:pPr>
                                    <w:pStyle w:val="TableContents"/>
                                    <w:bidi w:val="0"/>
                                    <w:ind w:left="346" w:right="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of the lowest performing Underlying Stock × upside participation rate);</w:t>
                                  </w:r>
                                </w:p>
                                <w:p>
                                  <w:pPr>
                                    <w:pStyle w:val="TableContents"/>
                                    <w:bidi w:val="0"/>
                                    <w:ind w:left="130" w:right="0" w:hanging="14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price of the lowest performing Underlying Stock is less than or equal to its starting price, but greater than or equal to its threshold price: $1,000; or</w:t>
                                  </w:r>
                                </w:p>
                                <w:p>
                                  <w:pPr>
                                    <w:pStyle w:val="TableContents"/>
                                    <w:bidi w:val="0"/>
                                    <w:ind w:left="130" w:right="0" w:hanging="14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of the lowest performing Underlying Stock is less than its threshold price: </w:t>
                                  </w:r>
                                </w:p>
                                <w:p>
                                  <w:pPr>
                                    <w:pStyle w:val="TableContents"/>
                                    <w:bidi w:val="0"/>
                                    <w:spacing w:before="0" w:after="283"/>
                                    <w:ind w:left="346" w:right="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of the lowest performing Underlying Stock)</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 Stock:</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Underlying Stock with the lowest stock return</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330.00% (to be provided in the pricing supplement)</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pricing date</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calculation day</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For each Underlying Stock, 50% of its starting price </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(ending price – starting price) / starting price</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46661PQK6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2.575%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2.00%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56.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87"/>
                        <w:gridCol w:w="8618"/>
                      </w:tblGrid>
                      <w:tr>
                        <w:trPr/>
                        <w:tc>
                          <w:tcPr>
                            <w:tcW w:w="158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1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Tesla, Inc. (Bloomberg ticker: TSLA), the common stock of Amazon.com, Inc. (Bloomberg ticker: AMZN) and the Class A common stock of Meta Platforms, Inc. (Bloomberg ticker: META)</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23, 2026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28, 2026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23, 2028</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26, 2028</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40"/>
                              <w:ind w:left="130" w:right="0" w:hanging="14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price of the lowest performing Underlying Stock is greater than its starting price:</w:t>
                            </w:r>
                          </w:p>
                          <w:p>
                            <w:pPr>
                              <w:pStyle w:val="TableContents"/>
                              <w:bidi w:val="0"/>
                              <w:ind w:left="346" w:right="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of the lowest performing Underlying Stock × upside participation rate);</w:t>
                            </w:r>
                          </w:p>
                          <w:p>
                            <w:pPr>
                              <w:pStyle w:val="TableContents"/>
                              <w:bidi w:val="0"/>
                              <w:ind w:left="130" w:right="0" w:hanging="14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price of the lowest performing Underlying Stock is less than or equal to its starting price, but greater than or equal to its threshold price: $1,000; or</w:t>
                            </w:r>
                          </w:p>
                          <w:p>
                            <w:pPr>
                              <w:pStyle w:val="TableContents"/>
                              <w:bidi w:val="0"/>
                              <w:ind w:left="130" w:right="0" w:hanging="14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of the lowest performing Underlying Stock is less than its threshold price: </w:t>
                            </w:r>
                          </w:p>
                          <w:p>
                            <w:pPr>
                              <w:pStyle w:val="TableContents"/>
                              <w:bidi w:val="0"/>
                              <w:spacing w:before="0" w:after="283"/>
                              <w:ind w:left="346" w:right="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of the lowest performing Underlying Stock)</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 Stock:</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Underlying Stock with the lowest stock return</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330.00% (to be provided in the pricing supplement)</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pricing date</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calculation day</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For each Underlying Stock, 50% of its starting price </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(ending price – starting price) / starting price</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46661PQK6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2.575%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2.00%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7078345"/>
                <wp:effectExtent l="0" t="0" r="0" b="0"/>
                <wp:wrapSquare wrapText="left"/>
                <wp:docPr id="3" name="Frame2"/>
                <a:graphic xmlns:a="http://schemas.openxmlformats.org/drawingml/2006/main">
                  <a:graphicData uri="http://schemas.microsoft.com/office/word/2010/wordprocessingShape">
                    <wps:wsp>
                      <wps:cNvSpPr txBox="1"/>
                      <wps:spPr>
                        <a:xfrm>
                          <a:off x="0" y="0"/>
                          <a:ext cx="3175000" cy="7078345"/>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jc w:val="center"/>
                              <w:rPr>
                                <w:caps w:val="false"/>
                                <w:smallCaps w:val="false"/>
                              </w:rPr>
                            </w:pPr>
                            <w:r>
                              <w:rPr>
                                <w:caps w:val="false"/>
                                <w:smallCaps w:val="false"/>
                              </w:rPr>
                              <w:drawing>
                                <wp:inline distT="0" distB="0" distL="0" distR="0">
                                  <wp:extent cx="3333750" cy="21145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333750" cy="21145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an upside participation rate equal to the minimum upside participation rate</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of the lowest performing Underlying Stock is less than its threshold price, you will have full downside exposure to the decrease in the price of that Underlying Stock from its starting price and you will lose more than 50%, and possibly all, of the principal amount of your securities at maturity.</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$951.20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Preliminary Pricing Supplement:</w:t>
                            </w:r>
                          </w:p>
                          <w:p>
                            <w:pPr>
                              <w:pStyle w:val="TextBody"/>
                              <w:bidi w:val="0"/>
                              <w:spacing w:before="0" w:after="60"/>
                              <w:jc w:val="left"/>
                              <w:rPr/>
                            </w:pPr>
                            <w:hyperlink r:id="rId4">
                              <w:r>
                                <w:rPr>
                                  <w:rStyle w:val="InternetLink"/>
                                  <w:rFonts w:ascii="Georgia;Times;Serif" w:hAnsi="Georgia;Times;Serif"/>
                                  <w:b w:val="false"/>
                                  <w:i w:val="false"/>
                                  <w:caps w:val="false"/>
                                  <w:smallCaps w:val="false"/>
                                  <w:sz w:val="16"/>
                                </w:rPr>
                                <w:t>http://www.sec.gov/Archives/edgar/data/19617/000121390026108695/</w:t>
                                <w:br/>
                                <w:t>ea0308375-01_424b2.htm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57.35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jc w:val="center"/>
                        <w:rPr>
                          <w:caps w:val="false"/>
                          <w:smallCaps w:val="false"/>
                        </w:rPr>
                      </w:pPr>
                      <w:r>
                        <w:rPr>
                          <w:caps w:val="false"/>
                          <w:smallCaps w:val="false"/>
                        </w:rPr>
                        <w:drawing>
                          <wp:inline distT="0" distB="0" distL="0" distR="0">
                            <wp:extent cx="3333750" cy="21145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333750" cy="21145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an upside participation rate equal to the minimum upside participation rate</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of the lowest performing Underlying Stock is less than its threshold price, you will have full downside exposure to the decrease in the price of that Underlying Stock from its starting price and you will lose more than 50%, and possibly all, of the principal amount of your securities at maturity.</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$951.20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Preliminary Pricing Supplement:</w:t>
                      </w:r>
                    </w:p>
                    <w:p>
                      <w:pPr>
                        <w:pStyle w:val="TextBody"/>
                        <w:bidi w:val="0"/>
                        <w:spacing w:before="0" w:after="60"/>
                        <w:jc w:val="left"/>
                        <w:rPr/>
                      </w:pPr>
                      <w:hyperlink r:id="rId6">
                        <w:r>
                          <w:rPr>
                            <w:rStyle w:val="InternetLink"/>
                            <w:rFonts w:ascii="Georgia;Times;Serif" w:hAnsi="Georgia;Times;Serif"/>
                            <w:b w:val="false"/>
                            <w:i w:val="false"/>
                            <w:caps w:val="false"/>
                            <w:smallCaps w:val="false"/>
                            <w:sz w:val="16"/>
                          </w:rPr>
                          <w:t>http://www.sec.gov/Archives/edgar/data/19617/000121390026108695/</w:t>
                          <w:br/>
                          <w:t>ea0308375-01_424b2.htm</w:t>
                        </w:r>
                      </w:hyperlink>
                    </w:p>
                  </w:txbxContent>
                </v:textbox>
                <w10:wrap type="square" side="left"/>
              </v:rect>
            </w:pict>
          </mc:Fallback>
        </mc:AlternateContent>
      </w:r>
    </w:p>
    <w:p>
      <w:pPr>
        <w:pStyle w:val="TextBody"/>
        <w:bidi w:val="0"/>
        <w:spacing w:before="60" w:after="60"/>
        <w:ind w:left="60" w:right="6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4482"/>
        <w:gridCol w:w="5723"/>
      </w:tblGrid>
      <w:tr>
        <w:trPr/>
        <w:tc>
          <w:tcPr>
            <w:tcW w:w="4482"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Ending Price of the Lowest Performing Underlying Stock Is Less Than Its Threshold Price, You Will Lose More Than 50%, and Possibly All, of the Principal Amount of Your Securities at Maturity.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Are Exposed to the Risk of Decline in the Price of Each Underlying Stock.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Maturity Payment Amount Will Be Determined by the Lowest Performing Underlying Stock.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Risks Resulting from the Relationship Among the Underlying Stocks.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Calculation Day.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Interest or Dividend Payments or Voting Rights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120" w:after="40"/>
              <w:ind w:left="360" w:right="120" w:hanging="0"/>
              <w:jc w:val="left"/>
              <w:rPr>
                <w:caps w:val="false"/>
                <w:smallCaps w:val="false"/>
              </w:rPr>
            </w:pPr>
            <w:r>
              <w:rPr>
                <w:caps w:val="false"/>
                <w:smallCaps w:val="false"/>
              </w:rPr>
              <w:t> </w:t>
            </w:r>
          </w:p>
        </w:tc>
        <w:tc>
          <w:tcPr>
            <w:tcW w:w="5723"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No Affiliation with Any Underlying Stock Issuer</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The Anti-Dilution Protection Is Limited and May Be Discretionary. </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The Maturity Payment Amount Will Depend upon the Performance of Each Underlying Stock and Therefore the Securities Are Subject to the Risks Associated with Each Underlying Stock, Each as Discussed in the Accompanying Preliminary Pricing Supplement and Product Supplement.</w:t>
            </w:r>
          </w:p>
          <w:p>
            <w:pPr>
              <w:pStyle w:val="TableContents"/>
              <w:bidi w:val="0"/>
              <w:spacing w:before="120" w:after="40"/>
              <w:ind w:left="450" w:right="12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Chase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108695/ea0308375-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108695/ea0308375-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1388</Words>
  <Characters>7558</Characters>
  <CharactersWithSpaces>8980</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