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4107-01_fwp.htm"/>
      <w:bookmarkStart w:id="1" w:name="ksea030410701_fwp"/>
      <w:bookmarkStart w:id="2" w:name="ea0304107-01_fwp.htm"/>
      <w:bookmarkStart w:id="3" w:name="ksea030410701_fwp"/>
      <w:bookmarkEnd w:id="2"/>
      <w:bookmarkEnd w:id="3"/>
    </w:p>
    <w:tbl>
      <w:tblPr>
        <w:tblW w:w="10205" w:type="dxa"/>
        <w:jc w:val="left"/>
        <w:tblInd w:w="0" w:type="dxa"/>
        <w:tblLayout w:type="fixed"/>
        <w:tblCellMar>
          <w:top w:w="0" w:type="dxa"/>
          <w:left w:w="0" w:type="dxa"/>
          <w:bottom w:w="0" w:type="dxa"/>
          <w:right w:w="0" w:type="dxa"/>
        </w:tblCellMar>
      </w:tblPr>
      <w:tblGrid>
        <w:gridCol w:w="7035"/>
        <w:gridCol w:w="3170"/>
      </w:tblGrid>
      <w:tr>
        <w:trPr/>
        <w:tc>
          <w:tcPr>
            <w:tcW w:w="7035"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7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r>
        <w:trPr/>
        <w:tc>
          <w:tcPr>
            <w:tcW w:w="7035" w:type="dxa"/>
            <w:vMerge w:val="continue"/>
            <w:tcBorders/>
            <w:vAlign w:val="center"/>
          </w:tcPr>
          <w:p>
            <w:pPr>
              <w:pStyle w:val="Normal"/>
              <w:bidi w:val="0"/>
              <w:jc w:val="left"/>
              <w:rPr/>
            </w:pPr>
            <w:r>
              <w:rPr/>
            </w:r>
          </w:p>
        </w:tc>
        <w:tc>
          <w:tcPr>
            <w:tcW w:w="3170" w:type="dxa"/>
            <w:tcBorders/>
            <w:vAlign w:val="center"/>
          </w:tcPr>
          <w:p>
            <w:pPr>
              <w:pStyle w:val="TableContents"/>
              <w:bidi w:val="0"/>
              <w:spacing w:before="0" w:after="0"/>
              <w:ind w:left="0" w:right="360" w:hanging="0"/>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9260" w:type="dxa"/>
        <w:jc w:val="left"/>
        <w:tblInd w:w="0" w:type="dxa"/>
        <w:tblLayout w:type="fixed"/>
        <w:tblCellMar>
          <w:top w:w="0" w:type="dxa"/>
          <w:left w:w="0" w:type="dxa"/>
          <w:bottom w:w="0" w:type="dxa"/>
          <w:right w:w="0" w:type="dxa"/>
        </w:tblCellMar>
      </w:tblPr>
      <w:tblGrid>
        <w:gridCol w:w="9260"/>
      </w:tblGrid>
      <w:tr>
        <w:trPr/>
        <w:tc>
          <w:tcPr>
            <w:tcW w:w="9260"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a Basket due September 8, 2031</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August 31, 2026 to Preliminary Pricing Supplement dated August 31,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73899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73899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9"/>
                              <w:gridCol w:w="8616"/>
                            </w:tblGrid>
                            <w:tr>
                              <w:trPr/>
                              <w:tc>
                                <w:tcPr>
                                  <w:tcW w:w="15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 Basket Components:</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An equally weighted basket (the “</w:t>
                                  </w:r>
                                  <w:r>
                                    <w:rPr>
                                      <w:rFonts w:ascii="Georgia;Times;Serif" w:hAnsi="Georgia;Times;Serif"/>
                                      <w:b w:val="false"/>
                                      <w:i w:val="false"/>
                                      <w:caps w:val="false"/>
                                      <w:smallCaps w:val="false"/>
                                      <w:sz w:val="16"/>
                                      <w:u w:val="single"/>
                                    </w:rPr>
                                    <w:t>basket</w:t>
                                  </w:r>
                                  <w:r>
                                    <w:rPr>
                                      <w:rFonts w:ascii="Georgia;Times;Serif" w:hAnsi="Georgia;Times;Serif"/>
                                      <w:b w:val="false"/>
                                      <w:i w:val="false"/>
                                      <w:caps w:val="false"/>
                                      <w:smallCaps w:val="false"/>
                                      <w:sz w:val="16"/>
                                    </w:rPr>
                                    <w:t>”) composed of the following basket components, with the weighting percentages noted parenthetically: the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SX5E)(25%), the Swiss Market Index (Bloomberg ticker: SMI) (25%), the FTSE</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100 Index (Bloomberg ticker: UKX)(25%) and the TOPIX</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TPX) (25%) (each referred to as a “</w:t>
                                  </w:r>
                                  <w:r>
                                    <w:rPr>
                                      <w:rFonts w:ascii="Georgia;Times;Serif" w:hAnsi="Georgia;Times;Serif"/>
                                      <w:b w:val="false"/>
                                      <w:i w:val="false"/>
                                      <w:caps w:val="false"/>
                                      <w:smallCaps w:val="false"/>
                                      <w:sz w:val="16"/>
                                      <w:u w:val="single"/>
                                    </w:rPr>
                                    <w:t>basket component</w:t>
                                  </w:r>
                                  <w:r>
                                    <w:rPr>
                                      <w:rFonts w:ascii="Georgia;Times;Serif" w:hAnsi="Georgia;Times;Serif"/>
                                      <w:b w:val="false"/>
                                      <w:i w:val="false"/>
                                      <w:caps w:val="false"/>
                                      <w:smallCaps w:val="false"/>
                                      <w:sz w:val="16"/>
                                    </w:rPr>
                                    <w:t>” and collectively as the “</w:t>
                                  </w:r>
                                  <w:r>
                                    <w:rPr>
                                      <w:rFonts w:ascii="Georgia;Times;Serif" w:hAnsi="Georgia;Times;Serif"/>
                                      <w:b w:val="false"/>
                                      <w:i w:val="false"/>
                                      <w:caps w:val="false"/>
                                      <w:smallCaps w:val="false"/>
                                      <w:sz w:val="16"/>
                                      <w:u w:val="single"/>
                                    </w:rPr>
                                    <w:t>basket components</w:t>
                                  </w:r>
                                  <w:r>
                                    <w:rPr>
                                      <w:rFonts w:ascii="Georgia;Times;Serif" w:hAnsi="Georgia;Times;Serif"/>
                                      <w:b w:val="false"/>
                                      <w:i w:val="false"/>
                                      <w:caps w:val="false"/>
                                      <w:smallCaps w:val="false"/>
                                      <w:sz w:val="16"/>
                                    </w:rPr>
                                    <w:t>”)</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2031</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8, 2031</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6"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level is greater than the starting level:</w:t>
                                  </w:r>
                                </w:p>
                                <w:p>
                                  <w:pPr>
                                    <w:pStyle w:val="TableContents"/>
                                    <w:bidi w:val="0"/>
                                    <w:ind w:left="61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basket return × upside participation rate);</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level is less than or equal to the starting level, but greater than or equal to the threshold level: $1,000;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level is less than the threshold level: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basket return)</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100.00</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Georgia;Times;Serif" w:hAnsi="Georgia;Times;Serif"/>
                                      <w:b w:val="false"/>
                                      <w:i w:val="false"/>
                                      <w:caps w:val="false"/>
                                      <w:smallCaps w:val="false"/>
                                      <w:sz w:val="16"/>
                                      <w:shd w:fill="FFFFFF" w:val="clear"/>
                                    </w:rPr>
                                    <w:t xml:space="preserve">The weighted returns of the basket components, equal to the product of (i) 100 and (ii) an amount equal to 1 </w:t>
                                  </w:r>
                                  <w:r>
                                    <w:rPr>
                                      <w:rFonts w:ascii="Georgia;Times;Serif" w:hAnsi="Georgia;Times;Serif"/>
                                      <w:b w:val="false"/>
                                      <w:i/>
                                      <w:caps w:val="false"/>
                                      <w:smallCaps w:val="false"/>
                                      <w:sz w:val="16"/>
                                      <w:shd w:fill="FFFFFF" w:val="clear"/>
                                    </w:rPr>
                                    <w:t>plus</w:t>
                                  </w:r>
                                  <w:r>
                                    <w:rPr>
                                      <w:rFonts w:ascii="Georgia;Times;Serif" w:hAnsi="Georgia;Times;Serif"/>
                                      <w:b w:val="false"/>
                                      <w:i w:val="false"/>
                                      <w:caps w:val="false"/>
                                      <w:smallCaps w:val="false"/>
                                      <w:sz w:val="16"/>
                                      <w:shd w:fill="FFFFFF" w:val="clear"/>
                                    </w:rPr>
                                    <w:t xml:space="preserve"> the sum of (A) 25% of the basket component return of the EURO STOXX 50</w:t>
                                  </w:r>
                                  <w:r>
                                    <w:rPr>
                                      <w:rFonts w:ascii="Georgia;Times;Serif" w:hAnsi="Georgia;Times;Serif"/>
                                      <w:b w:val="false"/>
                                      <w:i w:val="false"/>
                                      <w:caps w:val="false"/>
                                      <w:smallCaps w:val="false"/>
                                      <w:position w:val="5"/>
                                      <w:sz w:val="13"/>
                                      <w:sz w:val="16"/>
                                      <w:shd w:fill="FFFFFF" w:val="clear"/>
                                    </w:rPr>
                                    <w:t>®</w:t>
                                  </w:r>
                                  <w:r>
                                    <w:rPr>
                                      <w:rFonts w:ascii="Georgia;Times;Serif" w:hAnsi="Georgia;Times;Serif"/>
                                      <w:b w:val="false"/>
                                      <w:i w:val="false"/>
                                      <w:caps w:val="false"/>
                                      <w:smallCaps w:val="false"/>
                                      <w:sz w:val="16"/>
                                      <w:shd w:fill="FFFFFF" w:val="clear"/>
                                    </w:rPr>
                                    <w:t xml:space="preserve"> Index; (B) 25% of the basket component return of the </w:t>
                                  </w:r>
                                  <w:r>
                                    <w:rPr>
                                      <w:rFonts w:ascii="Times New Roman;Times;Serif" w:hAnsi="Times New Roman;Times;Serif"/>
                                      <w:b w:val="false"/>
                                      <w:i w:val="false"/>
                                      <w:caps w:val="false"/>
                                      <w:smallCaps w:val="false"/>
                                      <w:sz w:val="16"/>
                                      <w:shd w:fill="FFFFFF" w:val="clear"/>
                                    </w:rPr>
                                    <w:t xml:space="preserve">Swiss Market </w:t>
                                  </w:r>
                                  <w:r>
                                    <w:rPr>
                                      <w:rFonts w:ascii="Georgia;Times;Serif" w:hAnsi="Georgia;Times;Serif"/>
                                      <w:b w:val="false"/>
                                      <w:i w:val="false"/>
                                      <w:caps w:val="false"/>
                                      <w:smallCaps w:val="false"/>
                                      <w:sz w:val="16"/>
                                      <w:shd w:fill="FFFFFF" w:val="clear"/>
                                    </w:rPr>
                                    <w:t>Index; (C) 25% of the basket component return of the FTSE</w:t>
                                  </w:r>
                                  <w:r>
                                    <w:rPr>
                                      <w:rFonts w:ascii="Times New Roman;Times;Serif" w:hAnsi="Times New Roman;Times;Serif"/>
                                      <w:b w:val="false"/>
                                      <w:i w:val="false"/>
                                      <w:caps w:val="false"/>
                                      <w:smallCaps w:val="false"/>
                                      <w:position w:val="5"/>
                                      <w:sz w:val="13"/>
                                      <w:sz w:val="16"/>
                                      <w:shd w:fill="FFFFFF" w:val="clear"/>
                                    </w:rPr>
                                    <w:t>®</w:t>
                                  </w:r>
                                  <w:r>
                                    <w:rPr>
                                      <w:rFonts w:ascii="Times New Roman;Times;Serif" w:hAnsi="Times New Roman;Times;Serif"/>
                                      <w:b w:val="false"/>
                                      <w:i w:val="false"/>
                                      <w:caps w:val="false"/>
                                      <w:smallCaps w:val="false"/>
                                      <w:sz w:val="16"/>
                                      <w:shd w:fill="FFFFFF" w:val="clear"/>
                                    </w:rPr>
                                    <w:t xml:space="preserve"> </w:t>
                                  </w:r>
                                  <w:r>
                                    <w:rPr>
                                      <w:rFonts w:ascii="Georgia;Times;Serif" w:hAnsi="Georgia;Times;Serif"/>
                                      <w:b w:val="false"/>
                                      <w:i w:val="false"/>
                                      <w:caps w:val="false"/>
                                      <w:smallCaps w:val="false"/>
                                      <w:sz w:val="16"/>
                                      <w:shd w:fill="FFFFFF" w:val="clear"/>
                                    </w:rPr>
                                    <w:t xml:space="preserve">100 Index; and (D) 25% of the basket component return of the </w:t>
                                  </w:r>
                                  <w:r>
                                    <w:rPr>
                                      <w:rFonts w:ascii="Times New Roman;Times;Serif" w:hAnsi="Times New Roman;Times;Serif"/>
                                      <w:b w:val="false"/>
                                      <w:i w:val="false"/>
                                      <w:caps w:val="false"/>
                                      <w:smallCaps w:val="false"/>
                                      <w:sz w:val="16"/>
                                      <w:shd w:fill="FFFFFF" w:val="clear"/>
                                    </w:rPr>
                                    <w:t>TOPIX</w:t>
                                  </w:r>
                                  <w:r>
                                    <w:rPr>
                                      <w:rFonts w:ascii="Times New Roman;Times;Serif" w:hAnsi="Times New Roman;Times;Serif"/>
                                      <w:b w:val="false"/>
                                      <w:i w:val="false"/>
                                      <w:caps w:val="false"/>
                                      <w:smallCaps w:val="false"/>
                                      <w:position w:val="5"/>
                                      <w:sz w:val="13"/>
                                      <w:sz w:val="16"/>
                                      <w:shd w:fill="FFFFFF" w:val="clear"/>
                                    </w:rPr>
                                    <w:t>®</w:t>
                                  </w:r>
                                  <w:r>
                                    <w:rPr>
                                      <w:rFonts w:ascii="Times New Roman;Times;Serif" w:hAnsi="Times New Roman;Times;Serif"/>
                                      <w:b w:val="false"/>
                                      <w:i w:val="false"/>
                                      <w:caps w:val="false"/>
                                      <w:smallCaps w:val="false"/>
                                      <w:sz w:val="16"/>
                                      <w:shd w:fill="FFFFFF" w:val="clear"/>
                                    </w:rPr>
                                    <w:t xml:space="preserve"> Index</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75.00, which is equal to 75% of the starting level</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181.90% (the actual upside participation rate will be provided in the pricing supplement)</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Return:</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 – starting level) / starting level</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Component Return:</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(final basket component level – initial basket component level) / initial basket component level </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Initial Basket Component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basket component, its closing level on the pricing date</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Basket Component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basket component, its closing level on the calculation day</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46661M6Q2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9"/>
                        <w:gridCol w:w="8616"/>
                      </w:tblGrid>
                      <w:tr>
                        <w:trPr/>
                        <w:tc>
                          <w:tcPr>
                            <w:tcW w:w="15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 Basket Components:</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An equally weighted basket (the “</w:t>
                            </w:r>
                            <w:r>
                              <w:rPr>
                                <w:rFonts w:ascii="Georgia;Times;Serif" w:hAnsi="Georgia;Times;Serif"/>
                                <w:b w:val="false"/>
                                <w:i w:val="false"/>
                                <w:caps w:val="false"/>
                                <w:smallCaps w:val="false"/>
                                <w:sz w:val="16"/>
                                <w:u w:val="single"/>
                              </w:rPr>
                              <w:t>basket</w:t>
                            </w:r>
                            <w:r>
                              <w:rPr>
                                <w:rFonts w:ascii="Georgia;Times;Serif" w:hAnsi="Georgia;Times;Serif"/>
                                <w:b w:val="false"/>
                                <w:i w:val="false"/>
                                <w:caps w:val="false"/>
                                <w:smallCaps w:val="false"/>
                                <w:sz w:val="16"/>
                              </w:rPr>
                              <w:t>”) composed of the following basket components, with the weighting percentages noted parenthetically: the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SX5E)(25%), the Swiss Market Index (Bloomberg ticker: SMI) (25%), the FTSE</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100 Index (Bloomberg ticker: UKX)(25%) and the TOPIX</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TPX) (25%) (each referred to as a “</w:t>
                            </w:r>
                            <w:r>
                              <w:rPr>
                                <w:rFonts w:ascii="Georgia;Times;Serif" w:hAnsi="Georgia;Times;Serif"/>
                                <w:b w:val="false"/>
                                <w:i w:val="false"/>
                                <w:caps w:val="false"/>
                                <w:smallCaps w:val="false"/>
                                <w:sz w:val="16"/>
                                <w:u w:val="single"/>
                              </w:rPr>
                              <w:t>basket component</w:t>
                            </w:r>
                            <w:r>
                              <w:rPr>
                                <w:rFonts w:ascii="Georgia;Times;Serif" w:hAnsi="Georgia;Times;Serif"/>
                                <w:b w:val="false"/>
                                <w:i w:val="false"/>
                                <w:caps w:val="false"/>
                                <w:smallCaps w:val="false"/>
                                <w:sz w:val="16"/>
                              </w:rPr>
                              <w:t>” and collectively as the “</w:t>
                            </w:r>
                            <w:r>
                              <w:rPr>
                                <w:rFonts w:ascii="Georgia;Times;Serif" w:hAnsi="Georgia;Times;Serif"/>
                                <w:b w:val="false"/>
                                <w:i w:val="false"/>
                                <w:caps w:val="false"/>
                                <w:smallCaps w:val="false"/>
                                <w:sz w:val="16"/>
                                <w:u w:val="single"/>
                              </w:rPr>
                              <w:t>basket components</w:t>
                            </w:r>
                            <w:r>
                              <w:rPr>
                                <w:rFonts w:ascii="Georgia;Times;Serif" w:hAnsi="Georgia;Times;Serif"/>
                                <w:b w:val="false"/>
                                <w:i w:val="false"/>
                                <w:caps w:val="false"/>
                                <w:smallCaps w:val="false"/>
                                <w:sz w:val="16"/>
                              </w:rPr>
                              <w:t>”)</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2031</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8, 2031</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6"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level is greater than the starting level:</w:t>
                            </w:r>
                          </w:p>
                          <w:p>
                            <w:pPr>
                              <w:pStyle w:val="TableContents"/>
                              <w:bidi w:val="0"/>
                              <w:ind w:left="61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basket return × upside participation rate);</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level is less than or equal to the starting level, but greater than or equal to the threshold level: $1,000;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level is less than the threshold level: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basket return)</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100.00</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Georgia;Times;Serif" w:hAnsi="Georgia;Times;Serif"/>
                                <w:b w:val="false"/>
                                <w:i w:val="false"/>
                                <w:caps w:val="false"/>
                                <w:smallCaps w:val="false"/>
                                <w:sz w:val="16"/>
                                <w:shd w:fill="FFFFFF" w:val="clear"/>
                              </w:rPr>
                              <w:t xml:space="preserve">The weighted returns of the basket components, equal to the product of (i) 100 and (ii) an amount equal to 1 </w:t>
                            </w:r>
                            <w:r>
                              <w:rPr>
                                <w:rFonts w:ascii="Georgia;Times;Serif" w:hAnsi="Georgia;Times;Serif"/>
                                <w:b w:val="false"/>
                                <w:i/>
                                <w:caps w:val="false"/>
                                <w:smallCaps w:val="false"/>
                                <w:sz w:val="16"/>
                                <w:shd w:fill="FFFFFF" w:val="clear"/>
                              </w:rPr>
                              <w:t>plus</w:t>
                            </w:r>
                            <w:r>
                              <w:rPr>
                                <w:rFonts w:ascii="Georgia;Times;Serif" w:hAnsi="Georgia;Times;Serif"/>
                                <w:b w:val="false"/>
                                <w:i w:val="false"/>
                                <w:caps w:val="false"/>
                                <w:smallCaps w:val="false"/>
                                <w:sz w:val="16"/>
                                <w:shd w:fill="FFFFFF" w:val="clear"/>
                              </w:rPr>
                              <w:t xml:space="preserve"> the sum of (A) 25% of the basket component return of the EURO STOXX 50</w:t>
                            </w:r>
                            <w:r>
                              <w:rPr>
                                <w:rFonts w:ascii="Georgia;Times;Serif" w:hAnsi="Georgia;Times;Serif"/>
                                <w:b w:val="false"/>
                                <w:i w:val="false"/>
                                <w:caps w:val="false"/>
                                <w:smallCaps w:val="false"/>
                                <w:position w:val="5"/>
                                <w:sz w:val="13"/>
                                <w:sz w:val="16"/>
                                <w:shd w:fill="FFFFFF" w:val="clear"/>
                              </w:rPr>
                              <w:t>®</w:t>
                            </w:r>
                            <w:r>
                              <w:rPr>
                                <w:rFonts w:ascii="Georgia;Times;Serif" w:hAnsi="Georgia;Times;Serif"/>
                                <w:b w:val="false"/>
                                <w:i w:val="false"/>
                                <w:caps w:val="false"/>
                                <w:smallCaps w:val="false"/>
                                <w:sz w:val="16"/>
                                <w:shd w:fill="FFFFFF" w:val="clear"/>
                              </w:rPr>
                              <w:t xml:space="preserve"> Index; (B) 25% of the basket component return of the </w:t>
                            </w:r>
                            <w:r>
                              <w:rPr>
                                <w:rFonts w:ascii="Times New Roman;Times;Serif" w:hAnsi="Times New Roman;Times;Serif"/>
                                <w:b w:val="false"/>
                                <w:i w:val="false"/>
                                <w:caps w:val="false"/>
                                <w:smallCaps w:val="false"/>
                                <w:sz w:val="16"/>
                                <w:shd w:fill="FFFFFF" w:val="clear"/>
                              </w:rPr>
                              <w:t xml:space="preserve">Swiss Market </w:t>
                            </w:r>
                            <w:r>
                              <w:rPr>
                                <w:rFonts w:ascii="Georgia;Times;Serif" w:hAnsi="Georgia;Times;Serif"/>
                                <w:b w:val="false"/>
                                <w:i w:val="false"/>
                                <w:caps w:val="false"/>
                                <w:smallCaps w:val="false"/>
                                <w:sz w:val="16"/>
                                <w:shd w:fill="FFFFFF" w:val="clear"/>
                              </w:rPr>
                              <w:t>Index; (C) 25% of the basket component return of the FTSE</w:t>
                            </w:r>
                            <w:r>
                              <w:rPr>
                                <w:rFonts w:ascii="Times New Roman;Times;Serif" w:hAnsi="Times New Roman;Times;Serif"/>
                                <w:b w:val="false"/>
                                <w:i w:val="false"/>
                                <w:caps w:val="false"/>
                                <w:smallCaps w:val="false"/>
                                <w:position w:val="5"/>
                                <w:sz w:val="13"/>
                                <w:sz w:val="16"/>
                                <w:shd w:fill="FFFFFF" w:val="clear"/>
                              </w:rPr>
                              <w:t>®</w:t>
                            </w:r>
                            <w:r>
                              <w:rPr>
                                <w:rFonts w:ascii="Times New Roman;Times;Serif" w:hAnsi="Times New Roman;Times;Serif"/>
                                <w:b w:val="false"/>
                                <w:i w:val="false"/>
                                <w:caps w:val="false"/>
                                <w:smallCaps w:val="false"/>
                                <w:sz w:val="16"/>
                                <w:shd w:fill="FFFFFF" w:val="clear"/>
                              </w:rPr>
                              <w:t xml:space="preserve"> </w:t>
                            </w:r>
                            <w:r>
                              <w:rPr>
                                <w:rFonts w:ascii="Georgia;Times;Serif" w:hAnsi="Georgia;Times;Serif"/>
                                <w:b w:val="false"/>
                                <w:i w:val="false"/>
                                <w:caps w:val="false"/>
                                <w:smallCaps w:val="false"/>
                                <w:sz w:val="16"/>
                                <w:shd w:fill="FFFFFF" w:val="clear"/>
                              </w:rPr>
                              <w:t xml:space="preserve">100 Index; and (D) 25% of the basket component return of the </w:t>
                            </w:r>
                            <w:r>
                              <w:rPr>
                                <w:rFonts w:ascii="Times New Roman;Times;Serif" w:hAnsi="Times New Roman;Times;Serif"/>
                                <w:b w:val="false"/>
                                <w:i w:val="false"/>
                                <w:caps w:val="false"/>
                                <w:smallCaps w:val="false"/>
                                <w:sz w:val="16"/>
                                <w:shd w:fill="FFFFFF" w:val="clear"/>
                              </w:rPr>
                              <w:t>TOPIX</w:t>
                            </w:r>
                            <w:r>
                              <w:rPr>
                                <w:rFonts w:ascii="Times New Roman;Times;Serif" w:hAnsi="Times New Roman;Times;Serif"/>
                                <w:b w:val="false"/>
                                <w:i w:val="false"/>
                                <w:caps w:val="false"/>
                                <w:smallCaps w:val="false"/>
                                <w:position w:val="5"/>
                                <w:sz w:val="13"/>
                                <w:sz w:val="16"/>
                                <w:shd w:fill="FFFFFF" w:val="clear"/>
                              </w:rPr>
                              <w:t>®</w:t>
                            </w:r>
                            <w:r>
                              <w:rPr>
                                <w:rFonts w:ascii="Times New Roman;Times;Serif" w:hAnsi="Times New Roman;Times;Serif"/>
                                <w:b w:val="false"/>
                                <w:i w:val="false"/>
                                <w:caps w:val="false"/>
                                <w:smallCaps w:val="false"/>
                                <w:sz w:val="16"/>
                                <w:shd w:fill="FFFFFF" w:val="clear"/>
                              </w:rPr>
                              <w:t xml:space="preserve"> Index</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75.00, which is equal to 75% of the starting level</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181.90% (the actual upside participation rate will be provided in the pricing supplement)</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Return:</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 – starting level) / starting level</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Basket Component Return:</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(final basket component level – initial basket component level) / initial basket component level </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Initial Basket Component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basket component, its closing level on the pricing date</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Basket Component Level</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basket component, its closing level on the calculation day</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46661M6Q2</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w:t>
                            </w:r>
                          </w:p>
                          <w:tbl>
                            <w:tblPr>
                              <w:tblW w:w="10205" w:type="dxa"/>
                              <w:jc w:val="left"/>
                              <w:tblInd w:w="-10" w:type="dxa"/>
                              <w:tblLayout w:type="fixed"/>
                              <w:tblCellMar>
                                <w:top w:w="28" w:type="dxa"/>
                                <w:left w:w="108" w:type="dxa"/>
                                <w:bottom w:w="28" w:type="dxa"/>
                                <w:right w:w="108" w:type="dxa"/>
                              </w:tblCellMar>
                            </w:tblPr>
                            <w:tblGrid>
                              <w:gridCol w:w="1281"/>
                              <w:gridCol w:w="8924"/>
                            </w:tblGrid>
                            <w:tr>
                              <w:trPr/>
                              <w:tc>
                                <w:tcPr>
                                  <w:tcW w:w="1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3.87%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3.00% of WFS’s fee, and WFA may also receive a distribution expense fee of 0.12%.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2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c>
                                <w:tcPr>
                                  <w:tcW w:w="89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left"/>
                              <w:rPr>
                                <w:caps w:val="false"/>
                                <w:smallCaps w:val="false"/>
                              </w:rPr>
                            </w:pPr>
                            <w:r>
                              <w:rPr>
                                <w:caps w:val="false"/>
                                <w:smallCaps w:val="false"/>
                              </w:rPr>
                              <w:drawing>
                                <wp:inline distT="0" distB="0" distL="0" distR="0">
                                  <wp:extent cx="3486150" cy="21336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486150" cy="2133600"/>
                                          </a:xfrm>
                                          <a:prstGeom prst="rect">
                                            <a:avLst/>
                                          </a:prstGeom>
                                        </pic:spPr>
                                      </pic:pic>
                                    </a:graphicData>
                                  </a:graphic>
                                </wp:inline>
                              </w:drawing>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level of the basket is less than the threshold level, you will have full downside exposure to the decrease in the level of the basket from the starting level and will lose more than 25%, and possibly all, of the principal amount of your securities at maturity.</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$942.30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283"/>
                              <w:jc w:val="left"/>
                              <w:rPr/>
                            </w:pPr>
                            <w:hyperlink r:id="rId4">
                              <w:r>
                                <w:rPr>
                                  <w:rStyle w:val="InternetLink"/>
                                  <w:rFonts w:ascii="Georgia;Times;Serif" w:hAnsi="Georgia;Times;Serif"/>
                                  <w:b w:val="false"/>
                                  <w:i w:val="false"/>
                                  <w:caps w:val="false"/>
                                  <w:smallCaps w:val="false"/>
                                  <w:sz w:val="16"/>
                                </w:rPr>
                                <w:t>http://www.sec.gov/Archives/edgar/data/19617/000121390026095671/</w:t>
                                <w:br/>
                                <w:t>ea0304050-01_424b2.htm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w:t>
                      </w:r>
                    </w:p>
                    <w:tbl>
                      <w:tblPr>
                        <w:tblW w:w="10205" w:type="dxa"/>
                        <w:jc w:val="left"/>
                        <w:tblInd w:w="-10" w:type="dxa"/>
                        <w:tblLayout w:type="fixed"/>
                        <w:tblCellMar>
                          <w:top w:w="28" w:type="dxa"/>
                          <w:left w:w="108" w:type="dxa"/>
                          <w:bottom w:w="28" w:type="dxa"/>
                          <w:right w:w="108" w:type="dxa"/>
                        </w:tblCellMar>
                      </w:tblPr>
                      <w:tblGrid>
                        <w:gridCol w:w="1281"/>
                        <w:gridCol w:w="8924"/>
                      </w:tblGrid>
                      <w:tr>
                        <w:trPr/>
                        <w:tc>
                          <w:tcPr>
                            <w:tcW w:w="1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3.87%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3.00% of WFS’s fee, and WFA may also receive a distribution expense fee of 0.12%.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2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c>
                          <w:tcPr>
                            <w:tcW w:w="89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left"/>
                        <w:rPr>
                          <w:caps w:val="false"/>
                          <w:smallCaps w:val="false"/>
                        </w:rPr>
                      </w:pPr>
                      <w:r>
                        <w:rPr>
                          <w:caps w:val="false"/>
                          <w:smallCaps w:val="false"/>
                        </w:rPr>
                        <w:drawing>
                          <wp:inline distT="0" distB="0" distL="0" distR="0">
                            <wp:extent cx="3486150" cy="21336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486150" cy="2133600"/>
                                    </a:xfrm>
                                    <a:prstGeom prst="rect">
                                      <a:avLst/>
                                    </a:prstGeom>
                                  </pic:spPr>
                                </pic:pic>
                              </a:graphicData>
                            </a:graphic>
                          </wp:inline>
                        </w:drawing>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level of the basket is less than the threshold level, you will have full downside exposure to the decrease in the level of the basket from the starting level and will lose more than 25%, and possibly all, of the principal amount of your securities at maturity.</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$942.30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283"/>
                        <w:jc w:val="left"/>
                        <w:rPr/>
                      </w:pPr>
                      <w:hyperlink r:id="rId6">
                        <w:r>
                          <w:rPr>
                            <w:rStyle w:val="InternetLink"/>
                            <w:rFonts w:ascii="Georgia;Times;Serif" w:hAnsi="Georgia;Times;Serif"/>
                            <w:b w:val="false"/>
                            <w:i w:val="false"/>
                            <w:caps w:val="false"/>
                            <w:smallCaps w:val="false"/>
                            <w:sz w:val="16"/>
                          </w:rPr>
                          <w:t>http://www.sec.gov/Archives/edgar/data/19617/000121390026095671/</w:t>
                          <w:br/>
                          <w:t>ea0304050-01_424b2.htm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158"/>
        <w:gridCol w:w="6047"/>
      </w:tblGrid>
      <w:tr>
        <w:trPr/>
        <w:tc>
          <w:tcPr>
            <w:tcW w:w="4158"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Level of the Basket Is Less Than the Threshold Level, You Will Lose More Than 25%,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Changes in the Levels of the Basket Components May Offset Each Other.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Correlation of Performances Among the Basket Components May Reduce the Performance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0"/>
              <w:jc w:val="left"/>
              <w:rPr>
                <w:caps w:val="false"/>
                <w:smallCaps w:val="false"/>
              </w:rPr>
            </w:pPr>
            <w:r>
              <w:rPr>
                <w:caps w:val="false"/>
                <w:smallCaps w:val="false"/>
              </w:rPr>
              <w:t> </w:t>
            </w:r>
          </w:p>
        </w:tc>
        <w:tc>
          <w:tcPr>
            <w:tcW w:w="6047"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Non-U.S. Securities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Direct Exposure to Fluctuations in Foreign Exchange Rates.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The Maturity Payment Amount Will Depend upon the Performance of the </w:t>
            </w:r>
            <w:r>
              <w:rPr>
                <w:rFonts w:ascii="Georgia;Times;Serif" w:hAnsi="Georgia;Times;Serif"/>
                <w:b/>
                <w:i w:val="false"/>
                <w:caps w:val="false"/>
                <w:smallCaps w:val="false"/>
                <w:sz w:val="18"/>
                <w:shd w:fill="FFFFFF" w:val="clear"/>
              </w:rPr>
              <w:t>Basket and Therefore the Securities Are Subject to the Risks Associated with Each Basket Component,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5671/ea0304050-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5671/ea0304050-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1422</Words>
  <Characters>7726</Characters>
  <CharactersWithSpaces>9172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