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Washington, D.C. 20549</w:t>
      </w:r>
    </w:p>
    <w:p>
      <w:pPr>
        <w:spacing w:after="0" w:line="81"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8-K</w:t>
      </w:r>
    </w:p>
    <w:p>
      <w:pPr>
        <w:spacing w:after="0" w:line="360"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Section 13 or 15(d)</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0" w:lineRule="exact"/>
        <w:rPr>
          <w:sz w:val="24"/>
          <w:szCs w:val="24"/>
          <w:color w:val="auto"/>
        </w:rPr>
      </w:pPr>
    </w:p>
    <w:p>
      <w:pPr>
        <w:spacing w:after="0" w:line="22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Date of Report (date of earliest event reported): December 5, 2014</w:t>
      </w:r>
    </w:p>
    <w:p>
      <w:pPr>
        <w:spacing w:after="0" w:line="358"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JPMorgan Chase &amp; Co.</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9"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3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ind w:right="1370"/>
              <w:spacing w:after="0"/>
              <w:rPr>
                <w:sz w:val="20"/>
                <w:szCs w:val="20"/>
                <w:color w:val="auto"/>
              </w:rPr>
            </w:pPr>
            <w:r>
              <w:rPr>
                <w:rFonts w:ascii="Arial" w:cs="Arial" w:eastAsia="Arial" w:hAnsi="Arial"/>
                <w:sz w:val="18"/>
                <w:szCs w:val="18"/>
                <w:b w:val="1"/>
                <w:bCs w:val="1"/>
                <w:color w:val="auto"/>
              </w:rPr>
              <w:t>1-5805</w:t>
            </w:r>
          </w:p>
        </w:tc>
        <w:tc>
          <w:tcPr>
            <w:tcW w:w="2040" w:type="dxa"/>
            <w:vAlign w:val="bottom"/>
          </w:tcPr>
          <w:p>
            <w:pPr>
              <w:jc w:val="right"/>
              <w:ind w:right="150"/>
              <w:spacing w:after="0"/>
              <w:rPr>
                <w:sz w:val="20"/>
                <w:szCs w:val="20"/>
                <w:color w:val="auto"/>
              </w:rPr>
            </w:pPr>
            <w:r>
              <w:rPr>
                <w:rFonts w:ascii="Arial" w:cs="Arial" w:eastAsia="Arial" w:hAnsi="Arial"/>
                <w:sz w:val="18"/>
                <w:szCs w:val="18"/>
                <w:b w:val="1"/>
                <w:bCs w:val="1"/>
                <w:color w:val="auto"/>
              </w:rPr>
              <w:t>13-2624428</w:t>
            </w:r>
          </w:p>
        </w:tc>
      </w:tr>
      <w:tr>
        <w:trPr>
          <w:trHeight w:val="252"/>
        </w:trPr>
        <w:tc>
          <w:tcPr>
            <w:tcW w:w="3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302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(Commission File Number)</w:t>
            </w:r>
          </w:p>
        </w:tc>
        <w:tc>
          <w:tcPr>
            <w:tcW w:w="2040" w:type="dxa"/>
            <w:vAlign w:val="bottom"/>
          </w:tcPr>
          <w:p>
            <w:pPr>
              <w:jc w:val="center"/>
              <w:ind w:left="610"/>
              <w:spacing w:after="0"/>
              <w:rPr>
                <w:sz w:val="20"/>
                <w:szCs w:val="20"/>
                <w:color w:val="auto"/>
              </w:rPr>
            </w:pPr>
            <w:r>
              <w:rPr>
                <w:rFonts w:ascii="Arial" w:cs="Arial" w:eastAsia="Arial" w:hAnsi="Arial"/>
                <w:sz w:val="18"/>
                <w:szCs w:val="18"/>
                <w:b w:val="1"/>
                <w:bCs w:val="1"/>
                <w:color w:val="auto"/>
                <w:w w:val="92"/>
              </w:rPr>
              <w:t>(I.R.S. employer</w:t>
            </w:r>
          </w:p>
        </w:tc>
      </w:tr>
      <w:tr>
        <w:trPr>
          <w:trHeight w:val="234"/>
        </w:trPr>
        <w:tc>
          <w:tcPr>
            <w:tcW w:w="32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incorporation or organization)</w:t>
            </w:r>
          </w:p>
        </w:tc>
        <w:tc>
          <w:tcPr>
            <w:tcW w:w="3020" w:type="dxa"/>
            <w:vAlign w:val="bottom"/>
          </w:tcPr>
          <w:p>
            <w:pPr>
              <w:spacing w:after="0"/>
              <w:rPr>
                <w:sz w:val="20"/>
                <w:szCs w:val="20"/>
                <w:color w:val="auto"/>
              </w:rPr>
            </w:pPr>
          </w:p>
        </w:tc>
        <w:tc>
          <w:tcPr>
            <w:tcW w:w="2040" w:type="dxa"/>
            <w:vAlign w:val="bottom"/>
          </w:tcPr>
          <w:p>
            <w:pPr>
              <w:jc w:val="center"/>
              <w:ind w:left="590"/>
              <w:spacing w:after="0"/>
              <w:rPr>
                <w:sz w:val="20"/>
                <w:szCs w:val="20"/>
                <w:color w:val="auto"/>
              </w:rPr>
            </w:pPr>
            <w:r>
              <w:rPr>
                <w:rFonts w:ascii="Arial" w:cs="Arial" w:eastAsia="Arial" w:hAnsi="Arial"/>
                <w:sz w:val="18"/>
                <w:szCs w:val="18"/>
                <w:b w:val="1"/>
                <w:bCs w:val="1"/>
                <w:color w:val="auto"/>
                <w:w w:val="90"/>
              </w:rPr>
              <w:t>identification no.)</w:t>
            </w:r>
          </w:p>
        </w:tc>
      </w:tr>
      <w:tr>
        <w:trPr>
          <w:trHeight w:val="522"/>
        </w:trPr>
        <w:tc>
          <w:tcPr>
            <w:tcW w:w="3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270 Park Avenue, New York, New</w:t>
            </w:r>
          </w:p>
        </w:tc>
        <w:tc>
          <w:tcPr>
            <w:tcW w:w="30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326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York</w:t>
            </w:r>
          </w:p>
        </w:tc>
        <w:tc>
          <w:tcPr>
            <w:tcW w:w="3020" w:type="dxa"/>
            <w:vAlign w:val="bottom"/>
          </w:tcPr>
          <w:p>
            <w:pPr>
              <w:spacing w:after="0"/>
              <w:rPr>
                <w:sz w:val="20"/>
                <w:szCs w:val="20"/>
                <w:color w:val="auto"/>
              </w:rPr>
            </w:pPr>
          </w:p>
        </w:tc>
        <w:tc>
          <w:tcPr>
            <w:tcW w:w="2040" w:type="dxa"/>
            <w:vAlign w:val="bottom"/>
          </w:tcPr>
          <w:p>
            <w:pPr>
              <w:jc w:val="right"/>
              <w:ind w:right="350"/>
              <w:spacing w:after="0"/>
              <w:rPr>
                <w:sz w:val="20"/>
                <w:szCs w:val="20"/>
                <w:color w:val="auto"/>
              </w:rPr>
            </w:pPr>
            <w:r>
              <w:rPr>
                <w:rFonts w:ascii="Arial" w:cs="Arial" w:eastAsia="Arial" w:hAnsi="Arial"/>
                <w:sz w:val="18"/>
                <w:szCs w:val="18"/>
                <w:b w:val="1"/>
                <w:bCs w:val="1"/>
                <w:color w:val="auto"/>
              </w:rPr>
              <w:t>10017</w:t>
            </w:r>
          </w:p>
        </w:tc>
      </w:tr>
      <w:tr>
        <w:trPr>
          <w:trHeight w:val="270"/>
        </w:trPr>
        <w:tc>
          <w:tcPr>
            <w:tcW w:w="326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020" w:type="dxa"/>
            <w:vAlign w:val="bottom"/>
          </w:tcPr>
          <w:p>
            <w:pPr>
              <w:spacing w:after="0"/>
              <w:rPr>
                <w:sz w:val="23"/>
                <w:szCs w:val="23"/>
                <w:color w:val="auto"/>
              </w:rPr>
            </w:pPr>
          </w:p>
        </w:tc>
        <w:tc>
          <w:tcPr>
            <w:tcW w:w="2040" w:type="dxa"/>
            <w:vAlign w:val="bottom"/>
          </w:tcPr>
          <w:p>
            <w:pPr>
              <w:jc w:val="center"/>
              <w:ind w:left="590"/>
              <w:spacing w:after="0"/>
              <w:rPr>
                <w:sz w:val="20"/>
                <w:szCs w:val="20"/>
                <w:color w:val="auto"/>
              </w:rPr>
            </w:pPr>
            <w:r>
              <w:rPr>
                <w:rFonts w:ascii="Arial" w:cs="Arial" w:eastAsia="Arial" w:hAnsi="Arial"/>
                <w:sz w:val="18"/>
                <w:szCs w:val="18"/>
                <w:b w:val="1"/>
                <w:bCs w:val="1"/>
                <w:color w:val="auto"/>
                <w:w w:val="94"/>
              </w:rPr>
              <w:t>(Zip Code)</w:t>
            </w:r>
          </w:p>
        </w:tc>
      </w:tr>
    </w:tbl>
    <w:p>
      <w:pPr>
        <w:spacing w:after="0" w:line="200" w:lineRule="exact"/>
        <w:rPr>
          <w:sz w:val="24"/>
          <w:szCs w:val="24"/>
          <w:color w:val="auto"/>
        </w:rPr>
      </w:pPr>
    </w:p>
    <w:p>
      <w:pPr>
        <w:spacing w:after="0" w:line="24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Registrant’s telephone number, including area code: (212) 270-6000</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324"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Written communications pursuant to Rule 425 under the Securities Act (17 CFR 230.425)</w:t>
      </w:r>
    </w:p>
    <w:p>
      <w:pPr>
        <w:spacing w:after="0" w:line="198"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Pre-commencement communications pursuant to Rule 13e-4(c) under the Exchange Act (17 CFR 240.13e-4(c))</w:t>
      </w:r>
    </w:p>
    <w:p>
      <w:pPr>
        <w:sectPr>
          <w:pgSz w:w="11900" w:h="16838" w:orient="portrait"/>
          <w:cols w:equalWidth="0" w:num="1">
            <w:col w:w="11200"/>
          </w:cols>
          <w:pgMar w:left="240" w:top="1373"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5, 2014, Jamie Dimon, Chairman and Chief Executive Officer of JPMorgan Chase &amp; Co., distributed a note to colleagues updating them on his health. A copy of his note is attached as Exhibit 99.1.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6820" w:type="dxa"/>
            <w:vAlign w:val="bottom"/>
            <w:gridSpan w:val="3"/>
          </w:tcPr>
          <w:p>
            <w:pPr>
              <w:ind w:left="440"/>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6820" w:type="dxa"/>
            <w:vAlign w:val="bottom"/>
            <w:gridSpan w:val="3"/>
          </w:tcPr>
          <w:p>
            <w:pPr>
              <w:ind w:left="440"/>
              <w:spacing w:after="0"/>
              <w:rPr>
                <w:sz w:val="20"/>
                <w:szCs w:val="20"/>
                <w:color w:val="auto"/>
              </w:rPr>
            </w:pPr>
            <w:r>
              <w:rPr>
                <w:rFonts w:ascii="Arial" w:cs="Arial" w:eastAsia="Arial" w:hAnsi="Arial"/>
                <w:sz w:val="18"/>
                <w:szCs w:val="18"/>
                <w:color w:val="auto"/>
                <w:w w:val="91"/>
              </w:rPr>
              <w:t>Note of Jamie Dimon, Chairman and Chief Executive Officer of JPMorgan Chase &amp; Co.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53" w:right="2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22"/>
          <w:szCs w:val="22"/>
          <w:u w:val="single" w:color="auto"/>
          <w:color w:val="auto"/>
        </w:rPr>
        <w:t>SIGNATURE</w:t>
      </w:r>
    </w:p>
    <w:p>
      <w:pPr>
        <w:spacing w:after="0" w:line="200" w:lineRule="exact"/>
        <w:rPr>
          <w:sz w:val="20"/>
          <w:szCs w:val="20"/>
          <w:color w:val="auto"/>
        </w:rPr>
      </w:pP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31750</wp:posOffset>
            </wp:positionV>
            <wp:extent cx="31902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80"/>
        <w:spacing w:after="0"/>
        <w:tabs>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Horan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31730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7" w:lineRule="exact"/>
        <w:rPr>
          <w:sz w:val="20"/>
          <w:szCs w:val="20"/>
          <w:color w:val="auto"/>
        </w:rPr>
      </w:pPr>
    </w:p>
    <w:p>
      <w:pPr>
        <w:jc w:val="center"/>
        <w:ind w:left="6440"/>
        <w:spacing w:after="0"/>
        <w:rPr>
          <w:sz w:val="20"/>
          <w:szCs w:val="20"/>
          <w:color w:val="auto"/>
        </w:rPr>
      </w:pPr>
      <w:r>
        <w:rPr>
          <w:rFonts w:ascii="Arial" w:cs="Arial" w:eastAsia="Arial" w:hAnsi="Arial"/>
          <w:sz w:val="18"/>
          <w:szCs w:val="18"/>
          <w:color w:val="auto"/>
        </w:rPr>
        <w:t>Anthony J. Horan</w:t>
      </w:r>
    </w:p>
    <w:p>
      <w:pPr>
        <w:spacing w:after="0" w:line="63" w:lineRule="exact"/>
        <w:rPr>
          <w:sz w:val="20"/>
          <w:szCs w:val="20"/>
          <w:color w:val="auto"/>
        </w:rPr>
      </w:pPr>
    </w:p>
    <w:p>
      <w:pPr>
        <w:jc w:val="center"/>
        <w:ind w:left="644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December 5,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550" w:right="379" w:bottom="1440" w:gutter="0" w:footer="0" w:header="0"/>
        </w:sectPr>
      </w:pPr>
    </w:p>
    <w:bookmarkStart w:id="3" w:name="page4"/>
    <w:bookmarkEnd w:id="3"/>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INDEX TO EXHIBITS</w:t>
            </w:r>
          </w:p>
        </w:tc>
        <w:tc>
          <w:tcPr>
            <w:tcW w:w="1740" w:type="dxa"/>
            <w:vAlign w:val="bottom"/>
          </w:tcPr>
          <w:p>
            <w:pPr>
              <w:spacing w:after="0"/>
              <w:rPr>
                <w:sz w:val="21"/>
                <w:szCs w:val="21"/>
                <w:color w:val="auto"/>
              </w:rPr>
            </w:pPr>
          </w:p>
        </w:tc>
      </w:tr>
      <w:tr>
        <w:trPr>
          <w:trHeight w:val="858"/>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6380" w:type="dxa"/>
            <w:vAlign w:val="bottom"/>
            <w:gridSpan w:val="4"/>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840" w:type="dxa"/>
            <w:vAlign w:val="bottom"/>
          </w:tcPr>
          <w:p>
            <w:pPr>
              <w:spacing w:after="0"/>
              <w:rPr>
                <w:sz w:val="24"/>
                <w:szCs w:val="24"/>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w w:val="91"/>
              </w:rPr>
              <w:t>Note of Jamie Dimon, Chairman and Chief Executive Officer of JPMorgan Chase &amp; Co.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39"/>
          </w:cols>
          <w:pgMar w:left="620" w:top="144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Dear Colleagues-</w:t>
      </w:r>
    </w:p>
    <w:p>
      <w:pPr>
        <w:spacing w:after="0" w:line="18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This past summer, I let you know that I had been diagnosed with throat cancer. Having concluded my full treatment regimen a few months ago, I wanted to give you an update on my health. This week I had the thorough round of tests and scans that are normally done three months following treatment, including a CAT scan and a PET scan. The good news is that the results came back completely clear, showing no evidence of cancer in my body. While the monitoring will continue for several years, the results are extremely positive and my prognosis remains excellent.</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always, and especially since my diagnosis, I followed the advice I give to others-take care of your health first-nothing is more important. Throughout this journey, I was blessed with the love and support of my family, friends and colleagues, and I received an outpouring of heartfelt warm wishes and messages from thousands of others, which meant so much to 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I’m very proud to be part of this company and it’s an inspiration to work with such an exceptional group of people.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deep gratitude and respect,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Jamie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2019-12-05T04:14:45Z</dcterms:created>
  <dcterms:modified xsi:type="dcterms:W3CDTF">2019-12-05T04:14:45Z</dcterms:modified>
</cp:coreProperties>
</file>