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5750-01_fwp.htm"/>
      <w:bookmarkStart w:id="1" w:name="ksea030575001_fwp"/>
      <w:bookmarkStart w:id="2" w:name="ea0305750-01_fwp.htm"/>
      <w:bookmarkStart w:id="3" w:name="ksea030575001_fwp"/>
      <w:bookmarkEnd w:id="2"/>
      <w:bookmarkEnd w:id="3"/>
    </w:p>
    <w:tbl>
      <w:tblPr>
        <w:tblW w:w="10205" w:type="dxa"/>
        <w:jc w:val="left"/>
        <w:tblInd w:w="0" w:type="dxa"/>
        <w:tblLayout w:type="fixed"/>
        <w:tblCellMar>
          <w:top w:w="0" w:type="dxa"/>
          <w:left w:w="0" w:type="dxa"/>
          <w:bottom w:w="0" w:type="dxa"/>
          <w:right w:w="0" w:type="dxa"/>
        </w:tblCellMar>
      </w:tblPr>
      <w:tblGrid>
        <w:gridCol w:w="6924"/>
        <w:gridCol w:w="3281"/>
      </w:tblGrid>
      <w:tr>
        <w:trPr/>
        <w:tc>
          <w:tcPr>
            <w:tcW w:w="6924" w:type="dxa"/>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281" w:type="dxa"/>
            <w:tcBorders/>
            <w:vAlign w:val="center"/>
          </w:tcPr>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r>
          </w:p>
          <w:p>
            <w:pPr>
              <w:pStyle w:val="TableContents"/>
              <w:bidi w:val="0"/>
              <w:ind w:left="133" w:right="133"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333-293684-01</w:t>
            </w:r>
          </w:p>
          <w:p>
            <w:pPr>
              <w:pStyle w:val="TableContents"/>
              <w:bidi w:val="0"/>
              <w:ind w:left="133" w:right="133" w:hanging="0"/>
              <w:jc w:val="right"/>
              <w:rPr>
                <w:caps w:val="false"/>
                <w:smallCaps w:val="false"/>
              </w:rPr>
            </w:pPr>
            <w:r>
              <w:rPr>
                <w:caps w:val="false"/>
                <w:smallCaps w:val="false"/>
              </w:rPr>
              <w:t> </w:t>
            </w:r>
          </w:p>
          <w:p>
            <w:pPr>
              <w:pStyle w:val="TableContents"/>
              <w:bidi w:val="0"/>
              <w:spacing w:before="0" w:after="283"/>
              <w:ind w:left="133" w:right="133" w:hanging="0"/>
              <w:jc w:val="right"/>
              <w:rPr>
                <w:caps w:val="false"/>
                <w:smallCaps w:val="false"/>
              </w:rPr>
            </w:pPr>
            <w:r>
              <w:rPr>
                <w:caps w:val="false"/>
                <w:smallCaps w:val="false"/>
              </w:rPr>
              <w:drawing>
                <wp:inline distT="0" distB="0" distL="0" distR="0">
                  <wp:extent cx="14287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71475"/>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Class A Common Stock of Alphabet Inc. due September 21, 2028</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16, 2026 to Preliminary Pricing Supplement dated September 16, 2026</w:t>
            </w:r>
          </w:p>
        </w:tc>
      </w:tr>
    </w:tbl>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07605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07605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p>
                            <w:pPr>
                              <w:pStyle w:val="TextBody"/>
                              <w:bidi w:val="0"/>
                              <w:ind w:left="90" w:right="0" w:hanging="0"/>
                              <w:jc w:val="left"/>
                              <w:rPr>
                                <w:caps w:val="false"/>
                                <w:smallCaps w:val="false"/>
                                <w:color w:val="8F8F8F"/>
                              </w:rPr>
                            </w:pPr>
                            <w:r>
                              <w:rPr>
                                <w:caps w:val="false"/>
                                <w:smallCaps w:val="false"/>
                                <w:color w:val="8F8F8F"/>
                              </w:rPr>
                              <w:t> </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Class A common stock of Alphabet Inc. (Bloomberg ticker: GOOGL)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18,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23,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21, 2028</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10.20%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December  2026 to June 2028,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18</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March, June, September and December, commencing December 2026 and ending September 2028.  We refer to September 18, 2028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14.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p>
                      <w:pPr>
                        <w:pStyle w:val="TextBody"/>
                        <w:bidi w:val="0"/>
                        <w:ind w:left="90" w:right="0" w:hanging="0"/>
                        <w:jc w:val="left"/>
                        <w:rPr>
                          <w:caps w:val="false"/>
                          <w:smallCaps w:val="false"/>
                          <w:color w:val="8F8F8F"/>
                        </w:rPr>
                      </w:pPr>
                      <w:r>
                        <w:rPr>
                          <w:caps w:val="false"/>
                          <w:smallCaps w:val="false"/>
                          <w:color w:val="8F8F8F"/>
                        </w:rPr>
                        <w:t> </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Class A common stock of Alphabet Inc. (Bloomberg ticker: GOOGL)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18,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23,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September 21, 2028</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10.20%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December  2026 to June 2028,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18</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March, June, September and December, commencing December 2026 and ending September 2028.  We refer to September 18, 2028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138285"/>
                <wp:effectExtent l="0" t="0" r="0" b="0"/>
                <wp:wrapSquare wrapText="left"/>
                <wp:docPr id="3" name="Frame2"/>
                <a:graphic xmlns:a="http://schemas.openxmlformats.org/drawingml/2006/main">
                  <a:graphicData uri="http://schemas.microsoft.com/office/word/2010/wordprocessingShape">
                    <wps:wsp>
                      <wps:cNvSpPr txBox="1"/>
                      <wps:spPr>
                        <a:xfrm>
                          <a:off x="0" y="0"/>
                          <a:ext cx="3175000" cy="9138285"/>
                        </a:xfrm>
                        <a:prstGeom prst="rect"/>
                        <a:solidFill>
                          <a:srgbClr val="FFFFFF"/>
                        </a:solidFill>
                      </wps:spPr>
                      <wps:txb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70% of the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46661PVZ7</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2.075%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1.50%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1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right w:val="single" w:sz="8" w:space="0" w:color="000000"/>
                                  </w:tcBorders>
                                  <w:tcMar>
                                    <w:top w:w="0" w:type="dxa"/>
                                    <w:left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bl>
                          <w:tbl>
                            <w:tblPr>
                              <w:tblW w:w="1775" w:type="dxa"/>
                              <w:jc w:val="left"/>
                              <w:tblInd w:w="-10" w:type="dxa"/>
                              <w:tblLayout w:type="fixed"/>
                              <w:tblCellMar>
                                <w:top w:w="28" w:type="dxa"/>
                                <w:left w:w="108" w:type="dxa"/>
                                <w:bottom w:w="28" w:type="dxa"/>
                                <w:right w:w="108" w:type="dxa"/>
                              </w:tblCellMar>
                            </w:tblPr>
                            <w:tblGrid>
                              <w:gridCol w:w="1775"/>
                            </w:tblGrid>
                            <w:tr>
                              <w:trPr/>
                              <w:tc>
                                <w:tcPr>
                                  <w:tcW w:w="17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0"/>
                              <w:ind w:left="144" w:right="0" w:hanging="0"/>
                              <w:jc w:val="left"/>
                              <w:rPr>
                                <w:caps w:val="false"/>
                                <w:smallCaps w:val="false"/>
                              </w:rPr>
                            </w:pPr>
                            <w:r>
                              <w:rPr>
                                <w:caps w:val="false"/>
                                <w:smallCaps w:val="false"/>
                              </w:rPr>
                              <w:drawing>
                                <wp:inline distT="0" distB="0" distL="0" distR="0">
                                  <wp:extent cx="3333750" cy="22955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33750" cy="2295525"/>
                                          </a:xfrm>
                                          <a:prstGeom prst="rect">
                                            <a:avLst/>
                                          </a:prstGeom>
                                        </pic:spPr>
                                      </pic:pic>
                                    </a:graphicData>
                                  </a:graphic>
                                </wp:inline>
                              </w:drawing>
                            </w:r>
                          </w:p>
                          <w:p>
                            <w:pPr>
                              <w:pStyle w:val="TextBody"/>
                              <w:bidi w:val="0"/>
                              <w:spacing w:before="60" w:after="0"/>
                              <w:ind w:left="108"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30%, and possibly all, of the principal amount of your securities at maturity.</w:t>
                            </w:r>
                          </w:p>
                          <w:p>
                            <w:pPr>
                              <w:pStyle w:val="TextBody"/>
                              <w:bidi w:val="0"/>
                              <w:spacing w:before="0" w:after="0"/>
                              <w:ind w:left="108"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spacing w:before="0" w:after="0"/>
                              <w:ind w:left="108"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spacing w:before="0" w:after="0"/>
                              <w:ind w:left="108"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$964.30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0"/>
                              <w:ind w:left="108" w:right="0" w:hanging="0"/>
                              <w:jc w:val="left"/>
                              <w:rPr/>
                            </w:pPr>
                            <w:r>
                              <w:rPr>
                                <w:rFonts w:ascii="Georgia;Times;Serif" w:hAnsi="Georgia;Times;Serif"/>
                                <w:b w:val="false"/>
                                <w:i w:val="false"/>
                                <w:caps w:val="false"/>
                                <w:smallCaps w:val="false"/>
                                <w:sz w:val="14"/>
                              </w:rPr>
                              <w:t xml:space="preserve">Preliminary Pricing Supplement: </w:t>
                              <w:br/>
                            </w:r>
                            <w:hyperlink r:id="rId4">
                              <w:r>
                                <w:rPr>
                                  <w:rStyle w:val="InternetLink"/>
                                  <w:rFonts w:ascii="Georgia;Times;Serif" w:hAnsi="Georgia;Times;Serif"/>
                                  <w:b w:val="false"/>
                                  <w:i w:val="false"/>
                                  <w:caps w:val="false"/>
                                  <w:smallCaps w:val="false"/>
                                  <w:sz w:val="14"/>
                                </w:rPr>
                                <w:t>http://www.sec.gov/Archives/edgar/data/19617/000121390026100474/</w:t>
                                <w:br/>
                                <w:t>ea0305733-01_424b2.htm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19.5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70% of the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46661PVZ7</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2.075%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1.50%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18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right w:val="single" w:sz="8" w:space="0" w:color="000000"/>
                            </w:tcBorders>
                            <w:tcMar>
                              <w:top w:w="0" w:type="dxa"/>
                              <w:left w:w="0" w:type="dxa"/>
                              <w:bottom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bl>
                    <w:tbl>
                      <w:tblPr>
                        <w:tblW w:w="1775" w:type="dxa"/>
                        <w:jc w:val="left"/>
                        <w:tblInd w:w="-10" w:type="dxa"/>
                        <w:tblLayout w:type="fixed"/>
                        <w:tblCellMar>
                          <w:top w:w="28" w:type="dxa"/>
                          <w:left w:w="108" w:type="dxa"/>
                          <w:bottom w:w="28" w:type="dxa"/>
                          <w:right w:w="108" w:type="dxa"/>
                        </w:tblCellMar>
                      </w:tblPr>
                      <w:tblGrid>
                        <w:gridCol w:w="1775"/>
                      </w:tblGrid>
                      <w:tr>
                        <w:trPr/>
                        <w:tc>
                          <w:tcPr>
                            <w:tcW w:w="17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0"/>
                        <w:ind w:left="108"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0"/>
                        <w:ind w:left="144" w:right="0" w:hanging="0"/>
                        <w:jc w:val="left"/>
                        <w:rPr>
                          <w:caps w:val="false"/>
                          <w:smallCaps w:val="false"/>
                        </w:rPr>
                      </w:pPr>
                      <w:r>
                        <w:rPr>
                          <w:caps w:val="false"/>
                          <w:smallCaps w:val="false"/>
                        </w:rPr>
                        <w:drawing>
                          <wp:inline distT="0" distB="0" distL="0" distR="0">
                            <wp:extent cx="3333750" cy="22955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33750" cy="2295525"/>
                                    </a:xfrm>
                                    <a:prstGeom prst="rect">
                                      <a:avLst/>
                                    </a:prstGeom>
                                  </pic:spPr>
                                </pic:pic>
                              </a:graphicData>
                            </a:graphic>
                          </wp:inline>
                        </w:drawing>
                      </w:r>
                    </w:p>
                    <w:p>
                      <w:pPr>
                        <w:pStyle w:val="TextBody"/>
                        <w:bidi w:val="0"/>
                        <w:spacing w:before="60" w:after="0"/>
                        <w:ind w:left="108"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30%, and possibly all, of the principal amount of your securities at maturity.</w:t>
                      </w:r>
                    </w:p>
                    <w:p>
                      <w:pPr>
                        <w:pStyle w:val="TextBody"/>
                        <w:bidi w:val="0"/>
                        <w:spacing w:before="0" w:after="0"/>
                        <w:ind w:left="108"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spacing w:before="0" w:after="0"/>
                        <w:ind w:left="108"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spacing w:before="0" w:after="0"/>
                        <w:ind w:left="108"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$964.30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0" w:after="0"/>
                        <w:ind w:left="108" w:right="0" w:hanging="0"/>
                        <w:jc w:val="left"/>
                        <w:rPr/>
                      </w:pPr>
                      <w:r>
                        <w:rPr>
                          <w:rFonts w:ascii="Georgia;Times;Serif" w:hAnsi="Georgia;Times;Serif"/>
                          <w:b w:val="false"/>
                          <w:i w:val="false"/>
                          <w:caps w:val="false"/>
                          <w:smallCaps w:val="false"/>
                          <w:sz w:val="14"/>
                        </w:rPr>
                        <w:t xml:space="preserve">Preliminary Pricing Supplement: </w:t>
                        <w:br/>
                      </w:r>
                      <w:hyperlink r:id="rId6">
                        <w:r>
                          <w:rPr>
                            <w:rStyle w:val="InternetLink"/>
                            <w:rFonts w:ascii="Georgia;Times;Serif" w:hAnsi="Georgia;Times;Serif"/>
                            <w:b w:val="false"/>
                            <w:i w:val="false"/>
                            <w:caps w:val="false"/>
                            <w:smallCaps w:val="false"/>
                            <w:sz w:val="14"/>
                          </w:rPr>
                          <w:t>http://www.sec.gov/Archives/edgar/data/19617/000121390026100474/</w:t>
                          <w:br/>
                          <w:t>ea0305733-01_424b2.htm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413"/>
        <w:gridCol w:w="5792"/>
      </w:tblGrid>
      <w:tr>
        <w:trPr/>
        <w:tc>
          <w:tcPr>
            <w:tcW w:w="4413" w:type="dxa"/>
            <w:tcBorders/>
            <w:vAlign w:val="center"/>
          </w:tcPr>
          <w:p>
            <w:pPr>
              <w:pStyle w:val="TableContents"/>
              <w:bidi w:val="0"/>
              <w:spacing w:before="0" w:after="40"/>
              <w:ind w:left="360" w:right="0" w:hanging="346"/>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Is Less Than the Threshold Price, You Will Lose More Than 30%,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the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792"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Any Payment on the Securities Will Depend upon the Performance of the Underlying Stock and Therefore the Securities Are Subject to the Risks Associated with the Underlying Stock, Each as Discussed in the Accompanying Preliminary Pricing Supplement and Product Supplement.</w:t>
            </w:r>
          </w:p>
          <w:p>
            <w:pPr>
              <w:pStyle w:val="TableContents"/>
              <w:bidi w:val="0"/>
              <w:spacing w:before="0" w:after="40"/>
              <w:ind w:left="360" w:right="0" w:hanging="360"/>
              <w:jc w:val="left"/>
              <w:rPr>
                <w:caps w:val="false"/>
                <w:smallCaps w:val="false"/>
              </w:rPr>
            </w:pPr>
            <w:r>
              <w:rPr>
                <w:caps w:val="false"/>
                <w:smallCaps w:val="false"/>
              </w:rPr>
              <w: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2800" w:after="120"/>
        <w:ind w:left="2800" w:right="280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100474/ea0305733-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100474/ea0305733-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1651</Words>
  <Characters>8902</Characters>
  <CharactersWithSpaces>10561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