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8440-01_fwp.htm"/>
      <w:bookmarkStart w:id="1" w:name="ksea030844001_fwp"/>
      <w:bookmarkStart w:id="2" w:name="ea0308440-01_fwp.htm"/>
      <w:bookmarkStart w:id="3" w:name="ksea030844001_fwp"/>
      <w:bookmarkEnd w:id="2"/>
      <w:bookmarkEnd w:id="3"/>
    </w:p>
    <w:tbl>
      <w:tblPr>
        <w:tblW w:w="10205" w:type="dxa"/>
        <w:jc w:val="left"/>
        <w:tblInd w:w="0" w:type="dxa"/>
        <w:tblLayout w:type="fixed"/>
        <w:tblCellMar>
          <w:top w:w="0" w:type="dxa"/>
          <w:left w:w="0" w:type="dxa"/>
          <w:bottom w:w="0" w:type="dxa"/>
          <w:right w:w="0" w:type="dxa"/>
        </w:tblCellMar>
      </w:tblPr>
      <w:tblGrid>
        <w:gridCol w:w="6102"/>
        <w:gridCol w:w="4103"/>
      </w:tblGrid>
      <w:tr>
        <w:trPr/>
        <w:tc>
          <w:tcPr>
            <w:tcW w:w="6102"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0"/>
              </w:rPr>
            </w:pPr>
            <w:r>
              <w:rPr>
                <w:rFonts w:ascii="Verdana;Helvetica;Sans-Serif" w:hAnsi="Verdana;Helvetica;Sans-Serif"/>
                <w:b/>
                <w:i w:val="false"/>
                <w:caps w:val="false"/>
                <w:smallCaps w:val="false"/>
                <w:color w:val="BB0826"/>
                <w:sz w:val="30"/>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18"/>
              </w:rPr>
            </w:pPr>
            <w:r>
              <w:rPr>
                <w:rFonts w:ascii="Verdana;Helvetica;Sans-Serif" w:hAnsi="Verdana;Helvetica;Sans-Serif"/>
                <w:b/>
                <w:i/>
                <w:caps w:val="false"/>
                <w:smallCaps w:val="false"/>
                <w:color w:val="BB0826"/>
                <w:sz w:val="18"/>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2"/>
              </w:rPr>
            </w:pPr>
            <w:r>
              <w:rPr>
                <w:rFonts w:ascii="Verdana;Helvetica;Sans-Serif" w:hAnsi="Verdana;Helvetica;Sans-Serif"/>
                <w:b/>
                <w:i w:val="false"/>
                <w:caps w:val="false"/>
                <w:smallCaps w:val="false"/>
                <w:color w:val="BB0826"/>
                <w:sz w:val="22"/>
              </w:rPr>
              <w:t>Market Linked Securities</w:t>
            </w:r>
          </w:p>
        </w:tc>
        <w:tc>
          <w:tcPr>
            <w:tcW w:w="4103"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02" w:type="dxa"/>
            <w:vMerge w:val="continue"/>
            <w:tcBorders/>
            <w:vAlign w:val="center"/>
          </w:tcPr>
          <w:p>
            <w:pPr>
              <w:pStyle w:val="Normal"/>
              <w:bidi w:val="0"/>
              <w:jc w:val="left"/>
              <w:rPr/>
            </w:pPr>
            <w:r>
              <w:rPr/>
            </w:r>
          </w:p>
        </w:tc>
        <w:tc>
          <w:tcPr>
            <w:tcW w:w="4103"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6192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361950"/>
                          </a:xfrm>
                          <a:prstGeom prst="rect">
                            <a:avLst/>
                          </a:prstGeom>
                        </pic:spPr>
                      </pic:pic>
                    </a:graphicData>
                  </a:graphic>
                </wp:inline>
              </w:drawing>
            </w:r>
          </w:p>
        </w:tc>
      </w:tr>
    </w:tbl>
    <w:tbl>
      <w:tblPr>
        <w:tblW w:w="9860" w:type="dxa"/>
        <w:jc w:val="left"/>
        <w:tblInd w:w="0" w:type="dxa"/>
        <w:tblLayout w:type="fixed"/>
        <w:tblCellMar>
          <w:top w:w="0" w:type="dxa"/>
          <w:left w:w="0" w:type="dxa"/>
          <w:bottom w:w="0" w:type="dxa"/>
          <w:right w:w="0" w:type="dxa"/>
        </w:tblCellMar>
      </w:tblPr>
      <w:tblGrid>
        <w:gridCol w:w="9860"/>
      </w:tblGrid>
      <w:tr>
        <w:trPr/>
        <w:tc>
          <w:tcPr>
            <w:tcW w:w="9860"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Market Linked Securities — Leveraged Upside Participation to a Cap and Fixed Percentage Buffered Downside</w:t>
            </w:r>
          </w:p>
          <w:p>
            <w:pPr>
              <w:pStyle w:val="TableContents"/>
              <w:bidi w:val="0"/>
              <w:spacing w:before="0" w:after="6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Principal at Risk Securities Linked to the SPDR</w:t>
            </w:r>
            <w:r>
              <w:rPr>
                <w:rFonts w:ascii="Verdana;Helvetica;Sans-Serif" w:hAnsi="Verdana;Helvetica;Sans-Serif"/>
                <w:b w:val="false"/>
                <w:i w:val="false"/>
                <w:caps w:val="false"/>
                <w:smallCaps w:val="false"/>
                <w:color w:val="FFFFFF"/>
                <w:position w:val="6"/>
                <w:sz w:val="14"/>
                <w:sz w:val="18"/>
              </w:rPr>
              <w:t>®</w:t>
            </w:r>
            <w:r>
              <w:rPr>
                <w:rFonts w:ascii="Verdana;Helvetica;Sans-Serif" w:hAnsi="Verdana;Helvetica;Sans-Serif"/>
                <w:b w:val="false"/>
                <w:i w:val="false"/>
                <w:caps w:val="false"/>
                <w:smallCaps w:val="false"/>
                <w:color w:val="FFFFFF"/>
                <w:sz w:val="18"/>
              </w:rPr>
              <w:t xml:space="preserve"> Gold Trust due October 19, 2029</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Fact Sheet dated October 13, 2026 to Preliminary Pricing Supplement dated October 12, 2026</w:t>
            </w:r>
          </w:p>
        </w:tc>
      </w:tr>
    </w:tbl>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357"/>
                              <w:gridCol w:w="8848"/>
                            </w:tblGrid>
                            <w:tr>
                              <w:trPr/>
                              <w:tc>
                                <w:tcPr>
                                  <w:tcW w:w="13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SPDR</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Gold Trust (Bloomberg ticker: GLD)</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16,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21,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16,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19,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 xml:space="preserve">if the ending price is greater than the starting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lesser of:</w:t>
                                  </w:r>
                                </w:p>
                                <w:p>
                                  <w:pPr>
                                    <w:pStyle w:val="TableContents"/>
                                    <w:bidi w:val="0"/>
                                    <w:ind w:left="614" w:right="0" w:hanging="3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     $1,000 × fund return × upside participation rate; and</w:t>
                                  </w:r>
                                </w:p>
                                <w:p>
                                  <w:pPr>
                                    <w:pStyle w:val="TableContents"/>
                                    <w:bidi w:val="0"/>
                                    <w:ind w:left="614" w:right="0" w:hanging="3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(ii)    the maximum return;</w:t>
                                  </w:r>
                                </w:p>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if the ending price is less than or equal to the starting price, but greater than or equal to the threshold price: $1,000; or</w:t>
                                  </w:r>
                                </w:p>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spacing w:before="0" w:after="283"/>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(fund return + buffer amount)]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pricing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Maximum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52.50% of the principal amount (at least $525.00 per security) (to be provided in the pricing supplement)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7.50%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92.50% of the starting price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46661PQA8</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2.825%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xml:space="preserve">”), may receive 2.25%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357"/>
                        <w:gridCol w:w="8848"/>
                      </w:tblGrid>
                      <w:tr>
                        <w:trPr/>
                        <w:tc>
                          <w:tcPr>
                            <w:tcW w:w="13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SPDR</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Gold Trust (Bloomberg ticker: GLD)</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16,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21,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16,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19,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 xml:space="preserve">if the ending price is greater than the starting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lesser of:</w:t>
                            </w:r>
                          </w:p>
                          <w:p>
                            <w:pPr>
                              <w:pStyle w:val="TableContents"/>
                              <w:bidi w:val="0"/>
                              <w:ind w:left="614" w:right="0" w:hanging="3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     $1,000 × fund return × upside participation rate; and</w:t>
                            </w:r>
                          </w:p>
                          <w:p>
                            <w:pPr>
                              <w:pStyle w:val="TableContents"/>
                              <w:bidi w:val="0"/>
                              <w:ind w:left="614" w:right="0" w:hanging="3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(ii)    the maximum return;</w:t>
                            </w:r>
                          </w:p>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if the ending price is less than or equal to the starting price, but greater than or equal to the threshold price: $1,000; or</w:t>
                            </w:r>
                          </w:p>
                          <w:p>
                            <w:pPr>
                              <w:pStyle w:val="TableContents"/>
                              <w:bidi w:val="0"/>
                              <w:ind w:left="254" w:right="0" w:hanging="18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spacing w:before="0" w:after="283"/>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(fund return + buffer amount)]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pricing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fund closing price of the Fund on the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Maximum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52.50% of the principal amount (at least $525.00 per security) (to be provided in the pricing supplement)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Fund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7.50%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92.50% of the starting price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46661PQA8</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2.825%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xml:space="preserve">”), may receive 2.25%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 </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5560060"/>
                <wp:effectExtent l="0" t="0" r="0" b="0"/>
                <wp:wrapSquare wrapText="left"/>
                <wp:docPr id="3" name="Frame2"/>
                <a:graphic xmlns:a="http://schemas.openxmlformats.org/drawingml/2006/main">
                  <a:graphicData uri="http://schemas.microsoft.com/office/word/2010/wordprocessingShape">
                    <wps:wsp>
                      <wps:cNvSpPr txBox="1"/>
                      <wps:spPr>
                        <a:xfrm>
                          <a:off x="0" y="0"/>
                          <a:ext cx="3175000" cy="556006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center"/>
                              <w:rPr>
                                <w:caps w:val="false"/>
                                <w:smallCaps w:val="false"/>
                                <w:color w:val="8F8F8F"/>
                              </w:rPr>
                            </w:pPr>
                            <w:r>
                              <w:rPr>
                                <w:caps w:val="false"/>
                                <w:smallCaps w:val="false"/>
                                <w:color w:val="8F8F8F"/>
                              </w:rPr>
                              <w:drawing>
                                <wp:inline distT="0" distB="0" distL="0" distR="0">
                                  <wp:extent cx="3467100" cy="21050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467100" cy="2105025"/>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maximum return equal to the lowest maximum return</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1-to-1 downside exposure to the decrease in the price of the Fund in excess of the buffer amount, and you will lose some, and possibly up to 92.50%,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$956.50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http://www.sec.gov/Archives/edgar/data/19617/000121390026108696/</w:t>
                                <w:br/>
                                <w:t>ea0308349-01_424b2.htm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37.8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center"/>
                        <w:rPr>
                          <w:caps w:val="false"/>
                          <w:smallCaps w:val="false"/>
                          <w:color w:val="8F8F8F"/>
                        </w:rPr>
                      </w:pPr>
                      <w:r>
                        <w:rPr>
                          <w:caps w:val="false"/>
                          <w:smallCaps w:val="false"/>
                          <w:color w:val="8F8F8F"/>
                        </w:rPr>
                        <w:drawing>
                          <wp:inline distT="0" distB="0" distL="0" distR="0">
                            <wp:extent cx="3467100" cy="21050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467100" cy="2105025"/>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maximum return equal to the lowest maximum return</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1-to-1 downside exposure to the decrease in the price of the Fund in excess of the buffer amount, and you will lose some, and possibly up to 92.50%,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$956.50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http://www.sec.gov/Archives/edgar/data/19617/000121390026108696/</w:t>
                          <w:br/>
                          <w:t>ea0308349-01_424b2.htm</w:t>
                        </w:r>
                      </w:hyperlink>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695"/>
        <w:gridCol w:w="5510"/>
      </w:tblGrid>
      <w:tr>
        <w:trPr/>
        <w:tc>
          <w:tcPr>
            <w:tcW w:w="4695"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Price Is Less Than the Threshold Price, You Will Lose Up to 92.50%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Return Will Be Limited to the Maximum Return and May Be Lower Than the Return on a Direct Investment in the Fund.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No Interest Payments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120" w:after="40"/>
              <w:ind w:left="360" w:right="120" w:hanging="0"/>
              <w:jc w:val="left"/>
              <w:rPr>
                <w:caps w:val="false"/>
                <w:smallCaps w:val="false"/>
              </w:rPr>
            </w:pPr>
            <w:r>
              <w:rPr>
                <w:caps w:val="false"/>
                <w:smallCaps w:val="false"/>
              </w:rPr>
              <w:t> </w:t>
            </w:r>
          </w:p>
        </w:tc>
        <w:tc>
          <w:tcPr>
            <w:tcW w:w="5510"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Fund Is Not an Investment Company or a Commodity Pool and Will Not Be Subject to Regulation Under the Investment Company Act of 1940, as Amended, or the Commodity Exchange Act, as Amended.</w:t>
            </w:r>
          </w:p>
          <w:p>
            <w:pPr>
              <w:pStyle w:val="TableContents"/>
              <w:bidi w:val="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There Are Risks Associated with the Fund.</w:t>
            </w:r>
          </w:p>
          <w:p>
            <w:pPr>
              <w:pStyle w:val="TableContents"/>
              <w:bidi w:val="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Performance and Market Value of the Fund, Particularly During Periods of Market Volatility, May Not Correlate with the Performance of the Fund’s Fund Underlying Commodity As Well As the Net Asset Value Per Share.</w:t>
            </w:r>
          </w:p>
          <w:p>
            <w:pPr>
              <w:pStyle w:val="TableContents"/>
              <w:bidi w:val="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Securities Are Subject to Risks Associated with Gold.</w:t>
            </w:r>
          </w:p>
          <w:p>
            <w:pPr>
              <w:pStyle w:val="TableContents"/>
              <w:bidi w:val="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There Are Risks Relating to Commodities Trading on the LBMA.</w:t>
            </w:r>
          </w:p>
          <w:p>
            <w:pPr>
              <w:pStyle w:val="TableContents"/>
              <w:bidi w:val="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Single Commodity Prices Tend to Be More Volatile Than, and May Not Correlate with, the Prices of Commodities Generally.</w:t>
            </w:r>
          </w:p>
          <w:p>
            <w:pPr>
              <w:pStyle w:val="TableContents"/>
              <w:bidi w:val="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Maturity Payment Amount Will Depend upon the Performance of the Fund and Therefore the Securities Are Subject to the Risks Associated with the Fund,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20" w:after="120"/>
        <w:ind w:left="20" w:right="20" w:hanging="0"/>
        <w:jc w:val="left"/>
        <w:rPr>
          <w:caps w:val="false"/>
          <w:smallCaps w:val="false"/>
        </w:rPr>
      </w:pPr>
      <w:r>
        <w:rPr>
          <w:caps w:val="false"/>
          <w:smallCaps w:val="false"/>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9617/000121390026108696/ea0308349-01_424b2.htm" TargetMode="External"/><Relationship Id="rId5" Type="http://schemas.openxmlformats.org/officeDocument/2006/relationships/image" Target="media/image2.jpeg"/><Relationship Id="rId6" Type="http://schemas.openxmlformats.org/officeDocument/2006/relationships/hyperlink" Target="https://www.sec.gov/Archives/edgar/data/19617/000121390026108696/ea0308349-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1375</Words>
  <Characters>7344</Characters>
  <CharactersWithSpaces>8771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