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0"/>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restart"/>
          </w:tcPr>
          <w:p>
            <w:pPr>
              <w:spacing w:after="0"/>
              <w:rPr>
                <w:rFonts w:ascii="Arial" w:cs="Arial" w:eastAsia="Arial" w:hAnsi="Arial"/>
                <w:sz w:val="22"/>
                <w:szCs w:val="22"/>
                <w:color w:val="0000EE"/>
                <w:w w:val="96"/>
              </w:rPr>
            </w:pPr>
            <w:hyperlink r:id="rId12">
              <w:r>
                <w:rPr>
                  <w:rFonts w:ascii="Arial" w:cs="Arial" w:eastAsia="Arial" w:hAnsi="Arial"/>
                  <w:sz w:val="22"/>
                  <w:szCs w:val="22"/>
                  <w:color w:val="0000EE"/>
                  <w:w w:val="96"/>
                </w:rPr>
                <w:t>JP MORGAN PARTNERS 23A SBIC LP</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DJ ORTHOPEDICS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DJO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7"/>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700" w:type="dxa"/>
            <w:vAlign w:val="bottom"/>
            <w:gridSpan w:val="4"/>
            <w:vMerge w:val="restart"/>
          </w:tcPr>
          <w:p>
            <w:pPr>
              <w:ind w:left="1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100" w:type="dxa"/>
            <w:vAlign w:val="bottom"/>
            <w:tcBorders>
              <w:top w:val="single" w:sz="8" w:color="0000EE"/>
            </w:tcBorders>
          </w:tcPr>
          <w:p>
            <w:pPr>
              <w:spacing w:after="0"/>
              <w:rPr>
                <w:sz w:val="8"/>
                <w:szCs w:val="8"/>
                <w:color w:val="auto"/>
              </w:rPr>
            </w:pPr>
          </w:p>
        </w:tc>
        <w:tc>
          <w:tcPr>
            <w:tcW w:w="108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7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00" w:type="dxa"/>
            <w:vAlign w:val="bottom"/>
            <w:gridSpan w:val="3"/>
            <w:vMerge w:val="restart"/>
          </w:tcPr>
          <w:p>
            <w:pPr>
              <w:ind w:left="18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4"/>
            <w:vMerge w:val="restart"/>
          </w:tcPr>
          <w:p>
            <w:pPr>
              <w:ind w:left="5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17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gridSpan w:val="8"/>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180"/>
              <w:spacing w:after="0" w:line="148" w:lineRule="exact"/>
              <w:rPr>
                <w:sz w:val="20"/>
                <w:szCs w:val="20"/>
                <w:color w:val="auto"/>
              </w:rPr>
            </w:pPr>
            <w:r>
              <w:rPr>
                <w:rFonts w:ascii="Arial" w:cs="Arial" w:eastAsia="Arial" w:hAnsi="Arial"/>
                <w:sz w:val="14"/>
                <w:szCs w:val="14"/>
                <w:color w:val="auto"/>
              </w:rPr>
              <w:t>below)</w:t>
            </w:r>
          </w:p>
        </w:tc>
        <w:tc>
          <w:tcPr>
            <w:tcW w:w="280" w:type="dxa"/>
            <w:vAlign w:val="bottom"/>
          </w:tcPr>
          <w:p>
            <w:pPr>
              <w:spacing w:after="0"/>
              <w:rPr>
                <w:sz w:val="16"/>
                <w:szCs w:val="16"/>
                <w:color w:val="auto"/>
              </w:rPr>
            </w:pPr>
          </w:p>
        </w:tc>
        <w:tc>
          <w:tcPr>
            <w:tcW w:w="960" w:type="dxa"/>
            <w:vAlign w:val="bottom"/>
            <w:gridSpan w:val="2"/>
          </w:tcPr>
          <w:p>
            <w:pPr>
              <w:ind w:left="520"/>
              <w:spacing w:after="0" w:line="148" w:lineRule="exact"/>
              <w:rPr>
                <w:sz w:val="20"/>
                <w:szCs w:val="20"/>
                <w:color w:val="auto"/>
              </w:rPr>
            </w:pPr>
            <w:r>
              <w:rPr>
                <w:rFonts w:ascii="Arial" w:cs="Arial" w:eastAsia="Arial" w:hAnsi="Arial"/>
                <w:sz w:val="14"/>
                <w:szCs w:val="14"/>
                <w:color w:val="auto"/>
              </w:rPr>
              <w:t>below)</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J.P. MORGAN PARTNERS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gridSpan w:val="8"/>
          </w:tcPr>
          <w:p>
            <w:pPr>
              <w:ind w:left="160"/>
              <w:spacing w:after="0"/>
              <w:rPr>
                <w:sz w:val="20"/>
                <w:szCs w:val="20"/>
                <w:color w:val="auto"/>
              </w:rPr>
            </w:pPr>
            <w:r>
              <w:rPr>
                <w:rFonts w:ascii="Arial" w:cs="Arial" w:eastAsia="Arial" w:hAnsi="Arial"/>
                <w:sz w:val="18"/>
                <w:szCs w:val="18"/>
                <w:color w:val="0000FF"/>
              </w:rPr>
              <w:t>02/24/2004</w:t>
            </w: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1221 AVENUE OF THE AMERICAS 40TH</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vMerge w:val="restart"/>
          </w:tcPr>
          <w:p>
            <w:pPr>
              <w:spacing w:after="0"/>
              <w:rPr>
                <w:sz w:val="20"/>
                <w:szCs w:val="20"/>
                <w:color w:val="auto"/>
              </w:rPr>
            </w:pPr>
            <w:r>
              <w:rPr>
                <w:rFonts w:ascii="Arial" w:cs="Arial" w:eastAsia="Arial" w:hAnsi="Arial"/>
                <w:sz w:val="18"/>
                <w:szCs w:val="18"/>
                <w:color w:val="0000FF"/>
              </w:rPr>
              <w:t>FLOOR</w:t>
            </w: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960" w:type="dxa"/>
            <w:vAlign w:val="bottom"/>
            <w:tcBorders>
              <w:bottom w:val="single" w:sz="8" w:color="2C2C2C"/>
            </w:tcBorders>
            <w:gridSpan w:val="5"/>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160" w:type="dxa"/>
            <w:vAlign w:val="bottom"/>
            <w:tcBorders>
              <w:bottom w:val="single" w:sz="8" w:color="2C2C2C"/>
            </w:tcBorders>
            <w:gridSpan w:val="7"/>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60" w:type="dxa"/>
            <w:vAlign w:val="bottom"/>
            <w:gridSpan w:val="9"/>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60" w:type="dxa"/>
            <w:vAlign w:val="bottom"/>
            <w:gridSpan w:val="10"/>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gridSpan w:val="3"/>
          </w:tcPr>
          <w:p>
            <w:pPr>
              <w:spacing w:after="0" w:line="102" w:lineRule="exact"/>
              <w:rPr>
                <w:sz w:val="20"/>
                <w:szCs w:val="20"/>
                <w:color w:val="auto"/>
              </w:rPr>
            </w:pPr>
            <w:r>
              <w:rPr>
                <w:rFonts w:ascii="Arial" w:cs="Arial" w:eastAsia="Arial" w:hAnsi="Arial"/>
                <w:sz w:val="11"/>
                <w:szCs w:val="11"/>
                <w:color w:val="auto"/>
              </w:rPr>
              <w:t>Line)</w:t>
            </w: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0" w:type="dxa"/>
            <w:vAlign w:val="bottom"/>
            <w:gridSpan w:val="7"/>
          </w:tcPr>
          <w:p>
            <w:pPr>
              <w:ind w:left="20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0" w:type="dxa"/>
            <w:vAlign w:val="bottom"/>
            <w:gridSpan w:val="7"/>
            <w:vMerge w:val="restart"/>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300" w:type="dxa"/>
            <w:vAlign w:val="bottom"/>
            <w:gridSpan w:val="2"/>
            <w:vMerge w:val="restart"/>
          </w:tcPr>
          <w:p>
            <w:pPr>
              <w:ind w:left="40"/>
              <w:spacing w:after="0"/>
              <w:rPr>
                <w:sz w:val="20"/>
                <w:szCs w:val="20"/>
                <w:color w:val="auto"/>
              </w:rPr>
            </w:pPr>
            <w:r>
              <w:rPr>
                <w:rFonts w:ascii="Arial" w:cs="Arial" w:eastAsia="Arial" w:hAnsi="Arial"/>
                <w:sz w:val="18"/>
                <w:szCs w:val="18"/>
                <w:color w:val="0000FF"/>
              </w:rPr>
              <w:t>NY</w:t>
            </w:r>
          </w:p>
        </w:tc>
        <w:tc>
          <w:tcPr>
            <w:tcW w:w="1080" w:type="dxa"/>
            <w:vAlign w:val="bottom"/>
            <w:vMerge w:val="restart"/>
          </w:tcPr>
          <w:p>
            <w:pPr>
              <w:spacing w:after="0"/>
              <w:rPr>
                <w:sz w:val="20"/>
                <w:szCs w:val="20"/>
                <w:color w:val="auto"/>
              </w:rPr>
            </w:pPr>
            <w:r>
              <w:rPr>
                <w:rFonts w:ascii="Arial" w:cs="Arial" w:eastAsia="Arial" w:hAnsi="Arial"/>
                <w:sz w:val="18"/>
                <w:szCs w:val="18"/>
                <w:color w:val="0000FF"/>
              </w:rPr>
              <w:t>10020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vMerge w:val="restart"/>
          </w:tcPr>
          <w:p>
            <w:pPr>
              <w:ind w:left="20"/>
              <w:spacing w:after="0"/>
              <w:rPr>
                <w:sz w:val="20"/>
                <w:szCs w:val="20"/>
                <w:color w:val="auto"/>
              </w:rPr>
            </w:pPr>
            <w:r>
              <w:rPr>
                <w:rFonts w:ascii="Arial" w:cs="Arial" w:eastAsia="Arial" w:hAnsi="Arial"/>
                <w:sz w:val="18"/>
                <w:szCs w:val="18"/>
                <w:color w:val="0000FF"/>
              </w:rPr>
              <w:t>X</w:t>
            </w:r>
          </w:p>
        </w:tc>
        <w:tc>
          <w:tcPr>
            <w:tcW w:w="300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gridSpan w:val="2"/>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2"/>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00" w:type="dxa"/>
            <w:vAlign w:val="bottom"/>
            <w:tcBorders>
              <w:bottom w:val="single" w:sz="8" w:color="2C2C2C"/>
            </w:tcBorders>
            <w:gridSpan w:val="6"/>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22"/>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6"/>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6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20" w:type="dxa"/>
            <w:vAlign w:val="bottom"/>
            <w:gridSpan w:val="6"/>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8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20" w:type="dxa"/>
            <w:vAlign w:val="bottom"/>
            <w:gridSpan w:val="6"/>
            <w:vMerge w:val="restart"/>
          </w:tcPr>
          <w:p>
            <w:pPr>
              <w:ind w:left="640"/>
              <w:spacing w:after="0"/>
              <w:rPr>
                <w:sz w:val="20"/>
                <w:szCs w:val="20"/>
                <w:color w:val="auto"/>
              </w:rPr>
            </w:pPr>
            <w:r>
              <w:rPr>
                <w:rFonts w:ascii="Arial" w:cs="Arial" w:eastAsia="Arial" w:hAnsi="Arial"/>
                <w:sz w:val="18"/>
                <w:szCs w:val="18"/>
                <w:color w:val="0000FF"/>
              </w:rPr>
              <w:t>02/24/2004</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0000FF"/>
                <w:w w:val="92"/>
              </w:rPr>
              <w:t>5,173,632</w:t>
            </w:r>
          </w:p>
        </w:tc>
        <w:tc>
          <w:tcPr>
            <w:tcW w:w="46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520" w:type="dxa"/>
            <w:vAlign w:val="bottom"/>
            <w:gridSpan w:val="2"/>
            <w:vMerge w:val="restart"/>
          </w:tcPr>
          <w:p>
            <w:pPr>
              <w:ind w:left="240"/>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19</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vMerge w:val="restart"/>
          </w:tcPr>
          <w:p>
            <w:pPr>
              <w:jc w:val="right"/>
              <w:ind w:right="199"/>
              <w:spacing w:after="0"/>
              <w:rPr>
                <w:sz w:val="20"/>
                <w:szCs w:val="20"/>
                <w:color w:val="auto"/>
              </w:rPr>
            </w:pPr>
            <w:r>
              <w:rPr>
                <w:rFonts w:ascii="Arial" w:cs="Arial" w:eastAsia="Arial" w:hAnsi="Arial"/>
                <w:sz w:val="18"/>
                <w:szCs w:val="18"/>
                <w:color w:val="0000FF"/>
                <w:w w:val="92"/>
              </w:rPr>
              <w:t>2,993,880</w:t>
            </w:r>
          </w:p>
        </w:tc>
        <w:tc>
          <w:tcPr>
            <w:tcW w:w="280" w:type="dxa"/>
            <w:vAlign w:val="bottom"/>
          </w:tcPr>
          <w:p>
            <w:pPr>
              <w:spacing w:after="0"/>
              <w:rPr>
                <w:sz w:val="22"/>
                <w:szCs w:val="22"/>
                <w:color w:val="auto"/>
              </w:rPr>
            </w:pPr>
          </w:p>
        </w:tc>
        <w:tc>
          <w:tcPr>
            <w:tcW w:w="620" w:type="dxa"/>
            <w:vAlign w:val="bottom"/>
            <w:vMerge w:val="restart"/>
          </w:tcPr>
          <w:p>
            <w:pPr>
              <w:ind w:left="140"/>
              <w:spacing w:after="0"/>
              <w:rPr>
                <w:sz w:val="20"/>
                <w:szCs w:val="20"/>
                <w:color w:val="auto"/>
              </w:rPr>
            </w:pPr>
            <w:r>
              <w:rPr>
                <w:rFonts w:ascii="Arial" w:cs="Arial" w:eastAsia="Arial" w:hAnsi="Arial"/>
                <w:sz w:val="18"/>
                <w:szCs w:val="18"/>
                <w:color w:val="0000FF"/>
              </w:rPr>
              <w:t>I</w:t>
            </w:r>
          </w:p>
        </w:tc>
        <w:tc>
          <w:tcPr>
            <w:tcW w:w="340" w:type="dxa"/>
            <w:vAlign w:val="bottom"/>
          </w:tcPr>
          <w:p>
            <w:pPr>
              <w:ind w:left="80"/>
              <w:spacing w:after="0"/>
              <w:rPr>
                <w:sz w:val="20"/>
                <w:szCs w:val="20"/>
                <w:color w:val="auto"/>
              </w:rPr>
            </w:pPr>
            <w:r>
              <w:rPr>
                <w:rFonts w:ascii="Arial" w:cs="Arial" w:eastAsia="Arial" w:hAnsi="Arial"/>
                <w:sz w:val="18"/>
                <w:szCs w:val="18"/>
                <w:color w:val="0000FF"/>
                <w:w w:val="74"/>
              </w:rPr>
              <w:t>See</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20" w:type="dxa"/>
            <w:vAlign w:val="bottom"/>
            <w:gridSpan w:val="6"/>
            <w:vMerge w:val="continue"/>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top w:val="single" w:sz="8" w:color="2C2C2C"/>
              <w:bottom w:val="single" w:sz="8" w:color="2C2C2C"/>
            </w:tcBorders>
          </w:tcPr>
          <w:p>
            <w:pPr>
              <w:spacing w:after="0"/>
              <w:rPr>
                <w:sz w:val="24"/>
                <w:szCs w:val="24"/>
                <w:color w:val="auto"/>
              </w:rPr>
            </w:pPr>
          </w:p>
        </w:tc>
        <w:tc>
          <w:tcPr>
            <w:tcW w:w="1100" w:type="dxa"/>
            <w:vAlign w:val="bottom"/>
            <w:tcBorders>
              <w:top w:val="single" w:sz="8" w:color="2C2C2C"/>
              <w:bottom w:val="single" w:sz="8" w:color="2C2C2C"/>
            </w:tcBorders>
          </w:tcPr>
          <w:p>
            <w:pPr>
              <w:spacing w:after="0"/>
              <w:rPr>
                <w:sz w:val="24"/>
                <w:szCs w:val="24"/>
                <w:color w:val="auto"/>
              </w:rPr>
            </w:pPr>
          </w:p>
        </w:tc>
        <w:tc>
          <w:tcPr>
            <w:tcW w:w="1620" w:type="dxa"/>
            <w:vAlign w:val="bottom"/>
            <w:tcBorders>
              <w:top w:val="single" w:sz="8" w:color="2C2C2C"/>
              <w:bottom w:val="single" w:sz="8" w:color="2C2C2C"/>
            </w:tcBorders>
            <w:gridSpan w:val="6"/>
          </w:tcPr>
          <w:p>
            <w:pPr>
              <w:ind w:left="640"/>
              <w:spacing w:after="0"/>
              <w:rPr>
                <w:sz w:val="20"/>
                <w:szCs w:val="20"/>
                <w:color w:val="auto"/>
              </w:rPr>
            </w:pPr>
            <w:r>
              <w:rPr>
                <w:rFonts w:ascii="Arial" w:cs="Arial" w:eastAsia="Arial" w:hAnsi="Arial"/>
                <w:sz w:val="18"/>
                <w:szCs w:val="18"/>
                <w:color w:val="0000FF"/>
              </w:rPr>
              <w:t>02/24/2004</w:t>
            </w:r>
          </w:p>
        </w:tc>
        <w:tc>
          <w:tcPr>
            <w:tcW w:w="18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820" w:type="dxa"/>
            <w:vAlign w:val="bottom"/>
            <w:tcBorders>
              <w:top w:val="single" w:sz="8" w:color="2C2C2C"/>
              <w:bottom w:val="single" w:sz="8" w:color="2C2C2C"/>
            </w:tcBorders>
          </w:tcPr>
          <w:p>
            <w:pPr>
              <w:jc w:val="right"/>
              <w:ind w:right="52"/>
              <w:spacing w:after="0"/>
              <w:rPr>
                <w:sz w:val="20"/>
                <w:szCs w:val="20"/>
                <w:color w:val="auto"/>
              </w:rPr>
            </w:pPr>
            <w:r>
              <w:rPr>
                <w:rFonts w:ascii="Arial" w:cs="Arial" w:eastAsia="Arial" w:hAnsi="Arial"/>
                <w:sz w:val="18"/>
                <w:szCs w:val="18"/>
                <w:color w:val="0000FF"/>
              </w:rPr>
              <w:t>135,641</w:t>
            </w:r>
          </w:p>
        </w:tc>
        <w:tc>
          <w:tcPr>
            <w:tcW w:w="460" w:type="dxa"/>
            <w:vAlign w:val="bottom"/>
            <w:tcBorders>
              <w:top w:val="single" w:sz="8" w:color="2C2C2C"/>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520" w:type="dxa"/>
            <w:vAlign w:val="bottom"/>
            <w:tcBorders>
              <w:top w:val="single" w:sz="8" w:color="2C2C2C"/>
              <w:bottom w:val="single" w:sz="8" w:color="2C2C2C"/>
            </w:tcBorders>
            <w:gridSpan w:val="2"/>
          </w:tcPr>
          <w:p>
            <w:pPr>
              <w:ind w:left="240"/>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19</w:t>
            </w:r>
          </w:p>
        </w:tc>
        <w:tc>
          <w:tcPr>
            <w:tcW w:w="1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1020" w:type="dxa"/>
            <w:vAlign w:val="bottom"/>
            <w:tcBorders>
              <w:top w:val="single" w:sz="8" w:color="2C2C2C"/>
              <w:bottom w:val="single" w:sz="8" w:color="2C2C2C"/>
            </w:tcBorders>
            <w:gridSpan w:val="2"/>
          </w:tcPr>
          <w:p>
            <w:pPr>
              <w:jc w:val="right"/>
              <w:ind w:right="319"/>
              <w:spacing w:after="0"/>
              <w:rPr>
                <w:sz w:val="20"/>
                <w:szCs w:val="20"/>
                <w:color w:val="auto"/>
              </w:rPr>
            </w:pPr>
            <w:r>
              <w:rPr>
                <w:rFonts w:ascii="Arial" w:cs="Arial" w:eastAsia="Arial" w:hAnsi="Arial"/>
                <w:sz w:val="18"/>
                <w:szCs w:val="18"/>
                <w:color w:val="0000FF"/>
              </w:rPr>
              <w:t>78,499</w:t>
            </w:r>
          </w:p>
        </w:tc>
        <w:tc>
          <w:tcPr>
            <w:tcW w:w="28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ind w:left="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34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21"/>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19"/>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7"/>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7"/>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9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6"/>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50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62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tcPr>
          <w:p>
            <w:pPr>
              <w:spacing w:after="0" w:line="224" w:lineRule="exact"/>
              <w:rPr>
                <w:rFonts w:ascii="Arial" w:cs="Arial" w:eastAsia="Arial" w:hAnsi="Arial"/>
                <w:sz w:val="22"/>
                <w:szCs w:val="22"/>
                <w:color w:val="0000EE"/>
                <w:w w:val="96"/>
              </w:rPr>
            </w:pPr>
            <w:hyperlink r:id="rId12">
              <w:r>
                <w:rPr>
                  <w:rFonts w:ascii="Arial" w:cs="Arial" w:eastAsia="Arial" w:hAnsi="Arial"/>
                  <w:sz w:val="22"/>
                  <w:szCs w:val="22"/>
                  <w:color w:val="0000EE"/>
                  <w:w w:val="96"/>
                </w:rPr>
                <w:t>JP MORGAN PARTNERS 23A SBIC LP</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J.P. MORGAN PARTNERS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w w:val="93"/>
              </w:rPr>
              <w:t>1221 AVENUE OF THE AMERICAS 40TH FLOOR</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20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NY</w:t>
            </w:r>
          </w:p>
        </w:tc>
        <w:tc>
          <w:tcPr>
            <w:tcW w:w="1080" w:type="dxa"/>
            <w:vAlign w:val="bottom"/>
          </w:tcPr>
          <w:p>
            <w:pPr>
              <w:ind w:left="380"/>
              <w:spacing w:after="0"/>
              <w:rPr>
                <w:sz w:val="20"/>
                <w:szCs w:val="20"/>
                <w:color w:val="auto"/>
              </w:rPr>
            </w:pPr>
            <w:r>
              <w:rPr>
                <w:rFonts w:ascii="Arial" w:cs="Arial" w:eastAsia="Arial" w:hAnsi="Arial"/>
                <w:sz w:val="18"/>
                <w:szCs w:val="18"/>
                <w:color w:val="0000FF"/>
              </w:rPr>
              <w:t>10020</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J P MORGAN PARTNERS 23A SBIC</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MANAGER INC</w:t>
        </w:r>
      </w:hyperlink>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C/O JPMORGAN PARTNERS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1221 AVENUE OF THE AMERICAS 40TH FL.</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69"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JP MORGAN CHASE BANK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2924175" cy="52609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5260975"/>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320" w:type="dxa"/>
            <w:vAlign w:val="bottom"/>
          </w:tcPr>
          <w:p>
            <w:pPr>
              <w:ind w:left="160"/>
              <w:spacing w:after="0"/>
              <w:rPr>
                <w:sz w:val="20"/>
                <w:szCs w:val="20"/>
                <w:color w:val="auto"/>
              </w:rPr>
            </w:pPr>
            <w:r>
              <w:rPr>
                <w:rFonts w:ascii="Arial" w:cs="Arial" w:eastAsia="Arial" w:hAnsi="Arial"/>
                <w:sz w:val="14"/>
                <w:szCs w:val="14"/>
                <w:color w:val="auto"/>
              </w:rPr>
              <w:t>(First)</w:t>
            </w:r>
          </w:p>
        </w:tc>
        <w:tc>
          <w:tcPr>
            <w:tcW w:w="1820" w:type="dxa"/>
            <w:vAlign w:val="bottom"/>
            <w:gridSpan w:val="2"/>
          </w:tcPr>
          <w:p>
            <w:pPr>
              <w:ind w:left="30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0000FF"/>
              </w:rPr>
              <w:t>1CHASE MANHATTAN PLAZA</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40TH FLOOR</w:t>
            </w:r>
          </w:p>
        </w:tc>
        <w:tc>
          <w:tcPr>
            <w:tcW w:w="13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NEW YORK</w:t>
            </w:r>
          </w:p>
        </w:tc>
        <w:tc>
          <w:tcPr>
            <w:tcW w:w="1320" w:type="dxa"/>
            <w:vAlign w:val="bottom"/>
          </w:tcPr>
          <w:p>
            <w:pPr>
              <w:ind w:left="160"/>
              <w:spacing w:after="0"/>
              <w:rPr>
                <w:sz w:val="20"/>
                <w:szCs w:val="20"/>
                <w:color w:val="auto"/>
              </w:rPr>
            </w:pPr>
            <w:r>
              <w:rPr>
                <w:rFonts w:ascii="Arial" w:cs="Arial" w:eastAsia="Arial" w:hAnsi="Arial"/>
                <w:sz w:val="18"/>
                <w:szCs w:val="18"/>
                <w:color w:val="0000FF"/>
              </w:rPr>
              <w:t>NY</w:t>
            </w:r>
          </w:p>
        </w:tc>
        <w:tc>
          <w:tcPr>
            <w:tcW w:w="1720" w:type="dxa"/>
            <w:vAlign w:val="bottom"/>
          </w:tcPr>
          <w:p>
            <w:pPr>
              <w:ind w:left="300"/>
              <w:spacing w:after="0"/>
              <w:rPr>
                <w:sz w:val="20"/>
                <w:szCs w:val="20"/>
                <w:color w:val="auto"/>
              </w:rPr>
            </w:pPr>
            <w:r>
              <w:rPr>
                <w:rFonts w:ascii="Arial" w:cs="Arial" w:eastAsia="Arial" w:hAnsi="Arial"/>
                <w:sz w:val="18"/>
                <w:szCs w:val="18"/>
                <w:color w:val="0000FF"/>
              </w:rPr>
              <w:t>10081</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320" w:type="dxa"/>
            <w:vAlign w:val="bottom"/>
          </w:tcPr>
          <w:p>
            <w:pPr>
              <w:ind w:left="160"/>
              <w:spacing w:after="0"/>
              <w:rPr>
                <w:sz w:val="20"/>
                <w:szCs w:val="20"/>
                <w:color w:val="auto"/>
              </w:rPr>
            </w:pPr>
            <w:r>
              <w:rPr>
                <w:rFonts w:ascii="Arial" w:cs="Arial" w:eastAsia="Arial" w:hAnsi="Arial"/>
                <w:sz w:val="14"/>
                <w:szCs w:val="14"/>
                <w:color w:val="auto"/>
              </w:rPr>
              <w:t>(State)</w:t>
            </w:r>
          </w:p>
        </w:tc>
        <w:tc>
          <w:tcPr>
            <w:tcW w:w="1820" w:type="dxa"/>
            <w:vAlign w:val="bottom"/>
            <w:gridSpan w:val="2"/>
          </w:tcPr>
          <w:p>
            <w:pPr>
              <w:ind w:left="30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720" w:type="dxa"/>
            <w:vAlign w:val="bottom"/>
            <w:gridSpan w:val="3"/>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620" w:type="dxa"/>
            <w:vAlign w:val="bottom"/>
            <w:tcBorders>
              <w:bottom w:val="single" w:sz="8" w:color="0000EE"/>
            </w:tcBorders>
            <w:gridSpan w:val="2"/>
          </w:tcPr>
          <w:p>
            <w:pPr>
              <w:spacing w:after="0" w:line="224" w:lineRule="exact"/>
              <w:rPr>
                <w:rFonts w:ascii="Arial" w:cs="Arial" w:eastAsia="Arial" w:hAnsi="Arial"/>
                <w:sz w:val="22"/>
                <w:szCs w:val="22"/>
                <w:color w:val="0000EE"/>
                <w:w w:val="93"/>
              </w:rPr>
            </w:pPr>
            <w:hyperlink r:id="rId17">
              <w:r>
                <w:rPr>
                  <w:rFonts w:ascii="Arial" w:cs="Arial" w:eastAsia="Arial" w:hAnsi="Arial"/>
                  <w:sz w:val="22"/>
                  <w:szCs w:val="22"/>
                  <w:color w:val="0000EE"/>
                  <w:w w:val="93"/>
                </w:rPr>
                <w:t>J P MORGAN CHASE &amp; CO</w:t>
              </w:r>
            </w:hyperlink>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7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320" w:type="dxa"/>
            <w:vAlign w:val="bottom"/>
          </w:tcPr>
          <w:p>
            <w:pPr>
              <w:ind w:left="160"/>
              <w:spacing w:after="0"/>
              <w:rPr>
                <w:sz w:val="20"/>
                <w:szCs w:val="20"/>
                <w:color w:val="auto"/>
              </w:rPr>
            </w:pPr>
            <w:r>
              <w:rPr>
                <w:rFonts w:ascii="Arial" w:cs="Arial" w:eastAsia="Arial" w:hAnsi="Arial"/>
                <w:sz w:val="14"/>
                <w:szCs w:val="14"/>
                <w:color w:val="auto"/>
              </w:rPr>
              <w:t>(First)</w:t>
            </w:r>
          </w:p>
        </w:tc>
        <w:tc>
          <w:tcPr>
            <w:tcW w:w="1820" w:type="dxa"/>
            <w:vAlign w:val="bottom"/>
            <w:gridSpan w:val="2"/>
          </w:tcPr>
          <w:p>
            <w:pPr>
              <w:ind w:left="30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270 PARK AVE</w:t>
            </w:r>
          </w:p>
        </w:tc>
        <w:tc>
          <w:tcPr>
            <w:tcW w:w="1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39TH FL</w:t>
            </w:r>
          </w:p>
        </w:tc>
        <w:tc>
          <w:tcPr>
            <w:tcW w:w="13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NEW YORK</w:t>
            </w:r>
          </w:p>
        </w:tc>
        <w:tc>
          <w:tcPr>
            <w:tcW w:w="1320" w:type="dxa"/>
            <w:vAlign w:val="bottom"/>
          </w:tcPr>
          <w:p>
            <w:pPr>
              <w:ind w:left="160"/>
              <w:spacing w:after="0"/>
              <w:rPr>
                <w:sz w:val="20"/>
                <w:szCs w:val="20"/>
                <w:color w:val="auto"/>
              </w:rPr>
            </w:pPr>
            <w:r>
              <w:rPr>
                <w:rFonts w:ascii="Arial" w:cs="Arial" w:eastAsia="Arial" w:hAnsi="Arial"/>
                <w:sz w:val="18"/>
                <w:szCs w:val="18"/>
                <w:color w:val="0000FF"/>
              </w:rPr>
              <w:t>NY</w:t>
            </w:r>
          </w:p>
        </w:tc>
        <w:tc>
          <w:tcPr>
            <w:tcW w:w="1720" w:type="dxa"/>
            <w:vAlign w:val="bottom"/>
          </w:tcPr>
          <w:p>
            <w:pPr>
              <w:ind w:left="300"/>
              <w:spacing w:after="0"/>
              <w:rPr>
                <w:sz w:val="20"/>
                <w:szCs w:val="20"/>
                <w:color w:val="auto"/>
              </w:rPr>
            </w:pPr>
            <w:r>
              <w:rPr>
                <w:rFonts w:ascii="Arial" w:cs="Arial" w:eastAsia="Arial" w:hAnsi="Arial"/>
                <w:sz w:val="18"/>
                <w:szCs w:val="18"/>
                <w:color w:val="0000FF"/>
              </w:rPr>
              <w:t>10017</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320" w:type="dxa"/>
            <w:vAlign w:val="bottom"/>
          </w:tcPr>
          <w:p>
            <w:pPr>
              <w:ind w:left="160"/>
              <w:spacing w:after="0"/>
              <w:rPr>
                <w:sz w:val="20"/>
                <w:szCs w:val="20"/>
                <w:color w:val="auto"/>
              </w:rPr>
            </w:pPr>
            <w:r>
              <w:rPr>
                <w:rFonts w:ascii="Arial" w:cs="Arial" w:eastAsia="Arial" w:hAnsi="Arial"/>
                <w:sz w:val="14"/>
                <w:szCs w:val="14"/>
                <w:color w:val="auto"/>
              </w:rPr>
              <w:t>(State)</w:t>
            </w:r>
          </w:p>
        </w:tc>
        <w:tc>
          <w:tcPr>
            <w:tcW w:w="1820" w:type="dxa"/>
            <w:vAlign w:val="bottom"/>
            <w:gridSpan w:val="2"/>
          </w:tcPr>
          <w:p>
            <w:pPr>
              <w:ind w:left="30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JP MORGAN PARTNERS DJ PARTNERS LLC</w:t>
        </w:r>
      </w:hyperlink>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620" w:type="dxa"/>
            <w:vAlign w:val="bottom"/>
          </w:tcPr>
          <w:p>
            <w:pPr>
              <w:ind w:left="260"/>
              <w:spacing w:after="0"/>
              <w:rPr>
                <w:sz w:val="20"/>
                <w:szCs w:val="20"/>
                <w:color w:val="auto"/>
              </w:rPr>
            </w:pPr>
            <w:r>
              <w:rPr>
                <w:rFonts w:ascii="Arial" w:cs="Arial" w:eastAsia="Arial" w:hAnsi="Arial"/>
                <w:sz w:val="14"/>
                <w:szCs w:val="14"/>
                <w:color w:val="auto"/>
              </w:rPr>
              <w:t>(First)</w:t>
            </w:r>
          </w:p>
        </w:tc>
        <w:tc>
          <w:tcPr>
            <w:tcW w:w="1520" w:type="dxa"/>
            <w:vAlign w:val="bottom"/>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0000FF"/>
              </w:rPr>
              <w:t>JPMORGAN PARTNERS LLC</w:t>
            </w:r>
          </w:p>
        </w:tc>
        <w:tc>
          <w:tcPr>
            <w:tcW w:w="15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0000FF"/>
                <w:w w:val="96"/>
              </w:rPr>
              <w:t>1221 AVENUE OF THE AMERICAS</w:t>
            </w:r>
          </w:p>
        </w:tc>
        <w:tc>
          <w:tcPr>
            <w:tcW w:w="15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27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620" w:type="dxa"/>
            <w:vAlign w:val="bottom"/>
          </w:tcPr>
          <w:p>
            <w:pPr>
              <w:ind w:left="260"/>
              <w:spacing w:after="0"/>
              <w:rPr>
                <w:sz w:val="20"/>
                <w:szCs w:val="20"/>
                <w:color w:val="auto"/>
              </w:rPr>
            </w:pPr>
            <w:r>
              <w:rPr>
                <w:rFonts w:ascii="Arial" w:cs="Arial" w:eastAsia="Arial" w:hAnsi="Arial"/>
                <w:sz w:val="18"/>
                <w:szCs w:val="18"/>
                <w:color w:val="0000FF"/>
              </w:rPr>
              <w:t>NY</w:t>
            </w:r>
          </w:p>
        </w:tc>
        <w:tc>
          <w:tcPr>
            <w:tcW w:w="1520" w:type="dxa"/>
            <w:vAlign w:val="bottom"/>
          </w:tcPr>
          <w:p>
            <w:pPr>
              <w:ind w:left="100"/>
              <w:spacing w:after="0"/>
              <w:rPr>
                <w:sz w:val="20"/>
                <w:szCs w:val="20"/>
                <w:color w:val="auto"/>
              </w:rPr>
            </w:pPr>
            <w:r>
              <w:rPr>
                <w:rFonts w:ascii="Arial" w:cs="Arial" w:eastAsia="Arial" w:hAnsi="Arial"/>
                <w:sz w:val="18"/>
                <w:szCs w:val="18"/>
                <w:color w:val="0000FF"/>
              </w:rPr>
              <w:t>10020</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620" w:type="dxa"/>
            <w:vAlign w:val="bottom"/>
          </w:tcPr>
          <w:p>
            <w:pPr>
              <w:ind w:left="260"/>
              <w:spacing w:after="0"/>
              <w:rPr>
                <w:sz w:val="20"/>
                <w:szCs w:val="20"/>
                <w:color w:val="auto"/>
              </w:rPr>
            </w:pPr>
            <w:r>
              <w:rPr>
                <w:rFonts w:ascii="Arial" w:cs="Arial" w:eastAsia="Arial" w:hAnsi="Arial"/>
                <w:sz w:val="14"/>
                <w:szCs w:val="14"/>
                <w:color w:val="auto"/>
              </w:rPr>
              <w:t>(State)</w:t>
            </w:r>
          </w:p>
        </w:tc>
        <w:tc>
          <w:tcPr>
            <w:tcW w:w="1520" w:type="dxa"/>
            <w:vAlign w:val="bottom"/>
          </w:tcPr>
          <w:p>
            <w:pPr>
              <w:ind w:left="10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See Exhibit 99.1</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See Exhibit 99.2</w:t>
      </w:r>
    </w:p>
    <w:p>
      <w:pPr>
        <w:spacing w:after="0" w:line="71"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[See signatures attached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6985</wp:posOffset>
            </wp:positionV>
            <wp:extent cx="11982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198245" cy="8890"/>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5880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588010"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0000FF"/>
        </w:rPr>
        <w:t>02/26/2004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00" w:space="340"/>
            <w:col w:w="1200"/>
          </w:cols>
          <w:pgMar w:left="260" w:top="118" w:right="1299" w:bottom="1440" w:gutter="0" w:footer="0" w:header="0"/>
        </w:sect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252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40"/>
          </w:cols>
          <w:pgMar w:left="260" w:top="118" w:right="1299"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25" w:lineRule="exact"/>
        <w:rPr>
          <w:sz w:val="20"/>
          <w:szCs w:val="20"/>
          <w:color w:val="auto"/>
        </w:rPr>
      </w:pPr>
    </w:p>
    <w:p>
      <w:pPr>
        <w:jc w:val="both"/>
        <w:ind w:left="340" w:right="280" w:hanging="332"/>
        <w:spacing w:after="0" w:line="262" w:lineRule="auto"/>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The amount reported represents the beneficial ownership of the Issuer’s equity securities, held of record by J.P. Morgan DJ Partners, LLC (“DJ Partners”). The Designated Reporter, J.P. Morgan Partners (23A SBIC) L.P. ("23A SBIC"), formerly, J.P. Morgan Partners (23A SBIC) LLC, is the managing member of and owns 86.9% of the membership interests in DJ Partners.</w:t>
      </w:r>
    </w:p>
    <w:p>
      <w:pPr>
        <w:spacing w:after="0" w:line="213" w:lineRule="exact"/>
        <w:rPr>
          <w:rFonts w:ascii="Arial" w:cs="Arial" w:eastAsia="Arial" w:hAnsi="Arial"/>
          <w:sz w:val="18"/>
          <w:szCs w:val="18"/>
          <w:b w:val="1"/>
          <w:bCs w:val="1"/>
          <w:color w:val="auto"/>
        </w:rPr>
      </w:pPr>
    </w:p>
    <w:p>
      <w:pPr>
        <w:ind w:left="340" w:right="100" w:hanging="332"/>
        <w:spacing w:after="0" w:line="378" w:lineRule="auto"/>
        <w:tabs>
          <w:tab w:leader="none" w:pos="340"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The Designated Reporter is executing this report on behalf of itself and all Reporting Persons listed in Exhibit 99.2, each of whom has authorized it to do so. Each of such Persons disclaims beneficial ownership of the securities to the extent it exceeds such Person's pecuniary interest therein.</w:t>
      </w:r>
    </w:p>
    <w:p>
      <w:pPr>
        <w:spacing w:after="0" w:line="131" w:lineRule="exact"/>
        <w:rPr>
          <w:rFonts w:ascii="Arial" w:cs="Arial" w:eastAsia="Arial" w:hAnsi="Arial"/>
          <w:sz w:val="15"/>
          <w:szCs w:val="15"/>
          <w:b w:val="1"/>
          <w:bCs w:val="1"/>
          <w:color w:val="auto"/>
        </w:rPr>
      </w:pPr>
    </w:p>
    <w:p>
      <w:pPr>
        <w:ind w:left="340" w:right="40"/>
        <w:spacing w:after="0" w:line="258" w:lineRule="auto"/>
        <w:rPr>
          <w:rFonts w:ascii="Arial" w:cs="Arial" w:eastAsia="Arial" w:hAnsi="Arial"/>
          <w:sz w:val="15"/>
          <w:szCs w:val="15"/>
          <w:b w:val="1"/>
          <w:bCs w:val="1"/>
          <w:color w:val="auto"/>
        </w:rPr>
      </w:pPr>
      <w:r>
        <w:rPr>
          <w:rFonts w:ascii="Arial" w:cs="Arial" w:eastAsia="Arial" w:hAnsi="Arial"/>
          <w:sz w:val="18"/>
          <w:szCs w:val="18"/>
          <w:b w:val="1"/>
          <w:bCs w:val="1"/>
          <w:color w:val="auto"/>
        </w:rPr>
        <w:t>A portion of the shares beneficially owned by 23A SBIC may be attributable to J.P. Morgan Partners (23A SBIC Manager), Inc. (“SBIC Manager”) because SBIC Manager is the general partner of 23A SBIC. The actual pro rata portion of such beneficial ownership that may be deemed to be attributable to SBIC Manager is not readily determinable because it is subject to several variables, including the internal rate of return and vesting of interests within 23A SBIC.</w:t>
      </w:r>
    </w:p>
    <w:p>
      <w:pPr>
        <w:spacing w:after="0" w:line="217" w:lineRule="exact"/>
        <w:rPr>
          <w:rFonts w:ascii="Arial" w:cs="Arial" w:eastAsia="Arial" w:hAnsi="Arial"/>
          <w:sz w:val="15"/>
          <w:szCs w:val="15"/>
          <w:b w:val="1"/>
          <w:bCs w:val="1"/>
          <w:color w:val="auto"/>
        </w:rPr>
      </w:pPr>
    </w:p>
    <w:p>
      <w:pPr>
        <w:ind w:left="340" w:right="60"/>
        <w:spacing w:after="0" w:line="258" w:lineRule="auto"/>
        <w:rPr>
          <w:rFonts w:ascii="Arial" w:cs="Arial" w:eastAsia="Arial" w:hAnsi="Arial"/>
          <w:sz w:val="15"/>
          <w:szCs w:val="15"/>
          <w:b w:val="1"/>
          <w:bCs w:val="1"/>
          <w:color w:val="auto"/>
        </w:rPr>
      </w:pPr>
      <w:r>
        <w:rPr>
          <w:rFonts w:ascii="Arial" w:cs="Arial" w:eastAsia="Arial" w:hAnsi="Arial"/>
          <w:sz w:val="18"/>
          <w:szCs w:val="18"/>
          <w:b w:val="1"/>
          <w:bCs w:val="1"/>
          <w:color w:val="auto"/>
        </w:rPr>
        <w:t>A portion of the shares beneficially owned by 23A SBIC may be deemed attributable to JPMorgan Chase Bank (“JPM Chase Bank”) because it is the sole stockholder of SBIC Manager. The actual pro rata portion of such beneficial ownership that may be deemed to be attributable to JPM Chase Bank is not readily determinable because it is subject to several variables, including the internal rate of return and vesting of interests within 23A SBIC.</w:t>
      </w:r>
    </w:p>
    <w:p>
      <w:pPr>
        <w:spacing w:after="0" w:line="217" w:lineRule="exact"/>
        <w:rPr>
          <w:rFonts w:ascii="Arial" w:cs="Arial" w:eastAsia="Arial" w:hAnsi="Arial"/>
          <w:sz w:val="15"/>
          <w:szCs w:val="15"/>
          <w:b w:val="1"/>
          <w:bCs w:val="1"/>
          <w:color w:val="auto"/>
        </w:rPr>
      </w:pPr>
    </w:p>
    <w:p>
      <w:pPr>
        <w:ind w:left="340" w:right="360"/>
        <w:spacing w:after="0" w:line="310" w:lineRule="auto"/>
        <w:rPr>
          <w:rFonts w:ascii="Arial" w:cs="Arial" w:eastAsia="Arial" w:hAnsi="Arial"/>
          <w:sz w:val="15"/>
          <w:szCs w:val="15"/>
          <w:b w:val="1"/>
          <w:bCs w:val="1"/>
          <w:color w:val="auto"/>
        </w:rPr>
      </w:pPr>
      <w:r>
        <w:rPr>
          <w:rFonts w:ascii="Arial" w:cs="Arial" w:eastAsia="Arial" w:hAnsi="Arial"/>
          <w:sz w:val="16"/>
          <w:szCs w:val="16"/>
          <w:b w:val="1"/>
          <w:bCs w:val="1"/>
          <w:color w:val="auto"/>
        </w:rPr>
        <w:t>A portion of the shares beneficially owned by 23A SBIC may be deemed attributable to J.P. Morgan Chase &amp; Co. (“JPM”) because it is the sole stockholder of JPM Chase Bank. The actual pro rata portion of such beneficial ownership that may be attributable to JPM is not readily determinable because it is subject to several variables, including the internal rate of return and vesting of interests within 23A SBIC.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ind w:left="10520"/>
        <w:spacing w:after="0"/>
        <w:rPr>
          <w:sz w:val="20"/>
          <w:szCs w:val="20"/>
          <w:color w:val="auto"/>
        </w:rPr>
      </w:pPr>
      <w:r>
        <w:rPr>
          <w:rFonts w:ascii="Arial" w:cs="Arial" w:eastAsia="Arial" w:hAnsi="Arial"/>
          <w:sz w:val="16"/>
          <w:szCs w:val="16"/>
          <w:b w:val="1"/>
          <w:bCs w:val="1"/>
          <w:u w:val="single" w:color="auto"/>
          <w:color w:val="auto"/>
        </w:rPr>
        <w:t>Exhibit 99.2</w:t>
      </w:r>
    </w:p>
    <w:p>
      <w:pPr>
        <w:spacing w:after="0" w:line="25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This Statement on Form 4 is filed by J.P. Morgan Partners (23A SBIC), L.P., J.P. Morgan Partners (23A SBIC Manager), Inc., JPMorgan Chase Bank, J.P. Morgan Chase &amp; Co. and J.P. Morgan DJ Partners, LLC.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Name of Designated Filer: J.P. Morgan Partners (23A SBIC),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Issuer and Ticker Symbol: dj Orthopedics, Inc. (DJO)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of Event Requiring Statement: February 24, 2004</w:t>
      </w:r>
    </w:p>
    <w:p>
      <w:pPr>
        <w:spacing w:after="0" w:line="21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J.P. Morgan Partners (23A SBIC), L.P.</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 J.P. Morgan Partners, LLC</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1221 Avenue of the Americas, 40th Floor</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New York, NY 10020</w:t>
      </w:r>
    </w:p>
    <w:p>
      <w:pPr>
        <w:sectPr>
          <w:pgSz w:w="11900" w:h="16838" w:orient="portrait"/>
          <w:cols w:equalWidth="0" w:num="1">
            <w:col w:w="11440"/>
          </w:cols>
          <w:pgMar w:left="240" w:top="125" w:right="219" w:bottom="1440" w:gutter="0" w:footer="0" w:header="0"/>
        </w:sectPr>
      </w:pPr>
    </w:p>
    <w:p>
      <w:pPr>
        <w:spacing w:after="0" w:line="21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J.P. Morgan Partners (23A SBIC Manager),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ectPr>
          <w:pgSz w:w="11900" w:h="16838" w:orient="portrait"/>
          <w:cols w:equalWidth="0" w:num="2">
            <w:col w:w="940" w:space="420"/>
            <w:col w:w="10080"/>
          </w:cols>
          <w:pgMar w:left="240" w:top="125" w:right="219" w:bottom="1440" w:gutter="0" w:footer="0" w:header="0"/>
          <w:type w:val="continuous"/>
        </w:sectPr>
      </w:pPr>
    </w:p>
    <w:p>
      <w:pPr>
        <w:spacing w:after="0" w:line="1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_____________________________________</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Jeffrey C. Walker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ectPr>
          <w:pgSz w:w="11900" w:h="16838" w:orient="portrait"/>
          <w:cols w:equalWidth="0" w:num="2">
            <w:col w:w="940" w:space="420"/>
            <w:col w:w="10080"/>
          </w:cols>
          <w:pgMar w:left="240" w:top="125" w:right="219" w:bottom="1440" w:gutter="0" w:footer="0" w:header="0"/>
          <w:type w:val="continuous"/>
        </w:sectPr>
      </w:pPr>
    </w:p>
    <w:p>
      <w:pPr>
        <w:spacing w:after="0" w:line="1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J.P. Morgan Partners (23A SBIC Manager), Inc.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 J.P. Morgan Partners, LLC</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1221 Avenue of the Americas, 40th Floor</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New York, NY 10020</w:t>
      </w:r>
    </w:p>
    <w:p>
      <w:pPr>
        <w:spacing w:after="0" w:line="219" w:lineRule="exact"/>
        <w:rPr>
          <w:sz w:val="20"/>
          <w:szCs w:val="20"/>
          <w:color w:val="auto"/>
        </w:rPr>
      </w:pPr>
    </w:p>
    <w:p>
      <w:pPr>
        <w:ind w:left="680"/>
        <w:spacing w:after="0"/>
        <w:tabs>
          <w:tab w:leader="none" w:pos="1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_____________________________________</w:t>
      </w:r>
    </w:p>
    <w:p>
      <w:pPr>
        <w:spacing w:after="0" w:line="1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Jeffrey C. Walker</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President</w:t>
      </w:r>
    </w:p>
    <w:p>
      <w:pPr>
        <w:spacing w:after="0" w:line="21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JPMorgan Chase Bank</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270 Park Avenue</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35th Floor</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New York, NY 10017</w:t>
      </w:r>
    </w:p>
    <w:p>
      <w:pPr>
        <w:spacing w:after="0" w:line="219" w:lineRule="exact"/>
        <w:rPr>
          <w:sz w:val="20"/>
          <w:szCs w:val="20"/>
          <w:color w:val="auto"/>
        </w:rPr>
      </w:pPr>
    </w:p>
    <w:p>
      <w:pPr>
        <w:ind w:left="680"/>
        <w:spacing w:after="0"/>
        <w:tabs>
          <w:tab w:leader="none" w:pos="1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______________________________________</w:t>
      </w:r>
    </w:p>
    <w:p>
      <w:pPr>
        <w:spacing w:after="0" w:line="1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James Berry</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Vice President, Assistant General Counsel and Assistant Secretary</w:t>
      </w:r>
    </w:p>
    <w:p>
      <w:pPr>
        <w:spacing w:after="0" w:line="21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J.P. Morgan Chase &amp; Co.</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270 Park Avenue</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35th Floor</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New York, NY 10017</w:t>
      </w:r>
    </w:p>
    <w:p>
      <w:pPr>
        <w:spacing w:after="0" w:line="219" w:lineRule="exact"/>
        <w:rPr>
          <w:sz w:val="20"/>
          <w:szCs w:val="20"/>
          <w:color w:val="auto"/>
        </w:rPr>
      </w:pPr>
    </w:p>
    <w:p>
      <w:pPr>
        <w:ind w:left="680"/>
        <w:spacing w:after="0"/>
        <w:tabs>
          <w:tab w:leader="none" w:pos="1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_______________________________________</w:t>
      </w:r>
    </w:p>
    <w:p>
      <w:pPr>
        <w:spacing w:after="0" w:line="1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James Berry</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Vice President, Assistant General Counsel and Assistant Secretary</w:t>
      </w:r>
    </w:p>
    <w:p>
      <w:pPr>
        <w:spacing w:after="0" w:line="21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J.P. Morgan DJ Partners, LLC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 J.P. Morgan Partners, LLC</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1221 Avenue of the Americas, 40th Floor</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New York, NY 10020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ind w:left="680"/>
              <w:spacing w:after="0"/>
              <w:rPr>
                <w:sz w:val="20"/>
                <w:szCs w:val="20"/>
                <w:color w:val="auto"/>
              </w:rPr>
            </w:pPr>
            <w:r>
              <w:rPr>
                <w:rFonts w:ascii="Arial" w:cs="Arial" w:eastAsia="Arial" w:hAnsi="Arial"/>
                <w:sz w:val="18"/>
                <w:szCs w:val="18"/>
                <w:color w:val="auto"/>
              </w:rPr>
              <w:t>By:</w:t>
            </w:r>
          </w:p>
        </w:tc>
        <w:tc>
          <w:tcPr>
            <w:tcW w:w="10300" w:type="dxa"/>
            <w:vAlign w:val="bottom"/>
          </w:tcPr>
          <w:p>
            <w:pPr>
              <w:ind w:left="220"/>
              <w:spacing w:after="0"/>
              <w:rPr>
                <w:sz w:val="20"/>
                <w:szCs w:val="20"/>
                <w:color w:val="auto"/>
              </w:rPr>
            </w:pPr>
            <w:r>
              <w:rPr>
                <w:rFonts w:ascii="Arial" w:cs="Arial" w:eastAsia="Arial" w:hAnsi="Arial"/>
                <w:sz w:val="18"/>
                <w:szCs w:val="18"/>
                <w:color w:val="auto"/>
              </w:rPr>
              <w:t>J.P. Morgan Partners (23A SBIC), L.P.</w:t>
            </w:r>
          </w:p>
        </w:tc>
      </w:tr>
      <w:tr>
        <w:trPr>
          <w:trHeight w:val="222"/>
        </w:trPr>
        <w:tc>
          <w:tcPr>
            <w:tcW w:w="1140" w:type="dxa"/>
            <w:vAlign w:val="bottom"/>
          </w:tcPr>
          <w:p>
            <w:pPr>
              <w:spacing w:after="0"/>
              <w:rPr>
                <w:sz w:val="19"/>
                <w:szCs w:val="19"/>
                <w:color w:val="auto"/>
              </w:rPr>
            </w:pPr>
          </w:p>
        </w:tc>
        <w:tc>
          <w:tcPr>
            <w:tcW w:w="10300" w:type="dxa"/>
            <w:vAlign w:val="bottom"/>
          </w:tcPr>
          <w:p>
            <w:pPr>
              <w:ind w:left="220"/>
              <w:spacing w:after="0"/>
              <w:rPr>
                <w:sz w:val="20"/>
                <w:szCs w:val="20"/>
                <w:color w:val="auto"/>
              </w:rPr>
            </w:pPr>
            <w:r>
              <w:rPr>
                <w:rFonts w:ascii="Arial" w:cs="Arial" w:eastAsia="Arial" w:hAnsi="Arial"/>
                <w:sz w:val="18"/>
                <w:szCs w:val="18"/>
                <w:color w:val="auto"/>
              </w:rPr>
              <w:t>its Managing Member</w:t>
            </w:r>
          </w:p>
        </w:tc>
      </w:tr>
      <w:tr>
        <w:trPr>
          <w:trHeight w:val="426"/>
        </w:trPr>
        <w:tc>
          <w:tcPr>
            <w:tcW w:w="1140" w:type="dxa"/>
            <w:vAlign w:val="bottom"/>
          </w:tcPr>
          <w:p>
            <w:pPr>
              <w:ind w:left="680"/>
              <w:spacing w:after="0"/>
              <w:rPr>
                <w:sz w:val="20"/>
                <w:szCs w:val="20"/>
                <w:color w:val="auto"/>
              </w:rPr>
            </w:pPr>
            <w:r>
              <w:rPr>
                <w:rFonts w:ascii="Arial" w:cs="Arial" w:eastAsia="Arial" w:hAnsi="Arial"/>
                <w:sz w:val="18"/>
                <w:szCs w:val="18"/>
                <w:color w:val="auto"/>
              </w:rPr>
              <w:t>By:</w:t>
            </w:r>
          </w:p>
        </w:tc>
        <w:tc>
          <w:tcPr>
            <w:tcW w:w="10300" w:type="dxa"/>
            <w:vAlign w:val="bottom"/>
          </w:tcPr>
          <w:p>
            <w:pPr>
              <w:ind w:left="220"/>
              <w:spacing w:after="0"/>
              <w:rPr>
                <w:sz w:val="20"/>
                <w:szCs w:val="20"/>
                <w:color w:val="auto"/>
              </w:rPr>
            </w:pPr>
            <w:r>
              <w:rPr>
                <w:rFonts w:ascii="Arial" w:cs="Arial" w:eastAsia="Arial" w:hAnsi="Arial"/>
                <w:sz w:val="18"/>
                <w:szCs w:val="18"/>
                <w:color w:val="auto"/>
              </w:rPr>
              <w:t>J.P. Morgan Partners (23A SBIC Manager), Inc.</w:t>
            </w:r>
          </w:p>
        </w:tc>
      </w:tr>
      <w:tr>
        <w:trPr>
          <w:trHeight w:val="222"/>
        </w:trPr>
        <w:tc>
          <w:tcPr>
            <w:tcW w:w="1140" w:type="dxa"/>
            <w:vAlign w:val="bottom"/>
          </w:tcPr>
          <w:p>
            <w:pPr>
              <w:spacing w:after="0"/>
              <w:rPr>
                <w:sz w:val="19"/>
                <w:szCs w:val="19"/>
                <w:color w:val="auto"/>
              </w:rPr>
            </w:pPr>
          </w:p>
        </w:tc>
        <w:tc>
          <w:tcPr>
            <w:tcW w:w="10300" w:type="dxa"/>
            <w:vAlign w:val="bottom"/>
          </w:tcPr>
          <w:p>
            <w:pPr>
              <w:ind w:left="220"/>
              <w:spacing w:after="0"/>
              <w:rPr>
                <w:sz w:val="20"/>
                <w:szCs w:val="20"/>
                <w:color w:val="auto"/>
              </w:rPr>
            </w:pPr>
            <w:r>
              <w:rPr>
                <w:rFonts w:ascii="Arial" w:cs="Arial" w:eastAsia="Arial" w:hAnsi="Arial"/>
                <w:sz w:val="18"/>
                <w:szCs w:val="18"/>
                <w:color w:val="auto"/>
              </w:rPr>
              <w:t>its General Partner</w:t>
            </w:r>
          </w:p>
        </w:tc>
      </w:tr>
      <w:tr>
        <w:trPr>
          <w:trHeight w:val="426"/>
        </w:trPr>
        <w:tc>
          <w:tcPr>
            <w:tcW w:w="1140" w:type="dxa"/>
            <w:vAlign w:val="bottom"/>
          </w:tcPr>
          <w:p>
            <w:pPr>
              <w:ind w:left="680"/>
              <w:spacing w:after="0"/>
              <w:rPr>
                <w:sz w:val="20"/>
                <w:szCs w:val="20"/>
                <w:color w:val="auto"/>
              </w:rPr>
            </w:pPr>
            <w:r>
              <w:rPr>
                <w:rFonts w:ascii="Arial" w:cs="Arial" w:eastAsia="Arial" w:hAnsi="Arial"/>
                <w:sz w:val="18"/>
                <w:szCs w:val="18"/>
                <w:color w:val="auto"/>
              </w:rPr>
              <w:t>By:</w:t>
            </w:r>
          </w:p>
        </w:tc>
        <w:tc>
          <w:tcPr>
            <w:tcW w:w="10300" w:type="dxa"/>
            <w:vAlign w:val="bottom"/>
          </w:tcPr>
          <w:p>
            <w:pPr>
              <w:ind w:left="220"/>
              <w:spacing w:after="0"/>
              <w:rPr>
                <w:sz w:val="20"/>
                <w:szCs w:val="20"/>
                <w:color w:val="auto"/>
              </w:rPr>
            </w:pPr>
            <w:r>
              <w:rPr>
                <w:rFonts w:ascii="Arial" w:cs="Arial" w:eastAsia="Arial" w:hAnsi="Arial"/>
                <w:sz w:val="18"/>
                <w:szCs w:val="18"/>
                <w:color w:val="auto"/>
              </w:rPr>
              <w:t>_____________________________________</w:t>
            </w:r>
          </w:p>
        </w:tc>
      </w:tr>
      <w:tr>
        <w:trPr>
          <w:trHeight w:val="216"/>
        </w:trPr>
        <w:tc>
          <w:tcPr>
            <w:tcW w:w="1140" w:type="dxa"/>
            <w:vAlign w:val="bottom"/>
          </w:tcPr>
          <w:p>
            <w:pPr>
              <w:spacing w:after="0"/>
              <w:rPr>
                <w:sz w:val="18"/>
                <w:szCs w:val="18"/>
                <w:color w:val="auto"/>
              </w:rPr>
            </w:pPr>
          </w:p>
        </w:tc>
        <w:tc>
          <w:tcPr>
            <w:tcW w:w="10300" w:type="dxa"/>
            <w:vAlign w:val="bottom"/>
          </w:tcPr>
          <w:p>
            <w:pPr>
              <w:ind w:left="220"/>
              <w:spacing w:after="0"/>
              <w:rPr>
                <w:sz w:val="20"/>
                <w:szCs w:val="20"/>
                <w:color w:val="auto"/>
              </w:rPr>
            </w:pPr>
            <w:r>
              <w:rPr>
                <w:rFonts w:ascii="Arial" w:cs="Arial" w:eastAsia="Arial" w:hAnsi="Arial"/>
                <w:sz w:val="18"/>
                <w:szCs w:val="18"/>
                <w:color w:val="auto"/>
              </w:rPr>
              <w:t>Jeffrey C. Walker</w:t>
            </w:r>
          </w:p>
        </w:tc>
      </w:tr>
      <w:tr>
        <w:trPr>
          <w:trHeight w:val="222"/>
        </w:trPr>
        <w:tc>
          <w:tcPr>
            <w:tcW w:w="1140" w:type="dxa"/>
            <w:vAlign w:val="bottom"/>
          </w:tcPr>
          <w:p>
            <w:pPr>
              <w:spacing w:after="0"/>
              <w:rPr>
                <w:sz w:val="19"/>
                <w:szCs w:val="19"/>
                <w:color w:val="auto"/>
              </w:rPr>
            </w:pPr>
          </w:p>
        </w:tc>
        <w:tc>
          <w:tcPr>
            <w:tcW w:w="10300" w:type="dxa"/>
            <w:vAlign w:val="bottom"/>
          </w:tcPr>
          <w:p>
            <w:pPr>
              <w:ind w:left="220"/>
              <w:spacing w:after="0"/>
              <w:rPr>
                <w:sz w:val="20"/>
                <w:szCs w:val="20"/>
                <w:color w:val="auto"/>
              </w:rPr>
            </w:pPr>
            <w:r>
              <w:rPr>
                <w:rFonts w:ascii="Arial" w:cs="Arial" w:eastAsia="Arial" w:hAnsi="Arial"/>
                <w:sz w:val="18"/>
                <w:szCs w:val="18"/>
                <w:color w:val="auto"/>
              </w:rPr>
              <w:t>President</w:t>
            </w:r>
          </w:p>
        </w:tc>
      </w:tr>
      <w:tr>
        <w:trPr>
          <w:trHeight w:val="688"/>
        </w:trPr>
        <w:tc>
          <w:tcPr>
            <w:tcW w:w="1140" w:type="dxa"/>
            <w:vAlign w:val="bottom"/>
            <w:tcBorders>
              <w:bottom w:val="single" w:sz="8" w:color="808080"/>
            </w:tcBorders>
          </w:tcPr>
          <w:p>
            <w:pPr>
              <w:spacing w:after="0"/>
              <w:rPr>
                <w:sz w:val="24"/>
                <w:szCs w:val="24"/>
                <w:color w:val="auto"/>
              </w:rPr>
            </w:pPr>
          </w:p>
        </w:tc>
        <w:tc>
          <w:tcPr>
            <w:tcW w:w="10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25" w:right="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12" Type="http://schemas.openxmlformats.org/officeDocument/2006/relationships/hyperlink" Target="http://www.sec.gov/cgi-bin/browse-edgar?action=getcompany&amp;CIK=0001106535" TargetMode="External"/><Relationship Id="rId13" Type="http://schemas.openxmlformats.org/officeDocument/2006/relationships/hyperlink" Target="http://www.sec.gov/cgi-bin/browse-edgar?action=getcompany&amp;CIK=0001157972" TargetMode="External"/><Relationship Id="rId14" Type="http://schemas.openxmlformats.org/officeDocument/2006/relationships/hyperlink" Target="http://www.sec.gov/cgi-bin/browse-edgar?action=getcompany&amp;CIK=0001243237" TargetMode="External"/><Relationship Id="rId15" Type="http://schemas.openxmlformats.org/officeDocument/2006/relationships/hyperlink" Target="http://www.sec.gov/cgi-bin/browse-edgar?action=getcompany&amp;CIK=0001208636" TargetMode="External"/><Relationship Id="rId17" Type="http://schemas.openxmlformats.org/officeDocument/2006/relationships/hyperlink" Target="http://www.sec.gov/cgi-bin/browse-edgar?action=getcompany&amp;CIK=0000019617" TargetMode="External"/><Relationship Id="rId18" Type="http://schemas.openxmlformats.org/officeDocument/2006/relationships/hyperlink" Target="http://www.sec.gov/cgi-bin/browse-edgar?action=getcompany&amp;CIK=00012782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2019-12-16T23:19:56Z</dcterms:created>
  <dcterms:modified xsi:type="dcterms:W3CDTF">2019-12-16T23:19:56Z</dcterms:modified>
</cp:coreProperties>
</file>