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7331-01_fwp.htm"/>
      <w:bookmarkStart w:id="1" w:name="ksea030733101_fwp"/>
      <w:bookmarkStart w:id="2" w:name="ea0307331-01_fwp.htm"/>
      <w:bookmarkStart w:id="3" w:name="ksea030733101_fwp"/>
      <w:bookmarkEnd w:id="2"/>
      <w:bookmarkEnd w:id="3"/>
    </w:p>
    <w:tbl>
      <w:tblPr>
        <w:tblW w:w="10205" w:type="dxa"/>
        <w:jc w:val="left"/>
        <w:tblInd w:w="0" w:type="dxa"/>
        <w:tblLayout w:type="fixed"/>
        <w:tblCellMar>
          <w:top w:w="0" w:type="dxa"/>
          <w:left w:w="0" w:type="dxa"/>
          <w:bottom w:w="0" w:type="dxa"/>
          <w:right w:w="0" w:type="dxa"/>
        </w:tblCellMar>
      </w:tblPr>
      <w:tblGrid>
        <w:gridCol w:w="6191"/>
        <w:gridCol w:w="4014"/>
      </w:tblGrid>
      <w:tr>
        <w:trPr/>
        <w:tc>
          <w:tcPr>
            <w:tcW w:w="6191" w:type="dxa"/>
            <w:vMerge w:val="restart"/>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4014"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191" w:type="dxa"/>
            <w:vMerge w:val="continue"/>
            <w:tcBorders/>
            <w:vAlign w:val="center"/>
          </w:tcPr>
          <w:p>
            <w:pPr>
              <w:pStyle w:val="Normal"/>
              <w:bidi w:val="0"/>
              <w:jc w:val="left"/>
              <w:rPr/>
            </w:pPr>
            <w:r>
              <w:rPr/>
            </w:r>
          </w:p>
        </w:tc>
        <w:tc>
          <w:tcPr>
            <w:tcW w:w="4014"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52400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333375"/>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Common Stock of SoFi Technologies, Inc., the Common Stock of Intel Corporation and the Common Stock of Oracle Corporation due October 4, 2029</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October 1, 2026 to Preliminary Pricing Supplement dated September 30, 2026</w:t>
            </w:r>
          </w:p>
        </w:tc>
      </w:tr>
    </w:tbl>
    <w:p>
      <w:pPr>
        <w:pStyle w:val="TextBody"/>
        <w:bidi w:val="0"/>
        <w:spacing w:before="0" w:after="2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52690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52690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145"/>
                              <w:gridCol w:w="9060"/>
                            </w:tblGrid>
                            <w:tr>
                              <w:trPr/>
                              <w:tc>
                                <w:tcPr>
                                  <w:tcW w:w="11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 a direct, wholly owned finance subsidiary of 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SoFi Technologies, Inc. (Bloomberg ticker: SOFI), the common stock of Intel Corporation (Bloomberg ticker: INTC) and the common stock of Oracle Corporation (Bloomberg ticker: ORCL)</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6,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4, 2029</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45"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xml:space="preserve">, the stock closing price of the lowest performing Underlying Stock on the related calculation day is greater than or equal to its threshold price. In addition, if the stock closing price of the lowest performing Underlying Stock on one or more calculation days is less than its threshold price and, on a subsequent calculation day, the stock closing price of the lowest performing Underlying Stock is greater than or equal to its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45"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45"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60"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22.75% per annum (to be provided in the pricing supplement)</w:t>
                                  </w:r>
                                </w:p>
                              </w:tc>
                            </w:tr>
                            <w:tr>
                              <w:trPr/>
                              <w:tc>
                                <w:tcPr>
                                  <w:tcW w:w="1145"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April 2027 to September 2029, inclusive, is greater than or equal to its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 payments.  </w:t>
                                  </w:r>
                                </w:p>
                              </w:tc>
                            </w:tr>
                            <w:tr>
                              <w:trPr/>
                              <w:tc>
                                <w:tcPr>
                                  <w:tcW w:w="1145"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1</w:t>
                                  </w:r>
                                  <w:r>
                                    <w:rPr>
                                      <w:rFonts w:ascii="Georgia;Times;Serif" w:hAnsi="Georgia;Times;Serif"/>
                                      <w:b w:val="false"/>
                                      <w:i w:val="false"/>
                                      <w:caps w:val="false"/>
                                      <w:smallCaps w:val="false"/>
                                      <w:position w:val="5"/>
                                      <w:sz w:val="13"/>
                                      <w:sz w:val="16"/>
                                    </w:rPr>
                                    <w:t>st</w:t>
                                  </w:r>
                                  <w:r>
                                    <w:rPr>
                                      <w:rFonts w:ascii="Georgia;Times;Serif" w:hAnsi="Georgia;Times;Serif"/>
                                      <w:b w:val="false"/>
                                      <w:i w:val="false"/>
                                      <w:caps w:val="false"/>
                                      <w:smallCaps w:val="false"/>
                                      <w:sz w:val="16"/>
                                    </w:rPr>
                                    <w:t xml:space="preserve"> day of each month, commencing November 2026 and ending October 2029.  We refer to October 1,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45"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on the final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Underlying Stock</w:t>
                                  </w:r>
                                  <w:r>
                                    <w:rPr>
                                      <w:rFonts w:ascii="Georgia;Times;Serif" w:hAnsi="Georgia;Times;Serif"/>
                                      <w:b w:val="false"/>
                                      <w:i w:val="false"/>
                                      <w:caps w:val="false"/>
                                      <w:smallCaps w:val="false"/>
                                      <w:sz w:val="16"/>
                                    </w:rPr>
                                    <w:t>” will be the Underlying Stock with the lowest stock return on that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50.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145"/>
                        <w:gridCol w:w="9060"/>
                      </w:tblGrid>
                      <w:tr>
                        <w:trPr/>
                        <w:tc>
                          <w:tcPr>
                            <w:tcW w:w="11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 a direct, wholly owned finance subsidiary of 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SoFi Technologies, Inc. (Bloomberg ticker: SOFI), the common stock of Intel Corporation (Bloomberg ticker: INTC) and the common stock of Oracle Corporation (Bloomberg ticker: ORCL)</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6,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4, 2029</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45"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xml:space="preserve">, the stock closing price of the lowest performing Underlying Stock on the related calculation day is greater than or equal to its threshold price. In addition, if the stock closing price of the lowest performing Underlying Stock on one or more calculation days is less than its threshold price and, on a subsequent calculation day, the stock closing price of the lowest performing Underlying Stock is greater than or equal to its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45"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45"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60"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22.75% per annum (to be provided in the pricing supplement)</w:t>
                            </w:r>
                          </w:p>
                        </w:tc>
                      </w:tr>
                      <w:tr>
                        <w:trPr/>
                        <w:tc>
                          <w:tcPr>
                            <w:tcW w:w="1145"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April 2027 to September 2029, inclusive, is greater than or equal to its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 payments.  </w:t>
                            </w:r>
                          </w:p>
                        </w:tc>
                      </w:tr>
                      <w:tr>
                        <w:trPr/>
                        <w:tc>
                          <w:tcPr>
                            <w:tcW w:w="1145"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1</w:t>
                            </w:r>
                            <w:r>
                              <w:rPr>
                                <w:rFonts w:ascii="Georgia;Times;Serif" w:hAnsi="Georgia;Times;Serif"/>
                                <w:b w:val="false"/>
                                <w:i w:val="false"/>
                                <w:caps w:val="false"/>
                                <w:smallCaps w:val="false"/>
                                <w:position w:val="5"/>
                                <w:sz w:val="13"/>
                                <w:sz w:val="16"/>
                              </w:rPr>
                              <w:t>st</w:t>
                            </w:r>
                            <w:r>
                              <w:rPr>
                                <w:rFonts w:ascii="Georgia;Times;Serif" w:hAnsi="Georgia;Times;Serif"/>
                                <w:b w:val="false"/>
                                <w:i w:val="false"/>
                                <w:caps w:val="false"/>
                                <w:smallCaps w:val="false"/>
                                <w:sz w:val="16"/>
                              </w:rPr>
                              <w:t xml:space="preserve"> day of each month, commencing November 2026 and ending October 2029.  We refer to October 1,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45"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on the final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Underlying Stock</w:t>
                            </w:r>
                            <w:r>
                              <w:rPr>
                                <w:rFonts w:ascii="Georgia;Times;Serif" w:hAnsi="Georgia;Times;Serif"/>
                                <w:b w:val="false"/>
                                <w:i w:val="false"/>
                                <w:caps w:val="false"/>
                                <w:smallCaps w:val="false"/>
                                <w:sz w:val="16"/>
                              </w:rPr>
                              <w:t>” will be the Underlying Stock with the lowest stock return on that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45% of its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46661P3S4</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60"/>
                              <w:ind w:left="405" w:right="60" w:hanging="360"/>
                              <w:jc w:val="center"/>
                              <w:rPr>
                                <w:caps w:val="false"/>
                                <w:smallCaps w:val="false"/>
                                <w:color w:val="8F8F8F"/>
                              </w:rPr>
                            </w:pPr>
                            <w:r>
                              <w:rPr>
                                <w:caps w:val="false"/>
                                <w:smallCaps w:val="false"/>
                                <w:color w:val="8F8F8F"/>
                              </w:rPr>
                              <w:drawing>
                                <wp:inline distT="0" distB="0" distL="0" distR="0">
                                  <wp:extent cx="3352800" cy="22955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52800" cy="2295525"/>
                                          </a:xfrm>
                                          <a:prstGeom prst="rect">
                                            <a:avLst/>
                                          </a:prstGeom>
                                        </pic:spPr>
                                      </pic:pic>
                                    </a:graphicData>
                                  </a:graphic>
                                </wp:inline>
                              </w:drawing>
                            </w:r>
                          </w:p>
                          <w:p>
                            <w:pPr>
                              <w:pStyle w:val="TextBody"/>
                              <w:bidi w:val="0"/>
                              <w:spacing w:before="0" w:after="40"/>
                              <w:ind w:left="13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more than 55%, and possibly all, of the principal amount of your securities at maturity.</w:t>
                            </w:r>
                          </w:p>
                          <w:p>
                            <w:pPr>
                              <w:pStyle w:val="TextBody"/>
                              <w:bidi w:val="0"/>
                              <w:spacing w:before="0" w:after="40"/>
                              <w:ind w:left="13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pStyle w:val="TextBody"/>
                              <w:bidi w:val="0"/>
                              <w:spacing w:before="0" w:after="40"/>
                              <w:ind w:left="13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40"/>
                              <w:ind w:left="13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$947.70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spacing w:before="0" w:after="40"/>
                              <w:ind w:left="130" w:right="0" w:hanging="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http://www.sec.gov/Archives/edgar/data/19617/000121390026105422/</w:t>
                                <w:br/>
                                <w:t>ea0307281-01_424b2.htm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45% of its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46661P3S4</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60"/>
                        <w:ind w:left="405" w:right="60" w:hanging="360"/>
                        <w:jc w:val="center"/>
                        <w:rPr>
                          <w:caps w:val="false"/>
                          <w:smallCaps w:val="false"/>
                          <w:color w:val="8F8F8F"/>
                        </w:rPr>
                      </w:pPr>
                      <w:r>
                        <w:rPr>
                          <w:caps w:val="false"/>
                          <w:smallCaps w:val="false"/>
                          <w:color w:val="8F8F8F"/>
                        </w:rPr>
                        <w:drawing>
                          <wp:inline distT="0" distB="0" distL="0" distR="0">
                            <wp:extent cx="3352800" cy="22955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52800" cy="2295525"/>
                                    </a:xfrm>
                                    <a:prstGeom prst="rect">
                                      <a:avLst/>
                                    </a:prstGeom>
                                  </pic:spPr>
                                </pic:pic>
                              </a:graphicData>
                            </a:graphic>
                          </wp:inline>
                        </w:drawing>
                      </w:r>
                    </w:p>
                    <w:p>
                      <w:pPr>
                        <w:pStyle w:val="TextBody"/>
                        <w:bidi w:val="0"/>
                        <w:spacing w:before="0" w:after="40"/>
                        <w:ind w:left="13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more than 55%, and possibly all, of the principal amount of your securities at maturity.</w:t>
                      </w:r>
                    </w:p>
                    <w:p>
                      <w:pPr>
                        <w:pStyle w:val="TextBody"/>
                        <w:bidi w:val="0"/>
                        <w:spacing w:before="0" w:after="40"/>
                        <w:ind w:left="13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pStyle w:val="TextBody"/>
                        <w:bidi w:val="0"/>
                        <w:spacing w:before="0" w:after="40"/>
                        <w:ind w:left="13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40"/>
                        <w:ind w:left="13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$947.70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spacing w:before="0" w:after="40"/>
                        <w:ind w:left="130" w:right="0" w:hanging="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http://www.sec.gov/Archives/edgar/data/19617/000121390026105422/</w:t>
                          <w:br/>
                          <w:t>ea0307281-01_424b2.htm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023"/>
        <w:gridCol w:w="5182"/>
      </w:tblGrid>
      <w:tr>
        <w:trPr/>
        <w:tc>
          <w:tcPr>
            <w:tcW w:w="5023"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of the Lowest Performing Underlying Stock on the Final Calculation Day Is Less Than Its Threshold Price, You Will Lose More Than 55%, and Possibly All,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Any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Price of Each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Underlying Stocks.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182"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89" w:right="0" w:hanging="389"/>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No Affiliation with Any Underlying Stock Issuer</w:t>
            </w:r>
          </w:p>
          <w:p>
            <w:pPr>
              <w:pStyle w:val="TableContents"/>
              <w:bidi w:val="0"/>
              <w:spacing w:before="0" w:after="40"/>
              <w:ind w:left="389" w:right="0" w:hanging="389"/>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shd w:fill="FFFFFF" w:val="clear"/>
              </w:rPr>
              <w:t>Limited Trading History with Respect to the Common Stock of SoFi Technologies, Inc.</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Any Payment on the Securities Will Depend upon the Performance of Each Underlying Stock and Therefore the Securities Are Subject to the Risks Associated with Each Underlying Stock,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5422/ea0307281-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5422/ea0307281-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1857</Words>
  <Characters>10026</Characters>
  <CharactersWithSpaces>11929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