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6765-01_fwp.htm"/>
      <w:bookmarkStart w:id="1" w:name="ksea030676501_fwp"/>
      <w:bookmarkStart w:id="2" w:name="ea0306765-01_fwp.htm"/>
      <w:bookmarkStart w:id="3" w:name="ksea030676501_fwp"/>
      <w:bookmarkEnd w:id="2"/>
      <w:bookmarkEnd w:id="3"/>
    </w:p>
    <w:tbl>
      <w:tblPr>
        <w:tblW w:w="10205" w:type="dxa"/>
        <w:jc w:val="left"/>
        <w:tblInd w:w="0" w:type="dxa"/>
        <w:tblLayout w:type="fixed"/>
        <w:tblCellMar>
          <w:top w:w="0" w:type="dxa"/>
          <w:left w:w="0" w:type="dxa"/>
          <w:bottom w:w="0" w:type="dxa"/>
          <w:right w:w="0" w:type="dxa"/>
        </w:tblCellMar>
      </w:tblPr>
      <w:tblGrid>
        <w:gridCol w:w="7036"/>
        <w:gridCol w:w="3169"/>
      </w:tblGrid>
      <w:tr>
        <w:trPr/>
        <w:tc>
          <w:tcPr>
            <w:tcW w:w="7036"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9"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6" w:type="dxa"/>
            <w:vMerge w:val="continue"/>
            <w:tcBorders/>
            <w:vAlign w:val="center"/>
          </w:tcPr>
          <w:p>
            <w:pPr>
              <w:pStyle w:val="Normal"/>
              <w:bidi w:val="0"/>
              <w:jc w:val="left"/>
              <w:rPr/>
            </w:pPr>
            <w:r>
              <w:rPr/>
            </w:r>
          </w:p>
        </w:tc>
        <w:tc>
          <w:tcPr>
            <w:tcW w:w="3169" w:type="dxa"/>
            <w:tcBorders/>
            <w:vAlign w:val="center"/>
          </w:tcPr>
          <w:p>
            <w:pPr>
              <w:pStyle w:val="TableContents"/>
              <w:bidi w:val="0"/>
              <w:spacing w:before="0" w:after="283"/>
              <w:jc w:val="right"/>
              <w:rPr/>
            </w:pPr>
            <w:r>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Fixed Percentage Buffered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Oracle Corporation due December 2,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25, 2026 to Preliminary Pricing Supplement dated September 25, 2026</w:t>
            </w:r>
          </w:p>
        </w:tc>
      </w:tr>
    </w:tbl>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23925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23925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Oracle Corporation (Bloomberg ticker: ORCL)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29,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December 2,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buffer amount)]</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25.10% of the principal amount (at least $251.00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2</w:t>
                                  </w:r>
                                  <w:r>
                                    <w:rPr>
                                      <w:rFonts w:ascii="Georgia;Times;Serif" w:hAnsi="Georgia;Times;Serif"/>
                                      <w:b w:val="false"/>
                                      <w:i w:val="false"/>
                                      <w:caps w:val="false"/>
                                      <w:smallCaps w:val="false"/>
                                      <w:sz w:val="18"/>
                                    </w:rPr>
                                    <w:t>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46661PBU0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Oracle Corporation (Bloomberg ticker: ORCL)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29,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December 2,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buffer amount)]</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25.10% of the principal amount (at least $251.00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2</w:t>
                            </w:r>
                            <w:r>
                              <w:rPr>
                                <w:rFonts w:ascii="Georgia;Times;Serif" w:hAnsi="Georgia;Times;Serif"/>
                                <w:b w:val="false"/>
                                <w:i w:val="false"/>
                                <w:caps w:val="false"/>
                                <w:smallCaps w:val="false"/>
                                <w:sz w:val="18"/>
                              </w:rPr>
                              <w:t>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80%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46661PBU0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712585"/>
                <wp:effectExtent l="0" t="0" r="0" b="0"/>
                <wp:wrapSquare wrapText="left"/>
                <wp:docPr id="3" name="Frame2"/>
                <a:graphic xmlns:a="http://schemas.openxmlformats.org/drawingml/2006/main">
                  <a:graphicData uri="http://schemas.microsoft.com/office/word/2010/wordprocessingShape">
                    <wps:wsp>
                      <wps:cNvSpPr txBox="1"/>
                      <wps:spPr>
                        <a:xfrm>
                          <a:off x="0" y="0"/>
                          <a:ext cx="3175000" cy="671258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857500" cy="1838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57500" cy="1838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Underlying Stock in excess of the buffer amount, and you will lose some, and possibly up to 80%,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$968.90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w:t>
                                <w:br/>
                                <w:t>000121390026103577/ea0306737-01_424b2.htm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8.5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857500" cy="1838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2857500" cy="1838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1-to-1 downside exposure to the decrease in the price of the Underlying Stock in excess of the buffer amount, and you will lose some, and possibly up to 80%,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$968.90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w:t>
                          <w:br/>
                          <w:t>000121390026103577/ea0306737-01_424b2.htm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89"/>
        <w:gridCol w:w="6216"/>
      </w:tblGrid>
      <w:tr>
        <w:trPr/>
        <w:tc>
          <w:tcPr>
            <w:tcW w:w="398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Ending Price Is Less Than the Threshold Price, You Will Lose Up to 80%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1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3577/ea0306737-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3577/ea030673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1259</Words>
  <Characters>6851</Characters>
  <CharactersWithSpaces>8183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