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8126-01_fwp.htm"/>
      <w:bookmarkStart w:id="1" w:name="ksea0308126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October 8,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13-Month SPX/SX5E/NDX Enhanced Trigger Jump Securities</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872744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87274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43"/>
                              <w:gridCol w:w="8362"/>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362" w:type="dxa"/>
                                  <w:tcBorders/>
                                  <w:vAlign w:val="center"/>
                                </w:tcPr>
                                <w:p>
                                  <w:pPr>
                                    <w:pStyle w:val="TableContents"/>
                                    <w:bidi w:val="0"/>
                                    <w:spacing w:before="0" w:after="283"/>
                                    <w:jc w:val="left"/>
                                    <w:rPr>
                                      <w:sz w:val="16"/>
                                    </w:rPr>
                                  </w:pPr>
                                  <w:r>
                                    <w:rPr>
                                      <w:sz w:val="16"/>
                                    </w:rPr>
                                    <w:t>JPMorgan Chase Financial Company LLC (“JPMorgan Financial”)</w:t>
                                  </w:r>
                                </w:p>
                              </w:tc>
                            </w:tr>
                            <w:tr>
                              <w:trPr/>
                              <w:tc>
                                <w:tcPr>
                                  <w:tcW w:w="18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362" w:type="dxa"/>
                                  <w:tcBorders/>
                                  <w:shd w:fill="DCEBF4" w:val="clear"/>
                                  <w:vAlign w:val="center"/>
                                </w:tcPr>
                                <w:p>
                                  <w:pPr>
                                    <w:pStyle w:val="TableContents"/>
                                    <w:bidi w:val="0"/>
                                    <w:spacing w:before="0" w:after="283"/>
                                    <w:jc w:val="left"/>
                                    <w:rPr>
                                      <w:sz w:val="16"/>
                                    </w:rPr>
                                  </w:pPr>
                                  <w:r>
                                    <w:rPr>
                                      <w:sz w:val="16"/>
                                    </w:rPr>
                                    <w:t>JPMorgan Chase &amp; Co.</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36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S&amp;P 500</w:t>
                                  </w:r>
                                  <w:r>
                                    <w:rPr>
                                      <w:rFonts w:ascii="Arial;Helvetica;Sans-Serif" w:hAnsi="Arial;Helvetica;Sans-Serif"/>
                                      <w:position w:val="5"/>
                                      <w:sz w:val="13"/>
                                      <w:sz w:val="16"/>
                                    </w:rPr>
                                    <w:t>®</w:t>
                                  </w:r>
                                  <w:r>
                                    <w:rPr>
                                      <w:rFonts w:ascii="Arial;Helvetica;Sans-Serif" w:hAnsi="Arial;Helvetica;Sans-Serif"/>
                                      <w:sz w:val="16"/>
                                    </w:rPr>
                                    <w:t xml:space="preserve"> Index (Bloomberg ticker: SPX Index) (the “SPX Index”), EURO STOXX 50</w:t>
                                  </w:r>
                                  <w:r>
                                    <w:rPr>
                                      <w:rFonts w:ascii="Arial;Helvetica;Sans-Serif" w:hAnsi="Arial;Helvetica;Sans-Serif"/>
                                      <w:position w:val="5"/>
                                      <w:sz w:val="13"/>
                                      <w:sz w:val="16"/>
                                    </w:rPr>
                                    <w:t>®</w:t>
                                  </w:r>
                                  <w:r>
                                    <w:rPr>
                                      <w:rFonts w:ascii="Arial;Helvetica;Sans-Serif" w:hAnsi="Arial;Helvetica;Sans-Serif"/>
                                      <w:sz w:val="16"/>
                                    </w:rPr>
                                    <w:t xml:space="preserve"> Index (Bloomberg ticker: SX5E Index) (the “SX5E Index”)  and Nasdaq-100 Index</w:t>
                                  </w:r>
                                  <w:r>
                                    <w:rPr>
                                      <w:rFonts w:ascii="Arial;Helvetica;Sans-Serif" w:hAnsi="Arial;Helvetica;Sans-Serif"/>
                                      <w:position w:val="5"/>
                                      <w:sz w:val="13"/>
                                      <w:sz w:val="16"/>
                                    </w:rPr>
                                    <w:t>®</w:t>
                                  </w:r>
                                  <w:r>
                                    <w:rPr>
                                      <w:rFonts w:ascii="Arial;Helvetica;Sans-Serif" w:hAnsi="Arial;Helvetica;Sans-Serif"/>
                                      <w:sz w:val="16"/>
                                    </w:rPr>
                                    <w:t xml:space="preserve"> (Bloomberg ticker: NDX Index) (the “NDX Index”) (each, an “underlying index”)</w:t>
                                  </w:r>
                                </w:p>
                              </w:tc>
                            </w:tr>
                            <w:tr>
                              <w:trPr/>
                              <w:tc>
                                <w:tcPr>
                                  <w:tcW w:w="18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362"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of each underlying index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its trigger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of any underlying index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its trigger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index performance factor of the worst performing underlying index</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and will represent a loss of more than 40%, and possibly all, of your principal amount.</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8362" w:type="dxa"/>
                                  <w:tcBorders/>
                                  <w:vAlign w:val="center"/>
                                </w:tcPr>
                                <w:p>
                                  <w:pPr>
                                    <w:pStyle w:val="TableContents"/>
                                    <w:bidi w:val="0"/>
                                    <w:spacing w:before="0" w:after="283"/>
                                    <w:jc w:val="left"/>
                                    <w:rPr>
                                      <w:sz w:val="16"/>
                                    </w:rPr>
                                  </w:pPr>
                                  <w:r>
                                    <w:rPr>
                                      <w:sz w:val="16"/>
                                    </w:rPr>
                                    <w:t>At least $80.00 per $1,000 stated principal amount security (at least 8.00% of the stated principal amount)</w:t>
                                  </w:r>
                                </w:p>
                              </w:tc>
                            </w:tr>
                            <w:tr>
                              <w:trPr/>
                              <w:tc>
                                <w:tcPr>
                                  <w:tcW w:w="18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362"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With respect to each underlying index, 60% of its initial index value</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36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With respect to each underlying index, final index value / initial index value</w:t>
                                  </w:r>
                                </w:p>
                              </w:tc>
                            </w:tr>
                            <w:tr>
                              <w:trPr/>
                              <w:tc>
                                <w:tcPr>
                                  <w:tcW w:w="1843"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Initial index value</w:t>
                                  </w:r>
                                  <w:r>
                                    <w:rPr>
                                      <w:rFonts w:ascii="Arial;Helvetica;Sans-Serif" w:hAnsi="Arial;Helvetica;Sans-Serif"/>
                                      <w:b/>
                                      <w:color w:val="296DC1"/>
                                      <w:sz w:val="14"/>
                                    </w:rPr>
                                    <w:t>:</w:t>
                                  </w:r>
                                </w:p>
                              </w:tc>
                              <w:tc>
                                <w:tcPr>
                                  <w:tcW w:w="8362" w:type="dxa"/>
                                  <w:tcBorders/>
                                  <w:shd w:fill="DCEBF4" w:val="clear"/>
                                  <w:vAlign w:val="center"/>
                                </w:tcPr>
                                <w:p>
                                  <w:pPr>
                                    <w:pStyle w:val="TableContents"/>
                                    <w:bidi w:val="0"/>
                                    <w:spacing w:before="0" w:after="283"/>
                                    <w:jc w:val="left"/>
                                    <w:rPr>
                                      <w:sz w:val="16"/>
                                    </w:rPr>
                                  </w:pPr>
                                  <w:r>
                                    <w:rPr>
                                      <w:sz w:val="16"/>
                                    </w:rPr>
                                    <w:t>With respect to each underlying index, its closing level on the pricing date</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index value: </w:t>
                                  </w:r>
                                </w:p>
                              </w:tc>
                              <w:tc>
                                <w:tcPr>
                                  <w:tcW w:w="8362" w:type="dxa"/>
                                  <w:tcBorders/>
                                  <w:vAlign w:val="center"/>
                                </w:tcPr>
                                <w:p>
                                  <w:pPr>
                                    <w:pStyle w:val="TableContents"/>
                                    <w:bidi w:val="0"/>
                                    <w:spacing w:before="0" w:after="283"/>
                                    <w:jc w:val="left"/>
                                    <w:rPr>
                                      <w:sz w:val="16"/>
                                    </w:rPr>
                                  </w:pPr>
                                  <w:r>
                                    <w:rPr>
                                      <w:sz w:val="16"/>
                                    </w:rPr>
                                    <w:t>With respect to each underlying index, its closing level on the valuation date</w:t>
                                  </w:r>
                                </w:p>
                              </w:tc>
                            </w:tr>
                            <w:tr>
                              <w:trPr/>
                              <w:tc>
                                <w:tcPr>
                                  <w:tcW w:w="18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Worst performing underlying index: </w:t>
                                  </w:r>
                                </w:p>
                              </w:tc>
                              <w:tc>
                                <w:tcPr>
                                  <w:tcW w:w="8362" w:type="dxa"/>
                                  <w:tcBorders/>
                                  <w:shd w:fill="DCEBF4" w:val="clear"/>
                                  <w:vAlign w:val="center"/>
                                </w:tcPr>
                                <w:p>
                                  <w:pPr>
                                    <w:pStyle w:val="TableContents"/>
                                    <w:bidi w:val="0"/>
                                    <w:spacing w:before="0" w:after="283"/>
                                    <w:jc w:val="left"/>
                                    <w:rPr>
                                      <w:sz w:val="16"/>
                                    </w:rPr>
                                  </w:pPr>
                                  <w:r>
                                    <w:rPr>
                                      <w:sz w:val="16"/>
                                    </w:rPr>
                                    <w:t>The underlying index with the lowest index performance factor</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362" w:type="dxa"/>
                                  <w:tcBorders/>
                                  <w:vAlign w:val="center"/>
                                </w:tcPr>
                                <w:p>
                                  <w:pPr>
                                    <w:pStyle w:val="TableContents"/>
                                    <w:bidi w:val="0"/>
                                    <w:spacing w:before="0" w:after="283"/>
                                    <w:jc w:val="left"/>
                                    <w:rPr>
                                      <w:sz w:val="16"/>
                                    </w:rPr>
                                  </w:pPr>
                                  <w:r>
                                    <w:rPr>
                                      <w:sz w:val="16"/>
                                    </w:rPr>
                                    <w:t>$1,000 per security</w:t>
                                  </w:r>
                                </w:p>
                              </w:tc>
                            </w:tr>
                            <w:tr>
                              <w:trPr/>
                              <w:tc>
                                <w:tcPr>
                                  <w:tcW w:w="1843"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Issue price</w:t>
                                  </w:r>
                                  <w:r>
                                    <w:rPr>
                                      <w:rFonts w:ascii="Arial;Helvetica;Sans-Serif" w:hAnsi="Arial;Helvetica;Sans-Serif"/>
                                      <w:b/>
                                      <w:color w:val="296DC1"/>
                                      <w:sz w:val="15"/>
                                    </w:rPr>
                                    <w:t>:</w:t>
                                  </w:r>
                                </w:p>
                              </w:tc>
                              <w:tc>
                                <w:tcPr>
                                  <w:tcW w:w="8362" w:type="dxa"/>
                                  <w:tcBorders/>
                                  <w:shd w:fill="DCEBF4" w:val="clear"/>
                                  <w:vAlign w:val="center"/>
                                </w:tcPr>
                                <w:p>
                                  <w:pPr>
                                    <w:pStyle w:val="TableContents"/>
                                    <w:bidi w:val="0"/>
                                    <w:spacing w:before="0" w:after="283"/>
                                    <w:jc w:val="left"/>
                                    <w:rPr>
                                      <w:sz w:val="16"/>
                                    </w:rPr>
                                  </w:pPr>
                                  <w:r>
                                    <w:rPr>
                                      <w:sz w:val="16"/>
                                    </w:rPr>
                                    <w:t>$1,000 per security</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362" w:type="dxa"/>
                                  <w:tcBorders/>
                                  <w:vAlign w:val="center"/>
                                </w:tcPr>
                                <w:p>
                                  <w:pPr>
                                    <w:pStyle w:val="TableContents"/>
                                    <w:bidi w:val="0"/>
                                    <w:spacing w:before="0" w:after="283"/>
                                    <w:jc w:val="left"/>
                                    <w:rPr>
                                      <w:sz w:val="16"/>
                                    </w:rPr>
                                  </w:pPr>
                                  <w:r>
                                    <w:rPr>
                                      <w:sz w:val="16"/>
                                    </w:rPr>
                                    <w:t>Expected to be October 9, 2026</w:t>
                                  </w:r>
                                </w:p>
                              </w:tc>
                            </w:tr>
                            <w:tr>
                              <w:trPr/>
                              <w:tc>
                                <w:tcPr>
                                  <w:tcW w:w="18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362"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362" w:type="dxa"/>
                                  <w:tcBorders/>
                                  <w:vAlign w:val="center"/>
                                </w:tcPr>
                                <w:p>
                                  <w:pPr>
                                    <w:pStyle w:val="TableContents"/>
                                    <w:bidi w:val="0"/>
                                    <w:spacing w:before="0" w:after="283"/>
                                    <w:jc w:val="left"/>
                                    <w:rPr>
                                      <w:sz w:val="16"/>
                                    </w:rPr>
                                  </w:pPr>
                                  <w:r>
                                    <w:rPr>
                                      <w:sz w:val="16"/>
                                    </w:rPr>
                                    <w:t>November 9, 2027</w:t>
                                  </w:r>
                                </w:p>
                              </w:tc>
                            </w:tr>
                            <w:tr>
                              <w:trPr/>
                              <w:tc>
                                <w:tcPr>
                                  <w:tcW w:w="18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62" w:type="dxa"/>
                                  <w:tcBorders/>
                                  <w:shd w:fill="DCEBF4" w:val="clear"/>
                                  <w:vAlign w:val="center"/>
                                </w:tcPr>
                                <w:p>
                                  <w:pPr>
                                    <w:pStyle w:val="TableContents"/>
                                    <w:bidi w:val="0"/>
                                    <w:spacing w:before="0" w:after="283"/>
                                    <w:jc w:val="left"/>
                                    <w:rPr>
                                      <w:sz w:val="16"/>
                                    </w:rPr>
                                  </w:pPr>
                                  <w:r>
                                    <w:rPr>
                                      <w:sz w:val="16"/>
                                    </w:rPr>
                                    <w:t>November 15, 2027</w:t>
                                  </w:r>
                                </w:p>
                              </w:tc>
                            </w:tr>
                            <w:tr>
                              <w:trPr/>
                              <w:tc>
                                <w:tcPr>
                                  <w:tcW w:w="1843" w:type="dxa"/>
                                  <w:tcBorders/>
                                  <w:vAlign w:val="center"/>
                                </w:tcPr>
                                <w:p>
                                  <w:pPr>
                                    <w:pStyle w:val="TableContents"/>
                                    <w:bidi w:val="0"/>
                                    <w:spacing w:before="0" w:after="283"/>
                                    <w:jc w:val="left"/>
                                    <w:rPr>
                                      <w:b/>
                                      <w:color w:val="296DC1"/>
                                      <w:sz w:val="16"/>
                                    </w:rPr>
                                  </w:pPr>
                                  <w:r>
                                    <w:rPr>
                                      <w:b/>
                                      <w:color w:val="296DC1"/>
                                      <w:sz w:val="16"/>
                                    </w:rPr>
                                    <w:t>CUSIP / ISIN:</w:t>
                                  </w:r>
                                </w:p>
                              </w:tc>
                              <w:tc>
                                <w:tcPr>
                                  <w:tcW w:w="8362" w:type="dxa"/>
                                  <w:tcBorders/>
                                  <w:vAlign w:val="center"/>
                                </w:tcPr>
                                <w:p>
                                  <w:pPr>
                                    <w:pStyle w:val="TableContents"/>
                                    <w:bidi w:val="0"/>
                                    <w:spacing w:before="0" w:after="283"/>
                                    <w:jc w:val="left"/>
                                    <w:rPr>
                                      <w:sz w:val="16"/>
                                    </w:rPr>
                                  </w:pPr>
                                  <w:r>
                                    <w:rPr>
                                      <w:sz w:val="16"/>
                                    </w:rPr>
                                    <w:t>46661PLZ8 / US46661PLZ89</w:t>
                                  </w:r>
                                </w:p>
                              </w:tc>
                            </w:tr>
                            <w:tr>
                              <w:trPr/>
                              <w:tc>
                                <w:tcPr>
                                  <w:tcW w:w="1843"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62" w:type="dxa"/>
                                  <w:tcBorders/>
                                  <w:shd w:fill="DCEBF4" w:val="clear"/>
                                  <w:vAlign w:val="center"/>
                                </w:tcPr>
                                <w:p>
                                  <w:pPr>
                                    <w:pStyle w:val="TableContents"/>
                                    <w:bidi w:val="0"/>
                                    <w:spacing w:before="0" w:after="283"/>
                                    <w:jc w:val="left"/>
                                    <w:rPr/>
                                  </w:pPr>
                                  <w:hyperlink r:id="rId2">
                                    <w:r>
                                      <w:rPr>
                                        <w:rStyle w:val="InternetLink"/>
                                        <w:sz w:val="16"/>
                                      </w:rPr>
                                      <w:t>http://www.sec.gov/Archives/edgar/data/</w:t>
                                      <w:br/>
                                      <w:t>19617/000121390026107855/ea0308079-01_424b2.htm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$960.00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7.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843"/>
                        <w:gridCol w:w="8362"/>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362" w:type="dxa"/>
                            <w:tcBorders/>
                            <w:vAlign w:val="center"/>
                          </w:tcPr>
                          <w:p>
                            <w:pPr>
                              <w:pStyle w:val="TableContents"/>
                              <w:bidi w:val="0"/>
                              <w:spacing w:before="0" w:after="283"/>
                              <w:jc w:val="left"/>
                              <w:rPr>
                                <w:sz w:val="16"/>
                              </w:rPr>
                            </w:pPr>
                            <w:r>
                              <w:rPr>
                                <w:sz w:val="16"/>
                              </w:rPr>
                              <w:t>JPMorgan Chase Financial Company LLC (“JPMorgan Financial”)</w:t>
                            </w:r>
                          </w:p>
                        </w:tc>
                      </w:tr>
                      <w:tr>
                        <w:trPr/>
                        <w:tc>
                          <w:tcPr>
                            <w:tcW w:w="18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362" w:type="dxa"/>
                            <w:tcBorders/>
                            <w:shd w:fill="DCEBF4" w:val="clear"/>
                            <w:vAlign w:val="center"/>
                          </w:tcPr>
                          <w:p>
                            <w:pPr>
                              <w:pStyle w:val="TableContents"/>
                              <w:bidi w:val="0"/>
                              <w:spacing w:before="0" w:after="283"/>
                              <w:jc w:val="left"/>
                              <w:rPr>
                                <w:sz w:val="16"/>
                              </w:rPr>
                            </w:pPr>
                            <w:r>
                              <w:rPr>
                                <w:sz w:val="16"/>
                              </w:rPr>
                              <w:t>JPMorgan Chase &amp; Co.</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36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S&amp;P 500</w:t>
                            </w:r>
                            <w:r>
                              <w:rPr>
                                <w:rFonts w:ascii="Arial;Helvetica;Sans-Serif" w:hAnsi="Arial;Helvetica;Sans-Serif"/>
                                <w:position w:val="5"/>
                                <w:sz w:val="13"/>
                                <w:sz w:val="16"/>
                              </w:rPr>
                              <w:t>®</w:t>
                            </w:r>
                            <w:r>
                              <w:rPr>
                                <w:rFonts w:ascii="Arial;Helvetica;Sans-Serif" w:hAnsi="Arial;Helvetica;Sans-Serif"/>
                                <w:sz w:val="16"/>
                              </w:rPr>
                              <w:t xml:space="preserve"> Index (Bloomberg ticker: SPX Index) (the “SPX Index”), EURO STOXX 50</w:t>
                            </w:r>
                            <w:r>
                              <w:rPr>
                                <w:rFonts w:ascii="Arial;Helvetica;Sans-Serif" w:hAnsi="Arial;Helvetica;Sans-Serif"/>
                                <w:position w:val="5"/>
                                <w:sz w:val="13"/>
                                <w:sz w:val="16"/>
                              </w:rPr>
                              <w:t>®</w:t>
                            </w:r>
                            <w:r>
                              <w:rPr>
                                <w:rFonts w:ascii="Arial;Helvetica;Sans-Serif" w:hAnsi="Arial;Helvetica;Sans-Serif"/>
                                <w:sz w:val="16"/>
                              </w:rPr>
                              <w:t xml:space="preserve"> Index (Bloomberg ticker: SX5E Index) (the “SX5E Index”)  and Nasdaq-100 Index</w:t>
                            </w:r>
                            <w:r>
                              <w:rPr>
                                <w:rFonts w:ascii="Arial;Helvetica;Sans-Serif" w:hAnsi="Arial;Helvetica;Sans-Serif"/>
                                <w:position w:val="5"/>
                                <w:sz w:val="13"/>
                                <w:sz w:val="16"/>
                              </w:rPr>
                              <w:t>®</w:t>
                            </w:r>
                            <w:r>
                              <w:rPr>
                                <w:rFonts w:ascii="Arial;Helvetica;Sans-Serif" w:hAnsi="Arial;Helvetica;Sans-Serif"/>
                                <w:sz w:val="16"/>
                              </w:rPr>
                              <w:t xml:space="preserve"> (Bloomberg ticker: NDX Index) (the “NDX Index”) (each, an “underlying index”)</w:t>
                            </w:r>
                          </w:p>
                        </w:tc>
                      </w:tr>
                      <w:tr>
                        <w:trPr/>
                        <w:tc>
                          <w:tcPr>
                            <w:tcW w:w="18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362"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of each underlying index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its trigger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of any underlying index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its trigger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index performance factor of the worst performing underlying index</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and will represent a loss of more than 40%, and possibly all, of your principal amount.</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8362" w:type="dxa"/>
                            <w:tcBorders/>
                            <w:vAlign w:val="center"/>
                          </w:tcPr>
                          <w:p>
                            <w:pPr>
                              <w:pStyle w:val="TableContents"/>
                              <w:bidi w:val="0"/>
                              <w:spacing w:before="0" w:after="283"/>
                              <w:jc w:val="left"/>
                              <w:rPr>
                                <w:sz w:val="16"/>
                              </w:rPr>
                            </w:pPr>
                            <w:r>
                              <w:rPr>
                                <w:sz w:val="16"/>
                              </w:rPr>
                              <w:t>At least $80.00 per $1,000 stated principal amount security (at least 8.00% of the stated principal amount)</w:t>
                            </w:r>
                          </w:p>
                        </w:tc>
                      </w:tr>
                      <w:tr>
                        <w:trPr/>
                        <w:tc>
                          <w:tcPr>
                            <w:tcW w:w="18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362"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With respect to each underlying index, 60% of its initial index value</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36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With respect to each underlying index, final index value / initial index value</w:t>
                            </w:r>
                          </w:p>
                        </w:tc>
                      </w:tr>
                      <w:tr>
                        <w:trPr/>
                        <w:tc>
                          <w:tcPr>
                            <w:tcW w:w="1843"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Initial index value</w:t>
                            </w:r>
                            <w:r>
                              <w:rPr>
                                <w:rFonts w:ascii="Arial;Helvetica;Sans-Serif" w:hAnsi="Arial;Helvetica;Sans-Serif"/>
                                <w:b/>
                                <w:color w:val="296DC1"/>
                                <w:sz w:val="14"/>
                              </w:rPr>
                              <w:t>:</w:t>
                            </w:r>
                          </w:p>
                        </w:tc>
                        <w:tc>
                          <w:tcPr>
                            <w:tcW w:w="8362" w:type="dxa"/>
                            <w:tcBorders/>
                            <w:shd w:fill="DCEBF4" w:val="clear"/>
                            <w:vAlign w:val="center"/>
                          </w:tcPr>
                          <w:p>
                            <w:pPr>
                              <w:pStyle w:val="TableContents"/>
                              <w:bidi w:val="0"/>
                              <w:spacing w:before="0" w:after="283"/>
                              <w:jc w:val="left"/>
                              <w:rPr>
                                <w:sz w:val="16"/>
                              </w:rPr>
                            </w:pPr>
                            <w:r>
                              <w:rPr>
                                <w:sz w:val="16"/>
                              </w:rPr>
                              <w:t>With respect to each underlying index, its closing level on the pricing date</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index value: </w:t>
                            </w:r>
                          </w:p>
                        </w:tc>
                        <w:tc>
                          <w:tcPr>
                            <w:tcW w:w="8362" w:type="dxa"/>
                            <w:tcBorders/>
                            <w:vAlign w:val="center"/>
                          </w:tcPr>
                          <w:p>
                            <w:pPr>
                              <w:pStyle w:val="TableContents"/>
                              <w:bidi w:val="0"/>
                              <w:spacing w:before="0" w:after="283"/>
                              <w:jc w:val="left"/>
                              <w:rPr>
                                <w:sz w:val="16"/>
                              </w:rPr>
                            </w:pPr>
                            <w:r>
                              <w:rPr>
                                <w:sz w:val="16"/>
                              </w:rPr>
                              <w:t>With respect to each underlying index, its closing level on the valuation date</w:t>
                            </w:r>
                          </w:p>
                        </w:tc>
                      </w:tr>
                      <w:tr>
                        <w:trPr/>
                        <w:tc>
                          <w:tcPr>
                            <w:tcW w:w="18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Worst performing underlying index: </w:t>
                            </w:r>
                          </w:p>
                        </w:tc>
                        <w:tc>
                          <w:tcPr>
                            <w:tcW w:w="8362" w:type="dxa"/>
                            <w:tcBorders/>
                            <w:shd w:fill="DCEBF4" w:val="clear"/>
                            <w:vAlign w:val="center"/>
                          </w:tcPr>
                          <w:p>
                            <w:pPr>
                              <w:pStyle w:val="TableContents"/>
                              <w:bidi w:val="0"/>
                              <w:spacing w:before="0" w:after="283"/>
                              <w:jc w:val="left"/>
                              <w:rPr>
                                <w:sz w:val="16"/>
                              </w:rPr>
                            </w:pPr>
                            <w:r>
                              <w:rPr>
                                <w:sz w:val="16"/>
                              </w:rPr>
                              <w:t>The underlying index with the lowest index performance factor</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362" w:type="dxa"/>
                            <w:tcBorders/>
                            <w:vAlign w:val="center"/>
                          </w:tcPr>
                          <w:p>
                            <w:pPr>
                              <w:pStyle w:val="TableContents"/>
                              <w:bidi w:val="0"/>
                              <w:spacing w:before="0" w:after="283"/>
                              <w:jc w:val="left"/>
                              <w:rPr>
                                <w:sz w:val="16"/>
                              </w:rPr>
                            </w:pPr>
                            <w:r>
                              <w:rPr>
                                <w:sz w:val="16"/>
                              </w:rPr>
                              <w:t>$1,000 per security</w:t>
                            </w:r>
                          </w:p>
                        </w:tc>
                      </w:tr>
                      <w:tr>
                        <w:trPr/>
                        <w:tc>
                          <w:tcPr>
                            <w:tcW w:w="1843"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Issue price</w:t>
                            </w:r>
                            <w:r>
                              <w:rPr>
                                <w:rFonts w:ascii="Arial;Helvetica;Sans-Serif" w:hAnsi="Arial;Helvetica;Sans-Serif"/>
                                <w:b/>
                                <w:color w:val="296DC1"/>
                                <w:sz w:val="15"/>
                              </w:rPr>
                              <w:t>:</w:t>
                            </w:r>
                          </w:p>
                        </w:tc>
                        <w:tc>
                          <w:tcPr>
                            <w:tcW w:w="8362" w:type="dxa"/>
                            <w:tcBorders/>
                            <w:shd w:fill="DCEBF4" w:val="clear"/>
                            <w:vAlign w:val="center"/>
                          </w:tcPr>
                          <w:p>
                            <w:pPr>
                              <w:pStyle w:val="TableContents"/>
                              <w:bidi w:val="0"/>
                              <w:spacing w:before="0" w:after="283"/>
                              <w:jc w:val="left"/>
                              <w:rPr>
                                <w:sz w:val="16"/>
                              </w:rPr>
                            </w:pPr>
                            <w:r>
                              <w:rPr>
                                <w:sz w:val="16"/>
                              </w:rPr>
                              <w:t>$1,000 per security</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362" w:type="dxa"/>
                            <w:tcBorders/>
                            <w:vAlign w:val="center"/>
                          </w:tcPr>
                          <w:p>
                            <w:pPr>
                              <w:pStyle w:val="TableContents"/>
                              <w:bidi w:val="0"/>
                              <w:spacing w:before="0" w:after="283"/>
                              <w:jc w:val="left"/>
                              <w:rPr>
                                <w:sz w:val="16"/>
                              </w:rPr>
                            </w:pPr>
                            <w:r>
                              <w:rPr>
                                <w:sz w:val="16"/>
                              </w:rPr>
                              <w:t>Expected to be October 9, 2026</w:t>
                            </w:r>
                          </w:p>
                        </w:tc>
                      </w:tr>
                      <w:tr>
                        <w:trPr/>
                        <w:tc>
                          <w:tcPr>
                            <w:tcW w:w="18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362"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8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362" w:type="dxa"/>
                            <w:tcBorders/>
                            <w:vAlign w:val="center"/>
                          </w:tcPr>
                          <w:p>
                            <w:pPr>
                              <w:pStyle w:val="TableContents"/>
                              <w:bidi w:val="0"/>
                              <w:spacing w:before="0" w:after="283"/>
                              <w:jc w:val="left"/>
                              <w:rPr>
                                <w:sz w:val="16"/>
                              </w:rPr>
                            </w:pPr>
                            <w:r>
                              <w:rPr>
                                <w:sz w:val="16"/>
                              </w:rPr>
                              <w:t>November 9, 2027</w:t>
                            </w:r>
                          </w:p>
                        </w:tc>
                      </w:tr>
                      <w:tr>
                        <w:trPr/>
                        <w:tc>
                          <w:tcPr>
                            <w:tcW w:w="18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62" w:type="dxa"/>
                            <w:tcBorders/>
                            <w:shd w:fill="DCEBF4" w:val="clear"/>
                            <w:vAlign w:val="center"/>
                          </w:tcPr>
                          <w:p>
                            <w:pPr>
                              <w:pStyle w:val="TableContents"/>
                              <w:bidi w:val="0"/>
                              <w:spacing w:before="0" w:after="283"/>
                              <w:jc w:val="left"/>
                              <w:rPr>
                                <w:sz w:val="16"/>
                              </w:rPr>
                            </w:pPr>
                            <w:r>
                              <w:rPr>
                                <w:sz w:val="16"/>
                              </w:rPr>
                              <w:t>November 15, 2027</w:t>
                            </w:r>
                          </w:p>
                        </w:tc>
                      </w:tr>
                      <w:tr>
                        <w:trPr/>
                        <w:tc>
                          <w:tcPr>
                            <w:tcW w:w="1843" w:type="dxa"/>
                            <w:tcBorders/>
                            <w:vAlign w:val="center"/>
                          </w:tcPr>
                          <w:p>
                            <w:pPr>
                              <w:pStyle w:val="TableContents"/>
                              <w:bidi w:val="0"/>
                              <w:spacing w:before="0" w:after="283"/>
                              <w:jc w:val="left"/>
                              <w:rPr>
                                <w:b/>
                                <w:color w:val="296DC1"/>
                                <w:sz w:val="16"/>
                              </w:rPr>
                            </w:pPr>
                            <w:r>
                              <w:rPr>
                                <w:b/>
                                <w:color w:val="296DC1"/>
                                <w:sz w:val="16"/>
                              </w:rPr>
                              <w:t>CUSIP / ISIN:</w:t>
                            </w:r>
                          </w:p>
                        </w:tc>
                        <w:tc>
                          <w:tcPr>
                            <w:tcW w:w="8362" w:type="dxa"/>
                            <w:tcBorders/>
                            <w:vAlign w:val="center"/>
                          </w:tcPr>
                          <w:p>
                            <w:pPr>
                              <w:pStyle w:val="TableContents"/>
                              <w:bidi w:val="0"/>
                              <w:spacing w:before="0" w:after="283"/>
                              <w:jc w:val="left"/>
                              <w:rPr>
                                <w:sz w:val="16"/>
                              </w:rPr>
                            </w:pPr>
                            <w:r>
                              <w:rPr>
                                <w:sz w:val="16"/>
                              </w:rPr>
                              <w:t>46661PLZ8 / US46661PLZ89</w:t>
                            </w:r>
                          </w:p>
                        </w:tc>
                      </w:tr>
                      <w:tr>
                        <w:trPr/>
                        <w:tc>
                          <w:tcPr>
                            <w:tcW w:w="1843"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62" w:type="dxa"/>
                            <w:tcBorders/>
                            <w:shd w:fill="DCEBF4" w:val="clear"/>
                            <w:vAlign w:val="center"/>
                          </w:tcPr>
                          <w:p>
                            <w:pPr>
                              <w:pStyle w:val="TableContents"/>
                              <w:bidi w:val="0"/>
                              <w:spacing w:before="0" w:after="283"/>
                              <w:jc w:val="left"/>
                              <w:rPr/>
                            </w:pPr>
                            <w:hyperlink r:id="rId3">
                              <w:r>
                                <w:rPr>
                                  <w:rStyle w:val="InternetLink"/>
                                  <w:sz w:val="16"/>
                                </w:rPr>
                                <w:t>http://www.sec.gov/Archives/edgar/data/</w:t>
                                <w:br/>
                                <w:t>19617/000121390026107855/ea0308079-01_424b2.htm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$960.00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6975" w:type="dxa"/>
                              <w:jc w:val="left"/>
                              <w:tblInd w:w="0" w:type="dxa"/>
                              <w:tblLayout w:type="fixed"/>
                              <w:tblCellMar>
                                <w:top w:w="0" w:type="dxa"/>
                                <w:left w:w="0" w:type="dxa"/>
                                <w:bottom w:w="0" w:type="dxa"/>
                                <w:right w:w="0" w:type="dxa"/>
                              </w:tblCellMar>
                            </w:tblPr>
                            <w:tblGrid>
                              <w:gridCol w:w="6975"/>
                            </w:tblGrid>
                            <w:tr>
                              <w:trPr/>
                              <w:tc>
                                <w:tcPr>
                                  <w:tcW w:w="697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Enhanced Trigger Jump Securities Payoff Diagram*</w:t>
                                  </w:r>
                                </w:p>
                              </w:tc>
                            </w:tr>
                            <w:tr>
                              <w:trPr/>
                              <w:tc>
                                <w:tcPr>
                                  <w:tcW w:w="6975" w:type="dxa"/>
                                  <w:tcBorders/>
                                  <w:vAlign w:val="center"/>
                                </w:tcPr>
                                <w:p>
                                  <w:pPr>
                                    <w:pStyle w:val="TableContents"/>
                                    <w:bidi w:val="0"/>
                                    <w:spacing w:before="0" w:after="283"/>
                                    <w:jc w:val="center"/>
                                    <w:rPr/>
                                  </w:pPr>
                                  <w:r>
                                    <w:rPr/>
                                    <w:drawing>
                                      <wp:inline distT="0" distB="0" distL="0" distR="0">
                                        <wp:extent cx="4410075" cy="23622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410075" cy="2362200"/>
                                                </a:xfrm>
                                                <a:prstGeom prst="rect">
                                                  <a:avLst/>
                                                </a:prstGeom>
                                              </pic:spPr>
                                            </pic:pic>
                                          </a:graphicData>
                                        </a:graphic>
                                      </wp:inline>
                                    </w:drawing>
                                  </w:r>
                                </w:p>
                              </w:tc>
                            </w:tr>
                          </w:tbl>
                          <w:p>
                            <w:pPr>
                              <w:pStyle w:val="TextBody"/>
                              <w:bidi w:val="0"/>
                              <w:spacing w:before="0" w:after="40"/>
                              <w:ind w:left="12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$80.00 per security.</w:t>
                            </w:r>
                          </w:p>
                          <w:tbl>
                            <w:tblPr>
                              <w:tblW w:w="5215" w:type="dxa"/>
                              <w:jc w:val="left"/>
                              <w:tblInd w:w="0" w:type="dxa"/>
                              <w:tblLayout w:type="fixed"/>
                              <w:tblCellMar>
                                <w:top w:w="0" w:type="dxa"/>
                                <w:left w:w="0" w:type="dxa"/>
                                <w:bottom w:w="0" w:type="dxa"/>
                                <w:right w:w="0" w:type="dxa"/>
                              </w:tblCellMar>
                            </w:tblPr>
                            <w:tblGrid>
                              <w:gridCol w:w="3365"/>
                              <w:gridCol w:w="1850"/>
                            </w:tblGrid>
                            <w:tr>
                              <w:trPr/>
                              <w:tc>
                                <w:tcPr>
                                  <w:tcW w:w="3365"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Worst Performing Underlying Index</w:t>
                                  </w:r>
                                </w:p>
                              </w:tc>
                              <w:tc>
                                <w:tcPr>
                                  <w:tcW w:w="185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Securities*</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-40.01%</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-40.01%</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5215" w:type="dxa"/>
                                  <w:gridSpan w:val="2"/>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*Assumes an upside payment of 8.00% of the stated principal amount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tbl>
                      <w:tblPr>
                        <w:tblW w:w="6975" w:type="dxa"/>
                        <w:jc w:val="left"/>
                        <w:tblInd w:w="0" w:type="dxa"/>
                        <w:tblLayout w:type="fixed"/>
                        <w:tblCellMar>
                          <w:top w:w="0" w:type="dxa"/>
                          <w:left w:w="0" w:type="dxa"/>
                          <w:bottom w:w="0" w:type="dxa"/>
                          <w:right w:w="0" w:type="dxa"/>
                        </w:tblCellMar>
                      </w:tblPr>
                      <w:tblGrid>
                        <w:gridCol w:w="6975"/>
                      </w:tblGrid>
                      <w:tr>
                        <w:trPr/>
                        <w:tc>
                          <w:tcPr>
                            <w:tcW w:w="697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Enhanced Trigger Jump Securities Payoff Diagram*</w:t>
                            </w:r>
                          </w:p>
                        </w:tc>
                      </w:tr>
                      <w:tr>
                        <w:trPr/>
                        <w:tc>
                          <w:tcPr>
                            <w:tcW w:w="6975" w:type="dxa"/>
                            <w:tcBorders/>
                            <w:vAlign w:val="center"/>
                          </w:tcPr>
                          <w:p>
                            <w:pPr>
                              <w:pStyle w:val="TableContents"/>
                              <w:bidi w:val="0"/>
                              <w:spacing w:before="0" w:after="283"/>
                              <w:jc w:val="center"/>
                              <w:rPr/>
                            </w:pPr>
                            <w:r>
                              <w:rPr/>
                              <w:drawing>
                                <wp:inline distT="0" distB="0" distL="0" distR="0">
                                  <wp:extent cx="4410075" cy="2362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410075" cy="2362200"/>
                                          </a:xfrm>
                                          <a:prstGeom prst="rect">
                                            <a:avLst/>
                                          </a:prstGeom>
                                        </pic:spPr>
                                      </pic:pic>
                                    </a:graphicData>
                                  </a:graphic>
                                </wp:inline>
                              </w:drawing>
                            </w:r>
                          </w:p>
                        </w:tc>
                      </w:tr>
                    </w:tbl>
                    <w:p>
                      <w:pPr>
                        <w:pStyle w:val="TextBody"/>
                        <w:bidi w:val="0"/>
                        <w:spacing w:before="0" w:after="40"/>
                        <w:ind w:left="12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$80.00 per security.</w:t>
                      </w:r>
                    </w:p>
                    <w:tbl>
                      <w:tblPr>
                        <w:tblW w:w="5215" w:type="dxa"/>
                        <w:jc w:val="left"/>
                        <w:tblInd w:w="0" w:type="dxa"/>
                        <w:tblLayout w:type="fixed"/>
                        <w:tblCellMar>
                          <w:top w:w="0" w:type="dxa"/>
                          <w:left w:w="0" w:type="dxa"/>
                          <w:bottom w:w="0" w:type="dxa"/>
                          <w:right w:w="0" w:type="dxa"/>
                        </w:tblCellMar>
                      </w:tblPr>
                      <w:tblGrid>
                        <w:gridCol w:w="3365"/>
                        <w:gridCol w:w="1850"/>
                      </w:tblGrid>
                      <w:tr>
                        <w:trPr/>
                        <w:tc>
                          <w:tcPr>
                            <w:tcW w:w="3365"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Worst Performing Underlying Index</w:t>
                            </w:r>
                          </w:p>
                        </w:tc>
                        <w:tc>
                          <w:tcPr>
                            <w:tcW w:w="185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Securities*</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-40.01%</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-40.01%</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33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33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5215" w:type="dxa"/>
                            <w:gridSpan w:val="2"/>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*Assumes an upside payment of 8.00% of the stated principal amount</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13-Month SPX/SX5E/NDX Enhanced Trigger Jump Securities</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indices,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securities do not pay interest or guarantee the return of any principal and your investment in the securities may result in a loss.</w:t>
            </w:r>
          </w:p>
        </w:tc>
      </w:tr>
    </w:tbl>
    <w:tbl>
      <w:tblPr>
        <w:tblW w:w="5000" w:type="pct"/>
        <w:jc w:val="left"/>
        <w:tblInd w:w="0" w:type="dxa"/>
        <w:tblLayout w:type="fixed"/>
        <w:tblCellMar>
          <w:top w:w="0" w:type="dxa"/>
          <w:left w:w="0" w:type="dxa"/>
          <w:bottom w:w="0" w:type="dxa"/>
          <w:right w:w="0" w:type="dxa"/>
        </w:tblCellMar>
      </w:tblPr>
      <w:tblGrid>
        <w:gridCol w:w="121"/>
        <w:gridCol w:w="398"/>
        <w:gridCol w:w="9686"/>
      </w:tblGrid>
      <w:tr>
        <w:trPr/>
        <w:tc>
          <w:tcPr>
            <w:tcW w:w="1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686" w:type="dxa"/>
            <w:tcBorders/>
            <w:vAlign w:val="center"/>
          </w:tcPr>
          <w:p>
            <w:pPr>
              <w:pStyle w:val="TableContents"/>
              <w:bidi w:val="0"/>
              <w:spacing w:before="0" w:after="283"/>
              <w:jc w:val="left"/>
              <w:rPr>
                <w:sz w:val="18"/>
              </w:rPr>
            </w:pPr>
            <w:r>
              <w:rPr>
                <w:sz w:val="18"/>
              </w:rPr>
              <w:t>Appreciation potential is fixed and limited.</w:t>
            </w:r>
          </w:p>
        </w:tc>
      </w:tr>
    </w:tbl>
    <w:tbl>
      <w:tblPr>
        <w:tblW w:w="5000" w:type="pct"/>
        <w:jc w:val="left"/>
        <w:tblInd w:w="0" w:type="dxa"/>
        <w:tblLayout w:type="fixed"/>
        <w:tblCellMar>
          <w:top w:w="0" w:type="dxa"/>
          <w:left w:w="0" w:type="dxa"/>
          <w:bottom w:w="0" w:type="dxa"/>
          <w:right w:w="0" w:type="dxa"/>
        </w:tblCellMar>
      </w:tblPr>
      <w:tblGrid>
        <w:gridCol w:w="67"/>
        <w:gridCol w:w="221"/>
        <w:gridCol w:w="9917"/>
      </w:tblGrid>
      <w:tr>
        <w:trPr/>
        <w:tc>
          <w:tcPr>
            <w:tcW w:w="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7" w:type="dxa"/>
            <w:tcBorders/>
            <w:vAlign w:val="center"/>
          </w:tcPr>
          <w:p>
            <w:pPr>
              <w:pStyle w:val="TableContents"/>
              <w:bidi w:val="0"/>
              <w:spacing w:before="0" w:after="283"/>
              <w:jc w:val="left"/>
              <w:rPr>
                <w:sz w:val="18"/>
              </w:rPr>
            </w:pPr>
            <w:r>
              <w:rPr>
                <w:sz w:val="18"/>
              </w:rPr>
              <w:t>Your ability to receive the upside payment may terminate on the valuation date.</w:t>
            </w:r>
          </w:p>
        </w:tc>
      </w:tr>
    </w:tbl>
    <w:tbl>
      <w:tblPr>
        <w:tblW w:w="5000" w:type="pct"/>
        <w:jc w:val="left"/>
        <w:tblInd w:w="0" w:type="dxa"/>
        <w:tblLayout w:type="fixed"/>
        <w:tblCellMar>
          <w:top w:w="0" w:type="dxa"/>
          <w:left w:w="0" w:type="dxa"/>
          <w:bottom w:w="0" w:type="dxa"/>
          <w:right w:w="0" w:type="dxa"/>
        </w:tblCellMar>
      </w:tblPr>
      <w:tblGrid>
        <w:gridCol w:w="88"/>
        <w:gridCol w:w="291"/>
        <w:gridCol w:w="9826"/>
      </w:tblGrid>
      <w:tr>
        <w:trPr/>
        <w:tc>
          <w:tcPr>
            <w:tcW w:w="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26" w:type="dxa"/>
            <w:tcBorders/>
            <w:vAlign w:val="center"/>
          </w:tcPr>
          <w:p>
            <w:pPr>
              <w:pStyle w:val="TableContents"/>
              <w:bidi w:val="0"/>
              <w:spacing w:before="0" w:after="283"/>
              <w:jc w:val="left"/>
              <w:rPr>
                <w:sz w:val="18"/>
              </w:rPr>
            </w:pPr>
            <w:r>
              <w:rPr>
                <w:sz w:val="18"/>
              </w:rPr>
              <w:t>You are exposed to the price risk of each underlying index.</w:t>
            </w:r>
          </w:p>
        </w:tc>
      </w:tr>
    </w:tbl>
    <w:tbl>
      <w:tblPr>
        <w:tblW w:w="5000" w:type="pct"/>
        <w:jc w:val="left"/>
        <w:tblInd w:w="0" w:type="dxa"/>
        <w:tblLayout w:type="fixed"/>
        <w:tblCellMar>
          <w:top w:w="0" w:type="dxa"/>
          <w:left w:w="0" w:type="dxa"/>
          <w:bottom w:w="0" w:type="dxa"/>
          <w:right w:w="0" w:type="dxa"/>
        </w:tblCellMar>
      </w:tblPr>
      <w:tblGrid>
        <w:gridCol w:w="46"/>
        <w:gridCol w:w="155"/>
        <w:gridCol w:w="10004"/>
      </w:tblGrid>
      <w:tr>
        <w:trPr/>
        <w:tc>
          <w:tcPr>
            <w:tcW w:w="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4" w:type="dxa"/>
            <w:tcBorders/>
            <w:vAlign w:val="center"/>
          </w:tcPr>
          <w:p>
            <w:pPr>
              <w:pStyle w:val="TableContents"/>
              <w:bidi w:val="0"/>
              <w:spacing w:before="0" w:after="283"/>
              <w:jc w:val="left"/>
              <w:rPr>
                <w:sz w:val="18"/>
              </w:rPr>
            </w:pPr>
            <w:r>
              <w:rPr>
                <w:sz w:val="18"/>
              </w:rPr>
              <w:t>To receive the upside payment, each underlying index must close at or above its trigger level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Because the securities are linked to the performance of the worst performing underlying index, you are exposed to greater risks of sustaining a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spacing w:before="40" w:after="40"/>
        <w:ind w:left="360" w:right="4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securities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spacing w:before="40" w:after="40"/>
        <w:ind w:left="360" w:right="4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20" w:type="dxa"/>
            <w:tcBorders/>
            <w:vAlign w:val="center"/>
          </w:tcPr>
          <w:p>
            <w:pPr>
              <w:pStyle w:val="TableContents"/>
              <w:bidi w:val="0"/>
              <w:spacing w:before="0" w:after="283"/>
              <w:jc w:val="left"/>
              <w:rPr>
                <w:sz w:val="18"/>
              </w:rPr>
            </w:pPr>
            <w:r>
              <w:rPr>
                <w:sz w:val="18"/>
              </w:rPr>
              <w:t>The estimated value of the securities does not represent future values of the securities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2"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securities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securities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securities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securities </w:t>
            </w:r>
            <w:r>
              <w:rPr>
                <w:rFonts w:ascii="Arial;Helvetica;Sans-Serif" w:hAnsi="Arial;Helvetica;Sans-Serif"/>
                <w:b w:val="false"/>
                <w:sz w:val="18"/>
              </w:rPr>
              <w:t>will be impacted by many economic and market factors.</w:t>
            </w:r>
          </w:p>
        </w:tc>
      </w:tr>
    </w:tbl>
    <w:p>
      <w:pPr>
        <w:pStyle w:val="TextBody"/>
        <w:bidi w:val="0"/>
        <w:spacing w:before="40" w:after="40"/>
        <w:ind w:left="360" w:right="4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4"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58"/>
        <w:gridCol w:w="192"/>
        <w:gridCol w:w="9955"/>
      </w:tblGrid>
      <w:tr>
        <w:trPr/>
        <w:tc>
          <w:tcPr>
            <w:tcW w:w="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55"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Investing in the securities is not equivalent to investing in any underlying index. </w:t>
            </w:r>
          </w:p>
        </w:tc>
      </w:tr>
    </w:tbl>
    <w:tbl>
      <w:tblPr>
        <w:tblW w:w="5000" w:type="pct"/>
        <w:jc w:val="left"/>
        <w:tblInd w:w="0" w:type="dxa"/>
        <w:tblLayout w:type="fixed"/>
        <w:tblCellMar>
          <w:top w:w="0" w:type="dxa"/>
          <w:left w:w="0" w:type="dxa"/>
          <w:bottom w:w="0" w:type="dxa"/>
          <w:right w:w="0" w:type="dxa"/>
        </w:tblCellMar>
      </w:tblPr>
      <w:tblGrid>
        <w:gridCol w:w="54"/>
        <w:gridCol w:w="177"/>
        <w:gridCol w:w="9974"/>
      </w:tblGrid>
      <w:tr>
        <w:trPr/>
        <w:tc>
          <w:tcPr>
            <w:tcW w:w="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4"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Adjustments to any underlying index could adversely affect the value of the securities.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The securities are subject to risks associated with securities issued by non-U.S. companies with respect to the SX5E Index and the NDX Index. </w:t>
            </w:r>
          </w:p>
        </w:tc>
      </w:tr>
    </w:tbl>
    <w:tbl>
      <w:tblPr>
        <w:tblW w:w="5000" w:type="pct"/>
        <w:jc w:val="left"/>
        <w:tblInd w:w="0" w:type="dxa"/>
        <w:tblLayout w:type="fixed"/>
        <w:tblCellMar>
          <w:top w:w="0" w:type="dxa"/>
          <w:left w:w="0" w:type="dxa"/>
          <w:bottom w:w="0" w:type="dxa"/>
          <w:right w:w="0" w:type="dxa"/>
        </w:tblCellMar>
      </w:tblPr>
      <w:tblGrid>
        <w:gridCol w:w="41"/>
        <w:gridCol w:w="139"/>
        <w:gridCol w:w="10025"/>
      </w:tblGrid>
      <w:tr>
        <w:trPr/>
        <w:tc>
          <w:tcPr>
            <w:tcW w:w="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25"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The securities are not directly exposed to fluctuations in foreign exchange rates with respect to the SX5E Index.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Governmental legislative and regulatory actions, including sanctions, could adversely affect your investment in the securities. </w:t>
            </w:r>
          </w:p>
        </w:tc>
      </w:tr>
    </w:tbl>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jc w:val="left"/>
        <w:rPr>
          <w:caps w:val="false"/>
          <w:smallCaps w:val="false"/>
          <w:color w:val="296DC1"/>
        </w:rPr>
      </w:pPr>
      <w:r>
        <w:rPr>
          <w:caps w:val="false"/>
          <w:smallCaps w:val="false"/>
          <w:color w:val="296DC1"/>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13-Month SPX/SX5E/NDX Enhanced Trigger Jump Securities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07855/ea0308079-01_424b2.htm" TargetMode="External"/><Relationship Id="rId3" Type="http://schemas.openxmlformats.org/officeDocument/2006/relationships/hyperlink" Target="http://www.sec.gov/Archives/edgar/data/19617/000121390026107855/ea0308079-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1561</Words>
  <Characters>8592</Characters>
  <CharactersWithSpaces>10008</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