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154940</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t>UNITED STATES</w:t>
      </w:r>
    </w:p>
    <w:p>
      <w:pPr>
        <w:spacing w:after="0" w:line="24"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9"/>
        <w:spacing w:after="0"/>
        <w:rPr>
          <w:sz w:val="20"/>
          <w:szCs w:val="20"/>
          <w:color w:val="auto"/>
        </w:rPr>
      </w:pPr>
      <w:r>
        <w:rPr>
          <w:rFonts w:ascii="Arial" w:cs="Arial" w:eastAsia="Arial" w:hAnsi="Arial"/>
          <w:sz w:val="21"/>
          <w:szCs w:val="21"/>
          <w:b w:val="1"/>
          <w:bCs w:val="1"/>
          <w:color w:val="auto"/>
        </w:rPr>
        <w:t>WASHINGTON, DC 20549</w:t>
      </w:r>
    </w:p>
    <w:p>
      <w:pPr>
        <w:spacing w:after="0" w:line="224" w:lineRule="exact"/>
        <w:rPr>
          <w:sz w:val="24"/>
          <w:szCs w:val="24"/>
          <w:color w:val="auto"/>
        </w:rPr>
      </w:pPr>
    </w:p>
    <w:p>
      <w:pPr>
        <w:ind w:left="5020"/>
        <w:spacing w:after="0"/>
        <w:rPr>
          <w:sz w:val="20"/>
          <w:szCs w:val="20"/>
          <w:color w:val="auto"/>
        </w:rPr>
      </w:pPr>
      <w:r>
        <w:rPr>
          <w:rFonts w:ascii="Arial" w:cs="Arial" w:eastAsia="Arial" w:hAnsi="Arial"/>
          <w:sz w:val="21"/>
          <w:szCs w:val="21"/>
          <w:color w:val="auto"/>
        </w:rPr>
        <w:t>_____________</w:t>
      </w:r>
    </w:p>
    <w:p>
      <w:pPr>
        <w:spacing w:after="0" w:line="200" w:lineRule="exact"/>
        <w:rPr>
          <w:sz w:val="24"/>
          <w:szCs w:val="24"/>
          <w:color w:val="auto"/>
        </w:rPr>
      </w:pPr>
    </w:p>
    <w:p>
      <w:pPr>
        <w:spacing w:after="0" w:line="264" w:lineRule="exact"/>
        <w:rPr>
          <w:sz w:val="24"/>
          <w:szCs w:val="24"/>
          <w:color w:val="auto"/>
        </w:rPr>
      </w:pPr>
    </w:p>
    <w:tbl>
      <w:tblPr>
        <w:tblLayout w:type="fixed"/>
        <w:tblInd w:w="400" w:type="dxa"/>
        <w:tblCellMar>
          <w:top w:w="0" w:type="dxa"/>
          <w:left w:w="0" w:type="dxa"/>
          <w:bottom w:w="0" w:type="dxa"/>
          <w:right w:w="0" w:type="dxa"/>
        </w:tblCellMar>
      </w:tblPr>
      <w:tr>
        <w:trPr>
          <w:trHeight w:val="419"/>
        </w:trPr>
        <w:tc>
          <w:tcPr>
            <w:tcW w:w="7800" w:type="dxa"/>
            <w:vAlign w:val="bottom"/>
          </w:tcPr>
          <w:p>
            <w:pPr>
              <w:jc w:val="center"/>
              <w:ind w:left="2722"/>
              <w:spacing w:after="0"/>
              <w:rPr>
                <w:sz w:val="20"/>
                <w:szCs w:val="20"/>
                <w:color w:val="auto"/>
              </w:rPr>
            </w:pPr>
            <w:r>
              <w:rPr>
                <w:rFonts w:ascii="Arial" w:cs="Arial" w:eastAsia="Arial" w:hAnsi="Arial"/>
                <w:sz w:val="32"/>
                <w:szCs w:val="32"/>
                <w:b w:val="1"/>
                <w:bCs w:val="1"/>
                <w:color w:val="auto"/>
              </w:rPr>
              <w:t>FORM 8-K</w:t>
            </w:r>
          </w:p>
        </w:tc>
        <w:tc>
          <w:tcPr>
            <w:tcW w:w="2520" w:type="dxa"/>
            <w:vAlign w:val="bottom"/>
          </w:tcPr>
          <w:p>
            <w:pPr>
              <w:spacing w:after="0"/>
              <w:rPr>
                <w:sz w:val="24"/>
                <w:szCs w:val="24"/>
                <w:color w:val="auto"/>
              </w:rPr>
            </w:pPr>
          </w:p>
        </w:tc>
      </w:tr>
      <w:tr>
        <w:trPr>
          <w:trHeight w:val="441"/>
        </w:trPr>
        <w:tc>
          <w:tcPr>
            <w:tcW w:w="7800" w:type="dxa"/>
            <w:vAlign w:val="bottom"/>
          </w:tcPr>
          <w:p>
            <w:pPr>
              <w:jc w:val="center"/>
              <w:ind w:left="2742"/>
              <w:spacing w:after="0"/>
              <w:rPr>
                <w:sz w:val="20"/>
                <w:szCs w:val="20"/>
                <w:color w:val="auto"/>
              </w:rPr>
            </w:pPr>
            <w:r>
              <w:rPr>
                <w:rFonts w:ascii="Arial" w:cs="Arial" w:eastAsia="Arial" w:hAnsi="Arial"/>
                <w:sz w:val="21"/>
                <w:szCs w:val="21"/>
                <w:b w:val="1"/>
                <w:bCs w:val="1"/>
                <w:color w:val="auto"/>
              </w:rPr>
              <w:t>CURRENT REPORT</w:t>
            </w:r>
          </w:p>
        </w:tc>
        <w:tc>
          <w:tcPr>
            <w:tcW w:w="2520" w:type="dxa"/>
            <w:vAlign w:val="bottom"/>
          </w:tcPr>
          <w:p>
            <w:pPr>
              <w:spacing w:after="0"/>
              <w:rPr>
                <w:sz w:val="24"/>
                <w:szCs w:val="24"/>
                <w:color w:val="auto"/>
              </w:rPr>
            </w:pPr>
          </w:p>
        </w:tc>
      </w:tr>
      <w:tr>
        <w:trPr>
          <w:trHeight w:val="242"/>
        </w:trPr>
        <w:tc>
          <w:tcPr>
            <w:tcW w:w="7800" w:type="dxa"/>
            <w:vAlign w:val="bottom"/>
          </w:tcPr>
          <w:p>
            <w:pPr>
              <w:jc w:val="center"/>
              <w:ind w:left="2722"/>
              <w:spacing w:after="0"/>
              <w:rPr>
                <w:sz w:val="20"/>
                <w:szCs w:val="20"/>
                <w:color w:val="auto"/>
              </w:rPr>
            </w:pPr>
            <w:r>
              <w:rPr>
                <w:rFonts w:ascii="Arial" w:cs="Arial" w:eastAsia="Arial" w:hAnsi="Arial"/>
                <w:sz w:val="21"/>
                <w:szCs w:val="21"/>
                <w:b w:val="1"/>
                <w:bCs w:val="1"/>
                <w:color w:val="auto"/>
                <w:w w:val="91"/>
              </w:rPr>
              <w:t>Pursuant to Section 13 or 15(d) of the</w:t>
            </w:r>
          </w:p>
        </w:tc>
        <w:tc>
          <w:tcPr>
            <w:tcW w:w="2520" w:type="dxa"/>
            <w:vAlign w:val="bottom"/>
          </w:tcPr>
          <w:p>
            <w:pPr>
              <w:spacing w:after="0"/>
              <w:rPr>
                <w:sz w:val="21"/>
                <w:szCs w:val="21"/>
                <w:color w:val="auto"/>
              </w:rPr>
            </w:pPr>
          </w:p>
        </w:tc>
      </w:tr>
      <w:tr>
        <w:trPr>
          <w:trHeight w:val="279"/>
        </w:trPr>
        <w:tc>
          <w:tcPr>
            <w:tcW w:w="7800" w:type="dxa"/>
            <w:vAlign w:val="bottom"/>
          </w:tcPr>
          <w:p>
            <w:pPr>
              <w:jc w:val="center"/>
              <w:ind w:left="2722"/>
              <w:spacing w:after="0"/>
              <w:rPr>
                <w:sz w:val="20"/>
                <w:szCs w:val="20"/>
                <w:color w:val="auto"/>
              </w:rPr>
            </w:pPr>
            <w:r>
              <w:rPr>
                <w:rFonts w:ascii="Arial" w:cs="Arial" w:eastAsia="Arial" w:hAnsi="Arial"/>
                <w:sz w:val="21"/>
                <w:szCs w:val="21"/>
                <w:b w:val="1"/>
                <w:bCs w:val="1"/>
                <w:color w:val="auto"/>
                <w:w w:val="90"/>
              </w:rPr>
              <w:t>Securities Exchange Act of 1934</w:t>
            </w:r>
          </w:p>
        </w:tc>
        <w:tc>
          <w:tcPr>
            <w:tcW w:w="2520" w:type="dxa"/>
            <w:vAlign w:val="bottom"/>
          </w:tcPr>
          <w:p>
            <w:pPr>
              <w:spacing w:after="0"/>
              <w:rPr>
                <w:sz w:val="24"/>
                <w:szCs w:val="24"/>
                <w:color w:val="auto"/>
              </w:rPr>
            </w:pPr>
          </w:p>
        </w:tc>
      </w:tr>
      <w:tr>
        <w:trPr>
          <w:trHeight w:val="688"/>
        </w:trPr>
        <w:tc>
          <w:tcPr>
            <w:tcW w:w="7800" w:type="dxa"/>
            <w:vAlign w:val="bottom"/>
          </w:tcPr>
          <w:p>
            <w:pPr>
              <w:jc w:val="center"/>
              <w:ind w:left="2742"/>
              <w:spacing w:after="0"/>
              <w:rPr>
                <w:sz w:val="20"/>
                <w:szCs w:val="20"/>
                <w:color w:val="auto"/>
              </w:rPr>
            </w:pPr>
            <w:r>
              <w:rPr>
                <w:rFonts w:ascii="Arial" w:cs="Arial" w:eastAsia="Arial" w:hAnsi="Arial"/>
                <w:sz w:val="18"/>
                <w:szCs w:val="18"/>
                <w:color w:val="auto"/>
                <w:w w:val="92"/>
              </w:rPr>
              <w:t>Date of report (Date of earliest event reported):  April 21, 2008</w:t>
            </w:r>
          </w:p>
        </w:tc>
        <w:tc>
          <w:tcPr>
            <w:tcW w:w="2520" w:type="dxa"/>
            <w:vAlign w:val="bottom"/>
          </w:tcPr>
          <w:p>
            <w:pPr>
              <w:spacing w:after="0"/>
              <w:rPr>
                <w:sz w:val="24"/>
                <w:szCs w:val="24"/>
                <w:color w:val="auto"/>
              </w:rPr>
            </w:pPr>
          </w:p>
        </w:tc>
      </w:tr>
      <w:tr>
        <w:trPr>
          <w:trHeight w:val="442"/>
        </w:trPr>
        <w:tc>
          <w:tcPr>
            <w:tcW w:w="7800" w:type="dxa"/>
            <w:vAlign w:val="bottom"/>
          </w:tcPr>
          <w:p>
            <w:pPr>
              <w:jc w:val="center"/>
              <w:ind w:left="2722"/>
              <w:spacing w:after="0"/>
              <w:rPr>
                <w:sz w:val="20"/>
                <w:szCs w:val="20"/>
                <w:color w:val="auto"/>
              </w:rPr>
            </w:pPr>
            <w:r>
              <w:rPr>
                <w:rFonts w:ascii="Arial" w:cs="Arial" w:eastAsia="Arial" w:hAnsi="Arial"/>
                <w:sz w:val="21"/>
                <w:szCs w:val="21"/>
                <w:b w:val="1"/>
                <w:bCs w:val="1"/>
                <w:color w:val="auto"/>
              </w:rPr>
              <w:t>JPMORGAN CHASE &amp; CO.</w:t>
            </w:r>
          </w:p>
        </w:tc>
        <w:tc>
          <w:tcPr>
            <w:tcW w:w="2520" w:type="dxa"/>
            <w:vAlign w:val="bottom"/>
          </w:tcPr>
          <w:p>
            <w:pPr>
              <w:spacing w:after="0"/>
              <w:rPr>
                <w:sz w:val="24"/>
                <w:szCs w:val="24"/>
                <w:color w:val="auto"/>
              </w:rPr>
            </w:pPr>
          </w:p>
        </w:tc>
      </w:tr>
      <w:tr>
        <w:trPr>
          <w:trHeight w:val="215"/>
        </w:trPr>
        <w:tc>
          <w:tcPr>
            <w:tcW w:w="7800" w:type="dxa"/>
            <w:vAlign w:val="bottom"/>
          </w:tcPr>
          <w:p>
            <w:pPr>
              <w:jc w:val="center"/>
              <w:ind w:left="2742"/>
              <w:spacing w:after="0"/>
              <w:rPr>
                <w:sz w:val="20"/>
                <w:szCs w:val="20"/>
                <w:color w:val="auto"/>
              </w:rPr>
            </w:pPr>
            <w:r>
              <w:rPr>
                <w:rFonts w:ascii="Arial" w:cs="Arial" w:eastAsia="Arial" w:hAnsi="Arial"/>
                <w:sz w:val="18"/>
                <w:szCs w:val="18"/>
                <w:color w:val="auto"/>
                <w:w w:val="90"/>
              </w:rPr>
              <w:t>(Exact Name of Registrant</w:t>
            </w:r>
          </w:p>
        </w:tc>
        <w:tc>
          <w:tcPr>
            <w:tcW w:w="2520" w:type="dxa"/>
            <w:vAlign w:val="bottom"/>
          </w:tcPr>
          <w:p>
            <w:pPr>
              <w:spacing w:after="0"/>
              <w:rPr>
                <w:sz w:val="18"/>
                <w:szCs w:val="18"/>
                <w:color w:val="auto"/>
              </w:rPr>
            </w:pPr>
          </w:p>
        </w:tc>
      </w:tr>
      <w:tr>
        <w:trPr>
          <w:trHeight w:val="229"/>
        </w:trPr>
        <w:tc>
          <w:tcPr>
            <w:tcW w:w="7800" w:type="dxa"/>
            <w:vAlign w:val="bottom"/>
          </w:tcPr>
          <w:p>
            <w:pPr>
              <w:jc w:val="center"/>
              <w:ind w:left="2722"/>
              <w:spacing w:after="0"/>
              <w:rPr>
                <w:sz w:val="20"/>
                <w:szCs w:val="20"/>
                <w:color w:val="auto"/>
              </w:rPr>
            </w:pPr>
            <w:r>
              <w:rPr>
                <w:rFonts w:ascii="Arial" w:cs="Arial" w:eastAsia="Arial" w:hAnsi="Arial"/>
                <w:sz w:val="18"/>
                <w:szCs w:val="18"/>
                <w:color w:val="auto"/>
                <w:w w:val="90"/>
              </w:rPr>
              <w:t>as Specified in Charter)</w:t>
            </w:r>
          </w:p>
        </w:tc>
        <w:tc>
          <w:tcPr>
            <w:tcW w:w="2520" w:type="dxa"/>
            <w:vAlign w:val="bottom"/>
          </w:tcPr>
          <w:p>
            <w:pPr>
              <w:spacing w:after="0"/>
              <w:rPr>
                <w:sz w:val="19"/>
                <w:szCs w:val="19"/>
                <w:color w:val="auto"/>
              </w:rPr>
            </w:pPr>
          </w:p>
        </w:tc>
      </w:tr>
      <w:tr>
        <w:trPr>
          <w:trHeight w:val="415"/>
        </w:trPr>
        <w:tc>
          <w:tcPr>
            <w:tcW w:w="7800" w:type="dxa"/>
            <w:vAlign w:val="bottom"/>
          </w:tcPr>
          <w:p>
            <w:pPr>
              <w:jc w:val="center"/>
              <w:ind w:left="2602"/>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spacing w:after="0"/>
              <w:rPr>
                <w:sz w:val="24"/>
                <w:szCs w:val="24"/>
                <w:color w:val="auto"/>
              </w:rPr>
            </w:pPr>
          </w:p>
        </w:tc>
      </w:tr>
      <w:tr>
        <w:trPr>
          <w:trHeight w:val="229"/>
        </w:trPr>
        <w:tc>
          <w:tcPr>
            <w:tcW w:w="7800" w:type="dxa"/>
            <w:vAlign w:val="bottom"/>
          </w:tcPr>
          <w:p>
            <w:pPr>
              <w:jc w:val="center"/>
              <w:ind w:left="2602"/>
              <w:spacing w:after="0"/>
              <w:rPr>
                <w:sz w:val="20"/>
                <w:szCs w:val="20"/>
                <w:color w:val="auto"/>
              </w:rPr>
            </w:pPr>
            <w:r>
              <w:rPr>
                <w:rFonts w:ascii="Arial" w:cs="Arial" w:eastAsia="Arial" w:hAnsi="Arial"/>
                <w:sz w:val="18"/>
                <w:szCs w:val="18"/>
                <w:color w:val="auto"/>
                <w:w w:val="91"/>
              </w:rPr>
              <w:t>(State or Other Jurisdiction of Incorporation)</w:t>
            </w:r>
          </w:p>
        </w:tc>
        <w:tc>
          <w:tcPr>
            <w:tcW w:w="2520" w:type="dxa"/>
            <w:vAlign w:val="bottom"/>
          </w:tcPr>
          <w:p>
            <w:pPr>
              <w:spacing w:after="0"/>
              <w:rPr>
                <w:sz w:val="19"/>
                <w:szCs w:val="19"/>
                <w:color w:val="auto"/>
              </w:rPr>
            </w:pPr>
          </w:p>
        </w:tc>
      </w:tr>
      <w:tr>
        <w:trPr>
          <w:trHeight w:val="415"/>
        </w:trPr>
        <w:tc>
          <w:tcPr>
            <w:tcW w:w="7800" w:type="dxa"/>
            <w:vAlign w:val="bottom"/>
          </w:tcPr>
          <w:p>
            <w:pPr>
              <w:jc w:val="center"/>
              <w:ind w:right="4762"/>
              <w:spacing w:after="0"/>
              <w:rPr>
                <w:sz w:val="20"/>
                <w:szCs w:val="20"/>
                <w:color w:val="auto"/>
              </w:rPr>
            </w:pPr>
            <w:r>
              <w:rPr>
                <w:rFonts w:ascii="Arial" w:cs="Arial" w:eastAsia="Arial" w:hAnsi="Arial"/>
                <w:sz w:val="18"/>
                <w:szCs w:val="18"/>
                <w:b w:val="1"/>
                <w:bCs w:val="1"/>
                <w:color w:val="auto"/>
                <w:w w:val="90"/>
              </w:rPr>
              <w:t>001-05805</w:t>
            </w:r>
          </w:p>
        </w:tc>
        <w:tc>
          <w:tcPr>
            <w:tcW w:w="2520" w:type="dxa"/>
            <w:vAlign w:val="bottom"/>
          </w:tcPr>
          <w:p>
            <w:pPr>
              <w:jc w:val="right"/>
              <w:ind w:right="711"/>
              <w:spacing w:after="0"/>
              <w:rPr>
                <w:sz w:val="20"/>
                <w:szCs w:val="20"/>
                <w:color w:val="auto"/>
              </w:rPr>
            </w:pPr>
            <w:r>
              <w:rPr>
                <w:rFonts w:ascii="Arial" w:cs="Arial" w:eastAsia="Arial" w:hAnsi="Arial"/>
                <w:sz w:val="18"/>
                <w:szCs w:val="18"/>
                <w:b w:val="1"/>
                <w:bCs w:val="1"/>
                <w:color w:val="auto"/>
              </w:rPr>
              <w:t>13-2624428</w:t>
            </w:r>
          </w:p>
        </w:tc>
      </w:tr>
      <w:tr>
        <w:trPr>
          <w:trHeight w:val="229"/>
        </w:trPr>
        <w:tc>
          <w:tcPr>
            <w:tcW w:w="7800" w:type="dxa"/>
            <w:vAlign w:val="bottom"/>
          </w:tcPr>
          <w:p>
            <w:pPr>
              <w:jc w:val="center"/>
              <w:ind w:right="4762"/>
              <w:spacing w:after="0"/>
              <w:rPr>
                <w:sz w:val="20"/>
                <w:szCs w:val="20"/>
                <w:color w:val="auto"/>
              </w:rPr>
            </w:pPr>
            <w:r>
              <w:rPr>
                <w:rFonts w:ascii="Arial" w:cs="Arial" w:eastAsia="Arial" w:hAnsi="Arial"/>
                <w:sz w:val="18"/>
                <w:szCs w:val="18"/>
                <w:color w:val="auto"/>
                <w:w w:val="92"/>
              </w:rPr>
              <w:t>(Commission File Number)</w:t>
            </w:r>
          </w:p>
        </w:tc>
        <w:tc>
          <w:tcPr>
            <w:tcW w:w="25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11"/>
        </w:trPr>
        <w:tc>
          <w:tcPr>
            <w:tcW w:w="7800" w:type="dxa"/>
            <w:vAlign w:val="bottom"/>
          </w:tcPr>
          <w:p>
            <w:pPr>
              <w:ind w:left="880"/>
              <w:spacing w:after="0"/>
              <w:rPr>
                <w:sz w:val="20"/>
                <w:szCs w:val="20"/>
                <w:color w:val="auto"/>
              </w:rPr>
            </w:pPr>
            <w:r>
              <w:rPr>
                <w:rFonts w:ascii="Arial" w:cs="Arial" w:eastAsia="Arial" w:hAnsi="Arial"/>
                <w:sz w:val="18"/>
                <w:szCs w:val="18"/>
                <w:b w:val="1"/>
                <w:bCs w:val="1"/>
                <w:color w:val="auto"/>
              </w:rPr>
              <w:t>270 Park Avenue,</w:t>
            </w:r>
          </w:p>
        </w:tc>
        <w:tc>
          <w:tcPr>
            <w:tcW w:w="2520" w:type="dxa"/>
            <w:vAlign w:val="bottom"/>
          </w:tcPr>
          <w:p>
            <w:pPr>
              <w:spacing w:after="0"/>
              <w:rPr>
                <w:sz w:val="24"/>
                <w:szCs w:val="24"/>
                <w:color w:val="auto"/>
              </w:rPr>
            </w:pPr>
          </w:p>
        </w:tc>
      </w:tr>
      <w:tr>
        <w:trPr>
          <w:trHeight w:val="219"/>
        </w:trPr>
        <w:tc>
          <w:tcPr>
            <w:tcW w:w="7800" w:type="dxa"/>
            <w:vAlign w:val="bottom"/>
          </w:tcPr>
          <w:p>
            <w:pPr>
              <w:jc w:val="center"/>
              <w:ind w:right="4762"/>
              <w:spacing w:after="0"/>
              <w:rPr>
                <w:sz w:val="20"/>
                <w:szCs w:val="20"/>
                <w:color w:val="auto"/>
              </w:rPr>
            </w:pPr>
            <w:r>
              <w:rPr>
                <w:rFonts w:ascii="Arial" w:cs="Arial" w:eastAsia="Arial" w:hAnsi="Arial"/>
                <w:sz w:val="18"/>
                <w:szCs w:val="18"/>
                <w:b w:val="1"/>
                <w:bCs w:val="1"/>
                <w:color w:val="auto"/>
                <w:w w:val="93"/>
              </w:rPr>
              <w:t>New York, NY</w:t>
            </w:r>
          </w:p>
        </w:tc>
        <w:tc>
          <w:tcPr>
            <w:tcW w:w="2520" w:type="dxa"/>
            <w:vAlign w:val="bottom"/>
          </w:tcPr>
          <w:p>
            <w:pPr>
              <w:jc w:val="right"/>
              <w:ind w:right="911"/>
              <w:spacing w:after="0"/>
              <w:rPr>
                <w:sz w:val="20"/>
                <w:szCs w:val="20"/>
                <w:color w:val="auto"/>
              </w:rPr>
            </w:pPr>
            <w:r>
              <w:rPr>
                <w:rFonts w:ascii="Arial" w:cs="Arial" w:eastAsia="Arial" w:hAnsi="Arial"/>
                <w:sz w:val="18"/>
                <w:szCs w:val="18"/>
                <w:b w:val="1"/>
                <w:bCs w:val="1"/>
                <w:color w:val="auto"/>
              </w:rPr>
              <w:t>10017</w:t>
            </w:r>
          </w:p>
        </w:tc>
      </w:tr>
      <w:tr>
        <w:trPr>
          <w:trHeight w:val="229"/>
        </w:trPr>
        <w:tc>
          <w:tcPr>
            <w:tcW w:w="7800" w:type="dxa"/>
            <w:vAlign w:val="bottom"/>
          </w:tcPr>
          <w:p>
            <w:pPr>
              <w:jc w:val="center"/>
              <w:ind w:right="4782"/>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645"/>
        </w:trPr>
        <w:tc>
          <w:tcPr>
            <w:tcW w:w="7800" w:type="dxa"/>
            <w:vAlign w:val="bottom"/>
          </w:tcPr>
          <w:p>
            <w:pPr>
              <w:jc w:val="center"/>
              <w:ind w:left="2742"/>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(212) 270-6000</w:t>
            </w:r>
          </w:p>
        </w:tc>
        <w:tc>
          <w:tcPr>
            <w:tcW w:w="2520" w:type="dxa"/>
            <w:vAlign w:val="bottom"/>
          </w:tcPr>
          <w:p>
            <w:pPr>
              <w:spacing w:after="0"/>
              <w:rPr>
                <w:sz w:val="24"/>
                <w:szCs w:val="24"/>
                <w:color w:val="auto"/>
              </w:rPr>
            </w:pPr>
          </w:p>
        </w:tc>
      </w:tr>
      <w:tr>
        <w:trPr>
          <w:trHeight w:val="886"/>
        </w:trPr>
        <w:tc>
          <w:tcPr>
            <w:tcW w:w="7800" w:type="dxa"/>
            <w:vAlign w:val="bottom"/>
          </w:tcPr>
          <w:p>
            <w:pPr>
              <w:jc w:val="center"/>
              <w:ind w:left="2742"/>
              <w:spacing w:after="0"/>
              <w:rPr>
                <w:sz w:val="20"/>
                <w:szCs w:val="20"/>
                <w:color w:val="auto"/>
              </w:rPr>
            </w:pPr>
            <w:r>
              <w:rPr>
                <w:rFonts w:ascii="Arial" w:cs="Arial" w:eastAsia="Arial" w:hAnsi="Arial"/>
                <w:sz w:val="18"/>
                <w:szCs w:val="18"/>
                <w:color w:val="auto"/>
                <w:w w:val="89"/>
              </w:rPr>
              <w:t>_________________________</w:t>
            </w:r>
          </w:p>
        </w:tc>
        <w:tc>
          <w:tcPr>
            <w:tcW w:w="2520" w:type="dxa"/>
            <w:vAlign w:val="bottom"/>
          </w:tcPr>
          <w:p>
            <w:pPr>
              <w:spacing w:after="0"/>
              <w:rPr>
                <w:sz w:val="24"/>
                <w:szCs w:val="24"/>
                <w:color w:val="auto"/>
              </w:rPr>
            </w:pPr>
          </w:p>
        </w:tc>
      </w:tr>
    </w:tbl>
    <w:p>
      <w:pPr>
        <w:spacing w:after="0" w:line="227"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9"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49" w:lineRule="exact"/>
        <w:rPr>
          <w:rFonts w:ascii="Arial" w:cs="Arial" w:eastAsia="Arial" w:hAnsi="Arial"/>
          <w:sz w:val="18"/>
          <w:szCs w:val="18"/>
          <w:color w:val="auto"/>
        </w:rPr>
      </w:pPr>
    </w:p>
    <w:p>
      <w:pPr>
        <w:ind w:left="320" w:hanging="313"/>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540385</wp:posOffset>
            </wp:positionV>
            <wp:extent cx="725170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240"/>
          </w:cols>
          <w:pgMar w:left="240" w:top="837" w:right="419" w:bottom="1440" w:gutter="0" w:footer="0" w:header="0"/>
        </w:sectPr>
      </w:pPr>
    </w:p>
    <w:bookmarkStart w:id="1" w:name="page2"/>
    <w:bookmarkEnd w:id="1"/>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6" w:lineRule="exact"/>
        <w:rPr>
          <w:sz w:val="20"/>
          <w:szCs w:val="20"/>
          <w:color w:val="auto"/>
        </w:rPr>
      </w:pPr>
    </w:p>
    <w:p>
      <w:pPr>
        <w:ind w:left="420"/>
        <w:spacing w:after="0"/>
        <w:tabs>
          <w:tab w:leader="none" w:pos="14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4" w:lineRule="exact"/>
        <w:rPr>
          <w:sz w:val="20"/>
          <w:szCs w:val="20"/>
          <w:color w:val="auto"/>
        </w:rPr>
      </w:pPr>
    </w:p>
    <w:p>
      <w:pPr>
        <w:ind w:left="1120" w:hanging="432"/>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0" w:lineRule="exact"/>
        <w:rPr>
          <w:sz w:val="20"/>
          <w:szCs w:val="20"/>
          <w:color w:val="auto"/>
        </w:rPr>
      </w:pPr>
    </w:p>
    <w:p>
      <w:pPr>
        <w:ind w:right="160" w:firstLine="677"/>
        <w:spacing w:after="0" w:line="275" w:lineRule="auto"/>
        <w:rPr>
          <w:sz w:val="20"/>
          <w:szCs w:val="20"/>
          <w:color w:val="auto"/>
        </w:rPr>
      </w:pPr>
      <w:r>
        <w:rPr>
          <w:rFonts w:ascii="Arial" w:cs="Arial" w:eastAsia="Arial" w:hAnsi="Arial"/>
          <w:sz w:val="18"/>
          <w:szCs w:val="18"/>
          <w:color w:val="auto"/>
        </w:rPr>
        <w:t>The following Exhibits are incorporated by reference into the Registration Statement on Form S-3ASR (333-130051) of JPMorgan Chase &amp; Co. (the “Registrant”) as exhibits thereto and are filed as part of this Current Report.</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620" w:type="dxa"/>
            <w:vAlign w:val="bottom"/>
          </w:tcPr>
          <w:p>
            <w:pPr>
              <w:jc w:val="right"/>
              <w:ind w:right="311"/>
              <w:spacing w:after="0"/>
              <w:rPr>
                <w:sz w:val="20"/>
                <w:szCs w:val="20"/>
                <w:color w:val="auto"/>
              </w:rPr>
            </w:pPr>
            <w:r>
              <w:rPr>
                <w:rFonts w:ascii="Arial" w:cs="Arial" w:eastAsia="Arial" w:hAnsi="Arial"/>
                <w:sz w:val="18"/>
                <w:szCs w:val="18"/>
                <w:color w:val="auto"/>
                <w:w w:val="79"/>
              </w:rPr>
              <w:t>8.1</w:t>
            </w:r>
          </w:p>
        </w:tc>
        <w:tc>
          <w:tcPr>
            <w:tcW w:w="10060" w:type="dxa"/>
            <w:vAlign w:val="bottom"/>
          </w:tcPr>
          <w:p>
            <w:pPr>
              <w:ind w:left="400"/>
              <w:spacing w:after="0"/>
              <w:rPr>
                <w:sz w:val="20"/>
                <w:szCs w:val="20"/>
                <w:color w:val="auto"/>
              </w:rPr>
            </w:pPr>
            <w:r>
              <w:rPr>
                <w:rFonts w:ascii="Arial" w:cs="Arial" w:eastAsia="Arial" w:hAnsi="Arial"/>
                <w:sz w:val="18"/>
                <w:szCs w:val="18"/>
                <w:color w:val="auto"/>
                <w:w w:val="91"/>
              </w:rPr>
              <w:t xml:space="preserve">Tax Opinion of Sidley Austin </w:t>
            </w:r>
            <w:r>
              <w:rPr>
                <w:rFonts w:ascii="Arial" w:cs="Arial" w:eastAsia="Arial" w:hAnsi="Arial"/>
                <w:sz w:val="12"/>
                <w:szCs w:val="12"/>
                <w:color w:val="auto"/>
                <w:w w:val="91"/>
              </w:rPr>
              <w:t>LLP</w:t>
            </w:r>
            <w:r>
              <w:rPr>
                <w:rFonts w:ascii="Arial" w:cs="Arial" w:eastAsia="Arial" w:hAnsi="Arial"/>
                <w:sz w:val="18"/>
                <w:szCs w:val="18"/>
                <w:color w:val="auto"/>
                <w:w w:val="91"/>
              </w:rPr>
              <w:t xml:space="preserve"> relating to $2,000,000 Semi Annual Review Notes Linked to an Equally Weighted Basket Consisting</w:t>
            </w:r>
          </w:p>
        </w:tc>
      </w:tr>
      <w:tr>
        <w:trPr>
          <w:trHeight w:val="229"/>
        </w:trPr>
        <w:tc>
          <w:tcPr>
            <w:tcW w:w="620" w:type="dxa"/>
            <w:vAlign w:val="bottom"/>
          </w:tcPr>
          <w:p>
            <w:pPr>
              <w:spacing w:after="0"/>
              <w:rPr>
                <w:sz w:val="19"/>
                <w:szCs w:val="19"/>
                <w:color w:val="auto"/>
              </w:rPr>
            </w:pPr>
          </w:p>
        </w:tc>
        <w:tc>
          <w:tcPr>
            <w:tcW w:w="10060" w:type="dxa"/>
            <w:vAlign w:val="bottom"/>
          </w:tcPr>
          <w:p>
            <w:pPr>
              <w:ind w:left="400"/>
              <w:spacing w:after="0"/>
              <w:rPr>
                <w:sz w:val="20"/>
                <w:szCs w:val="20"/>
                <w:color w:val="auto"/>
              </w:rPr>
            </w:pPr>
            <w:r>
              <w:rPr>
                <w:rFonts w:ascii="Arial" w:cs="Arial" w:eastAsia="Arial" w:hAnsi="Arial"/>
                <w:sz w:val="18"/>
                <w:szCs w:val="18"/>
                <w:color w:val="auto"/>
              </w:rPr>
              <w:t>of the Common Stocks of Citigroup Inc., Bank of America Corporation and Wells Fargo &amp; Company due April 29,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00"/>
          </w:cols>
          <w:pgMar w:left="240" w:top="367" w:right="15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ind w:firstLine="322"/>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&amp; CO.</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-10795</wp:posOffset>
            </wp:positionV>
            <wp:extent cx="1401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1445" cy="8255"/>
                    </a:xfrm>
                    <a:prstGeom prst="rect">
                      <a:avLst/>
                    </a:prstGeom>
                    <a:noFill/>
                  </pic:spPr>
                </pic:pic>
              </a:graphicData>
            </a:graphic>
          </wp:anchor>
        </w:drawing>
      </w:r>
    </w:p>
    <w:p>
      <w:pPr>
        <w:spacing w:after="0" w:line="203" w:lineRule="exact"/>
        <w:rPr>
          <w:sz w:val="20"/>
          <w:szCs w:val="20"/>
          <w:color w:val="auto"/>
        </w:rPr>
      </w:pPr>
    </w:p>
    <w:p>
      <w:pPr>
        <w:ind w:left="5980"/>
        <w:spacing w:after="0"/>
        <w:tabs>
          <w:tab w:leader="none" w:pos="6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Anthony J. Horan</w:t>
      </w:r>
    </w:p>
    <w:p>
      <w:pPr>
        <w:spacing w:after="0" w:line="22"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Corporate Secretary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Dated:  April 23, 2008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517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600"/>
          </w:cols>
          <w:pgMar w:left="240" w:top="994"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40" w:type="dxa"/>
            <w:vAlign w:val="bottom"/>
            <w:gridSpan w:val="2"/>
          </w:tcPr>
          <w:p>
            <w:pPr>
              <w:ind w:left="2340"/>
              <w:spacing w:after="0"/>
              <w:rPr>
                <w:sz w:val="20"/>
                <w:szCs w:val="20"/>
                <w:color w:val="auto"/>
              </w:rPr>
            </w:pPr>
            <w:r>
              <w:rPr>
                <w:rFonts w:ascii="Arial" w:cs="Arial" w:eastAsia="Arial" w:hAnsi="Arial"/>
                <w:sz w:val="18"/>
                <w:szCs w:val="18"/>
                <w:b w:val="1"/>
                <w:bCs w:val="1"/>
                <w:color w:val="auto"/>
              </w:rPr>
              <w:t>EXHIBIT INDEX</w:t>
            </w:r>
          </w:p>
        </w:tc>
      </w:tr>
      <w:tr>
        <w:trPr>
          <w:trHeight w:val="705"/>
        </w:trPr>
        <w:tc>
          <w:tcPr>
            <w:tcW w:w="2540" w:type="dxa"/>
            <w:vAlign w:val="bottom"/>
          </w:tcPr>
          <w:p>
            <w:pPr>
              <w:jc w:val="right"/>
              <w:ind w:right="551"/>
              <w:spacing w:after="0"/>
              <w:rPr>
                <w:sz w:val="20"/>
                <w:szCs w:val="20"/>
                <w:color w:val="auto"/>
              </w:rPr>
            </w:pPr>
            <w:r>
              <w:rPr>
                <w:rFonts w:ascii="Arial" w:cs="Arial" w:eastAsia="Arial" w:hAnsi="Arial"/>
                <w:sz w:val="18"/>
                <w:szCs w:val="18"/>
                <w:b w:val="1"/>
                <w:bCs w:val="1"/>
                <w:color w:val="auto"/>
              </w:rPr>
              <w:t>Exhibit Number</w:t>
            </w:r>
          </w:p>
        </w:tc>
        <w:tc>
          <w:tcPr>
            <w:tcW w:w="140" w:type="dxa"/>
            <w:vAlign w:val="bottom"/>
          </w:tcPr>
          <w:p>
            <w:pPr>
              <w:spacing w:after="0"/>
              <w:rPr>
                <w:sz w:val="24"/>
                <w:szCs w:val="24"/>
                <w:color w:val="auto"/>
              </w:rPr>
            </w:pPr>
          </w:p>
        </w:tc>
        <w:tc>
          <w:tcPr>
            <w:tcW w:w="8840" w:type="dxa"/>
            <w:vAlign w:val="bottom"/>
            <w:gridSpan w:val="2"/>
          </w:tcPr>
          <w:p>
            <w:pPr>
              <w:ind w:left="3920"/>
              <w:spacing w:after="0"/>
              <w:rPr>
                <w:sz w:val="20"/>
                <w:szCs w:val="20"/>
                <w:color w:val="auto"/>
              </w:rPr>
            </w:pPr>
            <w:r>
              <w:rPr>
                <w:rFonts w:ascii="Arial" w:cs="Arial" w:eastAsia="Arial" w:hAnsi="Arial"/>
                <w:sz w:val="18"/>
                <w:szCs w:val="18"/>
                <w:b w:val="1"/>
                <w:bCs w:val="1"/>
                <w:color w:val="auto"/>
              </w:rPr>
              <w:t>Description</w:t>
            </w:r>
          </w:p>
        </w:tc>
      </w:tr>
      <w:tr>
        <w:trPr>
          <w:trHeight w:val="200"/>
        </w:trPr>
        <w:tc>
          <w:tcPr>
            <w:tcW w:w="2540" w:type="dxa"/>
            <w:vAlign w:val="bottom"/>
            <w:tcBorders>
              <w:top w:val="single" w:sz="8" w:color="auto"/>
            </w:tcBorders>
          </w:tcPr>
          <w:p>
            <w:pPr>
              <w:jc w:val="right"/>
              <w:ind w:right="931"/>
              <w:spacing w:after="0" w:line="201" w:lineRule="exact"/>
              <w:rPr>
                <w:sz w:val="20"/>
                <w:szCs w:val="20"/>
                <w:color w:val="auto"/>
              </w:rPr>
            </w:pPr>
            <w:r>
              <w:rPr>
                <w:rFonts w:ascii="Arial" w:cs="Arial" w:eastAsia="Arial" w:hAnsi="Arial"/>
                <w:sz w:val="18"/>
                <w:szCs w:val="18"/>
                <w:color w:val="auto"/>
              </w:rPr>
              <w:t>8.1</w:t>
            </w:r>
          </w:p>
        </w:tc>
        <w:tc>
          <w:tcPr>
            <w:tcW w:w="140" w:type="dxa"/>
            <w:vAlign w:val="bottom"/>
          </w:tcPr>
          <w:p>
            <w:pPr>
              <w:spacing w:after="0"/>
              <w:rPr>
                <w:sz w:val="17"/>
                <w:szCs w:val="17"/>
                <w:color w:val="auto"/>
              </w:rPr>
            </w:pPr>
          </w:p>
        </w:tc>
        <w:tc>
          <w:tcPr>
            <w:tcW w:w="8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 xml:space="preserve">Tax Opinion of Sidley Austin </w:t>
            </w:r>
            <w:r>
              <w:rPr>
                <w:rFonts w:ascii="Arial" w:cs="Arial" w:eastAsia="Arial" w:hAnsi="Arial"/>
                <w:sz w:val="13"/>
                <w:szCs w:val="13"/>
                <w:color w:val="auto"/>
                <w:w w:val="90"/>
              </w:rPr>
              <w:t>LLP</w:t>
            </w:r>
            <w:r>
              <w:rPr>
                <w:rFonts w:ascii="Arial" w:cs="Arial" w:eastAsia="Arial" w:hAnsi="Arial"/>
                <w:sz w:val="18"/>
                <w:szCs w:val="18"/>
                <w:color w:val="auto"/>
                <w:w w:val="90"/>
              </w:rPr>
              <w:t xml:space="preserve"> relating to $2,000,000 Semi Annual Review Notes Linked to an Equally Weighted Baske</w:t>
            </w:r>
          </w:p>
        </w:tc>
        <w:tc>
          <w:tcPr>
            <w:tcW w:w="100" w:type="dxa"/>
            <w:vAlign w:val="bottom"/>
          </w:tcPr>
          <w:p>
            <w:pPr>
              <w:spacing w:after="0"/>
              <w:rPr>
                <w:sz w:val="17"/>
                <w:szCs w:val="17"/>
                <w:color w:val="auto"/>
              </w:rPr>
            </w:pPr>
          </w:p>
        </w:tc>
      </w:tr>
      <w:tr>
        <w:trPr>
          <w:trHeight w:val="215"/>
        </w:trPr>
        <w:tc>
          <w:tcPr>
            <w:tcW w:w="2540" w:type="dxa"/>
            <w:vAlign w:val="bottom"/>
          </w:tcPr>
          <w:p>
            <w:pPr>
              <w:spacing w:after="0"/>
              <w:rPr>
                <w:sz w:val="18"/>
                <w:szCs w:val="18"/>
                <w:color w:val="auto"/>
              </w:rPr>
            </w:pPr>
          </w:p>
        </w:tc>
        <w:tc>
          <w:tcPr>
            <w:tcW w:w="8980" w:type="dxa"/>
            <w:vAlign w:val="bottom"/>
            <w:gridSpan w:val="3"/>
          </w:tcPr>
          <w:p>
            <w:pPr>
              <w:ind w:left="140"/>
              <w:spacing w:after="0"/>
              <w:rPr>
                <w:sz w:val="20"/>
                <w:szCs w:val="20"/>
                <w:color w:val="auto"/>
              </w:rPr>
            </w:pPr>
            <w:r>
              <w:rPr>
                <w:rFonts w:ascii="Arial" w:cs="Arial" w:eastAsia="Arial" w:hAnsi="Arial"/>
                <w:sz w:val="18"/>
                <w:szCs w:val="18"/>
                <w:color w:val="auto"/>
                <w:w w:val="92"/>
              </w:rPr>
              <w:t>Consisting of the Common Stocks of Citigroup Inc., Bank of America Corporation and Wells Fargo &amp; Company due April</w:t>
            </w:r>
          </w:p>
        </w:tc>
      </w:tr>
      <w:tr>
        <w:trPr>
          <w:trHeight w:val="229"/>
        </w:trPr>
        <w:tc>
          <w:tcPr>
            <w:tcW w:w="2540" w:type="dxa"/>
            <w:vAlign w:val="bottom"/>
          </w:tcPr>
          <w:p>
            <w:pPr>
              <w:spacing w:after="0"/>
              <w:rPr>
                <w:sz w:val="19"/>
                <w:szCs w:val="19"/>
                <w:color w:val="auto"/>
              </w:rPr>
            </w:pPr>
          </w:p>
        </w:tc>
        <w:tc>
          <w:tcPr>
            <w:tcW w:w="8880" w:type="dxa"/>
            <w:vAlign w:val="bottom"/>
            <w:gridSpan w:val="2"/>
          </w:tcPr>
          <w:p>
            <w:pPr>
              <w:ind w:left="140"/>
              <w:spacing w:after="0"/>
              <w:rPr>
                <w:sz w:val="20"/>
                <w:szCs w:val="20"/>
                <w:color w:val="auto"/>
              </w:rPr>
            </w:pPr>
            <w:r>
              <w:rPr>
                <w:rFonts w:ascii="Arial" w:cs="Arial" w:eastAsia="Arial" w:hAnsi="Arial"/>
                <w:sz w:val="18"/>
                <w:szCs w:val="18"/>
                <w:color w:val="auto"/>
              </w:rPr>
              <w:t>29, 2010</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520"/>
          </w:cols>
          <w:pgMar w:left="240" w:top="994" w:right="139" w:bottom="1440" w:gutter="0" w:footer="0" w:header="0"/>
        </w:sectPr>
      </w:pPr>
    </w:p>
    <w:bookmarkStart w:id="4" w:name="page5"/>
    <w:bookmarkEnd w:id="4"/>
    <w:tbl>
      <w:tblPr>
        <w:tblLayout w:type="fixed"/>
        <w:tblInd w:w="3980" w:type="dxa"/>
        <w:tblCellMar>
          <w:top w:w="0" w:type="dxa"/>
          <w:left w:w="0" w:type="dxa"/>
          <w:bottom w:w="0" w:type="dxa"/>
          <w:right w:w="0" w:type="dxa"/>
        </w:tblCellMar>
      </w:tblPr>
      <w:tr>
        <w:trPr>
          <w:trHeight w:val="207"/>
        </w:trPr>
        <w:tc>
          <w:tcPr>
            <w:tcW w:w="4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SIDLEY AUSTIN LLP</w:t>
            </w:r>
          </w:p>
        </w:tc>
        <w:tc>
          <w:tcPr>
            <w:tcW w:w="1520" w:type="dxa"/>
            <w:vAlign w:val="bottom"/>
          </w:tcPr>
          <w:p>
            <w:pPr>
              <w:ind w:left="100"/>
              <w:spacing w:after="0"/>
              <w:rPr>
                <w:sz w:val="20"/>
                <w:szCs w:val="20"/>
                <w:color w:val="auto"/>
              </w:rPr>
            </w:pPr>
            <w:r>
              <w:rPr>
                <w:rFonts w:ascii="Arial" w:cs="Arial" w:eastAsia="Arial" w:hAnsi="Arial"/>
                <w:sz w:val="18"/>
                <w:szCs w:val="18"/>
                <w:color w:val="auto"/>
              </w:rPr>
              <w:t>BEIJING</w:t>
            </w:r>
          </w:p>
        </w:tc>
        <w:tc>
          <w:tcPr>
            <w:tcW w:w="1920" w:type="dxa"/>
            <w:vAlign w:val="bottom"/>
          </w:tcPr>
          <w:p>
            <w:pPr>
              <w:ind w:left="180"/>
              <w:spacing w:after="0"/>
              <w:rPr>
                <w:sz w:val="20"/>
                <w:szCs w:val="20"/>
                <w:color w:val="auto"/>
              </w:rPr>
            </w:pPr>
            <w:r>
              <w:rPr>
                <w:rFonts w:ascii="Arial" w:cs="Arial" w:eastAsia="Arial" w:hAnsi="Arial"/>
                <w:sz w:val="18"/>
                <w:szCs w:val="18"/>
                <w:color w:val="auto"/>
              </w:rPr>
              <w:t>LOS ANGELES</w:t>
            </w:r>
          </w:p>
        </w:tc>
      </w:tr>
      <w:tr>
        <w:trPr>
          <w:trHeight w:val="215"/>
        </w:trPr>
        <w:tc>
          <w:tcPr>
            <w:tcW w:w="4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787 SEVENTH AVENUE</w:t>
            </w:r>
          </w:p>
        </w:tc>
        <w:tc>
          <w:tcPr>
            <w:tcW w:w="1520" w:type="dxa"/>
            <w:vAlign w:val="bottom"/>
          </w:tcPr>
          <w:p>
            <w:pPr>
              <w:ind w:left="100"/>
              <w:spacing w:after="0"/>
              <w:rPr>
                <w:sz w:val="20"/>
                <w:szCs w:val="20"/>
                <w:color w:val="auto"/>
              </w:rPr>
            </w:pPr>
            <w:r>
              <w:rPr>
                <w:rFonts w:ascii="Arial" w:cs="Arial" w:eastAsia="Arial" w:hAnsi="Arial"/>
                <w:sz w:val="18"/>
                <w:szCs w:val="18"/>
                <w:color w:val="auto"/>
              </w:rPr>
              <w:t>BRUSSELS</w:t>
            </w:r>
          </w:p>
        </w:tc>
        <w:tc>
          <w:tcPr>
            <w:tcW w:w="1920" w:type="dxa"/>
            <w:vAlign w:val="bottom"/>
          </w:tcPr>
          <w:p>
            <w:pPr>
              <w:ind w:left="180"/>
              <w:spacing w:after="0"/>
              <w:rPr>
                <w:sz w:val="20"/>
                <w:szCs w:val="20"/>
                <w:color w:val="auto"/>
              </w:rPr>
            </w:pPr>
            <w:r>
              <w:rPr>
                <w:rFonts w:ascii="Arial" w:cs="Arial" w:eastAsia="Arial" w:hAnsi="Arial"/>
                <w:sz w:val="18"/>
                <w:szCs w:val="18"/>
                <w:color w:val="auto"/>
              </w:rPr>
              <w:t>NEW YORK</w:t>
            </w:r>
          </w:p>
        </w:tc>
      </w:tr>
      <w:tr>
        <w:trPr>
          <w:trHeight w:val="215"/>
        </w:trPr>
        <w:tc>
          <w:tcPr>
            <w:tcW w:w="4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NEW YORK, NY 10019</w:t>
            </w:r>
          </w:p>
        </w:tc>
        <w:tc>
          <w:tcPr>
            <w:tcW w:w="1520" w:type="dxa"/>
            <w:vAlign w:val="bottom"/>
          </w:tcPr>
          <w:p>
            <w:pPr>
              <w:ind w:left="100"/>
              <w:spacing w:after="0"/>
              <w:rPr>
                <w:sz w:val="20"/>
                <w:szCs w:val="20"/>
                <w:color w:val="auto"/>
              </w:rPr>
            </w:pPr>
            <w:r>
              <w:rPr>
                <w:rFonts w:ascii="Arial" w:cs="Arial" w:eastAsia="Arial" w:hAnsi="Arial"/>
                <w:sz w:val="18"/>
                <w:szCs w:val="18"/>
                <w:color w:val="auto"/>
              </w:rPr>
              <w:t>CHICAGO</w:t>
            </w:r>
          </w:p>
        </w:tc>
        <w:tc>
          <w:tcPr>
            <w:tcW w:w="1920" w:type="dxa"/>
            <w:vAlign w:val="bottom"/>
          </w:tcPr>
          <w:p>
            <w:pPr>
              <w:ind w:left="180"/>
              <w:spacing w:after="0"/>
              <w:rPr>
                <w:sz w:val="20"/>
                <w:szCs w:val="20"/>
                <w:color w:val="auto"/>
              </w:rPr>
            </w:pPr>
            <w:r>
              <w:rPr>
                <w:rFonts w:ascii="Arial" w:cs="Arial" w:eastAsia="Arial" w:hAnsi="Arial"/>
                <w:sz w:val="18"/>
                <w:szCs w:val="18"/>
                <w:color w:val="auto"/>
              </w:rPr>
              <w:t>SAN FRANCISCO</w:t>
            </w:r>
          </w:p>
        </w:tc>
      </w:tr>
      <w:tr>
        <w:trPr>
          <w:trHeight w:val="215"/>
        </w:trPr>
        <w:tc>
          <w:tcPr>
            <w:tcW w:w="4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(212) 839 5300</w:t>
            </w:r>
          </w:p>
        </w:tc>
        <w:tc>
          <w:tcPr>
            <w:tcW w:w="1520" w:type="dxa"/>
            <w:vAlign w:val="bottom"/>
          </w:tcPr>
          <w:p>
            <w:pPr>
              <w:ind w:left="100"/>
              <w:spacing w:after="0"/>
              <w:rPr>
                <w:sz w:val="20"/>
                <w:szCs w:val="20"/>
                <w:color w:val="auto"/>
              </w:rPr>
            </w:pPr>
            <w:r>
              <w:rPr>
                <w:rFonts w:ascii="Arial" w:cs="Arial" w:eastAsia="Arial" w:hAnsi="Arial"/>
                <w:sz w:val="18"/>
                <w:szCs w:val="18"/>
                <w:color w:val="auto"/>
              </w:rPr>
              <w:t>DALLAS</w:t>
            </w:r>
          </w:p>
        </w:tc>
        <w:tc>
          <w:tcPr>
            <w:tcW w:w="1920" w:type="dxa"/>
            <w:vAlign w:val="bottom"/>
          </w:tcPr>
          <w:p>
            <w:pPr>
              <w:ind w:left="180"/>
              <w:spacing w:after="0"/>
              <w:rPr>
                <w:sz w:val="20"/>
                <w:szCs w:val="20"/>
                <w:color w:val="auto"/>
              </w:rPr>
            </w:pPr>
            <w:r>
              <w:rPr>
                <w:rFonts w:ascii="Arial" w:cs="Arial" w:eastAsia="Arial" w:hAnsi="Arial"/>
                <w:sz w:val="18"/>
                <w:szCs w:val="18"/>
                <w:color w:val="auto"/>
              </w:rPr>
              <w:t>SHANGHAI</w:t>
            </w:r>
          </w:p>
        </w:tc>
      </w:tr>
      <w:tr>
        <w:trPr>
          <w:trHeight w:val="215"/>
        </w:trPr>
        <w:tc>
          <w:tcPr>
            <w:tcW w:w="4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(212) 839 5599 FAX</w:t>
            </w:r>
          </w:p>
        </w:tc>
        <w:tc>
          <w:tcPr>
            <w:tcW w:w="1520" w:type="dxa"/>
            <w:vAlign w:val="bottom"/>
          </w:tcPr>
          <w:p>
            <w:pPr>
              <w:ind w:left="100"/>
              <w:spacing w:after="0"/>
              <w:rPr>
                <w:sz w:val="20"/>
                <w:szCs w:val="20"/>
                <w:color w:val="auto"/>
              </w:rPr>
            </w:pPr>
            <w:r>
              <w:rPr>
                <w:rFonts w:ascii="Arial" w:cs="Arial" w:eastAsia="Arial" w:hAnsi="Arial"/>
                <w:sz w:val="18"/>
                <w:szCs w:val="18"/>
                <w:color w:val="auto"/>
              </w:rPr>
              <w:t>FRANKFURT</w:t>
            </w:r>
          </w:p>
        </w:tc>
        <w:tc>
          <w:tcPr>
            <w:tcW w:w="1920" w:type="dxa"/>
            <w:vAlign w:val="bottom"/>
          </w:tcPr>
          <w:p>
            <w:pPr>
              <w:ind w:left="180"/>
              <w:spacing w:after="0"/>
              <w:rPr>
                <w:sz w:val="20"/>
                <w:szCs w:val="20"/>
                <w:color w:val="auto"/>
              </w:rPr>
            </w:pPr>
            <w:r>
              <w:rPr>
                <w:rFonts w:ascii="Arial" w:cs="Arial" w:eastAsia="Arial" w:hAnsi="Arial"/>
                <w:sz w:val="18"/>
                <w:szCs w:val="18"/>
                <w:color w:val="auto"/>
              </w:rPr>
              <w:t>SINGAPORE</w:t>
            </w:r>
          </w:p>
        </w:tc>
      </w:tr>
      <w:tr>
        <w:trPr>
          <w:trHeight w:val="215"/>
        </w:trPr>
        <w:tc>
          <w:tcPr>
            <w:tcW w:w="4000" w:type="dxa"/>
            <w:vAlign w:val="bottom"/>
            <w:tcBorders>
              <w:right w:val="single" w:sz="8" w:color="auto"/>
            </w:tcBorders>
          </w:tcPr>
          <w:p>
            <w:pPr>
              <w:spacing w:after="0"/>
              <w:rPr>
                <w:sz w:val="18"/>
                <w:szCs w:val="18"/>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GENEVA</w:t>
            </w:r>
          </w:p>
        </w:tc>
        <w:tc>
          <w:tcPr>
            <w:tcW w:w="1920" w:type="dxa"/>
            <w:vAlign w:val="bottom"/>
          </w:tcPr>
          <w:p>
            <w:pPr>
              <w:ind w:left="180"/>
              <w:spacing w:after="0"/>
              <w:rPr>
                <w:sz w:val="20"/>
                <w:szCs w:val="20"/>
                <w:color w:val="auto"/>
              </w:rPr>
            </w:pPr>
            <w:r>
              <w:rPr>
                <w:rFonts w:ascii="Arial" w:cs="Arial" w:eastAsia="Arial" w:hAnsi="Arial"/>
                <w:sz w:val="18"/>
                <w:szCs w:val="18"/>
                <w:color w:val="auto"/>
              </w:rPr>
              <w:t>SYDNEY</w:t>
            </w:r>
          </w:p>
        </w:tc>
      </w:tr>
      <w:tr>
        <w:trPr>
          <w:trHeight w:val="215"/>
        </w:trPr>
        <w:tc>
          <w:tcPr>
            <w:tcW w:w="4000" w:type="dxa"/>
            <w:vAlign w:val="bottom"/>
            <w:tcBorders>
              <w:right w:val="single" w:sz="8" w:color="auto"/>
            </w:tcBorders>
          </w:tcPr>
          <w:p>
            <w:pPr>
              <w:spacing w:after="0"/>
              <w:rPr>
                <w:sz w:val="18"/>
                <w:szCs w:val="18"/>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HONG KONG</w:t>
            </w:r>
          </w:p>
        </w:tc>
        <w:tc>
          <w:tcPr>
            <w:tcW w:w="1920" w:type="dxa"/>
            <w:vAlign w:val="bottom"/>
          </w:tcPr>
          <w:p>
            <w:pPr>
              <w:ind w:left="180"/>
              <w:spacing w:after="0"/>
              <w:rPr>
                <w:sz w:val="20"/>
                <w:szCs w:val="20"/>
                <w:color w:val="auto"/>
              </w:rPr>
            </w:pPr>
            <w:r>
              <w:rPr>
                <w:rFonts w:ascii="Arial" w:cs="Arial" w:eastAsia="Arial" w:hAnsi="Arial"/>
                <w:sz w:val="18"/>
                <w:szCs w:val="18"/>
                <w:color w:val="auto"/>
              </w:rPr>
              <w:t>TOKYO</w:t>
            </w:r>
          </w:p>
        </w:tc>
      </w:tr>
      <w:tr>
        <w:trPr>
          <w:trHeight w:val="229"/>
        </w:trPr>
        <w:tc>
          <w:tcPr>
            <w:tcW w:w="400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LONDON</w:t>
            </w:r>
          </w:p>
        </w:tc>
        <w:tc>
          <w:tcPr>
            <w:tcW w:w="1920" w:type="dxa"/>
            <w:vAlign w:val="bottom"/>
          </w:tcPr>
          <w:p>
            <w:pPr>
              <w:ind w:left="180"/>
              <w:spacing w:after="0"/>
              <w:rPr>
                <w:sz w:val="20"/>
                <w:szCs w:val="20"/>
                <w:color w:val="auto"/>
              </w:rPr>
            </w:pPr>
            <w:r>
              <w:rPr>
                <w:rFonts w:ascii="Arial" w:cs="Arial" w:eastAsia="Arial" w:hAnsi="Arial"/>
                <w:sz w:val="18"/>
                <w:szCs w:val="18"/>
                <w:color w:val="auto"/>
              </w:rPr>
              <w:t>WASHINGTON, D.C.</w:t>
            </w:r>
          </w:p>
        </w:tc>
      </w:tr>
      <w:tr>
        <w:trPr>
          <w:trHeight w:val="698"/>
        </w:trPr>
        <w:tc>
          <w:tcPr>
            <w:tcW w:w="4000" w:type="dxa"/>
            <w:vAlign w:val="bottom"/>
            <w:tcBorders>
              <w:right w:val="single" w:sz="8" w:color="auto"/>
            </w:tcBorders>
          </w:tcPr>
          <w:p>
            <w:pPr>
              <w:spacing w:after="0"/>
              <w:rPr>
                <w:sz w:val="24"/>
                <w:szCs w:val="24"/>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FOUNDED 1866</w:t>
            </w:r>
          </w:p>
        </w:tc>
        <w:tc>
          <w:tcPr>
            <w:tcW w:w="1920" w:type="dxa"/>
            <w:vAlign w:val="bottom"/>
          </w:tcPr>
          <w:p>
            <w:pPr>
              <w:spacing w:after="0"/>
              <w:rPr>
                <w:sz w:val="24"/>
                <w:szCs w:val="24"/>
                <w:color w:val="auto"/>
              </w:rPr>
            </w:pPr>
          </w:p>
        </w:tc>
      </w:tr>
      <w:tr>
        <w:trPr>
          <w:trHeight w:val="457"/>
        </w:trPr>
        <w:tc>
          <w:tcPr>
            <w:tcW w:w="4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ind w:left="1120"/>
              <w:spacing w:after="0"/>
              <w:rPr>
                <w:sz w:val="20"/>
                <w:szCs w:val="20"/>
                <w:color w:val="auto"/>
              </w:rPr>
            </w:pPr>
            <w:r>
              <w:rPr>
                <w:rFonts w:ascii="Arial" w:cs="Arial" w:eastAsia="Arial" w:hAnsi="Arial"/>
                <w:sz w:val="18"/>
                <w:szCs w:val="18"/>
                <w:color w:val="auto"/>
                <w:w w:val="92"/>
              </w:rPr>
              <w:t>Exhibit 8.1</w:t>
            </w:r>
          </w:p>
        </w:tc>
      </w:tr>
      <w:tr>
        <w:trPr>
          <w:trHeight w:val="698"/>
        </w:trPr>
        <w:tc>
          <w:tcPr>
            <w:tcW w:w="4000" w:type="dxa"/>
            <w:vAlign w:val="bottom"/>
          </w:tcPr>
          <w:p>
            <w:pPr>
              <w:spacing w:after="0"/>
              <w:rPr>
                <w:sz w:val="24"/>
                <w:szCs w:val="24"/>
                <w:color w:val="auto"/>
              </w:rPr>
            </w:pPr>
          </w:p>
        </w:tc>
        <w:tc>
          <w:tcPr>
            <w:tcW w:w="1520" w:type="dxa"/>
            <w:vAlign w:val="bottom"/>
          </w:tcPr>
          <w:p>
            <w:pPr>
              <w:ind w:left="220"/>
              <w:spacing w:after="0"/>
              <w:rPr>
                <w:sz w:val="20"/>
                <w:szCs w:val="20"/>
                <w:color w:val="auto"/>
              </w:rPr>
            </w:pPr>
            <w:r>
              <w:rPr>
                <w:rFonts w:ascii="Arial" w:cs="Arial" w:eastAsia="Arial" w:hAnsi="Arial"/>
                <w:sz w:val="18"/>
                <w:szCs w:val="18"/>
                <w:color w:val="auto"/>
              </w:rPr>
              <w:t>April 22, 2008</w:t>
            </w:r>
          </w:p>
        </w:tc>
        <w:tc>
          <w:tcPr>
            <w:tcW w:w="192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wp:posOffset>
            </wp:positionH>
            <wp:positionV relativeFrom="page">
              <wp:posOffset>242570</wp:posOffset>
            </wp:positionV>
            <wp:extent cx="1704975" cy="47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04975" cy="47752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&amp; Co.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acted as special tax counsel to JPMorgan Chase &amp; Co., a corporation incorporated under the laws of Delaware (the “Company”), in connection with the preparation and filing of pricing supplement no. 1195 dated April 21, 2008 relating to Semi Annual Review Notes Linked to an Equally Weighted Basket Consisting of the Common Stocks of Citigroup Inc., Bank of America Corporation and Wells Fargo &amp; Company due April 29, 2010 (the “Pricing Supplement”) to product supplement no. 130-I dated April 18, 2008 relating to Review Notes Linked to a Weighted Basket Consisting of the Common Stocks of Reference Stock Issuers (the “Product Supplement”) to a prospectus supplement dated October 12, 2006 (the “Prospectus Supplement”) for the Company’s Global Medium-Term Notes, Series E, Global Warrants, Series E and Global Units, Series E, relating to a prospectus dated December 1, 2005 (the “Prospectus”) contained in the Company’s Registration Statement on Form S-3ASR (Registration Statement No. 333-130051) (the “Registration Statement”). This opinion is being furnished in accordance with the requirements of Section 601(b)(8) of Regulation S-K of the Securities Act of 1933, as amended (the “Act”).</w:t>
      </w:r>
    </w:p>
    <w:p>
      <w:pPr>
        <w:spacing w:after="0" w:line="219" w:lineRule="exact"/>
        <w:rPr>
          <w:sz w:val="20"/>
          <w:szCs w:val="20"/>
          <w:color w:val="auto"/>
        </w:rPr>
      </w:pPr>
    </w:p>
    <w:p>
      <w:pPr>
        <w:ind w:right="340"/>
        <w:spacing w:after="0" w:line="300" w:lineRule="auto"/>
        <w:rPr>
          <w:sz w:val="20"/>
          <w:szCs w:val="20"/>
          <w:color w:val="auto"/>
        </w:rPr>
      </w:pPr>
      <w:r>
        <w:rPr>
          <w:rFonts w:ascii="Arial" w:cs="Arial" w:eastAsia="Arial" w:hAnsi="Arial"/>
          <w:sz w:val="16"/>
          <w:szCs w:val="16"/>
          <w:color w:val="auto"/>
        </w:rPr>
        <w:t>In our opinion, the discussions under the heading “United States Federal Taxation” in the Prospectus Supplement, under the heading “Certain U.S. Federal Income Tax Consequences” in the Product Supplement and under the heading “Selected Purchase Considerations – Capital Gains Tax Treatment” in the Pricing Supplement, subject to the conditions and limitations described therein, set forth the material U.S. federal income tax considerations applicable generally to holders of the securities offered pursuant to the Pricing Supplement as a result of the ownership and disposition of such securities.</w:t>
      </w:r>
    </w:p>
    <w:p>
      <w:pPr>
        <w:spacing w:after="0" w:line="18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references to us under the heading “Certain U.S. Federal Income Tax Consequences” in the Product Supplement and under the heading “Selected Purchase Considerations – Capital Gains Tax Treatment” in the Pricing Supplement. By such consent we do not concede that we are an “expert” for the purposes of the Act.</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2520950</wp:posOffset>
            </wp:positionV>
            <wp:extent cx="7264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2019-12-11T11:32:42Z</dcterms:created>
  <dcterms:modified xsi:type="dcterms:W3CDTF">2019-12-11T11:32:42Z</dcterms:modified>
</cp:coreProperties>
</file>