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0" w:type="dxa"/>
        <w:tblCellMar>
          <w:top w:w="0" w:type="dxa"/>
          <w:left w:w="0" w:type="dxa"/>
          <w:bottom w:w="0" w:type="dxa"/>
          <w:right w:w="0" w:type="dxa"/>
        </w:tblCellMar>
      </w:tblPr>
      <w:tr>
        <w:trPr>
          <w:trHeight w:val="180"/>
        </w:trPr>
        <w:tc>
          <w:tcPr>
            <w:tcW w:w="7120" w:type="dxa"/>
            <w:vAlign w:val="bottom"/>
            <w:vMerge w:val="restart"/>
          </w:tcPr>
          <w:p>
            <w:pPr>
              <w:spacing w:after="0"/>
              <w:rPr>
                <w:sz w:val="20"/>
                <w:szCs w:val="20"/>
                <w:color w:val="auto"/>
              </w:rPr>
            </w:pPr>
            <w:r>
              <w:rPr>
                <w:rFonts w:ascii="Verdana" w:cs="Verdana" w:eastAsia="Verdana" w:hAnsi="Verdana"/>
                <w:sz w:val="27"/>
                <w:szCs w:val="27"/>
                <w:b w:val="1"/>
                <w:bCs w:val="1"/>
                <w:color w:val="BB0826"/>
              </w:rPr>
              <w:t>JPMorgan Chase Financial Company LLC</w:t>
            </w:r>
          </w:p>
        </w:tc>
        <w:tc>
          <w:tcPr>
            <w:tcW w:w="3920" w:type="dxa"/>
            <w:vAlign w:val="bottom"/>
          </w:tcPr>
          <w:p>
            <w:pPr>
              <w:jc w:val="right"/>
              <w:spacing w:after="0"/>
              <w:rPr>
                <w:sz w:val="20"/>
                <w:szCs w:val="20"/>
                <w:color w:val="auto"/>
              </w:rPr>
            </w:pPr>
            <w:r>
              <w:rPr>
                <w:rFonts w:ascii="Verdana" w:cs="Verdana" w:eastAsia="Verdana" w:hAnsi="Verdana"/>
                <w:sz w:val="13"/>
                <w:szCs w:val="13"/>
                <w:color w:val="auto"/>
              </w:rPr>
              <w:t>Filed Pursuant to Rule 433</w:t>
            </w:r>
          </w:p>
        </w:tc>
        <w:tc>
          <w:tcPr>
            <w:tcW w:w="0" w:type="dxa"/>
            <w:vAlign w:val="bottom"/>
          </w:tcPr>
          <w:p>
            <w:pPr>
              <w:spacing w:after="0"/>
              <w:rPr>
                <w:sz w:val="1"/>
                <w:szCs w:val="1"/>
                <w:color w:val="auto"/>
              </w:rPr>
            </w:pPr>
          </w:p>
        </w:tc>
      </w:tr>
      <w:tr>
        <w:trPr>
          <w:trHeight w:val="149"/>
        </w:trPr>
        <w:tc>
          <w:tcPr>
            <w:tcW w:w="7120" w:type="dxa"/>
            <w:vAlign w:val="bottom"/>
            <w:vMerge w:val="continue"/>
          </w:tcPr>
          <w:p>
            <w:pPr>
              <w:spacing w:after="0"/>
              <w:rPr>
                <w:sz w:val="12"/>
                <w:szCs w:val="12"/>
                <w:color w:val="auto"/>
              </w:rPr>
            </w:pPr>
          </w:p>
        </w:tc>
        <w:tc>
          <w:tcPr>
            <w:tcW w:w="3920" w:type="dxa"/>
            <w:vAlign w:val="bottom"/>
          </w:tcPr>
          <w:p>
            <w:pPr>
              <w:jc w:val="right"/>
              <w:spacing w:after="0" w:line="149" w:lineRule="exact"/>
              <w:rPr>
                <w:sz w:val="20"/>
                <w:szCs w:val="20"/>
                <w:color w:val="auto"/>
              </w:rPr>
            </w:pPr>
            <w:r>
              <w:rPr>
                <w:rFonts w:ascii="Verdana" w:cs="Verdana" w:eastAsia="Verdana" w:hAnsi="Verdana"/>
                <w:sz w:val="13"/>
                <w:szCs w:val="13"/>
                <w:color w:val="auto"/>
              </w:rPr>
              <w:t>Registration Statement Nos. 333-270004 and</w:t>
            </w:r>
          </w:p>
        </w:tc>
        <w:tc>
          <w:tcPr>
            <w:tcW w:w="0" w:type="dxa"/>
            <w:vAlign w:val="bottom"/>
          </w:tcPr>
          <w:p>
            <w:pPr>
              <w:spacing w:after="0"/>
              <w:rPr>
                <w:sz w:val="1"/>
                <w:szCs w:val="1"/>
                <w:color w:val="auto"/>
              </w:rPr>
            </w:pPr>
          </w:p>
        </w:tc>
      </w:tr>
      <w:tr>
        <w:trPr>
          <w:trHeight w:val="165"/>
        </w:trPr>
        <w:tc>
          <w:tcPr>
            <w:tcW w:w="7120" w:type="dxa"/>
            <w:vAlign w:val="bottom"/>
            <w:vMerge w:val="restart"/>
          </w:tcPr>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tc>
        <w:tc>
          <w:tcPr>
            <w:tcW w:w="3920" w:type="dxa"/>
            <w:vAlign w:val="bottom"/>
          </w:tcPr>
          <w:p>
            <w:pPr>
              <w:jc w:val="right"/>
              <w:spacing w:after="0"/>
              <w:rPr>
                <w:sz w:val="20"/>
                <w:szCs w:val="20"/>
                <w:color w:val="auto"/>
              </w:rPr>
            </w:pPr>
            <w:r>
              <w:rPr>
                <w:rFonts w:ascii="Verdana" w:cs="Verdana" w:eastAsia="Verdana" w:hAnsi="Verdana"/>
                <w:sz w:val="13"/>
                <w:szCs w:val="13"/>
                <w:color w:val="auto"/>
              </w:rPr>
              <w:t>333-270004-01</w:t>
            </w:r>
          </w:p>
        </w:tc>
        <w:tc>
          <w:tcPr>
            <w:tcW w:w="0" w:type="dxa"/>
            <w:vAlign w:val="bottom"/>
          </w:tcPr>
          <w:p>
            <w:pPr>
              <w:spacing w:after="0"/>
              <w:rPr>
                <w:sz w:val="1"/>
                <w:szCs w:val="1"/>
                <w:color w:val="auto"/>
              </w:rPr>
            </w:pPr>
          </w:p>
        </w:tc>
      </w:tr>
      <w:tr>
        <w:trPr>
          <w:trHeight w:val="132"/>
        </w:trPr>
        <w:tc>
          <w:tcPr>
            <w:tcW w:w="7120" w:type="dxa"/>
            <w:vAlign w:val="bottom"/>
            <w:vMerge w:val="continue"/>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5131435</wp:posOffset>
            </wp:positionH>
            <wp:positionV relativeFrom="paragraph">
              <wp:posOffset>-90170</wp:posOffset>
            </wp:positionV>
            <wp:extent cx="144843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360045"/>
                    </a:xfrm>
                    <a:prstGeom prst="rect">
                      <a:avLst/>
                    </a:prstGeom>
                    <a:noFill/>
                  </pic:spPr>
                </pic:pic>
              </a:graphicData>
            </a:graphic>
          </wp:anchor>
        </w:drawing>
      </w:r>
    </w:p>
    <w:p>
      <w:pPr>
        <w:spacing w:after="0" w:line="30" w:lineRule="exact"/>
        <w:rPr>
          <w:sz w:val="24"/>
          <w:szCs w:val="24"/>
          <w:color w:val="auto"/>
        </w:rPr>
      </w:pPr>
    </w:p>
    <w:p>
      <w:pPr>
        <w:ind w:left="100"/>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19"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Market Linked Securities— Auto-Callable with Leveraged Upside Participation and Contingent Downside</w:t>
      </w:r>
    </w:p>
    <w:p>
      <w:pPr>
        <w:spacing w:after="0" w:line="62" w:lineRule="exact"/>
        <w:rPr>
          <w:sz w:val="24"/>
          <w:szCs w:val="24"/>
          <w:color w:val="auto"/>
        </w:rPr>
      </w:pPr>
    </w:p>
    <w:p>
      <w:pPr>
        <w:ind w:left="100" w:right="540"/>
        <w:spacing w:after="0" w:line="270" w:lineRule="auto"/>
        <w:rPr>
          <w:sz w:val="20"/>
          <w:szCs w:val="20"/>
          <w:color w:val="auto"/>
        </w:rPr>
      </w:pPr>
      <w:r>
        <w:rPr>
          <w:rFonts w:ascii="Verdana" w:cs="Verdana" w:eastAsia="Verdana" w:hAnsi="Verdana"/>
          <w:sz w:val="16"/>
          <w:szCs w:val="16"/>
          <w:color w:val="FFFFFF"/>
        </w:rPr>
        <w:t>Principal at Risk Securities Linked to the Lowest Performing of the Common Stock of Broadcom Inc. and the Common Stock of GE Vernova Inc. due April 5, 2029</w:t>
      </w:r>
    </w:p>
    <w:p>
      <w:pPr>
        <w:spacing w:after="0" w:line="21"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Fact Sheet dated March 17, 2026 to Preliminary Pricing Supplement dated March 17, 2026</w:t>
      </w:r>
    </w:p>
    <w:p>
      <w:pPr>
        <w:sectPr>
          <w:pgSz w:w="11900" w:h="16838" w:orient="portrait"/>
          <w:cols w:equalWidth="0" w:num="1">
            <w:col w:w="11240"/>
          </w:cols>
          <w:pgMar w:left="320" w:top="211" w:right="339" w:bottom="1440" w:gutter="0" w:footer="0" w:header="0"/>
        </w:sectPr>
      </w:pPr>
    </w:p>
    <w:p>
      <w:pPr>
        <w:spacing w:after="0" w:line="117"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42"/>
        </w:trPr>
        <w:tc>
          <w:tcPr>
            <w:tcW w:w="192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640" w:type="dxa"/>
            <w:vAlign w:val="bottom"/>
            <w:tcBorders>
              <w:top w:val="single" w:sz="8" w:color="auto"/>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JPMorgan Chase Financial Company LLC</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JPMorgan Chase &amp; C0.</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Underlying Stocks:</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The common stock of Broadcom Inc. (Bloomberg ticker:</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AVGO) and the common stock of GE Vernova Inc.</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(Bloomberg ticker: GEV)</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March 30,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April 2,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April 2, 2029</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April 5, 2029</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$1,000 per security (100% of par)</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Automatic Call:</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If the stock closing price of the lowest performing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Underlying Stock on the call date is greater than or equal</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to its starting price, the securities will be automatically</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called, and on the call settlement date, investors will</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 xml:space="preserve">receive the principal amount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the call premium.</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Call Premium:</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50.00% of the principal amount</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April 2, 2027</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Three business days after the call date</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Maturity Payment</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If the securities are not automatically called on the call</w:t>
            </w:r>
          </w:p>
        </w:tc>
      </w:tr>
      <w:tr>
        <w:trPr>
          <w:trHeight w:val="137"/>
        </w:trPr>
        <w:tc>
          <w:tcPr>
            <w:tcW w:w="1920" w:type="dxa"/>
            <w:vAlign w:val="bottom"/>
            <w:tcBorders>
              <w:left w:val="single" w:sz="8" w:color="auto"/>
              <w:right w:val="single" w:sz="8" w:color="auto"/>
            </w:tcBorders>
          </w:tcPr>
          <w:p>
            <w:pPr>
              <w:ind w:left="120"/>
              <w:spacing w:after="0" w:line="138" w:lineRule="exact"/>
              <w:rPr>
                <w:sz w:val="20"/>
                <w:szCs w:val="20"/>
                <w:color w:val="auto"/>
              </w:rPr>
            </w:pPr>
            <w:r>
              <w:rPr>
                <w:rFonts w:ascii="Georgia" w:cs="Georgia" w:eastAsia="Georgia" w:hAnsi="Georgia"/>
                <w:sz w:val="13"/>
                <w:szCs w:val="13"/>
                <w:color w:val="auto"/>
              </w:rPr>
              <w:t>Amount:</w:t>
            </w:r>
          </w:p>
        </w:tc>
        <w:tc>
          <w:tcPr>
            <w:tcW w:w="3640" w:type="dxa"/>
            <w:vAlign w:val="bottom"/>
            <w:tcBorders>
              <w:right w:val="single" w:sz="8" w:color="auto"/>
            </w:tcBorders>
            <w:gridSpan w:val="7"/>
          </w:tcPr>
          <w:p>
            <w:pPr>
              <w:ind w:left="80"/>
              <w:spacing w:after="0" w:line="138" w:lineRule="exact"/>
              <w:rPr>
                <w:sz w:val="20"/>
                <w:szCs w:val="20"/>
                <w:color w:val="auto"/>
              </w:rPr>
            </w:pPr>
            <w:r>
              <w:rPr>
                <w:rFonts w:ascii="Georgia" w:cs="Georgia" w:eastAsia="Georgia" w:hAnsi="Georgia"/>
                <w:sz w:val="13"/>
                <w:szCs w:val="13"/>
                <w:color w:val="auto"/>
              </w:rPr>
              <w:t>date, the “maturity payment amount” per security will</w:t>
            </w:r>
          </w:p>
        </w:tc>
      </w:tr>
      <w:tr>
        <w:trPr>
          <w:trHeight w:val="140"/>
        </w:trPr>
        <w:tc>
          <w:tcPr>
            <w:tcW w:w="1920" w:type="dxa"/>
            <w:vAlign w:val="bottom"/>
            <w:tcBorders>
              <w:left w:val="single" w:sz="8" w:color="auto"/>
              <w:right w:val="single" w:sz="8" w:color="auto"/>
            </w:tcBorders>
          </w:tcPr>
          <w:p>
            <w:pPr>
              <w:spacing w:after="0"/>
              <w:rPr>
                <w:sz w:val="12"/>
                <w:szCs w:val="12"/>
                <w:color w:val="auto"/>
              </w:rPr>
            </w:pPr>
          </w:p>
        </w:tc>
        <w:tc>
          <w:tcPr>
            <w:tcW w:w="700" w:type="dxa"/>
            <w:vAlign w:val="bottom"/>
          </w:tcPr>
          <w:p>
            <w:pPr>
              <w:ind w:left="80"/>
              <w:spacing w:after="0" w:line="140" w:lineRule="exact"/>
              <w:rPr>
                <w:sz w:val="20"/>
                <w:szCs w:val="20"/>
                <w:color w:val="auto"/>
              </w:rPr>
            </w:pPr>
            <w:r>
              <w:rPr>
                <w:rFonts w:ascii="Georgia" w:cs="Georgia" w:eastAsia="Georgia" w:hAnsi="Georgia"/>
                <w:sz w:val="13"/>
                <w:szCs w:val="13"/>
                <w:color w:val="auto"/>
              </w:rPr>
              <w:t>equal:</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Stock on the final calculation day is greater than its</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starting price:</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$1,000 + ($1,000 × stock return of the lowest</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performing Underlying Stock on the final</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calculation day × upside participation rate);</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Stock on the final calculation day is less than or equal to</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its starting price, but greater than or equal to its</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threshold price: $1,000; or</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Stock on the final calculation day is less than its</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threshold price:</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$1,000 + ($1,000 × stock return of the lowest</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performing Underlying Stock on the final</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calculation day)</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Lowest Performing</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On the call date or the final calculation date, the</w:t>
            </w:r>
          </w:p>
        </w:tc>
      </w:tr>
      <w:tr>
        <w:trPr>
          <w:trHeight w:val="151"/>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Underlying Stock</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Underlying Stock with the lowest stock return on that day</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pricing date</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final calculation day</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Upside Participation Rate:</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At least 325% (to be provided in the pricing supplement)</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Threshold Price:</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For each Underlying Stock, 70% of its starting price</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Stock Return:</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For the call date or the final calculation day and for each</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Underlying Stock: (stock closing price on that day –</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starting price) / starting price</w:t>
            </w:r>
          </w:p>
        </w:tc>
      </w:tr>
      <w:tr>
        <w:trPr>
          <w:trHeight w:val="135"/>
        </w:trPr>
        <w:tc>
          <w:tcPr>
            <w:tcW w:w="19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Calculation Agent:</w:t>
            </w:r>
          </w:p>
        </w:tc>
        <w:tc>
          <w:tcPr>
            <w:tcW w:w="3640" w:type="dxa"/>
            <w:vAlign w:val="bottom"/>
            <w:tcBorders>
              <w:bottom w:val="single" w:sz="8" w:color="auto"/>
              <w:right w:val="single" w:sz="8" w:color="auto"/>
            </w:tcBorders>
            <w:gridSpan w:val="7"/>
          </w:tcPr>
          <w:p>
            <w:pPr>
              <w:ind w:left="80"/>
              <w:spacing w:after="0" w:line="129" w:lineRule="exact"/>
              <w:rPr>
                <w:sz w:val="20"/>
                <w:szCs w:val="20"/>
                <w:color w:val="auto"/>
              </w:rPr>
            </w:pPr>
            <w:r>
              <w:rPr>
                <w:rFonts w:ascii="Georgia" w:cs="Georgia" w:eastAsia="Georgia" w:hAnsi="Georgia"/>
                <w:sz w:val="13"/>
                <w:szCs w:val="13"/>
                <w:color w:val="auto"/>
              </w:rPr>
              <w:t>J.P. Morgan Securities LLC (“JPMS”)</w:t>
            </w:r>
          </w:p>
        </w:tc>
      </w:tr>
      <w:tr>
        <w:trPr>
          <w:trHeight w:val="149"/>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Denominations:</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$1,000 and any integral multiple of $1,000</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CUSIP:</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46660RCV4</w:t>
            </w:r>
          </w:p>
        </w:tc>
      </w:tr>
      <w:tr>
        <w:trPr>
          <w:trHeight w:val="128"/>
        </w:trPr>
        <w:tc>
          <w:tcPr>
            <w:tcW w:w="192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Fees and Commissions:</w:t>
            </w:r>
          </w:p>
        </w:tc>
        <w:tc>
          <w:tcPr>
            <w:tcW w:w="3640" w:type="dxa"/>
            <w:vAlign w:val="bottom"/>
            <w:tcBorders>
              <w:right w:val="single" w:sz="8" w:color="auto"/>
            </w:tcBorders>
            <w:gridSpan w:val="7"/>
          </w:tcPr>
          <w:p>
            <w:pPr>
              <w:ind w:left="80"/>
              <w:spacing w:after="0" w:line="129" w:lineRule="exact"/>
              <w:rPr>
                <w:sz w:val="20"/>
                <w:szCs w:val="20"/>
                <w:color w:val="auto"/>
              </w:rPr>
            </w:pPr>
            <w:r>
              <w:rPr>
                <w:rFonts w:ascii="Georgia" w:cs="Georgia" w:eastAsia="Georgia" w:hAnsi="Georgia"/>
                <w:sz w:val="13"/>
                <w:szCs w:val="13"/>
                <w:color w:val="auto"/>
              </w:rPr>
              <w:t>Up to 2.575% for Wells Fargo Securities, LLC (“WFS”);</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40"/>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WFS has advised us that dealers, including Wells Fargo</w:t>
            </w:r>
          </w:p>
        </w:tc>
      </w:tr>
      <w:tr>
        <w:trPr>
          <w:trHeight w:val="137"/>
        </w:trPr>
        <w:tc>
          <w:tcPr>
            <w:tcW w:w="1920" w:type="dxa"/>
            <w:vAlign w:val="bottom"/>
            <w:tcBorders>
              <w:left w:val="single" w:sz="8" w:color="auto"/>
              <w:right w:val="single" w:sz="8" w:color="auto"/>
            </w:tcBorders>
          </w:tcPr>
          <w:p>
            <w:pPr>
              <w:spacing w:after="0"/>
              <w:rPr>
                <w:sz w:val="11"/>
                <w:szCs w:val="11"/>
                <w:color w:val="auto"/>
              </w:rPr>
            </w:pPr>
          </w:p>
        </w:tc>
        <w:tc>
          <w:tcPr>
            <w:tcW w:w="3640" w:type="dxa"/>
            <w:vAlign w:val="bottom"/>
            <w:tcBorders>
              <w:right w:val="single" w:sz="8" w:color="auto"/>
            </w:tcBorders>
            <w:gridSpan w:val="7"/>
          </w:tcPr>
          <w:p>
            <w:pPr>
              <w:ind w:left="80"/>
              <w:spacing w:after="0" w:line="138" w:lineRule="exact"/>
              <w:rPr>
                <w:sz w:val="20"/>
                <w:szCs w:val="20"/>
                <w:color w:val="auto"/>
              </w:rPr>
            </w:pPr>
            <w:r>
              <w:rPr>
                <w:rFonts w:ascii="Georgia" w:cs="Georgia" w:eastAsia="Georgia" w:hAnsi="Georgia"/>
                <w:sz w:val="13"/>
                <w:szCs w:val="13"/>
                <w:color w:val="auto"/>
              </w:rPr>
              <w:t>Advisors (“WFA”), may receive 2.00% of WFS’s fee, and</w:t>
            </w:r>
          </w:p>
        </w:tc>
      </w:tr>
      <w:tr>
        <w:trPr>
          <w:trHeight w:val="140"/>
        </w:trPr>
        <w:tc>
          <w:tcPr>
            <w:tcW w:w="1920" w:type="dxa"/>
            <w:vAlign w:val="bottom"/>
            <w:tcBorders>
              <w:left w:val="single" w:sz="8" w:color="auto"/>
              <w:right w:val="single" w:sz="8" w:color="auto"/>
            </w:tcBorders>
          </w:tcPr>
          <w:p>
            <w:pPr>
              <w:spacing w:after="0"/>
              <w:rPr>
                <w:sz w:val="12"/>
                <w:szCs w:val="12"/>
                <w:color w:val="auto"/>
              </w:rPr>
            </w:pPr>
          </w:p>
        </w:tc>
        <w:tc>
          <w:tcPr>
            <w:tcW w:w="740" w:type="dxa"/>
            <w:vAlign w:val="bottom"/>
            <w:gridSpan w:val="2"/>
          </w:tcPr>
          <w:p>
            <w:pPr>
              <w:ind w:left="8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600" w:type="dxa"/>
            <w:vAlign w:val="bottom"/>
            <w:tcBorders>
              <w:right w:val="single" w:sz="8" w:color="auto"/>
            </w:tcBorders>
            <w:gridSpan w:val="4"/>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0.075%. In addition, in respect of certain securities sold</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in this offering, JPMS may pay a fee of up to 0.30% to</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selected dealers in consideration for marketing and other</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services in connection with the distribution of the</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securities to other dealers.</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Tax Considerations:</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See the preliminary pricing supplement.</w:t>
            </w:r>
          </w:p>
        </w:tc>
      </w:tr>
      <w:tr>
        <w:trPr>
          <w:trHeight w:val="187"/>
        </w:trPr>
        <w:tc>
          <w:tcPr>
            <w:tcW w:w="1920" w:type="dxa"/>
            <w:vAlign w:val="bottom"/>
            <w:tcBorders>
              <w:left w:val="single" w:sz="8" w:color="auto"/>
            </w:tcBorders>
          </w:tcPr>
          <w:p>
            <w:pPr>
              <w:ind w:left="120"/>
              <w:spacing w:after="0" w:line="187"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3"/>
                <w:szCs w:val="13"/>
                <w:color w:val="auto"/>
              </w:rPr>
              <w:t xml:space="preserve"> Subject to change</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r>
      <w:tr>
        <w:trPr>
          <w:trHeight w:val="184"/>
        </w:trPr>
        <w:tc>
          <w:tcPr>
            <w:tcW w:w="192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204470</wp:posOffset>
            </wp:positionH>
            <wp:positionV relativeFrom="paragraph">
              <wp:posOffset>-1905</wp:posOffset>
            </wp:positionV>
            <wp:extent cx="3128645" cy="2048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8645" cy="2048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Georgia" w:cs="Georgia" w:eastAsia="Georgia" w:hAnsi="Georgia"/>
          <w:sz w:val="13"/>
          <w:szCs w:val="13"/>
          <w:color w:val="auto"/>
        </w:rPr>
        <w:t>*Assumes an upside participation rate equal to the minimum upside participation rate</w:t>
      </w:r>
    </w:p>
    <w:p>
      <w:pPr>
        <w:spacing w:after="0" w:line="55" w:lineRule="exact"/>
        <w:rPr>
          <w:sz w:val="24"/>
          <w:szCs w:val="24"/>
          <w:color w:val="auto"/>
        </w:rPr>
      </w:pPr>
    </w:p>
    <w:p>
      <w:pPr>
        <w:ind w:right="160"/>
        <w:spacing w:after="0" w:line="242" w:lineRule="auto"/>
        <w:rPr>
          <w:sz w:val="20"/>
          <w:szCs w:val="20"/>
          <w:color w:val="auto"/>
        </w:rPr>
      </w:pPr>
      <w:r>
        <w:rPr>
          <w:rFonts w:ascii="Georgia" w:cs="Georgia" w:eastAsia="Georgia" w:hAnsi="Georgia"/>
          <w:sz w:val="13"/>
          <w:szCs w:val="13"/>
          <w:b w:val="1"/>
          <w:bCs w:val="1"/>
          <w:color w:val="auto"/>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spacing w:after="0" w:line="51" w:lineRule="exact"/>
        <w:rPr>
          <w:sz w:val="24"/>
          <w:szCs w:val="24"/>
          <w:color w:val="auto"/>
        </w:rPr>
      </w:pPr>
    </w:p>
    <w:p>
      <w:pPr>
        <w:ind w:right="140"/>
        <w:spacing w:after="0" w:line="242" w:lineRule="auto"/>
        <w:rPr>
          <w:sz w:val="20"/>
          <w:szCs w:val="20"/>
          <w:color w:val="auto"/>
        </w:rPr>
      </w:pPr>
      <w:r>
        <w:rPr>
          <w:rFonts w:ascii="Georgia" w:cs="Georgia" w:eastAsia="Georgia" w:hAnsi="Georgia"/>
          <w:sz w:val="13"/>
          <w:szCs w:val="13"/>
          <w:b w:val="1"/>
          <w:bCs w:val="1"/>
          <w:color w:val="auto"/>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30%, and possibly all, of the principal amount of your securities at maturity.</w:t>
      </w:r>
    </w:p>
    <w:p>
      <w:pPr>
        <w:spacing w:after="0" w:line="200" w:lineRule="exact"/>
        <w:rPr>
          <w:sz w:val="24"/>
          <w:szCs w:val="24"/>
          <w:color w:val="auto"/>
        </w:rPr>
      </w:pPr>
    </w:p>
    <w:p>
      <w:pPr>
        <w:jc w:val="both"/>
        <w:ind w:right="60"/>
        <w:spacing w:after="0" w:line="242"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 securities is</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subject to the credit risk of JPMorgan Financial, as issuer of the securities, and the credit risk of JPMorgan Chase &amp; Co., as guarantor of the securities.</w:t>
      </w:r>
    </w:p>
    <w:p>
      <w:pPr>
        <w:spacing w:after="0" w:line="254" w:lineRule="exact"/>
        <w:rPr>
          <w:sz w:val="24"/>
          <w:szCs w:val="24"/>
          <w:color w:val="auto"/>
        </w:rPr>
      </w:pPr>
    </w:p>
    <w:p>
      <w:pPr>
        <w:ind w:right="80"/>
        <w:spacing w:after="0" w:line="242"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$956.80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spacing w:after="0" w:line="254" w:lineRule="exact"/>
        <w:rPr>
          <w:sz w:val="24"/>
          <w:szCs w:val="24"/>
          <w:color w:val="auto"/>
        </w:rPr>
      </w:pPr>
    </w:p>
    <w:p>
      <w:pPr>
        <w:spacing w:after="0"/>
        <w:rPr>
          <w:sz w:val="20"/>
          <w:szCs w:val="20"/>
          <w:color w:val="auto"/>
        </w:rPr>
      </w:pPr>
      <w:r>
        <w:rPr>
          <w:rFonts w:ascii="Georgia" w:cs="Georgia" w:eastAsia="Georgia" w:hAnsi="Georgia"/>
          <w:sz w:val="13"/>
          <w:szCs w:val="13"/>
          <w:color w:val="auto"/>
        </w:rPr>
        <w:t>Preliminary Pricing Supplement:</w:t>
      </w:r>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http://www.sec.gov/Archives/edgar/data/19617/000121390026029090/ea028219</w:t>
        </w:r>
      </w:hyperlink>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6-01_424b2.htm</w:t>
        </w:r>
      </w:hyperlink>
    </w:p>
    <w:p>
      <w:pPr>
        <w:spacing w:after="0" w:line="2255" w:lineRule="exact"/>
        <w:rPr>
          <w:sz w:val="24"/>
          <w:szCs w:val="24"/>
          <w:color w:val="auto"/>
        </w:rPr>
      </w:pPr>
    </w:p>
    <w:p>
      <w:pPr>
        <w:sectPr>
          <w:pgSz w:w="11900" w:h="16838" w:orient="portrait"/>
          <w:cols w:equalWidth="0" w:num="2">
            <w:col w:w="5560" w:space="120"/>
            <w:col w:w="5560"/>
          </w:cols>
          <w:pgMar w:left="320" w:top="211" w:right="339" w:bottom="1440" w:gutter="0" w:footer="0" w:header="0"/>
          <w:type w:val="continuous"/>
        </w:sectPr>
      </w:pPr>
    </w:p>
    <w:p>
      <w:pPr>
        <w:spacing w:after="0" w:line="6" w:lineRule="exact"/>
        <w:rPr>
          <w:sz w:val="24"/>
          <w:szCs w:val="24"/>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5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and product supplement.</w:t>
      </w:r>
    </w:p>
    <w:p>
      <w:pPr>
        <w:sectPr>
          <w:pgSz w:w="11900" w:h="16838" w:orient="portrait"/>
          <w:cols w:equalWidth="0" w:num="1">
            <w:col w:w="11240"/>
          </w:cols>
          <w:pgMar w:left="320" w:top="211"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20" w:right="40" w:hanging="315"/>
        <w:spacing w:after="0" w:line="253"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30%,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60"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15" w:lineRule="exact"/>
        <w:rPr>
          <w:rFonts w:ascii="Times New Roman" w:cs="Times New Roman" w:eastAsia="Times New Roman" w:hAnsi="Times New Roman"/>
          <w:sz w:val="16"/>
          <w:szCs w:val="16"/>
          <w:color w:val="auto"/>
        </w:rPr>
      </w:pPr>
    </w:p>
    <w:p>
      <w:pPr>
        <w:ind w:left="420" w:right="72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29"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29"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Payment at Maturity Will Be Determined by the Lowest Performing Underlying Stock.</w:t>
      </w:r>
    </w:p>
    <w:p>
      <w:pPr>
        <w:spacing w:after="0" w:line="15"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Between the Underlying Stocks.</w:t>
      </w:r>
    </w:p>
    <w:p>
      <w:pPr>
        <w:spacing w:after="0" w:line="29"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or Dividend Payments or Voting Rights</w:t>
      </w:r>
    </w:p>
    <w:p>
      <w:pPr>
        <w:spacing w:after="0" w:line="45"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20" w:right="28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15"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right="2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15" w:lineRule="exact"/>
        <w:rPr>
          <w:rFonts w:ascii="Times New Roman" w:cs="Times New Roman" w:eastAsia="Times New Roman" w:hAnsi="Times New Roman"/>
          <w:sz w:val="16"/>
          <w:szCs w:val="16"/>
          <w:color w:val="auto"/>
        </w:rPr>
      </w:pPr>
    </w:p>
    <w:p>
      <w:pPr>
        <w:ind w:left="420" w:right="120" w:hanging="315"/>
        <w:spacing w:after="0" w:line="257"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34" w:lineRule="exact"/>
        <w:rPr>
          <w:rFonts w:ascii="Times New Roman" w:cs="Times New Roman" w:eastAsia="Times New Roman" w:hAnsi="Times New Roman"/>
          <w:sz w:val="16"/>
          <w:szCs w:val="16"/>
          <w:color w:val="auto"/>
        </w:rPr>
      </w:pPr>
    </w:p>
    <w:p>
      <w:pPr>
        <w:ind w:left="42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420" w:right="40" w:hanging="315"/>
        <w:spacing w:after="0" w:line="25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56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6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59" w:hanging="259"/>
        <w:spacing w:after="0"/>
        <w:tabs>
          <w:tab w:leader="none" w:pos="25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Either Underlying Stock Issuer</w:t>
      </w:r>
    </w:p>
    <w:p>
      <w:pPr>
        <w:spacing w:after="0" w:line="60" w:lineRule="exact"/>
        <w:rPr>
          <w:rFonts w:ascii="Times New Roman" w:cs="Times New Roman" w:eastAsia="Times New Roman" w:hAnsi="Times New Roman"/>
          <w:sz w:val="16"/>
          <w:szCs w:val="16"/>
          <w:color w:val="auto"/>
        </w:rPr>
      </w:pPr>
    </w:p>
    <w:p>
      <w:pPr>
        <w:ind w:left="319" w:right="28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Limited Trading History with Respect to the Common Stock of GE Vernova Inc.</w:t>
      </w:r>
    </w:p>
    <w:p>
      <w:pPr>
        <w:spacing w:after="0" w:line="15" w:lineRule="exact"/>
        <w:rPr>
          <w:rFonts w:ascii="Times New Roman" w:cs="Times New Roman" w:eastAsia="Times New Roman" w:hAnsi="Times New Roman"/>
          <w:sz w:val="16"/>
          <w:szCs w:val="16"/>
          <w:color w:val="auto"/>
        </w:rPr>
      </w:pPr>
    </w:p>
    <w:p>
      <w:pPr>
        <w:ind w:left="319" w:right="94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29" w:lineRule="exact"/>
        <w:rPr>
          <w:rFonts w:ascii="Times New Roman" w:cs="Times New Roman" w:eastAsia="Times New Roman" w:hAnsi="Times New Roman"/>
          <w:sz w:val="16"/>
          <w:szCs w:val="16"/>
          <w:color w:val="auto"/>
        </w:rPr>
      </w:pPr>
    </w:p>
    <w:p>
      <w:pPr>
        <w:ind w:left="319" w:right="320" w:hanging="319"/>
        <w:spacing w:after="0" w:line="253"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5330" w:lineRule="exact"/>
        <w:rPr>
          <w:sz w:val="20"/>
          <w:szCs w:val="20"/>
          <w:color w:val="auto"/>
        </w:rPr>
      </w:pPr>
    </w:p>
    <w:p>
      <w:pPr>
        <w:sectPr>
          <w:pgSz w:w="11900" w:h="16838" w:orient="portrait"/>
          <w:cols w:equalWidth="0" w:num="2">
            <w:col w:w="5500" w:space="221"/>
            <w:col w:w="5499"/>
          </w:cols>
          <w:pgMar w:left="320" w:top="543" w:right="359" w:bottom="1440" w:gutter="0" w:footer="0" w:header="0"/>
          <w:type w:val="continuous"/>
        </w:sectPr>
      </w:pPr>
    </w:p>
    <w:p>
      <w:pPr>
        <w:spacing w:after="0" w:line="135"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sectPr>
          <w:pgSz w:w="11900" w:h="16838" w:orient="portrait"/>
          <w:cols w:equalWidth="0" w:num="1">
            <w:col w:w="11220"/>
          </w:cols>
          <w:pgMar w:left="320" w:top="543" w:right="359" w:bottom="144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29090/ea0282196-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2026-03-18T05:12:01Z</dcterms:created>
  <dcterms:modified xsi:type="dcterms:W3CDTF">2026-03-18T05:12:01Z</dcterms:modified>
</cp:coreProperties>
</file>