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10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-5715</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540" w:space="720"/>
            <w:col w:w="2980"/>
          </w:cols>
          <w:pgMar w:left="320" w:top="239" w:right="339" w:bottom="171" w:gutter="0" w:footer="0" w:header="0"/>
        </w:sectPr>
      </w:pPr>
    </w:p>
    <w:p>
      <w:pPr>
        <w:spacing w:after="0" w:line="82"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Securities—Auto-Callable with Contingent Coupon with Memory Feature and Contingent Downside</w:t>
      </w:r>
    </w:p>
    <w:p>
      <w:pPr>
        <w:spacing w:after="0" w:line="24" w:lineRule="exact"/>
        <w:rPr>
          <w:sz w:val="24"/>
          <w:szCs w:val="24"/>
          <w:color w:val="auto"/>
        </w:rPr>
      </w:pPr>
    </w:p>
    <w:p>
      <w:pPr>
        <w:ind w:left="100" w:right="800"/>
        <w:spacing w:after="0" w:line="244" w:lineRule="auto"/>
        <w:rPr>
          <w:sz w:val="20"/>
          <w:szCs w:val="20"/>
          <w:color w:val="auto"/>
        </w:rPr>
      </w:pPr>
      <w:r>
        <w:rPr>
          <w:rFonts w:ascii="Verdana" w:cs="Verdana" w:eastAsia="Verdana" w:hAnsi="Verdana"/>
          <w:sz w:val="18"/>
          <w:szCs w:val="18"/>
          <w:color w:val="FFFFFF"/>
        </w:rPr>
        <w:t>Principal at Risk Securities Linked to the Lowest Performing of the Common Stock of Exxon Mobil Corporation, the Common Stock of Blackstone Inc. and the Ordinary Shares of Eaton Corporation plc due June 28, 2028</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June 18, 2026 to Preliminary Pricing Supplement dated June 18, 2026</w:t>
      </w:r>
    </w:p>
    <w:p>
      <w:pPr>
        <w:spacing w:after="0" w:line="10" w:lineRule="exact"/>
        <w:rPr>
          <w:sz w:val="24"/>
          <w:szCs w:val="24"/>
          <w:color w:val="auto"/>
        </w:rPr>
      </w:pPr>
    </w:p>
    <w:p>
      <w:pPr>
        <w:ind w:left="80"/>
        <w:spacing w:after="0"/>
        <w:tabs>
          <w:tab w:leader="none" w:pos="590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171"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1920" w:type="dxa"/>
            <w:vAlign w:val="bottom"/>
            <w:tcBorders>
              <w:top w:val="single" w:sz="8" w:color="auto"/>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Issuer:</w:t>
            </w:r>
          </w:p>
        </w:tc>
        <w:tc>
          <w:tcPr>
            <w:tcW w:w="140" w:type="dxa"/>
            <w:vAlign w:val="bottom"/>
            <w:tcBorders>
              <w:top w:val="single" w:sz="8" w:color="auto"/>
            </w:tcBorders>
          </w:tcPr>
          <w:p>
            <w:pPr>
              <w:spacing w:after="0"/>
              <w:rPr>
                <w:sz w:val="13"/>
                <w:szCs w:val="13"/>
                <w:color w:val="auto"/>
              </w:rPr>
            </w:pPr>
          </w:p>
        </w:tc>
        <w:tc>
          <w:tcPr>
            <w:tcW w:w="3340" w:type="dxa"/>
            <w:vAlign w:val="bottom"/>
            <w:tcBorders>
              <w:top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JPMorgan Chase Financial Company LLC, a direct,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wholly owned finance subsidiary of JPMorgan</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Chase &amp; Co.</w:t>
            </w: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line="156" w:lineRule="exact"/>
              <w:rPr>
                <w:sz w:val="20"/>
                <w:szCs w:val="20"/>
                <w:color w:val="auto"/>
              </w:rPr>
            </w:pPr>
            <w:r>
              <w:rPr>
                <w:rFonts w:ascii="Georgia" w:cs="Georgia" w:eastAsia="Georgia" w:hAnsi="Georgia"/>
                <w:sz w:val="14"/>
                <w:szCs w:val="14"/>
                <w:color w:val="auto"/>
              </w:rPr>
              <w:t>JPMorgan Chase &amp; Co.</w:t>
            </w:r>
          </w:p>
        </w:tc>
      </w:tr>
      <w:tr>
        <w:trPr>
          <w:trHeight w:val="158"/>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Underlying Stocks:</w:t>
            </w: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The common stock of Exxon Mobil Corporation</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(Bloomberg ticker: XOM), the common stock of</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Blackstone Inc. (Bloomberg ticker: BX) and the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ordinary shares of Eaton Corporation plc</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(Bloomberg ticker: ETN)</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23,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26,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June 28, 2028</w:t>
            </w:r>
          </w:p>
        </w:tc>
      </w:tr>
      <w:tr>
        <w:trPr>
          <w:trHeight w:val="155"/>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On each contingent coupon payment date, you will</w:t>
            </w:r>
          </w:p>
        </w:tc>
      </w:tr>
      <w:tr>
        <w:trPr>
          <w:trHeight w:val="162"/>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Payment:</w:t>
            </w: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receive a contingent coupon payment at a per</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annum rate equal to the contingent coupon rate if,</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 lowest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performing Underlying Stock on the related</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calculation day is greater than or equal to its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threshold price. In addition, if the stock closing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price of the lowest performing Underlying Stock on</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one or more calculation days is less than its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threshold price and, on a subsequent calculation</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day, the stock closing price of the lowest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performing Underlying Stock is greater than or</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equal to its threshold price, on the contingent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coupon payment date related to that subsequent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calculation day, you will receive the contingent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coupon payment due for that subsequent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all previously unpaid</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contingent coupon payments (without interest on</w:t>
            </w:r>
          </w:p>
        </w:tc>
      </w:tr>
      <w:tr>
        <w:trPr>
          <w:trHeight w:val="145"/>
        </w:trPr>
        <w:tc>
          <w:tcPr>
            <w:tcW w:w="192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amounts previously unpaid). Each “contingent</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2" w:lineRule="exact"/>
              <w:rPr>
                <w:sz w:val="20"/>
                <w:szCs w:val="20"/>
                <w:color w:val="auto"/>
              </w:rPr>
            </w:pPr>
            <w:r>
              <w:rPr>
                <w:rFonts w:ascii="Georgia" w:cs="Georgia" w:eastAsia="Georgia" w:hAnsi="Georgia"/>
                <w:sz w:val="14"/>
                <w:szCs w:val="14"/>
                <w:color w:val="auto"/>
              </w:rPr>
              <w:t>coupon payment,” if any, will be calculated per</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security as follows:</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jc w:val="center"/>
              <w:ind w:right="180"/>
              <w:spacing w:after="0"/>
              <w:rPr>
                <w:sz w:val="20"/>
                <w:szCs w:val="20"/>
                <w:color w:val="auto"/>
              </w:rPr>
            </w:pPr>
            <w:r>
              <w:rPr>
                <w:rFonts w:ascii="Georgia" w:cs="Georgia" w:eastAsia="Georgia" w:hAnsi="Georgia"/>
                <w:sz w:val="14"/>
                <w:szCs w:val="14"/>
                <w:color w:val="auto"/>
              </w:rPr>
              <w:t>($1,000 × contingent coupon rate) / 12.</w:t>
            </w: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Monthly, on the third business day following each</w:t>
            </w:r>
          </w:p>
        </w:tc>
      </w:tr>
      <w:tr>
        <w:trPr>
          <w:trHeight w:val="172"/>
        </w:trPr>
        <w:tc>
          <w:tcPr>
            <w:tcW w:w="1920" w:type="dxa"/>
            <w:vAlign w:val="bottom"/>
            <w:tcBorders>
              <w:left w:val="single" w:sz="8" w:color="auto"/>
              <w:right w:val="single" w:sz="8" w:color="auto"/>
            </w:tcBorders>
          </w:tcPr>
          <w:p>
            <w:pPr>
              <w:ind w:left="12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r>
      <w:tr>
        <w:trPr>
          <w:trHeight w:val="152"/>
        </w:trPr>
        <w:tc>
          <w:tcPr>
            <w:tcW w:w="19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line="152" w:lineRule="exact"/>
              <w:rPr>
                <w:sz w:val="20"/>
                <w:szCs w:val="20"/>
                <w:color w:val="auto"/>
              </w:rPr>
            </w:pPr>
            <w:r>
              <w:rPr>
                <w:rFonts w:ascii="Georgia" w:cs="Georgia" w:eastAsia="Georgia" w:hAnsi="Georgia"/>
                <w:sz w:val="14"/>
                <w:szCs w:val="14"/>
                <w:color w:val="auto"/>
              </w:rPr>
              <w:t>coupon payment date with respect to the final</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calculation day will be the stated maturity date</w:t>
            </w:r>
          </w:p>
        </w:tc>
      </w:tr>
      <w:tr>
        <w:trPr>
          <w:trHeight w:val="172"/>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 Rate:</w:t>
            </w: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At least 18.85% per annum (to be provided in the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pricing supplement)</w:t>
            </w:r>
          </w:p>
        </w:tc>
      </w:tr>
      <w:tr>
        <w:trPr>
          <w:trHeight w:val="24"/>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If the stock closing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Underlying Stock on any of the calculation days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from September 2026 to May 2028, inclusive, is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greater than or equal to its starting price, the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securities will be automatically called, and on the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related call settlement date you will be entitled to</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receive a cash payment per security in U.S. dollars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 xml:space="preserve">equal to the principal 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final contingent coupon payment and any</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previously unpaid contingent coupon payments.</w:t>
            </w:r>
          </w:p>
        </w:tc>
      </w:tr>
      <w:tr>
        <w:trPr>
          <w:trHeight w:val="186"/>
        </w:trPr>
        <w:tc>
          <w:tcPr>
            <w:tcW w:w="1920" w:type="dxa"/>
            <w:vAlign w:val="bottom"/>
            <w:tcBorders>
              <w:left w:val="single" w:sz="8" w:color="auto"/>
              <w:right w:val="single" w:sz="8" w:color="auto"/>
            </w:tcBorders>
          </w:tcPr>
          <w:p>
            <w:pPr>
              <w:ind w:left="12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140" w:type="dxa"/>
            <w:vAlign w:val="bottom"/>
          </w:tcPr>
          <w:p>
            <w:pPr>
              <w:spacing w:after="0"/>
              <w:rPr>
                <w:sz w:val="16"/>
                <w:szCs w:val="16"/>
                <w:color w:val="auto"/>
              </w:rPr>
            </w:pPr>
          </w:p>
        </w:tc>
        <w:tc>
          <w:tcPr>
            <w:tcW w:w="3340" w:type="dxa"/>
            <w:vAlign w:val="bottom"/>
            <w:tcBorders>
              <w:right w:val="single" w:sz="8" w:color="auto"/>
            </w:tcBorders>
            <w:gridSpan w:val="8"/>
          </w:tcPr>
          <w:p>
            <w:pPr>
              <w:spacing w:after="0" w:line="185" w:lineRule="exact"/>
              <w:rPr>
                <w:sz w:val="20"/>
                <w:szCs w:val="20"/>
                <w:color w:val="auto"/>
              </w:rPr>
            </w:pPr>
            <w:r>
              <w:rPr>
                <w:rFonts w:ascii="Georgia" w:cs="Georgia" w:eastAsia="Georgia" w:hAnsi="Georgia"/>
                <w:sz w:val="13"/>
                <w:szCs w:val="13"/>
                <w:color w:val="auto"/>
              </w:rPr>
              <w:t>Monthly, on the 23</w:t>
            </w:r>
            <w:r>
              <w:rPr>
                <w:rFonts w:ascii="Georgia" w:cs="Georgia" w:eastAsia="Georgia" w:hAnsi="Georgia"/>
                <w:sz w:val="21"/>
                <w:szCs w:val="21"/>
                <w:color w:val="auto"/>
                <w:vertAlign w:val="superscript"/>
              </w:rPr>
              <w:t>rd</w:t>
            </w:r>
            <w:r>
              <w:rPr>
                <w:rFonts w:ascii="Georgia" w:cs="Georgia" w:eastAsia="Georgia" w:hAnsi="Georgia"/>
                <w:sz w:val="13"/>
                <w:szCs w:val="13"/>
                <w:color w:val="auto"/>
              </w:rPr>
              <w:t xml:space="preserve"> day of each month,</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commencing July 2026 and ending June 2028. We</w:t>
            </w:r>
          </w:p>
        </w:tc>
      </w:tr>
      <w:tr>
        <w:trPr>
          <w:trHeight w:val="146"/>
        </w:trPr>
        <w:tc>
          <w:tcPr>
            <w:tcW w:w="192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refer to June 23, 2028 as the “final calculation</w:t>
            </w:r>
          </w:p>
        </w:tc>
      </w:tr>
      <w:tr>
        <w:trPr>
          <w:trHeight w:val="149"/>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spacing w:after="0" w:line="142" w:lineRule="exact"/>
              <w:rPr>
                <w:sz w:val="20"/>
                <w:szCs w:val="20"/>
                <w:color w:val="auto"/>
              </w:rPr>
            </w:pPr>
            <w:r>
              <w:rPr>
                <w:rFonts w:ascii="Georgia" w:cs="Georgia" w:eastAsia="Georgia" w:hAnsi="Georgia"/>
                <w:sz w:val="14"/>
                <w:szCs w:val="14"/>
                <w:color w:val="auto"/>
              </w:rPr>
              <w:t>day.”</w:t>
            </w:r>
          </w:p>
        </w:tc>
        <w:tc>
          <w:tcPr>
            <w:tcW w:w="1040" w:type="dxa"/>
            <w:vAlign w:val="bottom"/>
            <w:tcBorders>
              <w:top w:val="single" w:sz="8" w:color="auto"/>
              <w:bottom w:val="single" w:sz="8" w:color="auto"/>
            </w:tcBorders>
            <w:gridSpan w:val="2"/>
          </w:tcPr>
          <w:p>
            <w:pPr>
              <w:spacing w:after="0"/>
              <w:rPr>
                <w:sz w:val="12"/>
                <w:szCs w:val="12"/>
                <w:color w:val="auto"/>
              </w:rPr>
            </w:pPr>
          </w:p>
        </w:tc>
        <w:tc>
          <w:tcPr>
            <w:tcW w:w="440" w:type="dxa"/>
            <w:vAlign w:val="bottom"/>
            <w:tcBorders>
              <w:bottom w:val="single" w:sz="8" w:color="auto"/>
              <w:right w:val="single" w:sz="8" w:color="auto"/>
            </w:tcBorders>
            <w:gridSpan w:val="2"/>
          </w:tcPr>
          <w:p>
            <w:pPr>
              <w:spacing w:after="0"/>
              <w:rPr>
                <w:sz w:val="12"/>
                <w:szCs w:val="12"/>
                <w:color w:val="auto"/>
              </w:rPr>
            </w:pPr>
          </w:p>
        </w:tc>
      </w:tr>
      <w:tr>
        <w:trPr>
          <w:trHeight w:val="176"/>
        </w:trPr>
        <w:tc>
          <w:tcPr>
            <w:tcW w:w="1920" w:type="dxa"/>
            <w:vAlign w:val="bottom"/>
            <w:tcBorders>
              <w:left w:val="single" w:sz="8" w:color="auto"/>
              <w:right w:val="single" w:sz="8" w:color="auto"/>
            </w:tcBorders>
          </w:tcPr>
          <w:p>
            <w:pPr>
              <w:ind w:left="12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140" w:type="dxa"/>
            <w:vAlign w:val="bottom"/>
          </w:tcPr>
          <w:p>
            <w:pPr>
              <w:spacing w:after="0"/>
              <w:rPr>
                <w:sz w:val="15"/>
                <w:szCs w:val="15"/>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Three business days after the applicable calculation</w:t>
            </w:r>
          </w:p>
        </w:tc>
      </w:tr>
      <w:tr>
        <w:trPr>
          <w:trHeight w:val="148"/>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40" w:type="dxa"/>
            <w:vAlign w:val="bottom"/>
            <w:tcBorders>
              <w:bottom w:val="single" w:sz="8" w:color="auto"/>
              <w:right w:val="single" w:sz="8" w:color="auto"/>
            </w:tcBorders>
            <w:gridSpan w:val="8"/>
          </w:tcPr>
          <w:p>
            <w:pPr>
              <w:spacing w:after="0" w:line="149" w:lineRule="exact"/>
              <w:rPr>
                <w:sz w:val="20"/>
                <w:szCs w:val="20"/>
                <w:color w:val="auto"/>
              </w:rPr>
            </w:pPr>
            <w:r>
              <w:rPr>
                <w:rFonts w:ascii="Georgia" w:cs="Georgia" w:eastAsia="Georgia" w:hAnsi="Georgia"/>
                <w:sz w:val="14"/>
                <w:szCs w:val="14"/>
                <w:color w:val="auto"/>
              </w:rPr>
              <w:t>day</w:t>
            </w:r>
          </w:p>
        </w:tc>
      </w:tr>
      <w:tr>
        <w:trPr>
          <w:trHeight w:val="146"/>
        </w:trPr>
        <w:tc>
          <w:tcPr>
            <w:tcW w:w="192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Maturity Payment</w:t>
            </w: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6" w:lineRule="exact"/>
              <w:rPr>
                <w:sz w:val="20"/>
                <w:szCs w:val="20"/>
                <w:color w:val="auto"/>
              </w:rPr>
            </w:pPr>
            <w:r>
              <w:rPr>
                <w:rFonts w:ascii="Georgia" w:cs="Georgia" w:eastAsia="Georgia" w:hAnsi="Georgia"/>
                <w:sz w:val="14"/>
                <w:szCs w:val="14"/>
                <w:color w:val="auto"/>
              </w:rPr>
              <w:t>If the securities are not automatically called:</w:t>
            </w:r>
          </w:p>
        </w:tc>
      </w:tr>
      <w:tr>
        <w:trPr>
          <w:trHeight w:val="174"/>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 (per Security):</w:t>
            </w:r>
          </w:p>
        </w:tc>
        <w:tc>
          <w:tcPr>
            <w:tcW w:w="140" w:type="dxa"/>
            <w:vAlign w:val="bottom"/>
          </w:tcPr>
          <w:p>
            <w:pPr>
              <w:ind w:left="80"/>
              <w:spacing w:after="0"/>
              <w:rPr>
                <w:sz w:val="20"/>
                <w:szCs w:val="20"/>
                <w:color w:val="auto"/>
              </w:rPr>
            </w:pPr>
            <w:r>
              <w:rPr>
                <w:rFonts w:ascii="Times New Roman" w:cs="Times New Roman" w:eastAsia="Times New Roman" w:hAnsi="Times New Roman"/>
                <w:sz w:val="8"/>
                <w:szCs w:val="8"/>
                <w:color w:val="auto"/>
                <w:w w:val="73"/>
              </w:rPr>
              <w:t>·</w:t>
            </w:r>
          </w:p>
        </w:tc>
        <w:tc>
          <w:tcPr>
            <w:tcW w:w="3340" w:type="dxa"/>
            <w:vAlign w:val="bottom"/>
            <w:tcBorders>
              <w:right w:val="single" w:sz="8" w:color="auto"/>
            </w:tcBorders>
            <w:gridSpan w:val="8"/>
          </w:tcPr>
          <w:p>
            <w:pPr>
              <w:ind w:left="40"/>
              <w:spacing w:after="0"/>
              <w:rPr>
                <w:sz w:val="20"/>
                <w:szCs w:val="20"/>
                <w:color w:val="auto"/>
              </w:rPr>
            </w:pPr>
            <w:r>
              <w:rPr>
                <w:rFonts w:ascii="Georgia" w:cs="Georgia" w:eastAsia="Georgia" w:hAnsi="Georgia"/>
                <w:sz w:val="14"/>
                <w:szCs w:val="14"/>
                <w:color w:val="auto"/>
              </w:rPr>
              <w:t>If the ending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jc w:val="center"/>
              <w:ind w:right="14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greater than or equal to its threshold price: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$1,000; or</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8"/>
                <w:szCs w:val="8"/>
                <w:color w:val="auto"/>
                <w:w w:val="73"/>
              </w:rPr>
              <w:t>·</w:t>
            </w:r>
          </w:p>
        </w:tc>
        <w:tc>
          <w:tcPr>
            <w:tcW w:w="3340" w:type="dxa"/>
            <w:vAlign w:val="bottom"/>
            <w:tcBorders>
              <w:right w:val="single" w:sz="8" w:color="auto"/>
            </w:tcBorders>
            <w:gridSpan w:val="8"/>
          </w:tcPr>
          <w:p>
            <w:pPr>
              <w:ind w:left="40"/>
              <w:spacing w:after="0"/>
              <w:rPr>
                <w:sz w:val="20"/>
                <w:szCs w:val="20"/>
                <w:color w:val="auto"/>
              </w:rPr>
            </w:pPr>
            <w:r>
              <w:rPr>
                <w:rFonts w:ascii="Georgia" w:cs="Georgia" w:eastAsia="Georgia" w:hAnsi="Georgia"/>
                <w:sz w:val="14"/>
                <w:szCs w:val="14"/>
                <w:color w:val="auto"/>
              </w:rPr>
              <w:t>If the ending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jc w:val="center"/>
              <w:ind w:right="16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less than its threshold price: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Borders>
              <w:right w:val="single" w:sz="8" w:color="auto"/>
            </w:tcBorders>
            <w:gridSpan w:val="8"/>
          </w:tcPr>
          <w:p>
            <w:pPr>
              <w:jc w:val="center"/>
              <w:ind w:right="160"/>
              <w:spacing w:after="0"/>
              <w:rPr>
                <w:sz w:val="20"/>
                <w:szCs w:val="20"/>
                <w:color w:val="auto"/>
              </w:rPr>
            </w:pPr>
            <w:r>
              <w:rPr>
                <w:rFonts w:ascii="Georgia" w:cs="Georgia" w:eastAsia="Georgia" w:hAnsi="Georgia"/>
                <w:sz w:val="14"/>
                <w:szCs w:val="14"/>
                <w:color w:val="auto"/>
              </w:rPr>
              <w:t>$1,000 + ($1,000 × stock return of the lowest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right w:val="single" w:sz="8" w:color="auto"/>
            </w:tcBorders>
            <w:gridSpan w:val="8"/>
          </w:tcPr>
          <w:p>
            <w:pPr>
              <w:jc w:val="center"/>
              <w:ind w:right="160"/>
              <w:spacing w:after="0"/>
              <w:rPr>
                <w:sz w:val="20"/>
                <w:szCs w:val="20"/>
                <w:color w:val="auto"/>
              </w:rPr>
            </w:pPr>
            <w:r>
              <w:rPr>
                <w:rFonts w:ascii="Georgia" w:cs="Georgia" w:eastAsia="Georgia" w:hAnsi="Georgia"/>
                <w:sz w:val="14"/>
                <w:szCs w:val="14"/>
                <w:color w:val="auto"/>
              </w:rPr>
              <w:t>performing Underlying Stock on the final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Borders>
              <w:right w:val="single" w:sz="8" w:color="auto"/>
            </w:tcBorders>
            <w:gridSpan w:val="6"/>
          </w:tcPr>
          <w:p>
            <w:pPr>
              <w:jc w:val="center"/>
              <w:ind w:right="1220"/>
              <w:spacing w:after="0"/>
              <w:rPr>
                <w:sz w:val="20"/>
                <w:szCs w:val="20"/>
                <w:color w:val="auto"/>
              </w:rPr>
            </w:pPr>
            <w:r>
              <w:rPr>
                <w:rFonts w:ascii="Georgia" w:cs="Georgia" w:eastAsia="Georgia" w:hAnsi="Georgia"/>
                <w:sz w:val="14"/>
                <w:szCs w:val="14"/>
                <w:color w:val="auto"/>
              </w:rPr>
              <w:t>calculation day)</w:t>
            </w:r>
          </w:p>
        </w:tc>
      </w:tr>
      <w:tr>
        <w:trPr>
          <w:trHeight w:val="38"/>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142"/>
        </w:trPr>
        <w:tc>
          <w:tcPr>
            <w:tcW w:w="192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Lowest Performing</w:t>
            </w: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2" w:lineRule="exact"/>
              <w:rPr>
                <w:sz w:val="20"/>
                <w:szCs w:val="20"/>
                <w:color w:val="auto"/>
              </w:rPr>
            </w:pPr>
            <w:r>
              <w:rPr>
                <w:rFonts w:ascii="Georgia" w:cs="Georgia" w:eastAsia="Georgia" w:hAnsi="Georgia"/>
                <w:sz w:val="14"/>
                <w:szCs w:val="14"/>
                <w:color w:val="auto"/>
              </w:rPr>
              <w:t>For any calculation day, the “lowest performing</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142"/>
        </w:trPr>
        <w:tc>
          <w:tcPr>
            <w:tcW w:w="192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Underlying Stock:</w:t>
            </w:r>
          </w:p>
        </w:tc>
        <w:tc>
          <w:tcPr>
            <w:tcW w:w="140" w:type="dxa"/>
            <w:vAlign w:val="bottom"/>
          </w:tcPr>
          <w:p>
            <w:pPr>
              <w:spacing w:after="0"/>
              <w:rPr>
                <w:sz w:val="12"/>
                <w:szCs w:val="12"/>
                <w:color w:val="auto"/>
              </w:rPr>
            </w:pPr>
          </w:p>
        </w:tc>
        <w:tc>
          <w:tcPr>
            <w:tcW w:w="3340" w:type="dxa"/>
            <w:vAlign w:val="bottom"/>
            <w:tcBorders>
              <w:right w:val="single" w:sz="8" w:color="auto"/>
            </w:tcBorders>
            <w:gridSpan w:val="8"/>
          </w:tcPr>
          <w:p>
            <w:pPr>
              <w:spacing w:after="0" w:line="142" w:lineRule="exact"/>
              <w:rPr>
                <w:sz w:val="20"/>
                <w:szCs w:val="20"/>
                <w:color w:val="auto"/>
              </w:rPr>
            </w:pPr>
            <w:r>
              <w:rPr>
                <w:rFonts w:ascii="Georgia" w:cs="Georgia" w:eastAsia="Georgia" w:hAnsi="Georgia"/>
                <w:sz w:val="14"/>
                <w:szCs w:val="14"/>
                <w:color w:val="auto"/>
              </w:rPr>
              <w:t>Underlying Stock” will be the Underlying Stock</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80" w:type="dxa"/>
            <w:vAlign w:val="bottom"/>
            <w:tcBorders>
              <w:right w:val="single" w:sz="8" w:color="auto"/>
            </w:tcBorders>
            <w:gridSpan w:val="6"/>
          </w:tcPr>
          <w:p>
            <w:pPr>
              <w:spacing w:after="0" w:line="20" w:lineRule="exact"/>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right w:val="single" w:sz="8" w:color="auto"/>
            </w:tcBorders>
            <w:gridSpan w:val="8"/>
          </w:tcPr>
          <w:p>
            <w:pPr>
              <w:spacing w:after="0"/>
              <w:rPr>
                <w:sz w:val="20"/>
                <w:szCs w:val="20"/>
                <w:color w:val="auto"/>
              </w:rPr>
            </w:pPr>
            <w:r>
              <w:rPr>
                <w:rFonts w:ascii="Georgia" w:cs="Georgia" w:eastAsia="Georgia" w:hAnsi="Georgia"/>
                <w:sz w:val="14"/>
                <w:szCs w:val="14"/>
                <w:color w:val="auto"/>
              </w:rPr>
              <w:t>with the lowest stock return on that calculation</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right w:val="single" w:sz="8" w:color="auto"/>
            </w:tcBorders>
            <w:gridSpan w:val="8"/>
          </w:tcPr>
          <w:p>
            <w:pPr>
              <w:spacing w:after="0"/>
              <w:rPr>
                <w:sz w:val="20"/>
                <w:szCs w:val="20"/>
                <w:color w:val="auto"/>
              </w:rPr>
            </w:pPr>
            <w:r>
              <w:rPr>
                <w:rFonts w:ascii="Georgia" w:cs="Georgia" w:eastAsia="Georgia" w:hAnsi="Georgia"/>
                <w:sz w:val="14"/>
                <w:szCs w:val="14"/>
                <w:color w:val="auto"/>
              </w:rPr>
              <w:t>day.</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30" w:type="dxa"/>
        <w:tblCellMar>
          <w:top w:w="0" w:type="dxa"/>
          <w:left w:w="0" w:type="dxa"/>
          <w:bottom w:w="0" w:type="dxa"/>
          <w:right w:w="0" w:type="dxa"/>
        </w:tblCellMar>
      </w:tblPr>
      <w:tr>
        <w:trPr>
          <w:trHeight w:val="159"/>
        </w:trPr>
        <w:tc>
          <w:tcPr>
            <w:tcW w:w="1900" w:type="dxa"/>
            <w:vAlign w:val="bottom"/>
            <w:tcBorders>
              <w:top w:val="single" w:sz="8" w:color="auto"/>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Starting Price:</w:t>
            </w:r>
          </w:p>
        </w:tc>
        <w:tc>
          <w:tcPr>
            <w:tcW w:w="3480" w:type="dxa"/>
            <w:vAlign w:val="bottom"/>
            <w:tcBorders>
              <w:top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For each Underlying Stock, its stock closing price</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on the pricing date</w:t>
            </w:r>
          </w:p>
        </w:tc>
      </w:tr>
      <w:tr>
        <w:trPr>
          <w:trHeight w:val="158"/>
        </w:trPr>
        <w:tc>
          <w:tcPr>
            <w:tcW w:w="190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Ending Price:</w:t>
            </w: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For each Underlying Stock, its stock closing price</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on the final calculation day</w:t>
            </w:r>
          </w:p>
        </w:tc>
      </w:tr>
      <w:tr>
        <w:trPr>
          <w:trHeight w:val="158"/>
        </w:trPr>
        <w:tc>
          <w:tcPr>
            <w:tcW w:w="190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Stock Return:</w:t>
            </w: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For each Underlying Stock on any calculation day,</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(stock closing price on that calculation day –</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starting price) / starting price</w:t>
            </w:r>
          </w:p>
        </w:tc>
      </w:tr>
      <w:tr>
        <w:trPr>
          <w:trHeight w:val="155"/>
        </w:trPr>
        <w:tc>
          <w:tcPr>
            <w:tcW w:w="190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Threshold Price:</w:t>
            </w:r>
          </w:p>
        </w:tc>
        <w:tc>
          <w:tcPr>
            <w:tcW w:w="348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For each Underlying Stock, 65% of its starting price</w:t>
            </w:r>
          </w:p>
        </w:tc>
      </w:tr>
      <w:tr>
        <w:trPr>
          <w:trHeight w:val="149"/>
        </w:trPr>
        <w:tc>
          <w:tcPr>
            <w:tcW w:w="190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348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Denominations:</w:t>
            </w: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0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CUSIP:</w:t>
            </w:r>
          </w:p>
        </w:tc>
        <w:tc>
          <w:tcPr>
            <w:tcW w:w="348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46661CCT1</w:t>
            </w:r>
          </w:p>
        </w:tc>
      </w:tr>
      <w:tr>
        <w:trPr>
          <w:trHeight w:val="158"/>
        </w:trPr>
        <w:tc>
          <w:tcPr>
            <w:tcW w:w="190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Up to 2.075% for Wells Fargo Securities, LLC</w:t>
            </w: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3480" w:type="dxa"/>
            <w:vAlign w:val="bottom"/>
            <w:tcBorders>
              <w:right w:val="single" w:sz="8" w:color="auto"/>
            </w:tcBorders>
            <w:gridSpan w:val="5"/>
          </w:tcPr>
          <w:p>
            <w:pPr>
              <w:ind w:left="80"/>
              <w:spacing w:after="0" w:line="146" w:lineRule="exact"/>
              <w:rPr>
                <w:sz w:val="20"/>
                <w:szCs w:val="20"/>
                <w:color w:val="auto"/>
              </w:rPr>
            </w:pPr>
            <w:r>
              <w:rPr>
                <w:rFonts w:ascii="Georgia" w:cs="Georgia" w:eastAsia="Georgia" w:hAnsi="Georgia"/>
                <w:sz w:val="14"/>
                <w:szCs w:val="14"/>
                <w:color w:val="auto"/>
              </w:rPr>
              <w:t>(“WFS”); WFS has advised us that dealers,</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3480" w:type="dxa"/>
            <w:vAlign w:val="bottom"/>
            <w:tcBorders>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including Wells Fargo Advisors (“WFA”), may</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59"/>
        </w:trPr>
        <w:tc>
          <w:tcPr>
            <w:tcW w:w="1900" w:type="dxa"/>
            <w:vAlign w:val="bottom"/>
            <w:tcBorders>
              <w:left w:val="single" w:sz="8" w:color="auto"/>
              <w:right w:val="single" w:sz="8" w:color="auto"/>
            </w:tcBorders>
          </w:tcPr>
          <w:p>
            <w:pPr>
              <w:spacing w:after="0"/>
              <w:rPr>
                <w:sz w:val="13"/>
                <w:szCs w:val="13"/>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receive 1.50% of WFS’s fee, and WFA may also</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receive a distribution expense fee of 0.075%.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addition, in respect of certain securities sold in this</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offering, JPMS may pay a fee of up to 0.20% to</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selected dealers in consideration for marketing and</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other services in connection with the distribution</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of the securities to other dealers.</w:t>
            </w:r>
          </w:p>
        </w:tc>
      </w:tr>
      <w:tr>
        <w:trPr>
          <w:trHeight w:val="155"/>
        </w:trPr>
        <w:tc>
          <w:tcPr>
            <w:tcW w:w="190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48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187"/>
        </w:trPr>
        <w:tc>
          <w:tcPr>
            <w:tcW w:w="1900" w:type="dxa"/>
            <w:vAlign w:val="bottom"/>
            <w:tcBorders>
              <w:left w:val="single" w:sz="8" w:color="auto"/>
            </w:tcBorders>
          </w:tcPr>
          <w:p>
            <w:pPr>
              <w:ind w:left="100"/>
              <w:spacing w:after="0" w:line="187"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3"/>
                <w:szCs w:val="13"/>
                <w:color w:val="auto"/>
              </w:rPr>
              <w:t xml:space="preserve"> Subject to change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184"/>
        </w:trPr>
        <w:tc>
          <w:tcPr>
            <w:tcW w:w="190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r>
    </w:tbl>
    <w:p>
      <w:pPr>
        <w:spacing w:after="0" w:line="35" w:lineRule="exact"/>
        <w:rPr>
          <w:sz w:val="24"/>
          <w:szCs w:val="24"/>
          <w:color w:val="auto"/>
        </w:rPr>
      </w:pPr>
    </w:p>
    <w:p>
      <w:pPr>
        <w:ind w:left="60" w:right="104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wp:posOffset>
            </wp:positionH>
            <wp:positionV relativeFrom="paragraph">
              <wp:posOffset>5715</wp:posOffset>
            </wp:positionV>
            <wp:extent cx="3043555" cy="2082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3555" cy="2082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120" w:right="10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prior to maturity and the ending price of the lowest performing Underlying Stock on the final calculation day is less than its threshold price, you will lose more than 35%, and possibly all, of the principal amount of your securities at maturity.</w:t>
      </w:r>
    </w:p>
    <w:p>
      <w:pPr>
        <w:spacing w:after="0" w:line="25" w:lineRule="exact"/>
        <w:rPr>
          <w:sz w:val="24"/>
          <w:szCs w:val="24"/>
          <w:color w:val="auto"/>
        </w:rPr>
      </w:pPr>
    </w:p>
    <w:p>
      <w:pPr>
        <w:ind w:left="120" w:right="160"/>
        <w:spacing w:after="0" w:line="245" w:lineRule="auto"/>
        <w:rPr>
          <w:sz w:val="20"/>
          <w:szCs w:val="20"/>
          <w:color w:val="auto"/>
        </w:rPr>
      </w:pPr>
      <w:r>
        <w:rPr>
          <w:rFonts w:ascii="Georgia" w:cs="Georgia" w:eastAsia="Georgia" w:hAnsi="Georgia"/>
          <w:sz w:val="14"/>
          <w:szCs w:val="14"/>
          <w:b w:val="1"/>
          <w:bCs w:val="1"/>
          <w:color w:val="auto"/>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spacing w:after="0" w:line="39" w:lineRule="exact"/>
        <w:rPr>
          <w:sz w:val="24"/>
          <w:szCs w:val="24"/>
          <w:color w:val="auto"/>
        </w:rPr>
      </w:pPr>
    </w:p>
    <w:p>
      <w:pPr>
        <w:ind w:left="120" w:right="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38" w:lineRule="exact"/>
        <w:rPr>
          <w:sz w:val="24"/>
          <w:szCs w:val="24"/>
          <w:color w:val="auto"/>
        </w:rPr>
      </w:pPr>
    </w:p>
    <w:p>
      <w:pPr>
        <w:ind w:left="120"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$955.30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spacing w:after="0" w:line="25" w:lineRule="exact"/>
        <w:rPr>
          <w:sz w:val="24"/>
          <w:szCs w:val="24"/>
          <w:color w:val="auto"/>
        </w:rPr>
      </w:pPr>
    </w:p>
    <w:p>
      <w:pPr>
        <w:ind w:right="120"/>
        <w:spacing w:after="0" w:line="248" w:lineRule="auto"/>
        <w:rPr>
          <w:rFonts w:ascii="Georgia" w:cs="Georgia" w:eastAsia="Georgia" w:hAnsi="Georgia"/>
          <w:sz w:val="14"/>
          <w:szCs w:val="14"/>
          <w:u w:val="single" w:color="auto"/>
          <w:color w:val="0000EE"/>
        </w:rPr>
      </w:pPr>
      <w:hyperlink r:id="rId11">
        <w:r>
          <w:rPr>
            <w:rFonts w:ascii="Georgia" w:cs="Georgia" w:eastAsia="Georgia" w:hAnsi="Georgia"/>
            <w:sz w:val="14"/>
            <w:szCs w:val="14"/>
            <w:color w:val="auto"/>
          </w:rPr>
          <w:t xml:space="preserve">Preliminary Pricing Supplement: </w:t>
        </w:r>
        <w:r>
          <w:rPr>
            <w:rFonts w:ascii="Georgia" w:cs="Georgia" w:eastAsia="Georgia" w:hAnsi="Georgia"/>
            <w:sz w:val="14"/>
            <w:szCs w:val="14"/>
            <w:u w:val="single" w:color="auto"/>
            <w:color w:val="0000EE"/>
          </w:rPr>
          <w:t>http://www.sec.gov/Archives/edgar/data/19617/</w:t>
        </w:r>
      </w:hyperlink>
      <w:r>
        <w:rPr>
          <w:rFonts w:ascii="Georgia" w:cs="Georgia" w:eastAsia="Georgia" w:hAnsi="Georgia"/>
          <w:sz w:val="14"/>
          <w:szCs w:val="14"/>
          <w:color w:val="auto"/>
        </w:rPr>
        <w:t xml:space="preserve"> </w:t>
      </w:r>
      <w:hyperlink r:id="rId11">
        <w:r>
          <w:rPr>
            <w:rFonts w:ascii="Georgia" w:cs="Georgia" w:eastAsia="Georgia" w:hAnsi="Georgia"/>
            <w:sz w:val="14"/>
            <w:szCs w:val="14"/>
            <w:u w:val="single" w:color="auto"/>
            <w:color w:val="0000EE"/>
          </w:rPr>
          <w:t>000121390026070170/ea0295336-01_424b2.htm</w:t>
        </w:r>
      </w:hyperlink>
    </w:p>
    <w:p>
      <w:pPr>
        <w:spacing w:after="0" w:line="116" w:lineRule="exact"/>
        <w:rPr>
          <w:sz w:val="20"/>
          <w:szCs w:val="20"/>
          <w:color w:val="auto"/>
        </w:rPr>
      </w:pPr>
    </w:p>
    <w:p>
      <w:pPr>
        <w:sectPr>
          <w:pgSz w:w="11900" w:h="16838" w:orient="portrait"/>
          <w:cols w:equalWidth="0" w:num="2">
            <w:col w:w="5400" w:space="440"/>
            <w:col w:w="5400"/>
          </w:cols>
          <w:pgMar w:left="320" w:top="239" w:right="339" w:bottom="171"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0"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9" w:right="339" w:bottom="171"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07" w:lineRule="exact"/>
        <w:rPr>
          <w:sz w:val="20"/>
          <w:szCs w:val="20"/>
          <w:color w:val="auto"/>
        </w:rPr>
      </w:pPr>
    </w:p>
    <w:p>
      <w:pPr>
        <w:ind w:left="420" w:right="40" w:hanging="315"/>
        <w:spacing w:after="0" w:line="253"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35%,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20" w:right="120" w:hanging="315"/>
        <w:spacing w:after="0" w:line="257"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Any Underlying Stock.</w:t>
      </w:r>
    </w:p>
    <w:p>
      <w:pPr>
        <w:spacing w:after="0" w:line="32"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29"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15" w:lineRule="exact"/>
        <w:rPr>
          <w:rFonts w:ascii="Times New Roman" w:cs="Times New Roman" w:eastAsia="Times New Roman" w:hAnsi="Times New Roman"/>
          <w:sz w:val="16"/>
          <w:szCs w:val="16"/>
          <w:color w:val="auto"/>
        </w:rPr>
      </w:pPr>
    </w:p>
    <w:p>
      <w:pPr>
        <w:ind w:left="420" w:right="20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Underlying Stock.</w:t>
      </w:r>
    </w:p>
    <w:p>
      <w:pPr>
        <w:spacing w:after="0" w:line="29"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Among the Underlying Stocks.</w:t>
      </w:r>
    </w:p>
    <w:p>
      <w:pPr>
        <w:spacing w:after="0" w:line="29" w:lineRule="exact"/>
        <w:rPr>
          <w:rFonts w:ascii="Times New Roman" w:cs="Times New Roman" w:eastAsia="Times New Roman" w:hAnsi="Times New Roman"/>
          <w:sz w:val="16"/>
          <w:szCs w:val="16"/>
          <w:color w:val="auto"/>
        </w:rPr>
      </w:pPr>
    </w:p>
    <w:p>
      <w:pPr>
        <w:ind w:left="4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45"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8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74"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19" w:right="220" w:hanging="319"/>
        <w:spacing w:after="0" w:line="257"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319" w:right="10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319" w:right="140" w:hanging="319"/>
        <w:spacing w:after="0" w:line="25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19" w:right="56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6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59" w:hanging="259"/>
        <w:spacing w:after="0"/>
        <w:tabs>
          <w:tab w:leader="none" w:pos="25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Any Underlying Stock Issuer</w:t>
      </w:r>
    </w:p>
    <w:p>
      <w:pPr>
        <w:spacing w:after="0" w:line="60" w:lineRule="exact"/>
        <w:rPr>
          <w:rFonts w:ascii="Times New Roman" w:cs="Times New Roman" w:eastAsia="Times New Roman" w:hAnsi="Times New Roman"/>
          <w:sz w:val="16"/>
          <w:szCs w:val="16"/>
          <w:color w:val="auto"/>
        </w:rPr>
      </w:pPr>
    </w:p>
    <w:p>
      <w:pPr>
        <w:ind w:left="319" w:right="34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Risks Associated with Non-U.S. Companies with Respect to the Ordinary Shares of Eaton Corporation plc</w:t>
      </w:r>
    </w:p>
    <w:p>
      <w:pPr>
        <w:spacing w:after="0" w:line="15" w:lineRule="exact"/>
        <w:rPr>
          <w:rFonts w:ascii="Times New Roman" w:cs="Times New Roman" w:eastAsia="Times New Roman" w:hAnsi="Times New Roman"/>
          <w:sz w:val="16"/>
          <w:szCs w:val="16"/>
          <w:color w:val="auto"/>
        </w:rPr>
      </w:pPr>
    </w:p>
    <w:p>
      <w:pPr>
        <w:ind w:left="319" w:right="940" w:hanging="319"/>
        <w:spacing w:after="0" w:line="264"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29" w:lineRule="exact"/>
        <w:rPr>
          <w:rFonts w:ascii="Times New Roman" w:cs="Times New Roman" w:eastAsia="Times New Roman" w:hAnsi="Times New Roman"/>
          <w:sz w:val="16"/>
          <w:szCs w:val="16"/>
          <w:color w:val="auto"/>
        </w:rPr>
      </w:pPr>
    </w:p>
    <w:p>
      <w:pPr>
        <w:ind w:left="319" w:right="320" w:hanging="319"/>
        <w:spacing w:after="0" w:line="253" w:lineRule="auto"/>
        <w:tabs>
          <w:tab w:leader="none" w:pos="273"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2679"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70170/ea0295336-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2026-06-22T05:10:27Z</dcterms:created>
  <dcterms:modified xsi:type="dcterms:W3CDTF">2026-06-22T05:10:27Z</dcterms:modified>
</cp:coreProperties>
</file>