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186055</wp:posOffset>
            </wp:positionV>
            <wp:extent cx="27774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201930</wp:posOffset>
            </wp:positionV>
            <wp:extent cx="27774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9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Date of Report (date of earliest event reported): January 17,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231775</wp:posOffset>
            </wp:positionV>
            <wp:extent cx="27774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JPMorgan Chase &amp; Co.</w:t>
      </w:r>
    </w:p>
    <w:p>
      <w:pPr>
        <w:spacing w:after="0" w:line="36" w:lineRule="exact"/>
        <w:rPr>
          <w:sz w:val="24"/>
          <w:szCs w:val="24"/>
          <w:color w:val="auto"/>
        </w:rPr>
      </w:pPr>
    </w:p>
    <w:p>
      <w:pPr>
        <w:jc w:val="center"/>
        <w:ind w:right="-19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182880</wp:posOffset>
            </wp:positionV>
            <wp:extent cx="2777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tbl>
      <w:tblPr>
        <w:tblLayout w:type="fixed"/>
        <w:tblInd w:w="2460" w:type="dxa"/>
        <w:tblCellMar>
          <w:top w:w="0" w:type="dxa"/>
          <w:left w:w="0" w:type="dxa"/>
          <w:bottom w:w="0" w:type="dxa"/>
          <w:right w:w="0" w:type="dxa"/>
        </w:tblCellMar>
      </w:tblPr>
      <w:tr>
        <w:trPr>
          <w:trHeight w:val="172"/>
        </w:trPr>
        <w:tc>
          <w:tcPr>
            <w:tcW w:w="2440" w:type="dxa"/>
            <w:vAlign w:val="bottom"/>
          </w:tcPr>
          <w:p>
            <w:pPr>
              <w:jc w:val="center"/>
              <w:ind w:right="17"/>
              <w:spacing w:after="0"/>
              <w:rPr>
                <w:sz w:val="20"/>
                <w:szCs w:val="20"/>
                <w:color w:val="auto"/>
              </w:rPr>
            </w:pPr>
            <w:r>
              <w:rPr>
                <w:rFonts w:ascii="Arial" w:cs="Arial" w:eastAsia="Arial" w:hAnsi="Arial"/>
                <w:sz w:val="13"/>
                <w:szCs w:val="13"/>
                <w:b w:val="1"/>
                <w:bCs w:val="1"/>
                <w:color w:val="auto"/>
                <w:w w:val="98"/>
              </w:rPr>
              <w:t>Delaware</w:t>
            </w:r>
          </w:p>
        </w:tc>
        <w:tc>
          <w:tcPr>
            <w:tcW w:w="2000" w:type="dxa"/>
            <w:vAlign w:val="bottom"/>
          </w:tcPr>
          <w:p>
            <w:pPr>
              <w:jc w:val="right"/>
              <w:ind w:right="857"/>
              <w:spacing w:after="0"/>
              <w:rPr>
                <w:sz w:val="20"/>
                <w:szCs w:val="20"/>
                <w:color w:val="auto"/>
              </w:rPr>
            </w:pPr>
            <w:r>
              <w:rPr>
                <w:rFonts w:ascii="Arial" w:cs="Arial" w:eastAsia="Arial" w:hAnsi="Arial"/>
                <w:sz w:val="13"/>
                <w:szCs w:val="13"/>
                <w:b w:val="1"/>
                <w:bCs w:val="1"/>
                <w:color w:val="auto"/>
              </w:rPr>
              <w:t>1-5805</w:t>
            </w:r>
          </w:p>
        </w:tc>
        <w:tc>
          <w:tcPr>
            <w:tcW w:w="1380" w:type="dxa"/>
            <w:vAlign w:val="bottom"/>
          </w:tcPr>
          <w:p>
            <w:pPr>
              <w:jc w:val="right"/>
              <w:ind w:right="117"/>
              <w:spacing w:after="0"/>
              <w:rPr>
                <w:sz w:val="20"/>
                <w:szCs w:val="20"/>
                <w:color w:val="auto"/>
              </w:rPr>
            </w:pPr>
            <w:r>
              <w:rPr>
                <w:rFonts w:ascii="Arial" w:cs="Arial" w:eastAsia="Arial" w:hAnsi="Arial"/>
                <w:sz w:val="13"/>
                <w:szCs w:val="13"/>
                <w:b w:val="1"/>
                <w:bCs w:val="1"/>
                <w:color w:val="auto"/>
              </w:rPr>
              <w:t>13-2624428</w:t>
            </w:r>
          </w:p>
        </w:tc>
      </w:tr>
      <w:tr>
        <w:trPr>
          <w:trHeight w:val="129"/>
        </w:trPr>
        <w:tc>
          <w:tcPr>
            <w:tcW w:w="2440" w:type="dxa"/>
            <w:vAlign w:val="bottom"/>
          </w:tcPr>
          <w:p>
            <w:pPr>
              <w:jc w:val="center"/>
              <w:ind w:right="17"/>
              <w:spacing w:after="0" w:line="129" w:lineRule="exact"/>
              <w:rPr>
                <w:sz w:val="20"/>
                <w:szCs w:val="20"/>
                <w:color w:val="auto"/>
              </w:rPr>
            </w:pPr>
            <w:r>
              <w:rPr>
                <w:rFonts w:ascii="Arial" w:cs="Arial" w:eastAsia="Arial" w:hAnsi="Arial"/>
                <w:sz w:val="13"/>
                <w:szCs w:val="13"/>
                <w:b w:val="1"/>
                <w:bCs w:val="1"/>
                <w:color w:val="auto"/>
                <w:w w:val="96"/>
              </w:rPr>
              <w:t>(State or other jurisdiction of</w:t>
            </w:r>
          </w:p>
        </w:tc>
        <w:tc>
          <w:tcPr>
            <w:tcW w:w="2000" w:type="dxa"/>
            <w:vAlign w:val="bottom"/>
          </w:tcPr>
          <w:p>
            <w:pPr>
              <w:jc w:val="center"/>
              <w:ind w:right="177"/>
              <w:spacing w:after="0" w:line="129" w:lineRule="exact"/>
              <w:rPr>
                <w:sz w:val="20"/>
                <w:szCs w:val="20"/>
                <w:color w:val="auto"/>
              </w:rPr>
            </w:pPr>
            <w:r>
              <w:rPr>
                <w:rFonts w:ascii="Arial" w:cs="Arial" w:eastAsia="Arial" w:hAnsi="Arial"/>
                <w:sz w:val="13"/>
                <w:szCs w:val="13"/>
                <w:b w:val="1"/>
                <w:bCs w:val="1"/>
                <w:color w:val="auto"/>
                <w:w w:val="96"/>
              </w:rPr>
              <w:t>(Commission File Number)</w:t>
            </w:r>
          </w:p>
        </w:tc>
        <w:tc>
          <w:tcPr>
            <w:tcW w:w="1380" w:type="dxa"/>
            <w:vAlign w:val="bottom"/>
          </w:tcPr>
          <w:p>
            <w:pPr>
              <w:jc w:val="center"/>
              <w:ind w:left="277"/>
              <w:spacing w:after="0" w:line="129" w:lineRule="exact"/>
              <w:rPr>
                <w:sz w:val="20"/>
                <w:szCs w:val="20"/>
                <w:color w:val="auto"/>
              </w:rPr>
            </w:pPr>
            <w:r>
              <w:rPr>
                <w:rFonts w:ascii="Arial" w:cs="Arial" w:eastAsia="Arial" w:hAnsi="Arial"/>
                <w:sz w:val="13"/>
                <w:szCs w:val="13"/>
                <w:b w:val="1"/>
                <w:bCs w:val="1"/>
                <w:color w:val="auto"/>
                <w:w w:val="97"/>
              </w:rPr>
              <w:t>(I.R.S. employer</w:t>
            </w:r>
          </w:p>
        </w:tc>
      </w:tr>
      <w:tr>
        <w:trPr>
          <w:trHeight w:val="172"/>
        </w:trPr>
        <w:tc>
          <w:tcPr>
            <w:tcW w:w="2440" w:type="dxa"/>
            <w:vAlign w:val="bottom"/>
          </w:tcPr>
          <w:p>
            <w:pPr>
              <w:jc w:val="center"/>
              <w:ind w:right="17"/>
              <w:spacing w:after="0"/>
              <w:rPr>
                <w:sz w:val="20"/>
                <w:szCs w:val="20"/>
                <w:color w:val="auto"/>
              </w:rPr>
            </w:pPr>
            <w:r>
              <w:rPr>
                <w:rFonts w:ascii="Arial" w:cs="Arial" w:eastAsia="Arial" w:hAnsi="Arial"/>
                <w:sz w:val="13"/>
                <w:szCs w:val="13"/>
                <w:b w:val="1"/>
                <w:bCs w:val="1"/>
                <w:color w:val="auto"/>
                <w:w w:val="96"/>
              </w:rPr>
              <w:t>incorporation or organization)</w:t>
            </w:r>
          </w:p>
        </w:tc>
        <w:tc>
          <w:tcPr>
            <w:tcW w:w="2000" w:type="dxa"/>
            <w:vAlign w:val="bottom"/>
          </w:tcPr>
          <w:p>
            <w:pPr>
              <w:spacing w:after="0"/>
              <w:rPr>
                <w:sz w:val="14"/>
                <w:szCs w:val="14"/>
                <w:color w:val="auto"/>
              </w:rPr>
            </w:pPr>
          </w:p>
        </w:tc>
        <w:tc>
          <w:tcPr>
            <w:tcW w:w="1380" w:type="dxa"/>
            <w:vAlign w:val="bottom"/>
          </w:tcPr>
          <w:p>
            <w:pPr>
              <w:jc w:val="center"/>
              <w:ind w:left="277"/>
              <w:spacing w:after="0"/>
              <w:rPr>
                <w:sz w:val="20"/>
                <w:szCs w:val="20"/>
                <w:color w:val="auto"/>
              </w:rPr>
            </w:pPr>
            <w:r>
              <w:rPr>
                <w:rFonts w:ascii="Arial" w:cs="Arial" w:eastAsia="Arial" w:hAnsi="Arial"/>
                <w:sz w:val="13"/>
                <w:szCs w:val="13"/>
                <w:b w:val="1"/>
                <w:bCs w:val="1"/>
                <w:color w:val="auto"/>
                <w:w w:val="95"/>
              </w:rPr>
              <w:t>identification no.)</w:t>
            </w:r>
          </w:p>
        </w:tc>
      </w:tr>
      <w:tr>
        <w:trPr>
          <w:trHeight w:val="333"/>
        </w:trPr>
        <w:tc>
          <w:tcPr>
            <w:tcW w:w="2440" w:type="dxa"/>
            <w:vAlign w:val="bottom"/>
          </w:tcPr>
          <w:p>
            <w:pPr>
              <w:jc w:val="center"/>
              <w:ind w:right="17"/>
              <w:spacing w:after="0"/>
              <w:rPr>
                <w:sz w:val="20"/>
                <w:szCs w:val="20"/>
                <w:color w:val="auto"/>
              </w:rPr>
            </w:pPr>
            <w:r>
              <w:rPr>
                <w:rFonts w:ascii="Arial" w:cs="Arial" w:eastAsia="Arial" w:hAnsi="Arial"/>
                <w:sz w:val="13"/>
                <w:szCs w:val="13"/>
                <w:b w:val="1"/>
                <w:bCs w:val="1"/>
                <w:color w:val="auto"/>
                <w:w w:val="96"/>
              </w:rPr>
              <w:t>383 Madison Avenue,</w:t>
            </w:r>
          </w:p>
        </w:tc>
        <w:tc>
          <w:tcPr>
            <w:tcW w:w="20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6"/>
        </w:trPr>
        <w:tc>
          <w:tcPr>
            <w:tcW w:w="2440" w:type="dxa"/>
            <w:vAlign w:val="bottom"/>
          </w:tcPr>
          <w:p>
            <w:pPr>
              <w:ind w:left="560"/>
              <w:spacing w:after="0"/>
              <w:rPr>
                <w:sz w:val="20"/>
                <w:szCs w:val="20"/>
                <w:color w:val="auto"/>
              </w:rPr>
            </w:pPr>
            <w:r>
              <w:rPr>
                <w:rFonts w:ascii="Arial" w:cs="Arial" w:eastAsia="Arial" w:hAnsi="Arial"/>
                <w:sz w:val="13"/>
                <w:szCs w:val="13"/>
                <w:b w:val="1"/>
                <w:bCs w:val="1"/>
                <w:color w:val="auto"/>
              </w:rPr>
              <w:t>New York, New York</w:t>
            </w:r>
          </w:p>
        </w:tc>
        <w:tc>
          <w:tcPr>
            <w:tcW w:w="2000" w:type="dxa"/>
            <w:vAlign w:val="bottom"/>
          </w:tcPr>
          <w:p>
            <w:pPr>
              <w:spacing w:after="0"/>
              <w:rPr>
                <w:sz w:val="15"/>
                <w:szCs w:val="15"/>
                <w:color w:val="auto"/>
              </w:rPr>
            </w:pPr>
          </w:p>
        </w:tc>
        <w:tc>
          <w:tcPr>
            <w:tcW w:w="1380" w:type="dxa"/>
            <w:vAlign w:val="bottom"/>
          </w:tcPr>
          <w:p>
            <w:pPr>
              <w:jc w:val="right"/>
              <w:ind w:right="277"/>
              <w:spacing w:after="0"/>
              <w:rPr>
                <w:sz w:val="20"/>
                <w:szCs w:val="20"/>
                <w:color w:val="auto"/>
              </w:rPr>
            </w:pPr>
            <w:r>
              <w:rPr>
                <w:rFonts w:ascii="Arial" w:cs="Arial" w:eastAsia="Arial" w:hAnsi="Arial"/>
                <w:sz w:val="13"/>
                <w:szCs w:val="13"/>
                <w:b w:val="1"/>
                <w:bCs w:val="1"/>
                <w:color w:val="auto"/>
              </w:rPr>
              <w:t>10179</w:t>
            </w:r>
          </w:p>
        </w:tc>
      </w:tr>
      <w:tr>
        <w:trPr>
          <w:trHeight w:val="216"/>
        </w:trPr>
        <w:tc>
          <w:tcPr>
            <w:tcW w:w="2440" w:type="dxa"/>
            <w:vAlign w:val="bottom"/>
          </w:tcPr>
          <w:p>
            <w:pPr>
              <w:jc w:val="center"/>
              <w:ind w:right="17"/>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2000" w:type="dxa"/>
            <w:vAlign w:val="bottom"/>
          </w:tcPr>
          <w:p>
            <w:pPr>
              <w:spacing w:after="0"/>
              <w:rPr>
                <w:sz w:val="18"/>
                <w:szCs w:val="18"/>
                <w:color w:val="auto"/>
              </w:rPr>
            </w:pPr>
          </w:p>
        </w:tc>
        <w:tc>
          <w:tcPr>
            <w:tcW w:w="1380" w:type="dxa"/>
            <w:vAlign w:val="bottom"/>
          </w:tcPr>
          <w:p>
            <w:pPr>
              <w:jc w:val="center"/>
              <w:ind w:left="297"/>
              <w:spacing w:after="0"/>
              <w:rPr>
                <w:sz w:val="20"/>
                <w:szCs w:val="20"/>
                <w:color w:val="auto"/>
              </w:rPr>
            </w:pPr>
            <w:r>
              <w:rPr>
                <w:rFonts w:ascii="Arial" w:cs="Arial" w:eastAsia="Arial" w:hAnsi="Arial"/>
                <w:sz w:val="13"/>
                <w:szCs w:val="13"/>
                <w:b w:val="1"/>
                <w:bCs w:val="1"/>
                <w:color w:val="auto"/>
                <w:w w:val="96"/>
              </w:rPr>
              <w:t>(Zip Code)</w:t>
            </w:r>
          </w:p>
        </w:tc>
      </w:tr>
    </w:tbl>
    <w:p>
      <w:pPr>
        <w:spacing w:after="0" w:line="134"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Registrant’s telephone number, including area code: (212) 270-6000</w:t>
      </w:r>
    </w:p>
    <w:p>
      <w:pPr>
        <w:spacing w:after="0" w:line="11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Check the appropriate box below if the Form 8-K filing is intended to simultaneously satisfy the filing obligation of the registrant under any of the following provisions:</w:t>
      </w:r>
    </w:p>
    <w:p>
      <w:pPr>
        <w:spacing w:after="0" w:line="134"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Written communications pursuant to Rule 425 under the Securities Act (17 CFR 230.425)</w:t>
      </w:r>
    </w:p>
    <w:p>
      <w:pPr>
        <w:spacing w:after="0" w:line="147" w:lineRule="exact"/>
        <w:rPr>
          <w:rFonts w:ascii="MS PGothic" w:cs="MS PGothic" w:eastAsia="MS PGothic" w:hAnsi="MS PGothic"/>
          <w:sz w:val="13"/>
          <w:szCs w:val="13"/>
          <w:color w:val="auto"/>
        </w:rPr>
      </w:pPr>
    </w:p>
    <w:p>
      <w:pPr>
        <w:ind w:left="440" w:hanging="414"/>
        <w:spacing w:after="0"/>
        <w:tabs>
          <w:tab w:leader="none" w:pos="44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Soliciting material pursuant to Rule 14a-12 under the Exchange Act (17 CFR 240.14a-12)</w:t>
      </w:r>
    </w:p>
    <w:p>
      <w:pPr>
        <w:spacing w:after="0" w:line="228" w:lineRule="exact"/>
        <w:rPr>
          <w:rFonts w:ascii="MS PGothic" w:cs="MS PGothic" w:eastAsia="MS PGothic" w:hAnsi="MS PGothic"/>
          <w:sz w:val="13"/>
          <w:szCs w:val="13"/>
          <w:color w:val="auto"/>
        </w:rPr>
      </w:pPr>
    </w:p>
    <w:p>
      <w:pPr>
        <w:ind w:left="440" w:hanging="414"/>
        <w:spacing w:after="0"/>
        <w:tabs>
          <w:tab w:leader="none" w:pos="44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Pre-commencement communications pursuant to Rule 14d-2(b) under the Exchange Act (17 CFR 240.14d-2(b))</w:t>
      </w:r>
    </w:p>
    <w:p>
      <w:pPr>
        <w:spacing w:after="0" w:line="147" w:lineRule="exact"/>
        <w:rPr>
          <w:rFonts w:ascii="MS PGothic" w:cs="MS PGothic" w:eastAsia="MS PGothic" w:hAnsi="MS PGothic"/>
          <w:sz w:val="13"/>
          <w:szCs w:val="13"/>
          <w:color w:val="auto"/>
        </w:rPr>
      </w:pPr>
    </w:p>
    <w:p>
      <w:pPr>
        <w:ind w:left="440" w:hanging="414"/>
        <w:spacing w:after="0"/>
        <w:tabs>
          <w:tab w:leader="none" w:pos="44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Pre-commencement communications pursuant to Rule 13e-4(c) under the Exchange Act (17 CFR 240.13e-4(c))</w:t>
      </w:r>
    </w:p>
    <w:p>
      <w:pPr>
        <w:spacing w:after="0" w:line="156"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31" w:lineRule="exact"/>
        <w:rPr>
          <w:sz w:val="24"/>
          <w:szCs w:val="24"/>
          <w:color w:val="auto"/>
        </w:rPr>
      </w:pPr>
    </w:p>
    <w:tbl>
      <w:tblPr>
        <w:tblLayout w:type="fixed"/>
        <w:tblInd w:w="100" w:type="dxa"/>
        <w:tblCellMar>
          <w:top w:w="0" w:type="dxa"/>
          <w:left w:w="0" w:type="dxa"/>
          <w:bottom w:w="0" w:type="dxa"/>
          <w:right w:w="0" w:type="dxa"/>
        </w:tblCellMar>
      </w:tblPr>
      <w:tr>
        <w:trPr>
          <w:trHeight w:val="149"/>
        </w:trPr>
        <w:tc>
          <w:tcPr>
            <w:tcW w:w="10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4"/>
              </w:rPr>
              <w:t>Title of each class</w:t>
            </w:r>
          </w:p>
        </w:tc>
        <w:tc>
          <w:tcPr>
            <w:tcW w:w="4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4"/>
              </w:rPr>
              <w:t>Trading Symbol(s)</w:t>
            </w: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6"/>
              </w:rPr>
              <w:t>Name of each exchange on which registered</w:t>
            </w:r>
          </w:p>
        </w:tc>
      </w:tr>
      <w:tr>
        <w:trPr>
          <w:trHeight w:val="188"/>
        </w:trPr>
        <w:tc>
          <w:tcPr>
            <w:tcW w:w="5900" w:type="dxa"/>
            <w:vAlign w:val="bottom"/>
            <w:gridSpan w:val="2"/>
          </w:tcPr>
          <w:p>
            <w:pPr>
              <w:spacing w:after="0"/>
              <w:rPr>
                <w:sz w:val="20"/>
                <w:szCs w:val="20"/>
                <w:color w:val="auto"/>
              </w:rPr>
            </w:pPr>
            <w:r>
              <w:rPr>
                <w:rFonts w:ascii="Arial" w:cs="Arial" w:eastAsia="Arial" w:hAnsi="Arial"/>
                <w:sz w:val="13"/>
                <w:szCs w:val="13"/>
                <w:b w:val="1"/>
                <w:bCs w:val="1"/>
                <w:color w:val="auto"/>
              </w:rPr>
              <w:t>Common stock</w:t>
            </w:r>
          </w:p>
        </w:tc>
        <w:tc>
          <w:tcPr>
            <w:tcW w:w="1700" w:type="dxa"/>
            <w:vAlign w:val="bottom"/>
            <w:gridSpan w:val="3"/>
          </w:tcPr>
          <w:p>
            <w:pPr>
              <w:ind w:left="60"/>
              <w:spacing w:after="0"/>
              <w:rPr>
                <w:sz w:val="20"/>
                <w:szCs w:val="20"/>
                <w:color w:val="auto"/>
              </w:rPr>
            </w:pPr>
            <w:r>
              <w:rPr>
                <w:rFonts w:ascii="Arial" w:cs="Arial" w:eastAsia="Arial" w:hAnsi="Arial"/>
                <w:sz w:val="13"/>
                <w:szCs w:val="13"/>
                <w:b w:val="1"/>
                <w:bCs w:val="1"/>
                <w:color w:val="auto"/>
              </w:rPr>
              <w:t>JPM</w:t>
            </w:r>
          </w:p>
        </w:tc>
        <w:tc>
          <w:tcPr>
            <w:tcW w:w="3200" w:type="dxa"/>
            <w:vAlign w:val="bottom"/>
            <w:gridSpan w:val="2"/>
          </w:tcPr>
          <w:p>
            <w:pPr>
              <w:ind w:left="540"/>
              <w:spacing w:after="0"/>
              <w:rPr>
                <w:sz w:val="20"/>
                <w:szCs w:val="20"/>
                <w:color w:val="auto"/>
              </w:rPr>
            </w:pPr>
            <w:r>
              <w:rPr>
                <w:rFonts w:ascii="Arial" w:cs="Arial" w:eastAsia="Arial" w:hAnsi="Arial"/>
                <w:sz w:val="13"/>
                <w:szCs w:val="13"/>
                <w:b w:val="1"/>
                <w:bCs w:val="1"/>
                <w:color w:val="auto"/>
              </w:rPr>
              <w:t>The New York Stock Exchange</w:t>
            </w:r>
          </w:p>
        </w:tc>
      </w:tr>
      <w:tr>
        <w:trPr>
          <w:trHeight w:val="130"/>
        </w:trPr>
        <w:tc>
          <w:tcPr>
            <w:tcW w:w="590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5.75% Non-</w:t>
            </w:r>
          </w:p>
        </w:tc>
        <w:tc>
          <w:tcPr>
            <w:tcW w:w="1700" w:type="dxa"/>
            <w:vAlign w:val="bottom"/>
            <w:gridSpan w:val="3"/>
          </w:tcPr>
          <w:p>
            <w:pPr>
              <w:ind w:left="60"/>
              <w:spacing w:after="0" w:line="129" w:lineRule="exact"/>
              <w:rPr>
                <w:sz w:val="20"/>
                <w:szCs w:val="20"/>
                <w:color w:val="auto"/>
              </w:rPr>
            </w:pPr>
            <w:r>
              <w:rPr>
                <w:rFonts w:ascii="Arial" w:cs="Arial" w:eastAsia="Arial" w:hAnsi="Arial"/>
                <w:sz w:val="13"/>
                <w:szCs w:val="13"/>
                <w:b w:val="1"/>
                <w:bCs w:val="1"/>
                <w:color w:val="auto"/>
              </w:rPr>
              <w:t>JPM PR D</w:t>
            </w:r>
          </w:p>
        </w:tc>
        <w:tc>
          <w:tcPr>
            <w:tcW w:w="3200" w:type="dxa"/>
            <w:vAlign w:val="bottom"/>
            <w:gridSpan w:val="2"/>
          </w:tcPr>
          <w:p>
            <w:pPr>
              <w:ind w:left="540"/>
              <w:spacing w:after="0" w:line="129" w:lineRule="exact"/>
              <w:rPr>
                <w:sz w:val="20"/>
                <w:szCs w:val="20"/>
                <w:color w:val="auto"/>
              </w:rPr>
            </w:pPr>
            <w:r>
              <w:rPr>
                <w:rFonts w:ascii="Arial" w:cs="Arial" w:eastAsia="Arial" w:hAnsi="Arial"/>
                <w:sz w:val="13"/>
                <w:szCs w:val="13"/>
                <w:b w:val="1"/>
                <w:bCs w:val="1"/>
                <w:color w:val="auto"/>
              </w:rPr>
              <w:t>The New York Stock Exchange</w:t>
            </w:r>
          </w:p>
        </w:tc>
      </w:tr>
      <w:tr>
        <w:trPr>
          <w:trHeight w:val="172"/>
        </w:trPr>
        <w:tc>
          <w:tcPr>
            <w:tcW w:w="590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DD</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9"/>
        </w:trPr>
        <w:tc>
          <w:tcPr>
            <w:tcW w:w="590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6.00% Non-</w:t>
            </w:r>
          </w:p>
        </w:tc>
        <w:tc>
          <w:tcPr>
            <w:tcW w:w="1700" w:type="dxa"/>
            <w:vAlign w:val="bottom"/>
            <w:gridSpan w:val="3"/>
          </w:tcPr>
          <w:p>
            <w:pPr>
              <w:ind w:left="60"/>
              <w:spacing w:after="0" w:line="139" w:lineRule="exact"/>
              <w:rPr>
                <w:sz w:val="20"/>
                <w:szCs w:val="20"/>
                <w:color w:val="auto"/>
              </w:rPr>
            </w:pPr>
            <w:r>
              <w:rPr>
                <w:rFonts w:ascii="Arial" w:cs="Arial" w:eastAsia="Arial" w:hAnsi="Arial"/>
                <w:sz w:val="13"/>
                <w:szCs w:val="13"/>
                <w:b w:val="1"/>
                <w:bCs w:val="1"/>
                <w:color w:val="auto"/>
              </w:rPr>
              <w:t>JPM PR C</w:t>
            </w:r>
          </w:p>
        </w:tc>
        <w:tc>
          <w:tcPr>
            <w:tcW w:w="3200" w:type="dxa"/>
            <w:vAlign w:val="bottom"/>
            <w:gridSpan w:val="2"/>
          </w:tcPr>
          <w:p>
            <w:pPr>
              <w:ind w:left="540"/>
              <w:spacing w:after="0" w:line="139" w:lineRule="exact"/>
              <w:rPr>
                <w:sz w:val="20"/>
                <w:szCs w:val="20"/>
                <w:color w:val="auto"/>
              </w:rPr>
            </w:pPr>
            <w:r>
              <w:rPr>
                <w:rFonts w:ascii="Arial" w:cs="Arial" w:eastAsia="Arial" w:hAnsi="Arial"/>
                <w:sz w:val="13"/>
                <w:szCs w:val="13"/>
                <w:b w:val="1"/>
                <w:bCs w:val="1"/>
                <w:color w:val="auto"/>
              </w:rPr>
              <w:t>The New York Stock Exchange</w:t>
            </w:r>
          </w:p>
        </w:tc>
      </w:tr>
      <w:tr>
        <w:trPr>
          <w:trHeight w:val="172"/>
        </w:trPr>
        <w:tc>
          <w:tcPr>
            <w:tcW w:w="590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EE</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9"/>
        </w:trPr>
        <w:tc>
          <w:tcPr>
            <w:tcW w:w="590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4.75% Non-</w:t>
            </w:r>
          </w:p>
        </w:tc>
        <w:tc>
          <w:tcPr>
            <w:tcW w:w="1700" w:type="dxa"/>
            <w:vAlign w:val="bottom"/>
            <w:gridSpan w:val="3"/>
          </w:tcPr>
          <w:p>
            <w:pPr>
              <w:ind w:left="60"/>
              <w:spacing w:after="0" w:line="139" w:lineRule="exact"/>
              <w:rPr>
                <w:sz w:val="20"/>
                <w:szCs w:val="20"/>
                <w:color w:val="auto"/>
              </w:rPr>
            </w:pPr>
            <w:r>
              <w:rPr>
                <w:rFonts w:ascii="Arial" w:cs="Arial" w:eastAsia="Arial" w:hAnsi="Arial"/>
                <w:sz w:val="13"/>
                <w:szCs w:val="13"/>
                <w:b w:val="1"/>
                <w:bCs w:val="1"/>
                <w:color w:val="auto"/>
              </w:rPr>
              <w:t>JPM PR J</w:t>
            </w:r>
          </w:p>
        </w:tc>
        <w:tc>
          <w:tcPr>
            <w:tcW w:w="3200" w:type="dxa"/>
            <w:vAlign w:val="bottom"/>
            <w:gridSpan w:val="2"/>
          </w:tcPr>
          <w:p>
            <w:pPr>
              <w:ind w:left="540"/>
              <w:spacing w:after="0" w:line="139" w:lineRule="exact"/>
              <w:rPr>
                <w:sz w:val="20"/>
                <w:szCs w:val="20"/>
                <w:color w:val="auto"/>
              </w:rPr>
            </w:pPr>
            <w:r>
              <w:rPr>
                <w:rFonts w:ascii="Arial" w:cs="Arial" w:eastAsia="Arial" w:hAnsi="Arial"/>
                <w:sz w:val="13"/>
                <w:szCs w:val="13"/>
                <w:b w:val="1"/>
                <w:bCs w:val="1"/>
                <w:color w:val="auto"/>
              </w:rPr>
              <w:t>The New York Stock Exchange</w:t>
            </w:r>
          </w:p>
        </w:tc>
      </w:tr>
      <w:tr>
        <w:trPr>
          <w:trHeight w:val="172"/>
        </w:trPr>
        <w:tc>
          <w:tcPr>
            <w:tcW w:w="590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GG</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9"/>
        </w:trPr>
        <w:tc>
          <w:tcPr>
            <w:tcW w:w="590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4.55% Non-</w:t>
            </w:r>
          </w:p>
        </w:tc>
        <w:tc>
          <w:tcPr>
            <w:tcW w:w="1700" w:type="dxa"/>
            <w:vAlign w:val="bottom"/>
            <w:gridSpan w:val="3"/>
          </w:tcPr>
          <w:p>
            <w:pPr>
              <w:ind w:left="60"/>
              <w:spacing w:after="0" w:line="139" w:lineRule="exact"/>
              <w:rPr>
                <w:sz w:val="20"/>
                <w:szCs w:val="20"/>
                <w:color w:val="auto"/>
              </w:rPr>
            </w:pPr>
            <w:r>
              <w:rPr>
                <w:rFonts w:ascii="Arial" w:cs="Arial" w:eastAsia="Arial" w:hAnsi="Arial"/>
                <w:sz w:val="13"/>
                <w:szCs w:val="13"/>
                <w:b w:val="1"/>
                <w:bCs w:val="1"/>
                <w:color w:val="auto"/>
              </w:rPr>
              <w:t>JPM PR K</w:t>
            </w:r>
          </w:p>
        </w:tc>
        <w:tc>
          <w:tcPr>
            <w:tcW w:w="3200" w:type="dxa"/>
            <w:vAlign w:val="bottom"/>
            <w:gridSpan w:val="2"/>
          </w:tcPr>
          <w:p>
            <w:pPr>
              <w:ind w:left="540"/>
              <w:spacing w:after="0" w:line="139" w:lineRule="exact"/>
              <w:rPr>
                <w:sz w:val="20"/>
                <w:szCs w:val="20"/>
                <w:color w:val="auto"/>
              </w:rPr>
            </w:pPr>
            <w:r>
              <w:rPr>
                <w:rFonts w:ascii="Arial" w:cs="Arial" w:eastAsia="Arial" w:hAnsi="Arial"/>
                <w:sz w:val="13"/>
                <w:szCs w:val="13"/>
                <w:b w:val="1"/>
                <w:bCs w:val="1"/>
                <w:color w:val="auto"/>
              </w:rPr>
              <w:t>The New York Stock Exchange</w:t>
            </w:r>
          </w:p>
        </w:tc>
      </w:tr>
      <w:tr>
        <w:trPr>
          <w:trHeight w:val="172"/>
        </w:trPr>
        <w:tc>
          <w:tcPr>
            <w:tcW w:w="5900" w:type="dxa"/>
            <w:vAlign w:val="bottom"/>
            <w:gridSpan w:val="2"/>
          </w:tcPr>
          <w:p>
            <w:pPr>
              <w:spacing w:after="0"/>
              <w:rPr>
                <w:sz w:val="20"/>
                <w:szCs w:val="20"/>
                <w:color w:val="auto"/>
              </w:rPr>
            </w:pPr>
            <w:r>
              <w:rPr>
                <w:rFonts w:ascii="Arial" w:cs="Arial" w:eastAsia="Arial" w:hAnsi="Arial"/>
                <w:sz w:val="13"/>
                <w:szCs w:val="13"/>
                <w:b w:val="1"/>
                <w:bCs w:val="1"/>
                <w:color w:val="auto"/>
              </w:rPr>
              <w:t>Cumulative Preferred Stock, Series JJ</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9"/>
        </w:trPr>
        <w:tc>
          <w:tcPr>
            <w:tcW w:w="590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4.625% Non-</w:t>
            </w:r>
          </w:p>
        </w:tc>
        <w:tc>
          <w:tcPr>
            <w:tcW w:w="1700" w:type="dxa"/>
            <w:vAlign w:val="bottom"/>
            <w:gridSpan w:val="3"/>
          </w:tcPr>
          <w:p>
            <w:pPr>
              <w:ind w:left="60"/>
              <w:spacing w:after="0" w:line="139" w:lineRule="exact"/>
              <w:rPr>
                <w:sz w:val="20"/>
                <w:szCs w:val="20"/>
                <w:color w:val="auto"/>
              </w:rPr>
            </w:pPr>
            <w:r>
              <w:rPr>
                <w:rFonts w:ascii="Arial" w:cs="Arial" w:eastAsia="Arial" w:hAnsi="Arial"/>
                <w:sz w:val="13"/>
                <w:szCs w:val="13"/>
                <w:b w:val="1"/>
                <w:bCs w:val="1"/>
                <w:color w:val="auto"/>
              </w:rPr>
              <w:t>JPM PR L</w:t>
            </w:r>
          </w:p>
        </w:tc>
        <w:tc>
          <w:tcPr>
            <w:tcW w:w="3200" w:type="dxa"/>
            <w:vAlign w:val="bottom"/>
            <w:gridSpan w:val="2"/>
          </w:tcPr>
          <w:p>
            <w:pPr>
              <w:ind w:left="540"/>
              <w:spacing w:after="0" w:line="139" w:lineRule="exact"/>
              <w:rPr>
                <w:sz w:val="20"/>
                <w:szCs w:val="20"/>
                <w:color w:val="auto"/>
              </w:rPr>
            </w:pPr>
            <w:r>
              <w:rPr>
                <w:rFonts w:ascii="Arial" w:cs="Arial" w:eastAsia="Arial" w:hAnsi="Arial"/>
                <w:sz w:val="13"/>
                <w:szCs w:val="13"/>
                <w:b w:val="1"/>
                <w:bCs w:val="1"/>
                <w:color w:val="auto"/>
              </w:rPr>
              <w:t>The New York Stock Exchange</w:t>
            </w:r>
          </w:p>
        </w:tc>
      </w:tr>
      <w:tr>
        <w:trPr>
          <w:trHeight w:val="172"/>
        </w:trPr>
        <w:tc>
          <w:tcPr>
            <w:tcW w:w="5900" w:type="dxa"/>
            <w:vAlign w:val="bottom"/>
            <w:gridSpan w:val="2"/>
          </w:tcPr>
          <w:p>
            <w:pPr>
              <w:spacing w:after="0"/>
              <w:rPr>
                <w:sz w:val="20"/>
                <w:szCs w:val="20"/>
                <w:color w:val="auto"/>
              </w:rPr>
            </w:pPr>
            <w:r>
              <w:rPr>
                <w:rFonts w:ascii="Arial" w:cs="Arial" w:eastAsia="Arial" w:hAnsi="Arial"/>
                <w:sz w:val="13"/>
                <w:szCs w:val="13"/>
                <w:b w:val="1"/>
                <w:bCs w:val="1"/>
                <w:color w:val="auto"/>
              </w:rPr>
              <w:t>Cumulative Preferred Stock, Series LL</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9"/>
        </w:trPr>
        <w:tc>
          <w:tcPr>
            <w:tcW w:w="590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4.20% Non-</w:t>
            </w:r>
          </w:p>
        </w:tc>
        <w:tc>
          <w:tcPr>
            <w:tcW w:w="1700" w:type="dxa"/>
            <w:vAlign w:val="bottom"/>
            <w:gridSpan w:val="3"/>
          </w:tcPr>
          <w:p>
            <w:pPr>
              <w:ind w:left="60"/>
              <w:spacing w:after="0" w:line="139" w:lineRule="exact"/>
              <w:rPr>
                <w:sz w:val="20"/>
                <w:szCs w:val="20"/>
                <w:color w:val="auto"/>
              </w:rPr>
            </w:pPr>
            <w:r>
              <w:rPr>
                <w:rFonts w:ascii="Arial" w:cs="Arial" w:eastAsia="Arial" w:hAnsi="Arial"/>
                <w:sz w:val="13"/>
                <w:szCs w:val="13"/>
                <w:b w:val="1"/>
                <w:bCs w:val="1"/>
                <w:color w:val="auto"/>
              </w:rPr>
              <w:t>JPM PR M</w:t>
            </w:r>
          </w:p>
        </w:tc>
        <w:tc>
          <w:tcPr>
            <w:tcW w:w="3200" w:type="dxa"/>
            <w:vAlign w:val="bottom"/>
            <w:gridSpan w:val="2"/>
          </w:tcPr>
          <w:p>
            <w:pPr>
              <w:ind w:left="540"/>
              <w:spacing w:after="0" w:line="139" w:lineRule="exact"/>
              <w:rPr>
                <w:sz w:val="20"/>
                <w:szCs w:val="20"/>
                <w:color w:val="auto"/>
              </w:rPr>
            </w:pPr>
            <w:r>
              <w:rPr>
                <w:rFonts w:ascii="Arial" w:cs="Arial" w:eastAsia="Arial" w:hAnsi="Arial"/>
                <w:sz w:val="13"/>
                <w:szCs w:val="13"/>
                <w:b w:val="1"/>
                <w:bCs w:val="1"/>
                <w:color w:val="auto"/>
              </w:rPr>
              <w:t>The New York Stock Exchange</w:t>
            </w:r>
          </w:p>
        </w:tc>
      </w:tr>
      <w:tr>
        <w:trPr>
          <w:trHeight w:val="172"/>
        </w:trPr>
        <w:tc>
          <w:tcPr>
            <w:tcW w:w="5900" w:type="dxa"/>
            <w:vAlign w:val="bottom"/>
            <w:gridSpan w:val="2"/>
          </w:tcPr>
          <w:p>
            <w:pPr>
              <w:spacing w:after="0"/>
              <w:rPr>
                <w:sz w:val="20"/>
                <w:szCs w:val="20"/>
                <w:color w:val="auto"/>
              </w:rPr>
            </w:pPr>
            <w:r>
              <w:rPr>
                <w:rFonts w:ascii="Arial" w:cs="Arial" w:eastAsia="Arial" w:hAnsi="Arial"/>
                <w:sz w:val="13"/>
                <w:szCs w:val="13"/>
                <w:b w:val="1"/>
                <w:bCs w:val="1"/>
                <w:color w:val="auto"/>
              </w:rPr>
              <w:t>Cumulative Preferred Stock, Series MM</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85"/>
        </w:trPr>
        <w:tc>
          <w:tcPr>
            <w:tcW w:w="5900" w:type="dxa"/>
            <w:vAlign w:val="bottom"/>
            <w:gridSpan w:val="2"/>
          </w:tcPr>
          <w:p>
            <w:pPr>
              <w:spacing w:after="0"/>
              <w:rPr>
                <w:sz w:val="20"/>
                <w:szCs w:val="20"/>
                <w:color w:val="auto"/>
              </w:rPr>
            </w:pPr>
            <w:r>
              <w:rPr>
                <w:rFonts w:ascii="Arial" w:cs="Arial" w:eastAsia="Arial" w:hAnsi="Arial"/>
                <w:sz w:val="13"/>
                <w:szCs w:val="13"/>
                <w:b w:val="1"/>
                <w:bCs w:val="1"/>
                <w:color w:val="auto"/>
              </w:rPr>
              <w:t>Alerian MLP Index ETNs due May 24, 2024</w:t>
            </w:r>
          </w:p>
        </w:tc>
        <w:tc>
          <w:tcPr>
            <w:tcW w:w="1700" w:type="dxa"/>
            <w:vAlign w:val="bottom"/>
            <w:gridSpan w:val="3"/>
          </w:tcPr>
          <w:p>
            <w:pPr>
              <w:ind w:left="60"/>
              <w:spacing w:after="0"/>
              <w:rPr>
                <w:sz w:val="20"/>
                <w:szCs w:val="20"/>
                <w:color w:val="auto"/>
              </w:rPr>
            </w:pPr>
            <w:r>
              <w:rPr>
                <w:rFonts w:ascii="Arial" w:cs="Arial" w:eastAsia="Arial" w:hAnsi="Arial"/>
                <w:sz w:val="13"/>
                <w:szCs w:val="13"/>
                <w:b w:val="1"/>
                <w:bCs w:val="1"/>
                <w:color w:val="auto"/>
              </w:rPr>
              <w:t>AMJ</w:t>
            </w:r>
          </w:p>
        </w:tc>
        <w:tc>
          <w:tcPr>
            <w:tcW w:w="3200" w:type="dxa"/>
            <w:vAlign w:val="bottom"/>
            <w:gridSpan w:val="2"/>
          </w:tcPr>
          <w:p>
            <w:pPr>
              <w:ind w:left="540"/>
              <w:spacing w:after="0"/>
              <w:rPr>
                <w:sz w:val="20"/>
                <w:szCs w:val="20"/>
                <w:color w:val="auto"/>
              </w:rPr>
            </w:pPr>
            <w:r>
              <w:rPr>
                <w:rFonts w:ascii="Arial" w:cs="Arial" w:eastAsia="Arial" w:hAnsi="Arial"/>
                <w:sz w:val="13"/>
                <w:szCs w:val="13"/>
                <w:b w:val="1"/>
                <w:bCs w:val="1"/>
                <w:color w:val="auto"/>
              </w:rPr>
              <w:t>NYSE Arca, Inc.</w:t>
            </w:r>
          </w:p>
        </w:tc>
      </w:tr>
      <w:tr>
        <w:trPr>
          <w:trHeight w:val="130"/>
        </w:trPr>
        <w:tc>
          <w:tcPr>
            <w:tcW w:w="590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w w:val="97"/>
              </w:rPr>
              <w:t>Guarantee of Callable Fixed Rate Notes due June 10, 2032 of JPMorgan Chase Financial Company</w:t>
            </w:r>
          </w:p>
        </w:tc>
        <w:tc>
          <w:tcPr>
            <w:tcW w:w="1700" w:type="dxa"/>
            <w:vAlign w:val="bottom"/>
            <w:gridSpan w:val="3"/>
          </w:tcPr>
          <w:p>
            <w:pPr>
              <w:ind w:left="60"/>
              <w:spacing w:after="0" w:line="129" w:lineRule="exact"/>
              <w:rPr>
                <w:sz w:val="20"/>
                <w:szCs w:val="20"/>
                <w:color w:val="auto"/>
              </w:rPr>
            </w:pPr>
            <w:r>
              <w:rPr>
                <w:rFonts w:ascii="Arial" w:cs="Arial" w:eastAsia="Arial" w:hAnsi="Arial"/>
                <w:sz w:val="13"/>
                <w:szCs w:val="13"/>
                <w:b w:val="1"/>
                <w:bCs w:val="1"/>
                <w:color w:val="auto"/>
              </w:rPr>
              <w:t>JPM/32</w:t>
            </w:r>
          </w:p>
        </w:tc>
        <w:tc>
          <w:tcPr>
            <w:tcW w:w="3200" w:type="dxa"/>
            <w:vAlign w:val="bottom"/>
            <w:gridSpan w:val="2"/>
          </w:tcPr>
          <w:p>
            <w:pPr>
              <w:ind w:left="540"/>
              <w:spacing w:after="0" w:line="129" w:lineRule="exact"/>
              <w:rPr>
                <w:sz w:val="20"/>
                <w:szCs w:val="20"/>
                <w:color w:val="auto"/>
              </w:rPr>
            </w:pPr>
            <w:r>
              <w:rPr>
                <w:rFonts w:ascii="Arial" w:cs="Arial" w:eastAsia="Arial" w:hAnsi="Arial"/>
                <w:sz w:val="13"/>
                <w:szCs w:val="13"/>
                <w:b w:val="1"/>
                <w:bCs w:val="1"/>
                <w:color w:val="auto"/>
              </w:rPr>
              <w:t>The New York Stock Exchange</w:t>
            </w:r>
          </w:p>
        </w:tc>
      </w:tr>
      <w:tr>
        <w:trPr>
          <w:trHeight w:val="172"/>
        </w:trPr>
        <w:tc>
          <w:tcPr>
            <w:tcW w:w="5900" w:type="dxa"/>
            <w:vAlign w:val="bottom"/>
            <w:gridSpan w:val="2"/>
          </w:tcPr>
          <w:p>
            <w:pPr>
              <w:spacing w:after="0"/>
              <w:rPr>
                <w:sz w:val="20"/>
                <w:szCs w:val="20"/>
                <w:color w:val="auto"/>
              </w:rPr>
            </w:pPr>
            <w:r>
              <w:rPr>
                <w:rFonts w:ascii="Arial" w:cs="Arial" w:eastAsia="Arial" w:hAnsi="Arial"/>
                <w:sz w:val="13"/>
                <w:szCs w:val="13"/>
                <w:b w:val="1"/>
                <w:bCs w:val="1"/>
                <w:color w:val="auto"/>
              </w:rPr>
              <w:t>LLC</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bl>
    <w:p>
      <w:pPr>
        <w:spacing w:after="0" w:line="156" w:lineRule="exact"/>
        <w:rPr>
          <w:sz w:val="24"/>
          <w:szCs w:val="24"/>
          <w:color w:val="auto"/>
        </w:rPr>
      </w:pPr>
    </w:p>
    <w:p>
      <w:pPr>
        <w:spacing w:after="0" w:line="274"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92" w:lineRule="exact"/>
        <w:rPr>
          <w:sz w:val="24"/>
          <w:szCs w:val="24"/>
          <w:color w:val="auto"/>
        </w:rPr>
      </w:pPr>
    </w:p>
    <w:p>
      <w:pPr>
        <w:ind w:right="120"/>
        <w:spacing w:after="0" w:line="18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534035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98" w:right="519" w:bottom="1440" w:gutter="0" w:footer="0" w:header="0"/>
        </w:sectPr>
      </w:pPr>
    </w:p>
    <w:bookmarkStart w:id="1" w:name="page2"/>
    <w:bookmarkEnd w:id="1"/>
    <w:p>
      <w:pPr>
        <w:ind w:right="520"/>
        <w:spacing w:after="0" w:line="281" w:lineRule="auto"/>
        <w:rPr>
          <w:sz w:val="20"/>
          <w:szCs w:val="20"/>
          <w:color w:val="auto"/>
        </w:rPr>
      </w:pPr>
      <w:r>
        <w:rPr>
          <w:rFonts w:ascii="Arial" w:cs="Arial" w:eastAsia="Arial" w:hAnsi="Arial"/>
          <w:sz w:val="18"/>
          <w:szCs w:val="18"/>
          <w:color w:val="auto"/>
        </w:rPr>
        <w:t>I</w:t>
      </w:r>
      <w:r>
        <w:rPr>
          <w:rFonts w:ascii="Arial" w:cs="Arial" w:eastAsia="Arial" w:hAnsi="Arial"/>
          <w:sz w:val="18"/>
          <w:szCs w:val="18"/>
          <w:b w:val="1"/>
          <w:bCs w:val="1"/>
          <w:color w:val="auto"/>
        </w:rPr>
        <w:t>tem 5.02 (e) Departure of Directors or Certain Officers; Election of Directors; Appointment of Certain Officers; Compensatory</w:t>
      </w:r>
      <w:r>
        <w:rPr>
          <w:rFonts w:ascii="Arial" w:cs="Arial" w:eastAsia="Arial" w:hAnsi="Arial"/>
          <w:sz w:val="18"/>
          <w:szCs w:val="18"/>
          <w:color w:val="auto"/>
        </w:rPr>
        <w:t xml:space="preserve"> </w:t>
      </w:r>
      <w:r>
        <w:rPr>
          <w:rFonts w:ascii="Arial" w:cs="Arial" w:eastAsia="Arial" w:hAnsi="Arial"/>
          <w:sz w:val="18"/>
          <w:szCs w:val="18"/>
          <w:b w:val="1"/>
          <w:bCs w:val="1"/>
          <w:color w:val="auto"/>
        </w:rPr>
        <w:t>Arrangements of Certain Officers.</w:t>
      </w:r>
    </w:p>
    <w:p>
      <w:pPr>
        <w:spacing w:after="0" w:line="163" w:lineRule="exact"/>
        <w:rPr>
          <w:sz w:val="20"/>
          <w:szCs w:val="20"/>
          <w:color w:val="auto"/>
        </w:rPr>
      </w:pPr>
    </w:p>
    <w:p>
      <w:pPr>
        <w:ind w:right="200"/>
        <w:spacing w:after="0" w:line="233" w:lineRule="auto"/>
        <w:rPr>
          <w:sz w:val="20"/>
          <w:szCs w:val="20"/>
          <w:color w:val="auto"/>
        </w:rPr>
      </w:pPr>
      <w:r>
        <w:rPr>
          <w:rFonts w:ascii="Arial" w:cs="Arial" w:eastAsia="Arial" w:hAnsi="Arial"/>
          <w:sz w:val="18"/>
          <w:szCs w:val="18"/>
          <w:color w:val="auto"/>
        </w:rPr>
        <w:t>JPMorgan Chase &amp; Co. (the “Firm”) announced that the independent members of the Board of Directors (the “Board”) approved the annual compensation for 2022 for Mr. James Dimon, CEO, in the amount of $34,500,000, which is unchanged from his annual compensation last year. There was no special award granted to Mr. Dimon in 2022 and the Board has committed to not grant any special awards to him in the future.</w:t>
      </w:r>
    </w:p>
    <w:p>
      <w:pPr>
        <w:spacing w:after="0" w:line="209"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color w:val="auto"/>
        </w:rPr>
        <w:t>Mr. Dimon’s total compensation includes an annual base salary of $1,500,000 and performance-based variable incentive compensation of $33,000,000. $5,000,000 of the variable incentive compensation will be delivered in cash and the remaining $28,000,000 will be delivered in the form of at-risk Performance Share Units ("PSUs"). PSUs tie 100% of Mr. Dimon’s annual equity-based compensation to ongoing</w:t>
      </w:r>
    </w:p>
    <w:p>
      <w:pPr>
        <w:spacing w:after="0" w:line="1" w:lineRule="exact"/>
        <w:rPr>
          <w:sz w:val="20"/>
          <w:szCs w:val="20"/>
          <w:color w:val="auto"/>
        </w:rPr>
      </w:pPr>
    </w:p>
    <w:p>
      <w:pPr>
        <w:ind w:right="120"/>
        <w:spacing w:after="0" w:line="221" w:lineRule="auto"/>
        <w:rPr>
          <w:sz w:val="20"/>
          <w:szCs w:val="20"/>
          <w:color w:val="auto"/>
        </w:rPr>
      </w:pPr>
      <w:r>
        <w:rPr>
          <w:rFonts w:ascii="Arial" w:cs="Arial" w:eastAsia="Arial" w:hAnsi="Arial"/>
          <w:sz w:val="18"/>
          <w:szCs w:val="18"/>
          <w:color w:val="auto"/>
        </w:rPr>
        <w:t>performance metrics, amounting to 85% of his total variable incentive compensation. The amounts of base salary, cash incentive and PSUs remain unchanged from last year. The key features of the PSU program are also consistent with last year, including the financial metric (return on tangible common equity</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 "ROTCE") with absolute and relative performance goals, payout levels, vesting and hold requirements, as well as clawback and recovery provisions</w:t>
      </w:r>
      <w:r>
        <w:rPr>
          <w:rFonts w:ascii="Arial" w:cs="Arial" w:eastAsia="Arial" w:hAnsi="Arial"/>
          <w:sz w:val="23"/>
          <w:szCs w:val="23"/>
          <w:color w:val="auto"/>
          <w:vertAlign w:val="superscript"/>
        </w:rPr>
        <w:t>2</w:t>
      </w:r>
      <w:r>
        <w:rPr>
          <w:rFonts w:ascii="Arial" w:cs="Arial" w:eastAsia="Arial" w:hAnsi="Arial"/>
          <w:sz w:val="18"/>
          <w:szCs w:val="18"/>
          <w:color w:val="auto"/>
        </w:rPr>
        <w:t>.</w:t>
      </w:r>
    </w:p>
    <w:p>
      <w:pPr>
        <w:spacing w:after="0" w:line="126" w:lineRule="exact"/>
        <w:rPr>
          <w:sz w:val="20"/>
          <w:szCs w:val="20"/>
          <w:color w:val="auto"/>
        </w:rPr>
      </w:pPr>
    </w:p>
    <w:p>
      <w:pPr>
        <w:ind w:right="240"/>
        <w:spacing w:after="0" w:line="225" w:lineRule="auto"/>
        <w:rPr>
          <w:sz w:val="20"/>
          <w:szCs w:val="20"/>
          <w:color w:val="auto"/>
        </w:rPr>
      </w:pPr>
      <w:r>
        <w:rPr>
          <w:rFonts w:ascii="Arial" w:cs="Arial" w:eastAsia="Arial" w:hAnsi="Arial"/>
          <w:sz w:val="17"/>
          <w:szCs w:val="17"/>
          <w:color w:val="auto"/>
        </w:rPr>
        <w:t>Amid the significant challenges of strong competition, growing geopolitical tensions, global economic uncertainty, mounting inflation and higher rates, and the lingering impacts of COVID-19, under Mr. Dimon's stewardship, the Firm continued to serve its clients and customers around the world during a time of unprecedented business demands, while investing in and executing on long-term strategic initiatives. In 2022 the Firm reported record revenue for the 5th consecutive year of $132.3 billion</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and net income of $37.7 billion, or $12.09 per share,</w:t>
      </w:r>
    </w:p>
    <w:p>
      <w:pPr>
        <w:spacing w:after="0" w:line="1"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with ROTCE of 18%. The Firm maintained its quarterly common dividend of $1.00 per share and continued to reinforce its fortress balance sheet.</w:t>
      </w:r>
    </w:p>
    <w:p>
      <w:pPr>
        <w:spacing w:after="0" w:line="194" w:lineRule="exact"/>
        <w:rPr>
          <w:sz w:val="20"/>
          <w:szCs w:val="20"/>
          <w:color w:val="auto"/>
        </w:rPr>
      </w:pPr>
    </w:p>
    <w:p>
      <w:pPr>
        <w:ind w:right="260"/>
        <w:spacing w:after="0" w:line="231" w:lineRule="auto"/>
        <w:rPr>
          <w:sz w:val="20"/>
          <w:szCs w:val="20"/>
          <w:color w:val="auto"/>
        </w:rPr>
      </w:pPr>
      <w:r>
        <w:rPr>
          <w:rFonts w:ascii="Arial" w:cs="Arial" w:eastAsia="Arial" w:hAnsi="Arial"/>
          <w:sz w:val="18"/>
          <w:szCs w:val="18"/>
          <w:color w:val="auto"/>
        </w:rPr>
        <w:t>The Firm ended the year with a common equity Tier 1 ratio of 13.2%, CET1 capital of $219 billion and $1.4 trillion of cash and marketable securities, providing it with meaningful capacity to support clients and further invest in its business and communities. During 2022 the Firm</w:t>
      </w:r>
    </w:p>
    <w:p>
      <w:pPr>
        <w:spacing w:after="0" w:line="1" w:lineRule="exact"/>
        <w:rPr>
          <w:sz w:val="20"/>
          <w:szCs w:val="20"/>
          <w:color w:val="auto"/>
        </w:rPr>
      </w:pPr>
    </w:p>
    <w:p>
      <w:pPr>
        <w:ind w:right="60"/>
        <w:spacing w:after="0" w:line="209" w:lineRule="auto"/>
        <w:rPr>
          <w:sz w:val="20"/>
          <w:szCs w:val="20"/>
          <w:color w:val="auto"/>
        </w:rPr>
      </w:pPr>
      <w:r>
        <w:rPr>
          <w:rFonts w:ascii="Arial" w:cs="Arial" w:eastAsia="Arial" w:hAnsi="Arial"/>
          <w:sz w:val="18"/>
          <w:szCs w:val="18"/>
          <w:color w:val="auto"/>
        </w:rPr>
        <w:t>raised over $2.4 trillion</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of credit and capital for its consumer and institutional clients around the world, which includes individuals, homeowners, small businesses, larger corporations, schools, hospitals, cities and countries in all regions of the world. The Firm continued its investments in technology, people, systems and products, as well as its inclusive efforts to help grow economies and advance cities and</w:t>
      </w:r>
    </w:p>
    <w:p>
      <w:pPr>
        <w:spacing w:after="0"/>
        <w:rPr>
          <w:sz w:val="20"/>
          <w:szCs w:val="20"/>
          <w:color w:val="auto"/>
        </w:rPr>
      </w:pPr>
      <w:r>
        <w:rPr>
          <w:rFonts w:ascii="Arial" w:cs="Arial" w:eastAsia="Arial" w:hAnsi="Arial"/>
          <w:sz w:val="18"/>
          <w:szCs w:val="18"/>
          <w:color w:val="auto"/>
        </w:rPr>
        <w:t>neighborhoods around the world, positioning the Firm for future success.</w:t>
      </w:r>
    </w:p>
    <w:p>
      <w:pPr>
        <w:spacing w:after="0" w:line="20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As part of determining Mr. Dimon’s compensation, the Board considered his holistic performance across financial and non-financial performance dimensions, as well as feedback from investors at the 2022 Annual Meeting and the Firm’s ongoing shareholder engagement.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Firm’s strong financial performance in 2022 and its continued momentum over the long-term, the Board considered the</w:t>
      </w:r>
    </w:p>
    <w:p>
      <w:pPr>
        <w:spacing w:after="0" w:line="14"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stability and strength of the Firm’s operating performance during the three years marked by the pandemic and subsequent reopening of the global economy, which introduced volatility to the Firm’s reported financial performance primarily as a function of large reserve builds in 2020, followed by subsequent releases in 2021.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Board also took into account Mr. Dimon’s continued exemplary leadership of the Firm, which continues to be one of the largest financial</w:t>
      </w:r>
    </w:p>
    <w:p>
      <w:pPr>
        <w:spacing w:after="0" w:line="14"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services firms in the world and is a leader in investment banking, financial services for consumers and small businesses, commercial banking, financial transaction processing and asset management. Under the J.P. Morgan and Chase brands, the Company serves millions of customers, predominantly in the United States, and many of the world’s most prominent corporate, institutional and government clients globally.</w:t>
      </w:r>
    </w:p>
    <w:p>
      <w:pPr>
        <w:spacing w:after="0" w:line="208" w:lineRule="exact"/>
        <w:rPr>
          <w:sz w:val="20"/>
          <w:szCs w:val="20"/>
          <w:color w:val="auto"/>
        </w:rPr>
      </w:pPr>
    </w:p>
    <w:p>
      <w:pPr>
        <w:ind w:right="160"/>
        <w:spacing w:after="0" w:line="233" w:lineRule="auto"/>
        <w:rPr>
          <w:sz w:val="20"/>
          <w:szCs w:val="20"/>
          <w:color w:val="auto"/>
        </w:rPr>
      </w:pPr>
      <w:r>
        <w:rPr>
          <w:rFonts w:ascii="Arial" w:cs="Arial" w:eastAsia="Arial" w:hAnsi="Arial"/>
          <w:sz w:val="18"/>
          <w:szCs w:val="18"/>
          <w:color w:val="auto"/>
        </w:rPr>
        <w:t>The Board continues to recognize that the Firm is in a uniquely fortunate position to be led by such a highly talented and experienced executive who continues to grow the company, maintain market leadership positions, strengthen the Firm’s reputation, invest at the cutting edge in opportunities for the future, promote diversity and best practices, manage risk and develop great leaders, while also maintaining his focus on the Firm’s clients.</w:t>
      </w:r>
    </w:p>
    <w:p>
      <w:pPr>
        <w:spacing w:after="0" w:line="200" w:lineRule="exact"/>
        <w:rPr>
          <w:sz w:val="20"/>
          <w:szCs w:val="20"/>
          <w:color w:val="auto"/>
        </w:rPr>
      </w:pPr>
    </w:p>
    <w:p>
      <w:pPr>
        <w:spacing w:after="0" w:line="206" w:lineRule="exact"/>
        <w:rPr>
          <w:sz w:val="20"/>
          <w:szCs w:val="20"/>
          <w:color w:val="auto"/>
        </w:rPr>
      </w:pPr>
    </w:p>
    <w:p>
      <w:pPr>
        <w:ind w:left="120" w:hanging="112"/>
        <w:spacing w:after="0"/>
        <w:tabs>
          <w:tab w:leader="none" w:pos="120" w:val="left"/>
        </w:tabs>
        <w:numPr>
          <w:ilvl w:val="0"/>
          <w:numId w:val="2"/>
        </w:numPr>
        <w:rPr>
          <w:rFonts w:ascii="Arial" w:cs="Arial" w:eastAsia="Arial" w:hAnsi="Arial"/>
          <w:sz w:val="21"/>
          <w:szCs w:val="21"/>
          <w:color w:val="auto"/>
          <w:vertAlign w:val="superscript"/>
        </w:rPr>
      </w:pPr>
      <w:r>
        <w:rPr>
          <w:rFonts w:ascii="Arial" w:cs="Arial" w:eastAsia="Arial" w:hAnsi="Arial"/>
          <w:sz w:val="16"/>
          <w:szCs w:val="16"/>
          <w:color w:val="auto"/>
        </w:rPr>
        <w:t>Revenue is on a managed basis. Managed revenue and ROTCE are non-GAAP financial measures. For further discussion, see notes (a) and (b) on page</w:t>
      </w:r>
    </w:p>
    <w:p>
      <w:pPr>
        <w:ind w:right="960"/>
        <w:spacing w:after="0" w:line="220" w:lineRule="auto"/>
        <w:rPr>
          <w:rFonts w:ascii="Arial" w:cs="Arial" w:eastAsia="Arial" w:hAnsi="Arial"/>
          <w:sz w:val="21"/>
          <w:szCs w:val="21"/>
          <w:color w:val="auto"/>
          <w:vertAlign w:val="superscript"/>
        </w:rPr>
      </w:pPr>
      <w:r>
        <w:rPr>
          <w:rFonts w:ascii="Arial" w:cs="Arial" w:eastAsia="Arial" w:hAnsi="Arial"/>
          <w:sz w:val="16"/>
          <w:szCs w:val="16"/>
          <w:color w:val="auto"/>
        </w:rPr>
        <w:t>6 of Exhibit 99.1 to the Firm’s Current Report on Form 8-K dated January 13, 2023, which has been filed with the U.S. Securities and Exchange Commission, containing the Firm's earnings press release for the quarter ended December 31, 2022.</w:t>
      </w:r>
    </w:p>
    <w:p>
      <w:pPr>
        <w:ind w:right="80"/>
        <w:spacing w:after="0" w:line="212" w:lineRule="auto"/>
        <w:rPr>
          <w:rFonts w:ascii="Arial" w:cs="Arial" w:eastAsia="Arial" w:hAnsi="Arial"/>
          <w:sz w:val="21"/>
          <w:szCs w:val="21"/>
          <w:color w:val="auto"/>
          <w:vertAlign w:val="superscript"/>
        </w:rPr>
      </w:pPr>
      <w:r>
        <w:rPr>
          <w:rFonts w:ascii="Arial" w:cs="Arial" w:eastAsia="Arial" w:hAnsi="Arial"/>
          <w:sz w:val="21"/>
          <w:szCs w:val="21"/>
          <w:color w:val="auto"/>
          <w:vertAlign w:val="superscript"/>
        </w:rPr>
        <w:t>2</w:t>
      </w:r>
      <w:r>
        <w:rPr>
          <w:rFonts w:ascii="Arial" w:cs="Arial" w:eastAsia="Arial" w:hAnsi="Arial"/>
          <w:sz w:val="16"/>
          <w:szCs w:val="16"/>
          <w:color w:val="auto"/>
        </w:rPr>
        <w:t xml:space="preserve"> Equity incentives are subject to the JPMorgan Chase Bonus Recoupment Policy which applies in the event of a material restatement of the Firm's financial results. In addition, all equity awards granted in 2023 contain recapture provisions that enable the Firm to cancel outstanding awards and/or recover the value of certain stock distributed under the award in specified circumstances. In addition to recapture provisions, portions of equity awards awarded to the CEO are also subject to additional Protection-based Vesting provisions under which awards may be cancelled as determined by the Compensation &amp; Management Development Committee of the Board of Directors and ratified by the Board of Directors.</w:t>
      </w:r>
    </w:p>
    <w:p>
      <w:pPr>
        <w:spacing w:after="0"/>
        <w:rPr>
          <w:rFonts w:ascii="Arial" w:cs="Arial" w:eastAsia="Arial" w:hAnsi="Arial"/>
          <w:sz w:val="21"/>
          <w:szCs w:val="21"/>
          <w:color w:val="auto"/>
          <w:vertAlign w:val="superscript"/>
        </w:rPr>
      </w:pPr>
      <w:r>
        <w:rPr>
          <w:rFonts w:ascii="Arial" w:cs="Arial" w:eastAsia="Arial" w:hAnsi="Arial"/>
          <w:sz w:val="21"/>
          <w:szCs w:val="21"/>
          <w:color w:val="auto"/>
          <w:vertAlign w:val="superscript"/>
        </w:rPr>
        <w:t>3</w:t>
      </w:r>
      <w:r>
        <w:rPr>
          <w:rFonts w:ascii="Arial" w:cs="Arial" w:eastAsia="Arial" w:hAnsi="Arial"/>
          <w:sz w:val="16"/>
          <w:szCs w:val="16"/>
          <w:color w:val="auto"/>
        </w:rPr>
        <w:t xml:space="preserve"> Credit provided to clients represents new and renewed credit, including loans and commitments.</w:t>
      </w:r>
    </w:p>
    <w:p>
      <w:pPr>
        <w:sectPr>
          <w:pgSz w:w="11900" w:h="16838" w:orient="portrait"/>
          <w:cols w:equalWidth="0" w:num="1">
            <w:col w:w="11240"/>
          </w:cols>
          <w:pgMar w:left="320" w:top="12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1" w:right="3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318" w:lineRule="exact"/>
        <w:rPr>
          <w:sz w:val="20"/>
          <w:szCs w:val="20"/>
          <w:color w:val="auto"/>
        </w:rPr>
      </w:pPr>
    </w:p>
    <w:p>
      <w:pPr>
        <w:ind w:left="420" w:hanging="412"/>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w:t>
      </w:r>
    </w:p>
    <w:p>
      <w:pPr>
        <w:sectPr>
          <w:pgSz w:w="11900" w:h="16838" w:orient="portrait"/>
          <w:cols w:equalWidth="0" w:num="1">
            <w:col w:w="10300"/>
          </w:cols>
          <w:pgMar w:left="320" w:top="1106" w:right="127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24765</wp:posOffset>
            </wp:positionV>
            <wp:extent cx="942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101</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17780</wp:posOffset>
            </wp:positionV>
            <wp:extent cx="53663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66385" cy="8255"/>
                    </a:xfrm>
                    <a:prstGeom prst="rect">
                      <a:avLst/>
                    </a:prstGeom>
                    <a:noFill/>
                  </pic:spPr>
                </pic:pic>
              </a:graphicData>
            </a:graphic>
          </wp:anchor>
        </w:drawing>
      </w:r>
    </w:p>
    <w:p>
      <w:pPr>
        <w:spacing w:after="0" w:line="16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Pursuant to Rule 406 of Regulation S-T, the cover page is formatted in Inline XBRL (Inline eXtensible Business Reporting Language).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Cover Page Interactive Data File (embedded within the Inline XBRL document and included in Exhibit 101).</w:t>
      </w:r>
    </w:p>
    <w:p>
      <w:pPr>
        <w:spacing w:after="0" w:line="200" w:lineRule="exact"/>
        <w:rPr>
          <w:sz w:val="20"/>
          <w:szCs w:val="20"/>
          <w:color w:val="auto"/>
        </w:rPr>
      </w:pPr>
    </w:p>
    <w:p>
      <w:pPr>
        <w:sectPr>
          <w:pgSz w:w="11900" w:h="16838" w:orient="portrait"/>
          <w:cols w:equalWidth="0" w:num="2">
            <w:col w:w="1780" w:space="460"/>
            <w:col w:w="8060"/>
          </w:cols>
          <w:pgMar w:left="320" w:top="1106"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00"/>
          </w:cols>
          <w:pgMar w:left="320" w:top="1106" w:right="127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u w:val="single" w:color="auto"/>
          <w:color w:val="auto"/>
        </w:rPr>
        <w:t>SIGNATURE</w:t>
      </w:r>
    </w:p>
    <w:p>
      <w:pPr>
        <w:spacing w:after="0" w:line="200" w:lineRule="exact"/>
        <w:rPr>
          <w:sz w:val="20"/>
          <w:szCs w:val="20"/>
          <w:color w:val="auto"/>
        </w:rPr>
      </w:pPr>
    </w:p>
    <w:p>
      <w:pPr>
        <w:spacing w:after="0" w:line="36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72" w:lineRule="exact"/>
        <w:rPr>
          <w:sz w:val="20"/>
          <w:szCs w:val="20"/>
          <w:color w:val="auto"/>
        </w:rPr>
      </w:pPr>
    </w:p>
    <w:tbl>
      <w:tblPr>
        <w:tblLayout w:type="fixed"/>
        <w:tblInd w:w="5800" w:type="dxa"/>
        <w:tblCellMar>
          <w:top w:w="0" w:type="dxa"/>
          <w:left w:w="0" w:type="dxa"/>
          <w:bottom w:w="0" w:type="dxa"/>
          <w:right w:w="0" w:type="dxa"/>
        </w:tblCellMar>
      </w:tblPr>
      <w:tr>
        <w:trPr>
          <w:trHeight w:val="235"/>
        </w:trPr>
        <w:tc>
          <w:tcPr>
            <w:tcW w:w="500" w:type="dxa"/>
            <w:vAlign w:val="bottom"/>
          </w:tcPr>
          <w:p>
            <w:pPr>
              <w:spacing w:after="0"/>
              <w:rPr>
                <w:sz w:val="20"/>
                <w:szCs w:val="20"/>
                <w:color w:val="auto"/>
              </w:rPr>
            </w:pP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JPMorgan Chase &amp; Co.</w:t>
            </w:r>
          </w:p>
        </w:tc>
      </w:tr>
      <w:tr>
        <w:trPr>
          <w:trHeight w:val="232"/>
        </w:trPr>
        <w:tc>
          <w:tcPr>
            <w:tcW w:w="50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9"/>
              </w:rPr>
              <w:t>(Registrant)</w:t>
            </w:r>
          </w:p>
        </w:tc>
      </w:tr>
      <w:tr>
        <w:trPr>
          <w:trHeight w:val="909"/>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John H. Tribolati</w:t>
            </w:r>
          </w:p>
        </w:tc>
      </w:tr>
      <w:tr>
        <w:trPr>
          <w:trHeight w:val="218"/>
        </w:trPr>
        <w:tc>
          <w:tcPr>
            <w:tcW w:w="50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9"/>
              </w:rPr>
              <w:t>John H. Tribolati</w:t>
            </w:r>
          </w:p>
        </w:tc>
      </w:tr>
      <w:tr>
        <w:trPr>
          <w:trHeight w:val="239"/>
        </w:trPr>
        <w:tc>
          <w:tcPr>
            <w:tcW w:w="50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9"/>
              </w:rPr>
              <w:t>Corporate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8"/>
          <w:szCs w:val="18"/>
          <w:color w:val="auto"/>
        </w:rPr>
        <w:t>Dated:</w:t>
        <w:tab/>
        <w:t>January 19,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sectPr>
      <w:pgSz w:w="11900" w:h="16838" w:orient="portrait"/>
      <w:cols w:equalWidth="0" w:num="1">
        <w:col w:w="11240"/>
      </w:cols>
      <w:pgMar w:left="320" w:top="10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2023-01-19T15:26:55Z</dcterms:created>
  <dcterms:modified xsi:type="dcterms:W3CDTF">2023-01-19T15:26:55Z</dcterms:modified>
</cp:coreProperties>
</file>