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2413000</wp:posOffset>
            </wp:positionH>
            <wp:positionV relativeFrom="page">
              <wp:posOffset>157480</wp:posOffset>
            </wp:positionV>
            <wp:extent cx="2735580"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35580" cy="214630"/>
                    </a:xfrm>
                    <a:prstGeom prst="rect">
                      <a:avLst/>
                    </a:prstGeom>
                    <a:noFill/>
                  </pic:spPr>
                </pic:pic>
              </a:graphicData>
            </a:graphic>
          </wp:anchor>
        </w:drawing>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333-230098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April 16, 2019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29" w:lineRule="exact"/>
        <w:rPr>
          <w:sz w:val="24"/>
          <w:szCs w:val="24"/>
          <w:color w:val="auto"/>
        </w:rPr>
      </w:pPr>
    </w:p>
    <w:p>
      <w:pPr>
        <w:jc w:val="both"/>
        <w:ind w:right="100"/>
        <w:spacing w:after="0" w:line="264" w:lineRule="auto"/>
        <w:rPr>
          <w:sz w:val="20"/>
          <w:szCs w:val="20"/>
          <w:color w:val="auto"/>
        </w:rPr>
      </w:pPr>
      <w:r>
        <w:rPr>
          <w:rFonts w:ascii="Arial" w:cs="Arial" w:eastAsia="Arial" w:hAnsi="Arial"/>
          <w:sz w:val="18"/>
          <w:szCs w:val="18"/>
          <w:color w:val="auto"/>
        </w:rPr>
        <w:t>This term sheet provides information concerning a reopening (as discussed below) of JPMorgan Chase &amp; Co.’s Fixed-to-Floating Rate Notes due 2048 described under “Description of the Notes” in the Prospectus Supplement, subject to completion, dated April 16, 2019 to the Prospectus dated April 11, 2019.</w:t>
      </w:r>
    </w:p>
    <w:p>
      <w:pPr>
        <w:spacing w:after="0" w:line="208"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JPMorgan Chase &amp; Co.</w:t>
      </w:r>
    </w:p>
    <w:p>
      <w:pPr>
        <w:spacing w:after="0" w:line="144"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Security Type:</w:t>
      </w:r>
      <w:r>
        <w:rPr>
          <w:sz w:val="20"/>
          <w:szCs w:val="20"/>
          <w:color w:val="auto"/>
        </w:rPr>
        <w:tab/>
      </w:r>
      <w:r>
        <w:rPr>
          <w:rFonts w:ascii="Arial" w:cs="Arial" w:eastAsia="Arial" w:hAnsi="Arial"/>
          <w:sz w:val="16"/>
          <w:szCs w:val="16"/>
          <w:color w:val="auto"/>
        </w:rPr>
        <w:t>SEC Registered Senior Notes</w:t>
      </w:r>
    </w:p>
    <w:p>
      <w:pPr>
        <w:spacing w:after="0" w:line="144"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Security:</w:t>
      </w:r>
      <w:r>
        <w:rPr>
          <w:sz w:val="20"/>
          <w:szCs w:val="20"/>
          <w:color w:val="auto"/>
        </w:rPr>
        <w:tab/>
      </w:r>
      <w:r>
        <w:rPr>
          <w:rFonts w:ascii="Arial" w:cs="Arial" w:eastAsia="Arial" w:hAnsi="Arial"/>
          <w:sz w:val="18"/>
          <w:szCs w:val="18"/>
          <w:color w:val="auto"/>
        </w:rPr>
        <w:t>Fixed-to-Floating Rate Notes due 2048</w:t>
      </w:r>
    </w:p>
    <w:p>
      <w:pPr>
        <w:spacing w:after="0" w:line="144"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Currency:</w:t>
      </w:r>
      <w:r>
        <w:rPr>
          <w:sz w:val="20"/>
          <w:szCs w:val="20"/>
          <w:color w:val="auto"/>
        </w:rPr>
        <w:tab/>
      </w:r>
      <w:r>
        <w:rPr>
          <w:rFonts w:ascii="Arial" w:cs="Arial" w:eastAsia="Arial" w:hAnsi="Arial"/>
          <w:sz w:val="18"/>
          <w:szCs w:val="18"/>
          <w:color w:val="auto"/>
        </w:rPr>
        <w:t>USD</w:t>
      </w:r>
    </w:p>
    <w:p>
      <w:pPr>
        <w:spacing w:after="0" w:line="144"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Reopening Size:</w:t>
      </w:r>
      <w:r>
        <w:rPr>
          <w:sz w:val="20"/>
          <w:szCs w:val="20"/>
          <w:color w:val="auto"/>
        </w:rPr>
        <w:tab/>
      </w:r>
      <w:r>
        <w:rPr>
          <w:rFonts w:ascii="Arial" w:cs="Arial" w:eastAsia="Arial" w:hAnsi="Arial"/>
          <w:sz w:val="16"/>
          <w:szCs w:val="16"/>
          <w:color w:val="auto"/>
        </w:rPr>
        <w:t>$1,500,000,000</w:t>
      </w:r>
    </w:p>
    <w:p>
      <w:pPr>
        <w:spacing w:after="0" w:line="144"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Total Amount Outstanding Following Reopening:</w:t>
      </w:r>
      <w:r>
        <w:rPr>
          <w:sz w:val="20"/>
          <w:szCs w:val="20"/>
          <w:color w:val="auto"/>
        </w:rPr>
        <w:tab/>
      </w:r>
      <w:r>
        <w:rPr>
          <w:rFonts w:ascii="Arial" w:cs="Arial" w:eastAsia="Arial" w:hAnsi="Arial"/>
          <w:sz w:val="16"/>
          <w:szCs w:val="16"/>
          <w:color w:val="auto"/>
        </w:rPr>
        <w:t>$3,500,000,000</w:t>
      </w:r>
    </w:p>
    <w:p>
      <w:pPr>
        <w:spacing w:after="0" w:line="144"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Maturity:</w:t>
      </w:r>
      <w:r>
        <w:rPr>
          <w:sz w:val="20"/>
          <w:szCs w:val="20"/>
          <w:color w:val="auto"/>
        </w:rPr>
        <w:tab/>
      </w:r>
      <w:r>
        <w:rPr>
          <w:rFonts w:ascii="Arial" w:cs="Arial" w:eastAsia="Arial" w:hAnsi="Arial"/>
          <w:sz w:val="18"/>
          <w:szCs w:val="18"/>
          <w:color w:val="auto"/>
        </w:rPr>
        <w:t>November 15, 2048</w:t>
      </w:r>
    </w:p>
    <w:p>
      <w:pPr>
        <w:spacing w:after="0" w:line="144"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Fixed Rate Period:</w:t>
      </w:r>
      <w:r>
        <w:rPr>
          <w:sz w:val="20"/>
          <w:szCs w:val="20"/>
          <w:color w:val="auto"/>
        </w:rPr>
        <w:tab/>
      </w:r>
      <w:r>
        <w:rPr>
          <w:rFonts w:ascii="Arial" w:cs="Arial" w:eastAsia="Arial" w:hAnsi="Arial"/>
          <w:sz w:val="16"/>
          <w:szCs w:val="16"/>
          <w:color w:val="auto"/>
        </w:rPr>
        <w:t>From and including November 15, 2018 to but excluding</w:t>
      </w:r>
    </w:p>
    <w:p>
      <w:pPr>
        <w:spacing w:after="0" w:line="23" w:lineRule="exact"/>
        <w:rPr>
          <w:sz w:val="24"/>
          <w:szCs w:val="24"/>
          <w:color w:val="auto"/>
        </w:rPr>
      </w:pPr>
    </w:p>
    <w:p>
      <w:pPr>
        <w:ind w:left="5840"/>
        <w:spacing w:after="0"/>
        <w:rPr>
          <w:sz w:val="20"/>
          <w:szCs w:val="20"/>
          <w:color w:val="auto"/>
        </w:rPr>
      </w:pPr>
      <w:r>
        <w:rPr>
          <w:rFonts w:ascii="Arial" w:cs="Arial" w:eastAsia="Arial" w:hAnsi="Arial"/>
          <w:sz w:val="18"/>
          <w:szCs w:val="18"/>
          <w:color w:val="auto"/>
        </w:rPr>
        <w:t>November 15, 2047</w:t>
      </w:r>
    </w:p>
    <w:p>
      <w:pPr>
        <w:spacing w:after="0" w:line="116"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Floating Rate Period:</w:t>
      </w:r>
      <w:r>
        <w:rPr>
          <w:sz w:val="20"/>
          <w:szCs w:val="20"/>
          <w:color w:val="auto"/>
        </w:rPr>
        <w:tab/>
      </w:r>
      <w:r>
        <w:rPr>
          <w:rFonts w:ascii="Arial" w:cs="Arial" w:eastAsia="Arial" w:hAnsi="Arial"/>
          <w:sz w:val="16"/>
          <w:szCs w:val="16"/>
          <w:color w:val="auto"/>
        </w:rPr>
        <w:t>From and including November 15, 2047 to but excluding Maturity</w:t>
      </w:r>
    </w:p>
    <w:p>
      <w:pPr>
        <w:spacing w:after="0" w:line="144"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Payment Frequency:</w:t>
      </w:r>
      <w:r>
        <w:rPr>
          <w:sz w:val="20"/>
          <w:szCs w:val="20"/>
          <w:color w:val="auto"/>
        </w:rPr>
        <w:tab/>
      </w:r>
      <w:r>
        <w:rPr>
          <w:rFonts w:ascii="Arial" w:cs="Arial" w:eastAsia="Arial" w:hAnsi="Arial"/>
          <w:sz w:val="16"/>
          <w:szCs w:val="16"/>
          <w:color w:val="auto"/>
        </w:rPr>
        <w:t>Semi-annual during the Fixed Rate Period and quarterly during the</w:t>
      </w:r>
    </w:p>
    <w:p>
      <w:pPr>
        <w:spacing w:after="0" w:line="23" w:lineRule="exact"/>
        <w:rPr>
          <w:sz w:val="24"/>
          <w:szCs w:val="24"/>
          <w:color w:val="auto"/>
        </w:rPr>
      </w:pPr>
    </w:p>
    <w:p>
      <w:pPr>
        <w:ind w:left="5840"/>
        <w:spacing w:after="0"/>
        <w:rPr>
          <w:sz w:val="20"/>
          <w:szCs w:val="20"/>
          <w:color w:val="auto"/>
        </w:rPr>
      </w:pPr>
      <w:r>
        <w:rPr>
          <w:rFonts w:ascii="Arial" w:cs="Arial" w:eastAsia="Arial" w:hAnsi="Arial"/>
          <w:sz w:val="18"/>
          <w:szCs w:val="18"/>
          <w:color w:val="auto"/>
        </w:rPr>
        <w:t>Floating Rate Period</w:t>
      </w:r>
    </w:p>
    <w:p>
      <w:pPr>
        <w:spacing w:after="0" w:line="116"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Day Count Fraction:</w:t>
      </w:r>
      <w:r>
        <w:rPr>
          <w:sz w:val="20"/>
          <w:szCs w:val="20"/>
          <w:color w:val="auto"/>
        </w:rPr>
        <w:tab/>
      </w:r>
      <w:r>
        <w:rPr>
          <w:rFonts w:ascii="Arial" w:cs="Arial" w:eastAsia="Arial" w:hAnsi="Arial"/>
          <w:sz w:val="16"/>
          <w:szCs w:val="16"/>
          <w:color w:val="auto"/>
        </w:rPr>
        <w:t>30/360 during the Fixed Rate Period, Actual/360 during the Floating</w:t>
      </w:r>
    </w:p>
    <w:p>
      <w:pPr>
        <w:spacing w:after="0" w:line="23" w:lineRule="exact"/>
        <w:rPr>
          <w:sz w:val="24"/>
          <w:szCs w:val="24"/>
          <w:color w:val="auto"/>
        </w:rPr>
      </w:pPr>
    </w:p>
    <w:p>
      <w:pPr>
        <w:ind w:left="5840"/>
        <w:spacing w:after="0"/>
        <w:rPr>
          <w:sz w:val="20"/>
          <w:szCs w:val="20"/>
          <w:color w:val="auto"/>
        </w:rPr>
      </w:pPr>
      <w:r>
        <w:rPr>
          <w:rFonts w:ascii="Arial" w:cs="Arial" w:eastAsia="Arial" w:hAnsi="Arial"/>
          <w:sz w:val="18"/>
          <w:szCs w:val="18"/>
          <w:color w:val="auto"/>
        </w:rPr>
        <w:t>Rate Period</w:t>
      </w:r>
    </w:p>
    <w:p>
      <w:pPr>
        <w:spacing w:after="0" w:line="116"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Benchmark Treasury:</w:t>
      </w:r>
      <w:r>
        <w:rPr>
          <w:sz w:val="20"/>
          <w:szCs w:val="20"/>
          <w:color w:val="auto"/>
        </w:rPr>
        <w:tab/>
      </w:r>
      <w:r>
        <w:rPr>
          <w:rFonts w:ascii="Arial" w:cs="Arial" w:eastAsia="Arial" w:hAnsi="Arial"/>
          <w:sz w:val="16"/>
          <w:szCs w:val="16"/>
          <w:color w:val="auto"/>
        </w:rPr>
        <w:t>3.375% due November 15, 2048</w:t>
      </w:r>
    </w:p>
    <w:p>
      <w:pPr>
        <w:spacing w:after="0" w:line="144"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Benchmark Treasury Yield:</w:t>
      </w:r>
      <w:r>
        <w:rPr>
          <w:sz w:val="20"/>
          <w:szCs w:val="20"/>
          <w:color w:val="auto"/>
        </w:rPr>
        <w:tab/>
      </w:r>
      <w:r>
        <w:rPr>
          <w:rFonts w:ascii="Arial" w:cs="Arial" w:eastAsia="Arial" w:hAnsi="Arial"/>
          <w:sz w:val="16"/>
          <w:szCs w:val="16"/>
          <w:color w:val="auto"/>
        </w:rPr>
        <w:t>2.979%</w:t>
      </w:r>
    </w:p>
    <w:p>
      <w:pPr>
        <w:spacing w:after="0" w:line="144"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Spread to Benchmark Treasury:</w:t>
      </w:r>
      <w:r>
        <w:rPr>
          <w:sz w:val="20"/>
          <w:szCs w:val="20"/>
          <w:color w:val="auto"/>
        </w:rPr>
        <w:tab/>
      </w:r>
      <w:r>
        <w:rPr>
          <w:rFonts w:ascii="Arial" w:cs="Arial" w:eastAsia="Arial" w:hAnsi="Arial"/>
          <w:sz w:val="16"/>
          <w:szCs w:val="16"/>
          <w:color w:val="auto"/>
        </w:rPr>
        <w:t>+115 basis points</w:t>
      </w:r>
    </w:p>
    <w:p>
      <w:pPr>
        <w:spacing w:after="0" w:line="144"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Reoffer Yield:</w:t>
      </w:r>
      <w:r>
        <w:rPr>
          <w:sz w:val="20"/>
          <w:szCs w:val="20"/>
          <w:color w:val="auto"/>
        </w:rPr>
        <w:tab/>
      </w:r>
      <w:r>
        <w:rPr>
          <w:rFonts w:ascii="Arial" w:cs="Arial" w:eastAsia="Arial" w:hAnsi="Arial"/>
          <w:sz w:val="16"/>
          <w:szCs w:val="16"/>
          <w:color w:val="auto"/>
        </w:rPr>
        <w:t>4.129%</w:t>
      </w:r>
    </w:p>
    <w:p>
      <w:pPr>
        <w:spacing w:after="0" w:line="144"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Fixed Rate Coupon:</w:t>
      </w:r>
      <w:r>
        <w:rPr>
          <w:sz w:val="20"/>
          <w:szCs w:val="20"/>
          <w:color w:val="auto"/>
        </w:rPr>
        <w:tab/>
      </w:r>
      <w:r>
        <w:rPr>
          <w:rFonts w:ascii="Arial" w:cs="Arial" w:eastAsia="Arial" w:hAnsi="Arial"/>
          <w:sz w:val="16"/>
          <w:szCs w:val="16"/>
          <w:color w:val="auto"/>
        </w:rPr>
        <w:t>3.964%, payable semiannually in arrears during the Fixed Rate Period.</w:t>
      </w:r>
    </w:p>
    <w:p>
      <w:pPr>
        <w:spacing w:after="0" w:line="144"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Floating Rate Coupon:</w:t>
      </w:r>
      <w:r>
        <w:rPr>
          <w:sz w:val="20"/>
          <w:szCs w:val="20"/>
          <w:color w:val="auto"/>
        </w:rPr>
        <w:tab/>
      </w:r>
      <w:r>
        <w:rPr>
          <w:rFonts w:ascii="Arial" w:cs="Arial" w:eastAsia="Arial" w:hAnsi="Arial"/>
          <w:sz w:val="16"/>
          <w:szCs w:val="16"/>
          <w:color w:val="auto"/>
        </w:rPr>
        <w:t>An annual floating rate equal to the Floating Rate Index plus 1.38%,</w:t>
      </w:r>
    </w:p>
    <w:p>
      <w:pPr>
        <w:spacing w:after="0" w:line="23" w:lineRule="exact"/>
        <w:rPr>
          <w:sz w:val="24"/>
          <w:szCs w:val="24"/>
          <w:color w:val="auto"/>
        </w:rPr>
      </w:pPr>
    </w:p>
    <w:p>
      <w:pPr>
        <w:ind w:left="5840"/>
        <w:spacing w:after="0"/>
        <w:rPr>
          <w:sz w:val="20"/>
          <w:szCs w:val="20"/>
          <w:color w:val="auto"/>
        </w:rPr>
      </w:pPr>
      <w:r>
        <w:rPr>
          <w:rFonts w:ascii="Arial" w:cs="Arial" w:eastAsia="Arial" w:hAnsi="Arial"/>
          <w:sz w:val="18"/>
          <w:szCs w:val="18"/>
          <w:color w:val="auto"/>
        </w:rPr>
        <w:t>payable quarterly in arrears during the Floating Rate Period.</w:t>
      </w:r>
    </w:p>
    <w:p>
      <w:pPr>
        <w:spacing w:after="0" w:line="116"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Floating Rate Index:</w:t>
      </w:r>
      <w:r>
        <w:rPr>
          <w:sz w:val="20"/>
          <w:szCs w:val="20"/>
          <w:color w:val="auto"/>
        </w:rPr>
        <w:tab/>
      </w:r>
      <w:r>
        <w:rPr>
          <w:rFonts w:ascii="Arial" w:cs="Arial" w:eastAsia="Arial" w:hAnsi="Arial"/>
          <w:sz w:val="16"/>
          <w:szCs w:val="16"/>
          <w:color w:val="auto"/>
        </w:rPr>
        <w:t>Three-month LIBOR</w:t>
      </w:r>
    </w:p>
    <w:p>
      <w:pPr>
        <w:spacing w:after="0" w:line="144"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Floating Rate Reset Frequency:</w:t>
      </w:r>
      <w:r>
        <w:rPr>
          <w:sz w:val="20"/>
          <w:szCs w:val="20"/>
          <w:color w:val="auto"/>
        </w:rPr>
        <w:tab/>
      </w:r>
      <w:r>
        <w:rPr>
          <w:rFonts w:ascii="Arial" w:cs="Arial" w:eastAsia="Arial" w:hAnsi="Arial"/>
          <w:sz w:val="16"/>
          <w:szCs w:val="16"/>
          <w:color w:val="auto"/>
        </w:rPr>
        <w:t>Quarterly during the Floating Rate Period</w:t>
      </w:r>
    </w:p>
    <w:p>
      <w:pPr>
        <w:spacing w:after="0" w:line="144" w:lineRule="exact"/>
        <w:rPr>
          <w:sz w:val="24"/>
          <w:szCs w:val="24"/>
          <w:color w:val="auto"/>
        </w:rPr>
      </w:pPr>
    </w:p>
    <w:p>
      <w:pPr>
        <w:ind w:left="480"/>
        <w:spacing w:after="0"/>
        <w:tabs>
          <w:tab w:leader="none" w:pos="5820" w:val="left"/>
        </w:tabs>
        <w:rPr>
          <w:sz w:val="20"/>
          <w:szCs w:val="20"/>
          <w:color w:val="auto"/>
        </w:rPr>
      </w:pPr>
      <w:r>
        <w:rPr>
          <w:rFonts w:ascii="Arial" w:cs="Arial" w:eastAsia="Arial" w:hAnsi="Arial"/>
          <w:sz w:val="18"/>
          <w:szCs w:val="18"/>
          <w:color w:val="auto"/>
        </w:rPr>
        <w:t>Price to Public:</w:t>
      </w:r>
      <w:r>
        <w:rPr>
          <w:sz w:val="20"/>
          <w:szCs w:val="20"/>
          <w:color w:val="auto"/>
        </w:rPr>
        <w:tab/>
      </w:r>
      <w:r>
        <w:rPr>
          <w:rFonts w:ascii="Arial" w:cs="Arial" w:eastAsia="Arial" w:hAnsi="Arial"/>
          <w:sz w:val="16"/>
          <w:szCs w:val="16"/>
          <w:color w:val="auto"/>
        </w:rPr>
        <w:t>97.246% of face amount plus accrued and unpaid interest of</w:t>
      </w:r>
    </w:p>
    <w:p>
      <w:pPr>
        <w:spacing w:after="0" w:line="23" w:lineRule="exact"/>
        <w:rPr>
          <w:sz w:val="24"/>
          <w:szCs w:val="24"/>
          <w:color w:val="auto"/>
        </w:rPr>
      </w:pPr>
    </w:p>
    <w:p>
      <w:pPr>
        <w:ind w:left="5840"/>
        <w:spacing w:after="0"/>
        <w:rPr>
          <w:sz w:val="20"/>
          <w:szCs w:val="20"/>
          <w:color w:val="auto"/>
        </w:rPr>
      </w:pPr>
      <w:r>
        <w:rPr>
          <w:rFonts w:ascii="Arial" w:cs="Arial" w:eastAsia="Arial" w:hAnsi="Arial"/>
          <w:sz w:val="18"/>
          <w:szCs w:val="18"/>
          <w:color w:val="auto"/>
        </w:rPr>
        <w:t>$26,261,500 from, and including, November 15, 2018 to, but</w:t>
      </w:r>
    </w:p>
    <w:p>
      <w:pPr>
        <w:spacing w:after="0" w:line="9" w:lineRule="exact"/>
        <w:rPr>
          <w:sz w:val="24"/>
          <w:szCs w:val="24"/>
          <w:color w:val="auto"/>
        </w:rPr>
      </w:pPr>
    </w:p>
    <w:p>
      <w:pPr>
        <w:ind w:left="5840"/>
        <w:spacing w:after="0"/>
        <w:rPr>
          <w:sz w:val="20"/>
          <w:szCs w:val="20"/>
          <w:color w:val="auto"/>
        </w:rPr>
      </w:pPr>
      <w:r>
        <w:rPr>
          <w:rFonts w:ascii="Arial" w:cs="Arial" w:eastAsia="Arial" w:hAnsi="Arial"/>
          <w:sz w:val="18"/>
          <w:szCs w:val="18"/>
          <w:color w:val="auto"/>
        </w:rPr>
        <w:t>excluding, April 24, 2019</w:t>
      </w:r>
    </w:p>
    <w:p>
      <w:pPr>
        <w:sectPr>
          <w:pgSz w:w="11900" w:h="16838" w:orient="portrait"/>
          <w:cols w:equalWidth="0" w:num="1">
            <w:col w:w="11020"/>
          </w:cols>
          <w:pgMar w:left="440" w:top="787" w:right="439" w:bottom="1440" w:gutter="0" w:footer="0" w:header="0"/>
        </w:sectPr>
      </w:pPr>
    </w:p>
    <w:p>
      <w:pPr>
        <w:spacing w:after="0" w:line="116" w:lineRule="exact"/>
        <w:rPr>
          <w:sz w:val="24"/>
          <w:szCs w:val="24"/>
          <w:color w:val="auto"/>
        </w:rPr>
      </w:pPr>
    </w:p>
    <w:p>
      <w:pPr>
        <w:ind w:left="480"/>
        <w:spacing w:after="0"/>
        <w:rPr>
          <w:sz w:val="20"/>
          <w:szCs w:val="20"/>
          <w:color w:val="auto"/>
        </w:rPr>
      </w:pPr>
      <w:r>
        <w:rPr>
          <w:rFonts w:ascii="Arial" w:cs="Arial" w:eastAsia="Arial" w:hAnsi="Arial"/>
          <w:sz w:val="15"/>
          <w:szCs w:val="15"/>
          <w:color w:val="auto"/>
        </w:rPr>
        <w:t>Proceeds (Before Expenses) to Issuer: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ind w:right="680"/>
        <w:spacing w:after="0" w:line="264" w:lineRule="auto"/>
        <w:rPr>
          <w:sz w:val="20"/>
          <w:szCs w:val="20"/>
          <w:color w:val="auto"/>
        </w:rPr>
      </w:pPr>
      <w:r>
        <w:rPr>
          <w:rFonts w:ascii="Arial" w:cs="Arial" w:eastAsia="Arial" w:hAnsi="Arial"/>
          <w:sz w:val="18"/>
          <w:szCs w:val="18"/>
          <w:color w:val="auto"/>
        </w:rPr>
        <w:t>$1,445,565,000 (96.371%) plus accrued and unpaid interest of $26,261,500 from, and including, November 15, 2018 to, but excluding, April 24, 2019</w:t>
      </w:r>
    </w:p>
    <w:p>
      <w:pPr>
        <w:spacing w:after="0" w:line="87" w:lineRule="exact"/>
        <w:rPr>
          <w:sz w:val="24"/>
          <w:szCs w:val="24"/>
          <w:color w:val="auto"/>
        </w:rPr>
      </w:pPr>
    </w:p>
    <w:p>
      <w:pPr>
        <w:sectPr>
          <w:pgSz w:w="11900" w:h="16838" w:orient="portrait"/>
          <w:cols w:equalWidth="0" w:num="2">
            <w:col w:w="5120" w:space="720"/>
            <w:col w:w="5180"/>
          </w:cols>
          <w:pgMar w:left="440" w:top="787" w:right="439" w:bottom="1440" w:gutter="0" w:footer="0" w:header="0"/>
          <w:type w:val="continuous"/>
        </w:sectPr>
      </w:pPr>
    </w:p>
    <w:p>
      <w:pPr>
        <w:ind w:left="480"/>
        <w:spacing w:after="0"/>
        <w:tabs>
          <w:tab w:leader="none" w:pos="582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6"/>
          <w:szCs w:val="16"/>
          <w:color w:val="auto"/>
        </w:rPr>
        <w:t>During the Fixed Rate Period, each May 15 and November 15,</w:t>
      </w:r>
    </w:p>
    <w:p>
      <w:pPr>
        <w:spacing w:after="0" w:line="23" w:lineRule="exact"/>
        <w:rPr>
          <w:sz w:val="24"/>
          <w:szCs w:val="24"/>
          <w:color w:val="auto"/>
        </w:rPr>
      </w:pPr>
    </w:p>
    <w:p>
      <w:pPr>
        <w:ind w:left="5840"/>
        <w:spacing w:after="0"/>
        <w:rPr>
          <w:sz w:val="20"/>
          <w:szCs w:val="20"/>
          <w:color w:val="auto"/>
        </w:rPr>
      </w:pPr>
      <w:r>
        <w:rPr>
          <w:rFonts w:ascii="Arial" w:cs="Arial" w:eastAsia="Arial" w:hAnsi="Arial"/>
          <w:sz w:val="16"/>
          <w:szCs w:val="16"/>
          <w:color w:val="auto"/>
        </w:rPr>
        <w:t>beginning May 15, 2019 and including November 15, 2047, and during</w:t>
      </w:r>
    </w:p>
    <w:p>
      <w:pPr>
        <w:spacing w:after="0" w:line="32" w:lineRule="exact"/>
        <w:rPr>
          <w:sz w:val="24"/>
          <w:szCs w:val="24"/>
          <w:color w:val="auto"/>
        </w:rPr>
      </w:pPr>
    </w:p>
    <w:p>
      <w:pPr>
        <w:ind w:left="5840"/>
        <w:spacing w:after="0"/>
        <w:rPr>
          <w:sz w:val="20"/>
          <w:szCs w:val="20"/>
          <w:color w:val="auto"/>
        </w:rPr>
      </w:pPr>
      <w:r>
        <w:rPr>
          <w:rFonts w:ascii="Arial" w:cs="Arial" w:eastAsia="Arial" w:hAnsi="Arial"/>
          <w:sz w:val="17"/>
          <w:szCs w:val="17"/>
          <w:color w:val="auto"/>
        </w:rPr>
        <w:t>the Floating Rate Period, each of February 15, 2048, May 15, 2048,</w:t>
      </w:r>
    </w:p>
    <w:p>
      <w:pPr>
        <w:spacing w:after="0" w:line="21" w:lineRule="exact"/>
        <w:rPr>
          <w:sz w:val="24"/>
          <w:szCs w:val="24"/>
          <w:color w:val="auto"/>
        </w:rPr>
      </w:pPr>
    </w:p>
    <w:p>
      <w:pPr>
        <w:ind w:left="5840"/>
        <w:spacing w:after="0"/>
        <w:rPr>
          <w:sz w:val="20"/>
          <w:szCs w:val="20"/>
          <w:color w:val="auto"/>
        </w:rPr>
      </w:pPr>
      <w:r>
        <w:rPr>
          <w:rFonts w:ascii="Arial" w:cs="Arial" w:eastAsia="Arial" w:hAnsi="Arial"/>
          <w:sz w:val="18"/>
          <w:szCs w:val="18"/>
          <w:color w:val="auto"/>
        </w:rPr>
        <w:t>August 15, 2048 and November 15, 2048</w:t>
      </w:r>
    </w:p>
    <w:p>
      <w:pPr>
        <w:sectPr>
          <w:pgSz w:w="11900" w:h="16838" w:orient="portrait"/>
          <w:cols w:equalWidth="0" w:num="1">
            <w:col w:w="11020"/>
          </w:cols>
          <w:pgMar w:left="440" w:top="787"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Business Day: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York and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-201295</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4640" w:space="720"/>
            <w:col w:w="5180"/>
          </w:cols>
          <w:pgMar w:left="920" w:top="274" w:right="439" w:bottom="1440" w:gutter="0" w:footer="0" w:header="0"/>
        </w:sectPr>
      </w:pPr>
    </w:p>
    <w:p>
      <w:pPr>
        <w:spacing w:after="0"/>
        <w:rPr>
          <w:sz w:val="20"/>
          <w:szCs w:val="20"/>
          <w:color w:val="auto"/>
        </w:rPr>
      </w:pPr>
      <w:r>
        <w:rPr>
          <w:rFonts w:ascii="Arial" w:cs="Arial" w:eastAsia="Arial" w:hAnsi="Arial"/>
          <w:sz w:val="16"/>
          <w:szCs w:val="16"/>
          <w:color w:val="auto"/>
        </w:rPr>
        <w:t>Business Day Convention:</w:t>
      </w:r>
    </w:p>
    <w:p>
      <w:pPr>
        <w:spacing w:after="0" w:line="20" w:lineRule="exact"/>
        <w:rPr>
          <w:sz w:val="20"/>
          <w:szCs w:val="20"/>
          <w:color w:val="auto"/>
        </w:rPr>
      </w:pPr>
      <w:r>
        <w:rPr>
          <w:sz w:val="20"/>
          <w:szCs w:val="20"/>
          <w:color w:val="auto"/>
        </w:rPr>
        <w:br w:type="column"/>
      </w:r>
    </w:p>
    <w:p>
      <w:pPr>
        <w:ind w:right="460"/>
        <w:spacing w:after="0" w:line="308" w:lineRule="auto"/>
        <w:rPr>
          <w:sz w:val="20"/>
          <w:szCs w:val="20"/>
          <w:color w:val="auto"/>
        </w:rPr>
      </w:pPr>
      <w:r>
        <w:rPr>
          <w:rFonts w:ascii="Arial" w:cs="Arial" w:eastAsia="Arial" w:hAnsi="Arial"/>
          <w:sz w:val="17"/>
          <w:szCs w:val="17"/>
          <w:color w:val="auto"/>
        </w:rPr>
        <w:t>During the Fixed Rate Period, following business day. During the Floating Rate Period, modified following business day.</w:t>
      </w:r>
    </w:p>
    <w:p>
      <w:pPr>
        <w:spacing w:after="0" w:line="52" w:lineRule="exact"/>
        <w:rPr>
          <w:sz w:val="20"/>
          <w:szCs w:val="20"/>
          <w:color w:val="auto"/>
        </w:rPr>
      </w:pPr>
    </w:p>
    <w:p>
      <w:pPr>
        <w:sectPr>
          <w:pgSz w:w="11900" w:h="16838" w:orient="portrait"/>
          <w:cols w:equalWidth="0" w:num="2">
            <w:col w:w="4640" w:space="720"/>
            <w:col w:w="5180"/>
          </w:cols>
          <w:pgMar w:left="92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Arial" w:cs="Arial" w:eastAsia="Arial" w:hAnsi="Arial"/>
          <w:sz w:val="18"/>
          <w:szCs w:val="18"/>
          <w:color w:val="auto"/>
        </w:rPr>
        <w:t>We may redeem the notes, at our option, in whole at any time or in part from time to time, prior to November 15, 2047 upon at least 5 days’ but no more than 30 days’ notice to holders of the notes, at a redemption price equal to the sum of: (i) 100% of the principal amount of the notes being redeemed plus accrued and unpaid interest thereon to, but excluding, the date of redemption; and (ii) the “Make-Whole Amount” discounted at the “Treasury Yield” plus 20 basis points, if any, with respect to such notes.</w:t>
      </w:r>
    </w:p>
    <w:p>
      <w:pPr>
        <w:spacing w:after="0" w:line="98" w:lineRule="exact"/>
        <w:rPr>
          <w:sz w:val="20"/>
          <w:szCs w:val="20"/>
          <w:color w:val="auto"/>
        </w:rPr>
      </w:pPr>
    </w:p>
    <w:p>
      <w:pPr>
        <w:sectPr>
          <w:pgSz w:w="11900" w:h="16838" w:orient="portrait"/>
          <w:cols w:equalWidth="0" w:num="2">
            <w:col w:w="4640" w:space="720"/>
            <w:col w:w="5180"/>
          </w:cols>
          <w:pgMar w:left="920" w:top="274" w:right="439" w:bottom="1440" w:gutter="0" w:footer="0" w:header="0"/>
          <w:type w:val="continuous"/>
        </w:sectPr>
      </w:pPr>
    </w:p>
    <w:p>
      <w:pPr>
        <w:ind w:left="5360"/>
        <w:spacing w:after="0"/>
        <w:rPr>
          <w:sz w:val="20"/>
          <w:szCs w:val="20"/>
          <w:color w:val="auto"/>
        </w:rPr>
      </w:pPr>
      <w:r>
        <w:rPr>
          <w:rFonts w:ascii="Arial" w:cs="Arial" w:eastAsia="Arial" w:hAnsi="Arial"/>
          <w:sz w:val="16"/>
          <w:szCs w:val="16"/>
          <w:color w:val="auto"/>
        </w:rPr>
        <w:t>In addition, we may redeem the notes, at our option, in whole, but not</w:t>
      </w:r>
    </w:p>
    <w:p>
      <w:pPr>
        <w:spacing w:after="0" w:line="46"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in part, on November 15, 2047 upon at least 5 days’ but no more than</w:t>
      </w:r>
    </w:p>
    <w:p>
      <w:pPr>
        <w:spacing w:after="0" w:line="32"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30 days’ notice to holders of the notes, at a redemption price equal to</w:t>
      </w:r>
    </w:p>
    <w:p>
      <w:pPr>
        <w:spacing w:after="0" w:line="32"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100% of the principal amount of the notes being redeemed plus accrued</w:t>
      </w:r>
    </w:p>
    <w:p>
      <w:pPr>
        <w:spacing w:after="0" w:line="32"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and unpaid interest thereon to, but excluding, the date of redemption.</w:t>
      </w:r>
    </w:p>
    <w:p>
      <w:pPr>
        <w:spacing w:after="0" w:line="139"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In addition, we may redeem the notes, at our option, in whole at any</w:t>
      </w:r>
    </w:p>
    <w:p>
      <w:pPr>
        <w:spacing w:after="0" w:line="35"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time or in part from time to time, on or after May 15, 2048 upon at least</w:t>
      </w:r>
    </w:p>
    <w:p>
      <w:pPr>
        <w:spacing w:after="0" w:line="32"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5 days’ but no more than 30 days’ notice to holders of the notes, at a</w:t>
      </w:r>
    </w:p>
    <w:p>
      <w:pPr>
        <w:spacing w:after="0" w:line="21"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redemption price equal to 100% of the principal amount of the notes</w:t>
      </w:r>
    </w:p>
    <w:p>
      <w:pPr>
        <w:spacing w:after="0" w:line="2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being redeemed plus accrued and unpaid interest thereon to, but</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excluding, the date of redemption.</w:t>
      </w:r>
    </w:p>
    <w:p>
      <w:pPr>
        <w:spacing w:after="0" w:line="116"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The foregoing supplements and supersedes the information set forth</w:t>
      </w:r>
    </w:p>
    <w:p>
      <w:pPr>
        <w:spacing w:after="0" w:line="35"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under “Description of the Notes” in the Prospectus Supplement, subject</w:t>
      </w:r>
    </w:p>
    <w:p>
      <w:pPr>
        <w:spacing w:after="0" w:line="32"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to completion, dated April 16, 2019 to the Prospectus dated April 11,</w:t>
      </w:r>
    </w:p>
    <w:p>
      <w:pPr>
        <w:spacing w:after="0" w:line="2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2019.</w:t>
      </w:r>
    </w:p>
    <w:p>
      <w:pPr>
        <w:sectPr>
          <w:pgSz w:w="11900" w:h="16838" w:orient="portrait"/>
          <w:cols w:equalWidth="0" w:num="1">
            <w:col w:w="10540"/>
          </w:cols>
          <w:pgMar w:left="920" w:top="274" w:right="4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46647PAL0 / US46647PAL04</w:t>
      </w:r>
    </w:p>
    <w:p>
      <w:pPr>
        <w:spacing w:after="0" w:line="167" w:lineRule="exact"/>
        <w:rPr>
          <w:sz w:val="20"/>
          <w:szCs w:val="20"/>
          <w:color w:val="auto"/>
        </w:rPr>
      </w:pPr>
    </w:p>
    <w:p>
      <w:pPr>
        <w:sectPr>
          <w:pgSz w:w="11900" w:h="16838" w:orient="portrait"/>
          <w:cols w:equalWidth="0" w:num="2">
            <w:col w:w="4640" w:space="720"/>
            <w:col w:w="5180"/>
          </w:cols>
          <w:pgMar w:left="92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jc w:val="center"/>
        <w:ind w:right="4120"/>
        <w:spacing w:after="0"/>
        <w:rPr>
          <w:sz w:val="20"/>
          <w:szCs w:val="20"/>
          <w:color w:val="auto"/>
        </w:rPr>
      </w:pPr>
      <w:r>
        <w:rPr>
          <w:rFonts w:ascii="Arial" w:cs="Arial" w:eastAsia="Arial" w:hAnsi="Arial"/>
          <w:sz w:val="17"/>
          <w:szCs w:val="17"/>
          <w:color w:val="auto"/>
        </w:rPr>
        <w:t>April 16, 2019</w:t>
      </w:r>
    </w:p>
    <w:p>
      <w:pPr>
        <w:spacing w:after="0" w:line="156" w:lineRule="exact"/>
        <w:rPr>
          <w:sz w:val="20"/>
          <w:szCs w:val="20"/>
          <w:color w:val="auto"/>
        </w:rPr>
      </w:pPr>
    </w:p>
    <w:p>
      <w:pPr>
        <w:sectPr>
          <w:pgSz w:w="11900" w:h="16838" w:orient="portrait"/>
          <w:cols w:equalWidth="0" w:num="2">
            <w:col w:w="4640" w:space="720"/>
            <w:col w:w="5180"/>
          </w:cols>
          <w:pgMar w:left="92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24, 2019 (T+5)</w:t>
      </w:r>
    </w:p>
    <w:p>
      <w:pPr>
        <w:spacing w:after="0" w:line="156" w:lineRule="exact"/>
        <w:rPr>
          <w:sz w:val="20"/>
          <w:szCs w:val="20"/>
          <w:color w:val="auto"/>
        </w:rPr>
      </w:pPr>
    </w:p>
    <w:p>
      <w:pPr>
        <w:sectPr>
          <w:pgSz w:w="11900" w:h="16838" w:orient="portrait"/>
          <w:cols w:equalWidth="0" w:num="2">
            <w:col w:w="4640" w:space="720"/>
            <w:col w:w="5180"/>
          </w:cols>
          <w:pgMar w:left="92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Denominations:</w:t>
      </w:r>
    </w:p>
    <w:p>
      <w:pPr>
        <w:spacing w:after="0" w:line="20" w:lineRule="exact"/>
        <w:rPr>
          <w:sz w:val="20"/>
          <w:szCs w:val="20"/>
          <w:color w:val="auto"/>
        </w:rPr>
      </w:pPr>
      <w:r>
        <w:rPr>
          <w:sz w:val="20"/>
          <w:szCs w:val="20"/>
          <w:color w:val="auto"/>
        </w:rPr>
        <w:br w:type="column"/>
      </w:r>
    </w:p>
    <w:p>
      <w:pPr>
        <w:jc w:val="center"/>
        <w:ind w:right="4020"/>
        <w:spacing w:after="0"/>
        <w:rPr>
          <w:sz w:val="20"/>
          <w:szCs w:val="20"/>
          <w:color w:val="auto"/>
        </w:rPr>
      </w:pPr>
      <w:r>
        <w:rPr>
          <w:rFonts w:ascii="Arial" w:cs="Arial" w:eastAsia="Arial" w:hAnsi="Arial"/>
          <w:sz w:val="16"/>
          <w:szCs w:val="16"/>
          <w:color w:val="auto"/>
        </w:rPr>
        <w:t>$2,000 x $1,000</w:t>
      </w:r>
    </w:p>
    <w:p>
      <w:pPr>
        <w:spacing w:after="0" w:line="167" w:lineRule="exact"/>
        <w:rPr>
          <w:sz w:val="20"/>
          <w:szCs w:val="20"/>
          <w:color w:val="auto"/>
        </w:rPr>
      </w:pPr>
    </w:p>
    <w:p>
      <w:pPr>
        <w:sectPr>
          <w:pgSz w:w="11900" w:h="16838" w:orient="portrait"/>
          <w:cols w:equalWidth="0" w:num="2">
            <w:col w:w="4640" w:space="720"/>
            <w:col w:w="5180"/>
          </w:cols>
          <w:pgMar w:left="92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Sole Bookrunner: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 Morgan Securities LLC</w:t>
      </w:r>
    </w:p>
    <w:p>
      <w:pPr>
        <w:spacing w:after="0" w:line="167" w:lineRule="exact"/>
        <w:rPr>
          <w:sz w:val="20"/>
          <w:szCs w:val="20"/>
          <w:color w:val="auto"/>
        </w:rPr>
      </w:pPr>
    </w:p>
    <w:p>
      <w:pPr>
        <w:sectPr>
          <w:pgSz w:w="11900" w:h="16838" w:orient="portrait"/>
          <w:cols w:equalWidth="0" w:num="2">
            <w:col w:w="4640" w:space="720"/>
            <w:col w:w="5180"/>
          </w:cols>
          <w:pgMar w:left="92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ANZ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KeyBanc Capital Markets Inc.</w:t>
      </w:r>
    </w:p>
    <w:p>
      <w:pPr>
        <w:sectPr>
          <w:pgSz w:w="11900" w:h="16838" w:orient="portrait"/>
          <w:cols w:equalWidth="0" w:num="2">
            <w:col w:w="4640" w:space="720"/>
            <w:col w:w="5180"/>
          </w:cols>
          <w:pgMar w:left="920" w:top="274" w:right="439" w:bottom="1440" w:gutter="0" w:footer="0" w:header="0"/>
          <w:type w:val="continuous"/>
        </w:sectPr>
      </w:pPr>
    </w:p>
    <w:bookmarkStart w:id="2" w:name="page3"/>
    <w:bookmarkEnd w:id="2"/>
    <w:p>
      <w:pPr>
        <w:ind w:left="5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Lloyds Securities Inc.</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nabSecurities, LLC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Natixis Securities Americas LLC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Regions Securities LLC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Santander Investment Securities Inc.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SMBC Nikko Securities America, Inc.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Standard Chartered Bank</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Loop Capital Markets LLC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Samuel A. Ramirez &amp; Company, Inc.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Siebert Cisneros Shank &amp; Co., L.L.C.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The Williams Capital Group, L.P.</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notes are being offered as part of a reopening of a series of previously issued notes, as described in the prospectus supplement, subject to completion, relating to this offering. The notes offered hereby will have the same terms (except as to issue date, issue price and first interest payment date) as, and will be fungible with, the notes previously issued.</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Settlement Period: The closing will occur on April 24, 2019 which will be more than two U.S. business days after the date of this pricing term sheet. Rule 15c6-1 under the Securities Exchange Act of 1934 generally requires that securities trades in the secondary market settle in two business days, unless the parties to a trade expressly agree otherwise.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JPMorgan Chase &amp; Co. has filed a registration statement (including a prospectus, as supplemented by a prospectus supplement) with the Securities and Exchange Commission, or SEC, for the offering to which this term sheet relates. Before you invest, you should read the prospectus in that registration statement, the prospectus supplement and any other documents relating to this offering that JPMorgan Chase &amp; Co. has filed with the SEC for more complete information about JPMorgan Chase &amp; Co. and this offering. You may get these documents without cost by visiting EDGAR on the SEC Web site at www.sec.gov. Alternatively, the issuer, any underwriter or any dealer participating in the offering will arrange to send you the prospectus if you request it by calling collect 1-212-834-4533.</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2019-12-03T08:50:15Z</dcterms:created>
  <dcterms:modified xsi:type="dcterms:W3CDTF">2019-12-03T08:50:15Z</dcterms:modified>
</cp:coreProperties>
</file>