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pPr>
      <w: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RTY/SPX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Russell 2000 ®   Index and S&amp;P 500 ®   Index  Upside Leverage Factor:   At least 1.48*  Barrier Amount:   With respect to each Underlying, 70.00% of its Initial Value  Underlying Return:   (Final Value – Initial Value) / Initial Value  Pricing Date:   November 30, 2026  Observation Date:   December 1, 2031  Maturity Date:   December 4, 2031  CUSIP:   46661QHU2  Preliminary Pricing Supplement:   http://sp.jpmorgan.com/document/cusip/46661QHU2/doctype/Product_Termsheet/document.pdf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the Final Value of either Underlying is equal to or less than its Initial Value but the Final Value of each Underlying is greater than or equal to its Barrier Amount, you will receive the principal amount of your notes at maturity.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1.48. ** Reflects an Upside Leverage Factor of 1.48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148.00%   $2,480.00  80.00%   118.40%   $2,184.00  60.00%   88.80%   $1,888.00  40.00%   59.20%   $1,592.00  30.00%   44.40%   $1,444.00  20.00%   29.60%   $1,296.00  10.00%   14.80%   $1,148.00  5.00%   7.40%   $1,074.00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pPr>
      <w: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RTY/SPX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Lesser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1338</Words>
  <Characters>7155</Characters>
  <CharactersWithSpaces>8696</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