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7593-01_fwp.htm"/>
      <w:bookmarkStart w:id="1" w:name="ksea029759301_fwp"/>
      <w:bookmarkStart w:id="2" w:name="ea0297593-01_fwp.htm"/>
      <w:bookmarkStart w:id="3" w:name="ksea029759301_fwp"/>
      <w:bookmarkEnd w:id="2"/>
      <w:bookmarkEnd w:id="3"/>
    </w:p>
    <w:tbl>
      <w:tblPr>
        <w:tblW w:w="10205" w:type="dxa"/>
        <w:jc w:val="left"/>
        <w:tblInd w:w="0" w:type="dxa"/>
        <w:tblLayout w:type="fixed"/>
        <w:tblCellMar>
          <w:top w:w="0" w:type="dxa"/>
          <w:left w:w="0" w:type="dxa"/>
          <w:bottom w:w="0" w:type="dxa"/>
          <w:right w:w="0" w:type="dxa"/>
        </w:tblCellMar>
      </w:tblPr>
      <w:tblGrid>
        <w:gridCol w:w="7036"/>
        <w:gridCol w:w="3169"/>
      </w:tblGrid>
      <w:tr>
        <w:trPr/>
        <w:tc>
          <w:tcPr>
            <w:tcW w:w="7036"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9"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6" w:type="dxa"/>
            <w:vMerge w:val="continue"/>
            <w:tcBorders/>
            <w:vAlign w:val="center"/>
          </w:tcPr>
          <w:p>
            <w:pPr>
              <w:pStyle w:val="Normal"/>
              <w:bidi w:val="0"/>
              <w:jc w:val="left"/>
              <w:rPr/>
            </w:pPr>
            <w:r>
              <w:rPr/>
            </w:r>
          </w:p>
        </w:tc>
        <w:tc>
          <w:tcPr>
            <w:tcW w:w="3169" w:type="dxa"/>
            <w:tcBorders/>
            <w:vAlign w:val="center"/>
          </w:tcPr>
          <w:p>
            <w:pPr>
              <w:pStyle w:val="TableContents"/>
              <w:bidi w:val="0"/>
              <w:spacing w:before="0" w:after="283"/>
              <w:jc w:val="right"/>
              <w:rPr/>
            </w:pPr>
            <w:r>
              <w:rPr/>
              <w:drawing>
                <wp:inline distT="0" distB="0" distL="0" distR="0">
                  <wp:extent cx="17430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33375"/>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SoFi Technologies, Inc., the Common Stock of Blackstone Inc. and the Common Stock of Broadcom Inc. due July 19,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July 9, 2026 to Preliminary Pricing Supplement dated July 9,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32688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32688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3"/>
                              <w:gridCol w:w="9062"/>
                            </w:tblGrid>
                            <w:tr>
                              <w:trPr/>
                              <w:tc>
                                <w:tcPr>
                                  <w:tcW w:w="11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 the common stock of Blackstone Inc. (Bloomberg ticker: BX) and the common stock of Broadcom Inc. (Bloomberg ticker: AVGO)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14,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17,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19, 2029</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2"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21.05% per annum (to be provided in the pricing supplement)</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January 2027 to June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14</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August 2026 and ending July 2029,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xml:space="preserve"> that the July 2029 calculation day will be July 16, 2029.  We refer to July 16,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3"/>
                        <w:gridCol w:w="9062"/>
                      </w:tblGrid>
                      <w:tr>
                        <w:trPr/>
                        <w:tc>
                          <w:tcPr>
                            <w:tcW w:w="11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 the common stock of Blackstone Inc. (Bloomberg ticker: BX) and the common stock of Broadcom Inc. (Bloomberg ticker: AVGO)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14,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17,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19, 2029</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2"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21.05% per annum (to be provided in the pricing supplement)</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January 2027 to June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14</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August 2026 and ending July 2029,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xml:space="preserve"> that the July 2029 calculation day will be July 16, 2029.  We refer to July 16,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46661CQH2</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3352800" cy="2295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52800" cy="2295525"/>
                                          </a:xfrm>
                                          <a:prstGeom prst="rect">
                                            <a:avLst/>
                                          </a:prstGeom>
                                        </pic:spPr>
                                      </pic:pic>
                                    </a:graphicData>
                                  </a:graphic>
                                </wp:inline>
                              </w:drawing>
                            </w:r>
                          </w:p>
                          <w:p>
                            <w:pPr>
                              <w:pStyle w:val="TextBody"/>
                              <w:bidi w:val="0"/>
                              <w:jc w:val="left"/>
                              <w:rPr>
                                <w:caps w:val="false"/>
                                <w:smallCaps w:val="false"/>
                                <w:color w:val="8F8F8F"/>
                              </w:rPr>
                            </w:pPr>
                            <w:r>
                              <w:rPr>
                                <w:caps w:val="false"/>
                                <w:smallCaps w:val="false"/>
                                <w:color w:val="8F8F8F"/>
                              </w:rPr>
                              <w:t> </w:t>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$934.20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0"/>
                              <w:ind w:left="0" w:right="0" w:hanging="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http://www.sec.gov/Archives/edgar/data/19617/000121390026076782/</w:t>
                                <w:br/>
                                <w:t>ea0297582-01_424b2.htm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46661CQH2</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3352800" cy="2295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52800" cy="2295525"/>
                                    </a:xfrm>
                                    <a:prstGeom prst="rect">
                                      <a:avLst/>
                                    </a:prstGeom>
                                  </pic:spPr>
                                </pic:pic>
                              </a:graphicData>
                            </a:graphic>
                          </wp:inline>
                        </w:drawing>
                      </w:r>
                    </w:p>
                    <w:p>
                      <w:pPr>
                        <w:pStyle w:val="TextBody"/>
                        <w:bidi w:val="0"/>
                        <w:jc w:val="left"/>
                        <w:rPr>
                          <w:caps w:val="false"/>
                          <w:smallCaps w:val="false"/>
                          <w:color w:val="8F8F8F"/>
                        </w:rPr>
                      </w:pPr>
                      <w:r>
                        <w:rPr>
                          <w:caps w:val="false"/>
                          <w:smallCaps w:val="false"/>
                          <w:color w:val="8F8F8F"/>
                        </w:rPr>
                        <w:t> </w:t>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$934.20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0"/>
                        <w:ind w:left="0" w:right="0" w:hanging="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http://www.sec.gov/Archives/edgar/data/19617/000121390026076782/</w:t>
                          <w:br/>
                          <w:t>ea0297582-01_424b2.htm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0"/>
        <w:gridCol w:w="5185"/>
      </w:tblGrid>
      <w:tr>
        <w:trPr/>
        <w:tc>
          <w:tcPr>
            <w:tcW w:w="5020"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85"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Limited Trading History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Underlying Stock and Therefore the Securities Are Subject to the Risks Associated with Each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617/000121390026076782/ea0297582-01_424b2.htm" TargetMode="External"/><Relationship Id="rId5" Type="http://schemas.openxmlformats.org/officeDocument/2006/relationships/image" Target="media/image2.jpeg"/><Relationship Id="rId6" Type="http://schemas.openxmlformats.org/officeDocument/2006/relationships/hyperlink" Target="https://www.sec.gov/Archives/edgar/data/19617/000121390026076782/ea0297582-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1859</Words>
  <Characters>9989</Characters>
  <CharactersWithSpaces>11893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