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250-01_fwp.htm"/>
      <w:bookmarkStart w:id="1" w:name="ksea030525001_fwp"/>
      <w:bookmarkStart w:id="2" w:name="ea0305250-01_fwp.htm"/>
      <w:bookmarkStart w:id="3" w:name="ksea030525001_fwp"/>
      <w:bookmarkEnd w:id="2"/>
      <w:bookmarkEnd w:id="3"/>
    </w:p>
    <w:tbl>
      <w:tblPr>
        <w:tblW w:w="10205" w:type="dxa"/>
        <w:jc w:val="left"/>
        <w:tblInd w:w="0" w:type="dxa"/>
        <w:tblLayout w:type="fixed"/>
        <w:tblCellMar>
          <w:top w:w="0" w:type="dxa"/>
          <w:left w:w="0" w:type="dxa"/>
          <w:bottom w:w="0" w:type="dxa"/>
          <w:right w:w="0" w:type="dxa"/>
        </w:tblCellMar>
      </w:tblPr>
      <w:tblGrid>
        <w:gridCol w:w="6916"/>
        <w:gridCol w:w="3289"/>
      </w:tblGrid>
      <w:tr>
        <w:trPr/>
        <w:tc>
          <w:tcPr>
            <w:tcW w:w="6916"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9"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r>
        <w:trPr/>
        <w:tc>
          <w:tcPr>
            <w:tcW w:w="6916"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3289"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Intel Corporation due September 20, 2029</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11, 2026 to Preliminary Pricing Supplement dated September 10,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35609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35609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Intel Corporation (Bloomberg ticker: INTC)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p>
                                  <w:pPr>
                                    <w:pStyle w:val="TableContents"/>
                                    <w:bidi w:val="0"/>
                                    <w:spacing w:before="0" w:after="283"/>
                                    <w:jc w:val="left"/>
                                    <w:rPr>
                                      <w:caps w:val="false"/>
                                      <w:smallCaps w:val="false"/>
                                    </w:rPr>
                                  </w:pPr>
                                  <w:r>
                                    <w:rPr>
                                      <w:caps w:val="false"/>
                                      <w:smallCaps w:val="false"/>
                                    </w:rPr>
                                    <w:t>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16,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20,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20.60%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March 2027 to June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16</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2029, </w:t>
                                  </w:r>
                                  <w:r>
                                    <w:rPr>
                                      <w:rFonts w:ascii="Georgia;Times;Serif" w:hAnsi="Georgia;Times;Serif"/>
                                      <w:b w:val="false"/>
                                      <w:i/>
                                      <w:caps w:val="false"/>
                                      <w:smallCaps w:val="false"/>
                                      <w:sz w:val="15"/>
                                    </w:rPr>
                                    <w:t>provided</w:t>
                                  </w:r>
                                  <w:r>
                                    <w:rPr>
                                      <w:rFonts w:ascii="Georgia;Times;Serif" w:hAnsi="Georgia;Times;Serif"/>
                                      <w:b w:val="false"/>
                                      <w:i w:val="false"/>
                                      <w:caps w:val="false"/>
                                      <w:smallCaps w:val="false"/>
                                      <w:sz w:val="15"/>
                                    </w:rPr>
                                    <w:t xml:space="preserve"> that the September 2029 calculation day will be September 17, 2029.  We refer to September 17,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Intel Corporation (Bloomberg ticker: INTC)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p>
                            <w:pPr>
                              <w:pStyle w:val="TableContents"/>
                              <w:bidi w:val="0"/>
                              <w:spacing w:before="0" w:after="283"/>
                              <w:jc w:val="left"/>
                              <w:rPr>
                                <w:caps w:val="false"/>
                                <w:smallCaps w:val="false"/>
                              </w:rPr>
                            </w:pPr>
                            <w:r>
                              <w:rPr>
                                <w:caps w:val="false"/>
                                <w:smallCaps w:val="false"/>
                              </w:rPr>
                              <w:t>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16,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20,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20.60%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March 2027 to June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16</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2029, </w:t>
                            </w:r>
                            <w:r>
                              <w:rPr>
                                <w:rFonts w:ascii="Georgia;Times;Serif" w:hAnsi="Georgia;Times;Serif"/>
                                <w:b w:val="false"/>
                                <w:i/>
                                <w:caps w:val="false"/>
                                <w:smallCaps w:val="false"/>
                                <w:sz w:val="15"/>
                              </w:rPr>
                              <w:t>provided</w:t>
                            </w:r>
                            <w:r>
                              <w:rPr>
                                <w:rFonts w:ascii="Georgia;Times;Serif" w:hAnsi="Georgia;Times;Serif"/>
                                <w:b w:val="false"/>
                                <w:i w:val="false"/>
                                <w:caps w:val="false"/>
                                <w:smallCaps w:val="false"/>
                                <w:sz w:val="15"/>
                              </w:rPr>
                              <w:t xml:space="preserve"> that the September 2029 calculation day will be September 17, 2029.  We refer to September 17,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60%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46661MWB6</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p>
                                  <w:pPr>
                                    <w:pStyle w:val="TableContents"/>
                                    <w:bidi w:val="0"/>
                                    <w:spacing w:before="0" w:after="283"/>
                                    <w:jc w:val="left"/>
                                    <w:rPr>
                                      <w:caps w:val="false"/>
                                      <w:smallCaps w:val="false"/>
                                    </w:rPr>
                                  </w:pPr>
                                  <w:r>
                                    <w:rPr>
                                      <w:caps w:val="false"/>
                                      <w:smallCaps w:val="false"/>
                                    </w:rPr>
                                    <w:t> </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524250" cy="22002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524250" cy="220027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40%,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$941.20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br/>
                            </w:r>
                            <w:hyperlink r:id="rId4">
                              <w:r>
                                <w:rPr>
                                  <w:rStyle w:val="InternetLink"/>
                                  <w:rFonts w:ascii="Georgia;Times;Serif" w:hAnsi="Georgia;Times;Serif"/>
                                  <w:b w:val="false"/>
                                  <w:i w:val="false"/>
                                  <w:caps w:val="false"/>
                                  <w:smallCaps w:val="false"/>
                                  <w:sz w:val="14"/>
                                </w:rPr>
                                <w:t>http://www.sec.gov/Archives/edgar/data/19617/000121390026098925/</w:t>
                                <w:br/>
                                <w:t>ea0305203-01_424b2.htm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60%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46661MWB6</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p>
                            <w:pPr>
                              <w:pStyle w:val="TableContents"/>
                              <w:bidi w:val="0"/>
                              <w:spacing w:before="0" w:after="283"/>
                              <w:jc w:val="left"/>
                              <w:rPr>
                                <w:caps w:val="false"/>
                                <w:smallCaps w:val="false"/>
                              </w:rPr>
                            </w:pPr>
                            <w:r>
                              <w:rPr>
                                <w:caps w:val="false"/>
                                <w:smallCaps w:val="false"/>
                              </w:rPr>
                              <w:t> </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524250" cy="2200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24250" cy="220027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40%,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$941.20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br/>
                      </w:r>
                      <w:hyperlink r:id="rId6">
                        <w:r>
                          <w:rPr>
                            <w:rStyle w:val="InternetLink"/>
                            <w:rFonts w:ascii="Georgia;Times;Serif" w:hAnsi="Georgia;Times;Serif"/>
                            <w:b w:val="false"/>
                            <w:i w:val="false"/>
                            <w:caps w:val="false"/>
                            <w:smallCaps w:val="false"/>
                            <w:sz w:val="14"/>
                          </w:rPr>
                          <w:t>http://www.sec.gov/Archives/edgar/data/19617/000121390026098925/</w:t>
                          <w:br/>
                          <w:t>ea0305203-01_424b2.htm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6"/>
        <w:gridCol w:w="5789"/>
      </w:tblGrid>
      <w:tr>
        <w:trPr/>
        <w:tc>
          <w:tcPr>
            <w:tcW w:w="4416"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40%,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89"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8925/ea030520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8925/ea030520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1659</Words>
  <Characters>8959</Characters>
  <CharactersWithSpaces>10647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